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28" w:rsidRPr="006C1E68" w:rsidRDefault="004F6228" w:rsidP="004F6228">
      <w:pPr>
        <w:shd w:val="clear" w:color="auto" w:fill="00B0F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F6228" w:rsidRDefault="004F6228" w:rsidP="003F2CA8">
      <w:pPr>
        <w:spacing w:after="0"/>
        <w:jc w:val="center"/>
        <w:rPr>
          <w:rFonts w:ascii="Times New Roman" w:hAnsi="Times New Roman" w:cs="Times New Roman"/>
          <w:b/>
          <w:bCs/>
          <w:iCs/>
          <w:sz w:val="32"/>
          <w:szCs w:val="32"/>
        </w:rPr>
      </w:pPr>
      <w:commentRangeStart w:id="0"/>
      <w:r>
        <w:rPr>
          <w:rFonts w:ascii="Times New Roman" w:hAnsi="Times New Roman" w:cs="Times New Roman"/>
          <w:b/>
          <w:bCs/>
          <w:iCs/>
          <w:noProof/>
          <w:sz w:val="32"/>
          <w:szCs w:val="32"/>
          <w:lang w:eastAsia="en-US"/>
        </w:rPr>
        <w:drawing>
          <wp:inline distT="0" distB="0" distL="0" distR="0">
            <wp:extent cx="5228811" cy="161798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5675" cy="1620106"/>
                    </a:xfrm>
                    <a:prstGeom prst="rect">
                      <a:avLst/>
                    </a:prstGeom>
                    <a:noFill/>
                    <a:ln w="9525">
                      <a:noFill/>
                      <a:miter lim="800000"/>
                      <a:headEnd/>
                      <a:tailEnd/>
                    </a:ln>
                  </pic:spPr>
                </pic:pic>
              </a:graphicData>
            </a:graphic>
          </wp:inline>
        </w:drawing>
      </w:r>
      <w:commentRangeEnd w:id="0"/>
      <w:r>
        <w:rPr>
          <w:rStyle w:val="CommentReference"/>
        </w:rPr>
        <w:commentReference w:id="0"/>
      </w:r>
    </w:p>
    <w:p w:rsidR="00336C78" w:rsidRPr="003F2CA8" w:rsidRDefault="00BA7CE0" w:rsidP="003F2CA8">
      <w:pPr>
        <w:spacing w:after="0"/>
        <w:jc w:val="center"/>
        <w:rPr>
          <w:rFonts w:ascii="Times New Roman" w:hAnsi="Times New Roman" w:cs="Times New Roman"/>
          <w:b/>
          <w:bCs/>
          <w:iCs/>
          <w:sz w:val="32"/>
          <w:szCs w:val="32"/>
        </w:rPr>
      </w:pPr>
      <w:commentRangeStart w:id="1"/>
      <w:r w:rsidRPr="003F2CA8">
        <w:rPr>
          <w:rFonts w:ascii="Times New Roman" w:hAnsi="Times New Roman" w:cs="Times New Roman"/>
          <w:b/>
          <w:bCs/>
          <w:iCs/>
          <w:sz w:val="32"/>
          <w:szCs w:val="32"/>
        </w:rPr>
        <w:t>Role of N</w:t>
      </w:r>
      <w:r w:rsidR="00336C78" w:rsidRPr="003F2CA8">
        <w:rPr>
          <w:rFonts w:ascii="Times New Roman" w:hAnsi="Times New Roman" w:cs="Times New Roman"/>
          <w:b/>
          <w:bCs/>
          <w:iCs/>
          <w:sz w:val="32"/>
          <w:szCs w:val="32"/>
        </w:rPr>
        <w:t xml:space="preserve">on </w:t>
      </w:r>
      <w:r w:rsidRPr="003F2CA8">
        <w:rPr>
          <w:rFonts w:ascii="Times New Roman" w:hAnsi="Times New Roman" w:cs="Times New Roman"/>
          <w:b/>
          <w:bCs/>
          <w:iCs/>
          <w:sz w:val="32"/>
          <w:szCs w:val="32"/>
        </w:rPr>
        <w:t>steroidal Anti-Inflammatory D</w:t>
      </w:r>
      <w:r w:rsidR="00336C78" w:rsidRPr="003F2CA8">
        <w:rPr>
          <w:rFonts w:ascii="Times New Roman" w:hAnsi="Times New Roman" w:cs="Times New Roman"/>
          <w:b/>
          <w:bCs/>
          <w:iCs/>
          <w:sz w:val="32"/>
          <w:szCs w:val="32"/>
        </w:rPr>
        <w:t>rugs in</w:t>
      </w:r>
      <w:r w:rsidR="00624035" w:rsidRPr="003F2CA8">
        <w:rPr>
          <w:rFonts w:ascii="Times New Roman" w:hAnsi="Times New Roman" w:cs="Times New Roman"/>
          <w:b/>
          <w:bCs/>
          <w:iCs/>
          <w:sz w:val="32"/>
          <w:szCs w:val="32"/>
        </w:rPr>
        <w:t xml:space="preserve"> </w:t>
      </w:r>
      <w:r w:rsidRPr="003F2CA8">
        <w:rPr>
          <w:rFonts w:ascii="Times New Roman" w:hAnsi="Times New Roman" w:cs="Times New Roman"/>
          <w:b/>
          <w:bCs/>
          <w:iCs/>
          <w:sz w:val="32"/>
          <w:szCs w:val="32"/>
        </w:rPr>
        <w:t>acute upper GastroIntestinal B</w:t>
      </w:r>
      <w:r w:rsidR="00336C78" w:rsidRPr="003F2CA8">
        <w:rPr>
          <w:rFonts w:ascii="Times New Roman" w:hAnsi="Times New Roman" w:cs="Times New Roman"/>
          <w:b/>
          <w:bCs/>
          <w:iCs/>
          <w:sz w:val="32"/>
          <w:szCs w:val="32"/>
        </w:rPr>
        <w:t>leeding</w:t>
      </w:r>
      <w:commentRangeEnd w:id="1"/>
      <w:r w:rsidR="00E94CCF">
        <w:rPr>
          <w:rStyle w:val="CommentReference"/>
        </w:rPr>
        <w:commentReference w:id="1"/>
      </w:r>
    </w:p>
    <w:p w:rsidR="00336C78" w:rsidRPr="003F2CA8" w:rsidRDefault="00336C78" w:rsidP="003F2CA8">
      <w:pPr>
        <w:spacing w:after="0"/>
        <w:jc w:val="both"/>
        <w:rPr>
          <w:rFonts w:ascii="Times New Roman" w:hAnsi="Times New Roman" w:cs="Times New Roman"/>
          <w:b/>
          <w:bCs/>
          <w:sz w:val="32"/>
          <w:szCs w:val="32"/>
        </w:rPr>
      </w:pPr>
      <w:r w:rsidRPr="003F2CA8">
        <w:rPr>
          <w:rFonts w:ascii="Times New Roman" w:hAnsi="Times New Roman" w:cs="Times New Roman"/>
          <w:b/>
          <w:bCs/>
          <w:sz w:val="32"/>
          <w:szCs w:val="32"/>
        </w:rPr>
        <w:t xml:space="preserve"> </w:t>
      </w:r>
    </w:p>
    <w:p w:rsidR="00336C78" w:rsidRPr="003F2CA8" w:rsidRDefault="00336C78" w:rsidP="003F2CA8">
      <w:pPr>
        <w:spacing w:after="0"/>
        <w:jc w:val="center"/>
        <w:rPr>
          <w:rFonts w:ascii="Times New Roman" w:hAnsi="Times New Roman" w:cs="Times New Roman"/>
          <w:b/>
          <w:bCs/>
          <w:sz w:val="32"/>
          <w:szCs w:val="32"/>
        </w:rPr>
      </w:pPr>
      <w:commentRangeStart w:id="2"/>
      <w:r w:rsidRPr="003F2CA8">
        <w:rPr>
          <w:rFonts w:ascii="Times New Roman" w:hAnsi="Times New Roman" w:cs="Times New Roman"/>
          <w:b/>
          <w:bCs/>
          <w:sz w:val="32"/>
          <w:szCs w:val="32"/>
        </w:rPr>
        <w:t>Abstract</w:t>
      </w:r>
      <w:commentRangeEnd w:id="2"/>
      <w:r w:rsidR="00E94CCF">
        <w:rPr>
          <w:rStyle w:val="CommentReference"/>
        </w:rPr>
        <w:commentReference w:id="2"/>
      </w:r>
    </w:p>
    <w:p w:rsidR="00336C78" w:rsidRPr="003F2CA8" w:rsidRDefault="00336C78" w:rsidP="003F2CA8">
      <w:pPr>
        <w:spacing w:after="0"/>
        <w:jc w:val="both"/>
        <w:rPr>
          <w:rFonts w:ascii="Times New Roman" w:hAnsi="Times New Roman" w:cs="Times New Roman"/>
          <w:b/>
          <w:bCs/>
          <w:sz w:val="32"/>
          <w:szCs w:val="32"/>
        </w:rPr>
      </w:pPr>
    </w:p>
    <w:p w:rsidR="00336C78" w:rsidRPr="003F2CA8" w:rsidRDefault="00336C78" w:rsidP="003F2CA8">
      <w:pPr>
        <w:spacing w:after="0"/>
        <w:jc w:val="both"/>
        <w:rPr>
          <w:rFonts w:ascii="Times New Roman" w:hAnsi="Times New Roman" w:cs="Times New Roman"/>
          <w:sz w:val="24"/>
          <w:szCs w:val="24"/>
        </w:rPr>
      </w:pPr>
      <w:r w:rsidRPr="003F2CA8">
        <w:rPr>
          <w:rFonts w:ascii="Times New Roman" w:hAnsi="Times New Roman" w:cs="Times New Roman"/>
          <w:b/>
          <w:bCs/>
          <w:sz w:val="24"/>
          <w:szCs w:val="24"/>
        </w:rPr>
        <w:t>Background</w:t>
      </w:r>
      <w:r w:rsidRPr="003F2CA8">
        <w:rPr>
          <w:rFonts w:ascii="Times New Roman" w:hAnsi="Times New Roman" w:cs="Times New Roman"/>
          <w:sz w:val="24"/>
          <w:szCs w:val="24"/>
        </w:rPr>
        <w:t xml:space="preserve">: </w:t>
      </w:r>
    </w:p>
    <w:p w:rsidR="00336C78" w:rsidRPr="003F2CA8" w:rsidRDefault="00336C78" w:rsidP="003F2CA8">
      <w:pPr>
        <w:spacing w:after="0"/>
        <w:jc w:val="both"/>
        <w:rPr>
          <w:rFonts w:ascii="Times New Roman" w:hAnsi="Times New Roman" w:cs="Times New Roman"/>
          <w:sz w:val="24"/>
          <w:szCs w:val="24"/>
        </w:rPr>
      </w:pPr>
      <w:commentRangeStart w:id="3"/>
      <w:r w:rsidRPr="003F2CA8">
        <w:rPr>
          <w:rFonts w:ascii="Times New Roman" w:hAnsi="Times New Roman" w:cs="Times New Roman"/>
          <w:sz w:val="24"/>
          <w:szCs w:val="24"/>
        </w:rPr>
        <w:t xml:space="preserve">Many patients </w:t>
      </w:r>
      <w:r w:rsidR="00EC05EF" w:rsidRPr="003F2CA8">
        <w:rPr>
          <w:rFonts w:ascii="Times New Roman" w:hAnsi="Times New Roman" w:cs="Times New Roman"/>
          <w:sz w:val="24"/>
          <w:szCs w:val="24"/>
        </w:rPr>
        <w:t xml:space="preserve">presented to the causality with </w:t>
      </w:r>
      <w:r w:rsidRPr="003F2CA8">
        <w:rPr>
          <w:rFonts w:ascii="Times New Roman" w:hAnsi="Times New Roman" w:cs="Times New Roman"/>
          <w:sz w:val="24"/>
          <w:szCs w:val="24"/>
        </w:rPr>
        <w:t xml:space="preserve">upper gastrointestinal bleeding, </w:t>
      </w:r>
      <w:r w:rsidR="00EC05EF" w:rsidRPr="003F2CA8">
        <w:rPr>
          <w:rFonts w:ascii="Times New Roman" w:hAnsi="Times New Roman" w:cs="Times New Roman"/>
          <w:sz w:val="24"/>
          <w:szCs w:val="24"/>
        </w:rPr>
        <w:t>which is a serious condition associated with significant morbidity and mortality especially in elderly patients and those with coexisting medical diseases.</w:t>
      </w:r>
    </w:p>
    <w:p w:rsidR="00336C78" w:rsidRPr="003F2CA8" w:rsidRDefault="00336C78" w:rsidP="003F2CA8">
      <w:pPr>
        <w:spacing w:after="0"/>
        <w:jc w:val="both"/>
        <w:rPr>
          <w:rFonts w:ascii="Times New Roman" w:hAnsi="Times New Roman" w:cs="Times New Roman"/>
          <w:b/>
          <w:bCs/>
          <w:sz w:val="24"/>
          <w:szCs w:val="24"/>
        </w:rPr>
      </w:pPr>
      <w:r w:rsidRPr="003F2CA8">
        <w:rPr>
          <w:rFonts w:ascii="Times New Roman" w:hAnsi="Times New Roman" w:cs="Times New Roman"/>
          <w:b/>
          <w:bCs/>
          <w:sz w:val="24"/>
          <w:szCs w:val="24"/>
        </w:rPr>
        <w:t xml:space="preserve">Objectives: </w:t>
      </w:r>
    </w:p>
    <w:p w:rsidR="00336C78" w:rsidRPr="003F2CA8" w:rsidRDefault="00336C78"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To assess the general use of NSAIDs and their relation to upper gastrointestinal bleeding.</w:t>
      </w:r>
    </w:p>
    <w:p w:rsidR="00336C78" w:rsidRPr="003F2CA8" w:rsidRDefault="00336C78" w:rsidP="003F2CA8">
      <w:pPr>
        <w:spacing w:after="0"/>
        <w:jc w:val="both"/>
        <w:rPr>
          <w:rFonts w:ascii="Times New Roman" w:hAnsi="Times New Roman" w:cs="Times New Roman"/>
          <w:sz w:val="24"/>
          <w:szCs w:val="24"/>
        </w:rPr>
      </w:pPr>
      <w:r w:rsidRPr="003F2CA8">
        <w:rPr>
          <w:rFonts w:ascii="Times New Roman" w:hAnsi="Times New Roman" w:cs="Times New Roman"/>
          <w:b/>
          <w:bCs/>
          <w:sz w:val="24"/>
          <w:szCs w:val="24"/>
        </w:rPr>
        <w:t>Methods:</w:t>
      </w:r>
      <w:r w:rsidRPr="003F2CA8">
        <w:rPr>
          <w:rFonts w:ascii="Times New Roman" w:hAnsi="Times New Roman" w:cs="Times New Roman"/>
          <w:sz w:val="24"/>
          <w:szCs w:val="24"/>
        </w:rPr>
        <w:t xml:space="preserve"> </w:t>
      </w:r>
    </w:p>
    <w:p w:rsidR="00336C78" w:rsidRPr="003F2CA8" w:rsidRDefault="00336C78"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Cross sectional study </w:t>
      </w:r>
      <w:r w:rsidR="008A5EEF" w:rsidRPr="003F2CA8">
        <w:rPr>
          <w:rFonts w:ascii="Times New Roman" w:hAnsi="Times New Roman" w:cs="Times New Roman"/>
          <w:sz w:val="24"/>
          <w:szCs w:val="24"/>
        </w:rPr>
        <w:t>on patients</w:t>
      </w:r>
      <w:r w:rsidRPr="003F2CA8">
        <w:rPr>
          <w:rFonts w:ascii="Times New Roman" w:hAnsi="Times New Roman" w:cs="Times New Roman"/>
          <w:sz w:val="24"/>
          <w:szCs w:val="24"/>
        </w:rPr>
        <w:t xml:space="preserve"> </w:t>
      </w:r>
      <w:bookmarkStart w:id="4" w:name="OLE_LINK2"/>
      <w:r w:rsidRPr="003F2CA8">
        <w:rPr>
          <w:rFonts w:ascii="Times New Roman" w:hAnsi="Times New Roman" w:cs="Times New Roman"/>
          <w:sz w:val="24"/>
          <w:szCs w:val="24"/>
        </w:rPr>
        <w:t xml:space="preserve">who were referred for endoscopy </w:t>
      </w:r>
      <w:bookmarkEnd w:id="4"/>
      <w:r w:rsidRPr="003F2CA8">
        <w:rPr>
          <w:rFonts w:ascii="Times New Roman" w:hAnsi="Times New Roman" w:cs="Times New Roman"/>
          <w:sz w:val="24"/>
          <w:szCs w:val="24"/>
        </w:rPr>
        <w:t xml:space="preserve">for upper gastrointestinal bleeding in </w:t>
      </w:r>
      <w:r w:rsidR="004C10CA" w:rsidRPr="003F2CA8">
        <w:rPr>
          <w:rFonts w:ascii="Times New Roman" w:hAnsi="Times New Roman" w:cs="Times New Roman"/>
          <w:sz w:val="24"/>
          <w:szCs w:val="24"/>
        </w:rPr>
        <w:t>Sulaimany</w:t>
      </w:r>
      <w:r w:rsidRPr="003F2CA8">
        <w:rPr>
          <w:rFonts w:ascii="Times New Roman" w:hAnsi="Times New Roman" w:cs="Times New Roman"/>
          <w:sz w:val="24"/>
          <w:szCs w:val="24"/>
        </w:rPr>
        <w:t xml:space="preserve"> Teaching Hospital during the per</w:t>
      </w:r>
      <w:r w:rsidR="00BA7CE0" w:rsidRPr="003F2CA8">
        <w:rPr>
          <w:rFonts w:ascii="Times New Roman" w:hAnsi="Times New Roman" w:cs="Times New Roman"/>
          <w:sz w:val="24"/>
          <w:szCs w:val="24"/>
        </w:rPr>
        <w:t>iod from January to December 2016</w:t>
      </w:r>
      <w:r w:rsidRPr="003F2CA8">
        <w:rPr>
          <w:rFonts w:ascii="Times New Roman" w:hAnsi="Times New Roman" w:cs="Times New Roman"/>
          <w:sz w:val="24"/>
          <w:szCs w:val="24"/>
        </w:rPr>
        <w:t>.</w:t>
      </w:r>
      <w:r w:rsidR="00EC05EF" w:rsidRPr="003F2CA8">
        <w:rPr>
          <w:rFonts w:ascii="Times New Roman" w:hAnsi="Times New Roman" w:cs="Times New Roman"/>
          <w:sz w:val="24"/>
          <w:szCs w:val="24"/>
        </w:rPr>
        <w:t xml:space="preserve"> All of them had been exposed to full history taking </w:t>
      </w:r>
      <w:r w:rsidR="008A5EEF" w:rsidRPr="003F2CA8">
        <w:rPr>
          <w:rFonts w:ascii="Times New Roman" w:hAnsi="Times New Roman" w:cs="Times New Roman"/>
          <w:sz w:val="24"/>
          <w:szCs w:val="24"/>
        </w:rPr>
        <w:t>regarding age, gender, smoking, alcohol</w:t>
      </w:r>
      <w:r w:rsidR="00EC05EF" w:rsidRPr="003F2CA8">
        <w:rPr>
          <w:rFonts w:ascii="Times New Roman" w:hAnsi="Times New Roman" w:cs="Times New Roman"/>
          <w:sz w:val="24"/>
          <w:szCs w:val="24"/>
        </w:rPr>
        <w:t xml:space="preserve"> and medication used in addition to thorough physical examination and upper gastrointestinal endoscopic examination </w:t>
      </w:r>
      <w:r w:rsidR="008A5EEF" w:rsidRPr="003F2CA8">
        <w:rPr>
          <w:rFonts w:ascii="Times New Roman" w:hAnsi="Times New Roman" w:cs="Times New Roman"/>
          <w:sz w:val="24"/>
          <w:szCs w:val="24"/>
        </w:rPr>
        <w:t>with biopsy when indicated</w:t>
      </w:r>
      <w:r w:rsidR="00EC05EF" w:rsidRPr="003F2CA8">
        <w:rPr>
          <w:rFonts w:ascii="Times New Roman" w:hAnsi="Times New Roman" w:cs="Times New Roman"/>
          <w:sz w:val="24"/>
          <w:szCs w:val="24"/>
        </w:rPr>
        <w:t>.</w:t>
      </w:r>
    </w:p>
    <w:p w:rsidR="00336C78" w:rsidRPr="003F2CA8" w:rsidRDefault="00336C78" w:rsidP="003F2CA8">
      <w:pPr>
        <w:spacing w:after="0"/>
        <w:jc w:val="both"/>
        <w:rPr>
          <w:rFonts w:ascii="Times New Roman" w:hAnsi="Times New Roman" w:cs="Times New Roman"/>
          <w:b/>
          <w:bCs/>
          <w:sz w:val="24"/>
          <w:szCs w:val="24"/>
        </w:rPr>
      </w:pPr>
      <w:r w:rsidRPr="003F2CA8">
        <w:rPr>
          <w:rFonts w:ascii="Times New Roman" w:hAnsi="Times New Roman" w:cs="Times New Roman"/>
          <w:b/>
          <w:bCs/>
          <w:sz w:val="24"/>
          <w:szCs w:val="24"/>
        </w:rPr>
        <w:t xml:space="preserve">Results:  </w:t>
      </w:r>
    </w:p>
    <w:p w:rsidR="00336C78" w:rsidRPr="003F2CA8" w:rsidRDefault="00336C78"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This study enrolled 100 patients with upper GIT bleeding and   showed that 48% of those with upper GIT bleeding were using NSAIDs, with male to female ratio of approximately 2:1, and 37 patients (77.1%) of those who were taken </w:t>
      </w:r>
      <w:r w:rsidR="00796E51" w:rsidRPr="003F2CA8">
        <w:rPr>
          <w:rFonts w:ascii="Times New Roman" w:hAnsi="Times New Roman" w:cs="Times New Roman"/>
          <w:sz w:val="24"/>
          <w:szCs w:val="24"/>
        </w:rPr>
        <w:t xml:space="preserve">NSAIDs, did not use PPI concomitantly </w:t>
      </w:r>
      <w:r w:rsidRPr="003F2CA8">
        <w:rPr>
          <w:rFonts w:ascii="Times New Roman" w:hAnsi="Times New Roman" w:cs="Times New Roman"/>
          <w:sz w:val="24"/>
          <w:szCs w:val="24"/>
        </w:rPr>
        <w:t xml:space="preserve">The study also revealed that elderly </w:t>
      </w:r>
      <w:commentRangeEnd w:id="3"/>
      <w:r w:rsidR="00C7502B">
        <w:rPr>
          <w:rStyle w:val="CommentReference"/>
        </w:rPr>
        <w:commentReference w:id="3"/>
      </w:r>
      <w:r w:rsidRPr="003F2CA8">
        <w:rPr>
          <w:rFonts w:ascii="Times New Roman" w:hAnsi="Times New Roman" w:cs="Times New Roman"/>
          <w:sz w:val="24"/>
          <w:szCs w:val="24"/>
        </w:rPr>
        <w:t>patients taking NSAIDs were at higher risk of developing upper GIT bleeding.</w:t>
      </w:r>
    </w:p>
    <w:p w:rsidR="00336C78" w:rsidRPr="003F2CA8" w:rsidRDefault="00336C78" w:rsidP="003F2CA8">
      <w:pPr>
        <w:spacing w:after="0"/>
        <w:jc w:val="both"/>
        <w:rPr>
          <w:rFonts w:ascii="Times New Roman" w:hAnsi="Times New Roman" w:cs="Times New Roman"/>
          <w:b/>
          <w:bCs/>
          <w:sz w:val="24"/>
          <w:szCs w:val="24"/>
        </w:rPr>
      </w:pPr>
      <w:r w:rsidRPr="003F2CA8">
        <w:rPr>
          <w:rFonts w:ascii="Times New Roman" w:hAnsi="Times New Roman" w:cs="Times New Roman"/>
          <w:b/>
          <w:bCs/>
          <w:sz w:val="24"/>
          <w:szCs w:val="24"/>
        </w:rPr>
        <w:t>CONCLUSIONS:</w:t>
      </w:r>
    </w:p>
    <w:p w:rsidR="00FC6A3B" w:rsidRPr="003F2CA8" w:rsidRDefault="00336C78"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Elderly patients who were taken NSAIDs associated with significant upper GIT bleeding, and their uses were without prophylactic PPI cover in high risk individuals.</w:t>
      </w:r>
    </w:p>
    <w:p w:rsidR="00660F68" w:rsidRPr="003F2CA8" w:rsidRDefault="00660F68" w:rsidP="003F2CA8">
      <w:pPr>
        <w:spacing w:after="0"/>
        <w:rPr>
          <w:rFonts w:ascii="Times New Roman" w:hAnsi="Times New Roman" w:cs="Times New Roman"/>
          <w:sz w:val="32"/>
          <w:szCs w:val="32"/>
        </w:rPr>
        <w:sectPr w:rsidR="00660F68" w:rsidRPr="003F2CA8" w:rsidSect="003F2CA8">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360" w:left="1440" w:header="360" w:footer="0" w:gutter="0"/>
          <w:cols w:space="720"/>
          <w:docGrid w:linePitch="360"/>
        </w:sectPr>
      </w:pPr>
    </w:p>
    <w:p w:rsidR="00336C78" w:rsidRPr="003F2CA8" w:rsidRDefault="00336C78" w:rsidP="003F2CA8">
      <w:pPr>
        <w:spacing w:after="0"/>
        <w:rPr>
          <w:rFonts w:ascii="Times New Roman" w:hAnsi="Times New Roman" w:cs="Times New Roman"/>
          <w:sz w:val="32"/>
          <w:szCs w:val="32"/>
        </w:rPr>
      </w:pPr>
      <w:bookmarkStart w:id="5" w:name="_GoBack"/>
      <w:bookmarkEnd w:id="5"/>
    </w:p>
    <w:p w:rsidR="003F2CA8" w:rsidRPr="003F2CA8" w:rsidRDefault="00C7502B" w:rsidP="003F2CA8">
      <w:pPr>
        <w:autoSpaceDE w:val="0"/>
        <w:autoSpaceDN w:val="0"/>
        <w:adjustRightInd w:val="0"/>
        <w:spacing w:after="0"/>
        <w:jc w:val="both"/>
        <w:rPr>
          <w:rFonts w:ascii="Times New Roman" w:hAnsi="Times New Roman" w:cs="Times New Roman"/>
          <w:b/>
          <w:i/>
          <w:sz w:val="24"/>
          <w:szCs w:val="24"/>
          <w:u w:val="single"/>
        </w:rPr>
        <w:sectPr w:rsidR="003F2CA8" w:rsidRPr="003F2CA8" w:rsidSect="003F2CA8">
          <w:type w:val="continuous"/>
          <w:pgSz w:w="12240" w:h="15840"/>
          <w:pgMar w:top="1440" w:right="1440" w:bottom="1440" w:left="1440" w:header="360" w:footer="0" w:gutter="0"/>
          <w:cols w:num="2" w:space="720"/>
          <w:docGrid w:linePitch="360"/>
        </w:sectPr>
      </w:pPr>
      <w:commentRangeStart w:id="6"/>
      <w:r>
        <w:rPr>
          <w:rFonts w:ascii="Times New Roman" w:hAnsi="Times New Roman" w:cs="Times New Roman"/>
          <w:b/>
          <w:i/>
          <w:sz w:val="24"/>
          <w:szCs w:val="24"/>
          <w:u w:val="single"/>
        </w:rPr>
        <w:lastRenderedPageBreak/>
        <w:t>Keywords</w:t>
      </w:r>
      <w:commentRangeEnd w:id="6"/>
      <w:r>
        <w:rPr>
          <w:rStyle w:val="CommentReference"/>
        </w:rPr>
        <w:commentReference w:id="6"/>
      </w:r>
    </w:p>
    <w:p w:rsidR="001461DA" w:rsidRPr="003F2CA8" w:rsidRDefault="00CA700B" w:rsidP="003F2CA8">
      <w:pPr>
        <w:autoSpaceDE w:val="0"/>
        <w:autoSpaceDN w:val="0"/>
        <w:adjustRightInd w:val="0"/>
        <w:spacing w:after="0"/>
        <w:jc w:val="both"/>
        <w:rPr>
          <w:rFonts w:ascii="Times New Roman" w:hAnsi="Times New Roman" w:cs="Times New Roman"/>
          <w:b/>
          <w:i/>
          <w:sz w:val="24"/>
          <w:szCs w:val="24"/>
          <w:u w:val="single"/>
        </w:rPr>
      </w:pPr>
      <w:commentRangeStart w:id="7"/>
      <w:r w:rsidRPr="003F2CA8">
        <w:rPr>
          <w:rFonts w:ascii="Times New Roman" w:hAnsi="Times New Roman" w:cs="Times New Roman"/>
          <w:b/>
          <w:i/>
          <w:sz w:val="24"/>
          <w:szCs w:val="24"/>
          <w:u w:val="single"/>
        </w:rPr>
        <w:lastRenderedPageBreak/>
        <w:t>Introduction</w:t>
      </w:r>
      <w:r w:rsidR="001461DA" w:rsidRPr="003F2CA8">
        <w:rPr>
          <w:rFonts w:ascii="Times New Roman" w:hAnsi="Times New Roman" w:cs="Times New Roman"/>
          <w:b/>
          <w:i/>
          <w:sz w:val="24"/>
          <w:szCs w:val="24"/>
          <w:u w:val="single"/>
        </w:rPr>
        <w:t>:</w:t>
      </w:r>
      <w:commentRangeEnd w:id="7"/>
      <w:r w:rsidR="00E94CCF">
        <w:rPr>
          <w:rStyle w:val="CommentReference"/>
        </w:rPr>
        <w:commentReference w:id="7"/>
      </w:r>
    </w:p>
    <w:p w:rsidR="00E561A3" w:rsidRPr="003F2CA8" w:rsidRDefault="003F2570" w:rsidP="003F2CA8">
      <w:pPr>
        <w:autoSpaceDE w:val="0"/>
        <w:autoSpaceDN w:val="0"/>
        <w:adjustRightInd w:val="0"/>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p>
    <w:p w:rsidR="00785B95" w:rsidRPr="003F2CA8" w:rsidRDefault="001461DA" w:rsidP="003F2CA8">
      <w:pPr>
        <w:autoSpaceDE w:val="0"/>
        <w:autoSpaceDN w:val="0"/>
        <w:adjustRightInd w:val="0"/>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commentRangeStart w:id="8"/>
      <w:r w:rsidR="000642F1" w:rsidRPr="003F2CA8">
        <w:rPr>
          <w:rFonts w:ascii="Times New Roman" w:hAnsi="Times New Roman" w:cs="Times New Roman"/>
          <w:sz w:val="24"/>
          <w:szCs w:val="24"/>
        </w:rPr>
        <w:t xml:space="preserve">Approximately 50 non-steroidal anti-inflammatory drugs (NSAIDs) are in use throughout the </w:t>
      </w:r>
      <w:r w:rsidR="00460F23" w:rsidRPr="003F2CA8">
        <w:rPr>
          <w:rFonts w:ascii="Times New Roman" w:hAnsi="Times New Roman" w:cs="Times New Roman"/>
          <w:sz w:val="24"/>
          <w:szCs w:val="24"/>
        </w:rPr>
        <w:t>world,</w:t>
      </w:r>
      <w:r w:rsidR="000642F1" w:rsidRPr="003F2CA8">
        <w:rPr>
          <w:rFonts w:ascii="Times New Roman" w:hAnsi="Times New Roman" w:cs="Times New Roman"/>
          <w:sz w:val="24"/>
          <w:szCs w:val="24"/>
        </w:rPr>
        <w:t xml:space="preserve"> </w:t>
      </w:r>
      <w:r w:rsidR="00460F23" w:rsidRPr="003F2CA8">
        <w:rPr>
          <w:rFonts w:ascii="Times New Roman" w:hAnsi="Times New Roman" w:cs="Times New Roman"/>
          <w:sz w:val="24"/>
          <w:szCs w:val="24"/>
        </w:rPr>
        <w:t>the</w:t>
      </w:r>
      <w:r w:rsidR="000642F1" w:rsidRPr="003F2CA8">
        <w:rPr>
          <w:rFonts w:ascii="Times New Roman" w:hAnsi="Times New Roman" w:cs="Times New Roman"/>
          <w:sz w:val="24"/>
          <w:szCs w:val="24"/>
        </w:rPr>
        <w:t xml:space="preserve"> oldest and best known is aspirin. NSAIDs are popular because of their versatile effectiveness as analgesics, antipyretics, and (by definition) as anti-inflammatory </w:t>
      </w:r>
      <w:r w:rsidR="00796E51" w:rsidRPr="003F2CA8">
        <w:rPr>
          <w:rFonts w:ascii="Times New Roman" w:hAnsi="Times New Roman" w:cs="Times New Roman"/>
          <w:sz w:val="24"/>
          <w:szCs w:val="24"/>
        </w:rPr>
        <w:t>agents</w:t>
      </w:r>
      <w:r w:rsidR="00796E51" w:rsidRPr="003F2CA8">
        <w:rPr>
          <w:rFonts w:ascii="Times New Roman" w:hAnsi="Times New Roman" w:cs="Times New Roman"/>
          <w:sz w:val="24"/>
          <w:szCs w:val="24"/>
          <w:vertAlign w:val="superscript"/>
        </w:rPr>
        <w:t xml:space="preserve"> </w:t>
      </w:r>
      <w:commentRangeStart w:id="9"/>
      <w:r w:rsidR="00796E51" w:rsidRPr="003F2CA8">
        <w:rPr>
          <w:rFonts w:ascii="Times New Roman" w:hAnsi="Times New Roman" w:cs="Times New Roman"/>
          <w:sz w:val="24"/>
          <w:szCs w:val="24"/>
          <w:vertAlign w:val="superscript"/>
        </w:rPr>
        <w:t>(</w:t>
      </w:r>
      <w:commentRangeStart w:id="10"/>
      <w:r w:rsidR="00796E51" w:rsidRPr="003F2CA8">
        <w:rPr>
          <w:rFonts w:ascii="Times New Roman" w:hAnsi="Times New Roman" w:cs="Times New Roman"/>
          <w:sz w:val="24"/>
          <w:szCs w:val="24"/>
          <w:vertAlign w:val="superscript"/>
        </w:rPr>
        <w:t>14</w:t>
      </w:r>
      <w:commentRangeEnd w:id="10"/>
      <w:r w:rsidR="00E94CCF">
        <w:rPr>
          <w:rStyle w:val="CommentReference"/>
        </w:rPr>
        <w:commentReference w:id="10"/>
      </w:r>
      <w:r w:rsidR="00796E51" w:rsidRPr="003F2CA8">
        <w:rPr>
          <w:rFonts w:ascii="Times New Roman" w:hAnsi="Times New Roman" w:cs="Times New Roman"/>
          <w:sz w:val="24"/>
          <w:szCs w:val="24"/>
          <w:vertAlign w:val="superscript"/>
        </w:rPr>
        <w:t>)</w:t>
      </w:r>
      <w:r w:rsidR="000642F1" w:rsidRPr="003F2CA8">
        <w:rPr>
          <w:rFonts w:ascii="Times New Roman" w:hAnsi="Times New Roman" w:cs="Times New Roman"/>
          <w:sz w:val="24"/>
          <w:szCs w:val="24"/>
          <w:vertAlign w:val="superscript"/>
        </w:rPr>
        <w:t>.</w:t>
      </w:r>
      <w:r w:rsidR="000642F1" w:rsidRPr="003F2CA8">
        <w:rPr>
          <w:rFonts w:ascii="Times New Roman" w:hAnsi="Times New Roman" w:cs="Times New Roman"/>
          <w:sz w:val="24"/>
          <w:szCs w:val="24"/>
        </w:rPr>
        <w:t xml:space="preserve"> </w:t>
      </w:r>
      <w:commentRangeEnd w:id="9"/>
      <w:r w:rsidR="00E94CCF">
        <w:rPr>
          <w:rStyle w:val="CommentReference"/>
        </w:rPr>
        <w:commentReference w:id="9"/>
      </w:r>
      <w:r w:rsidR="000642F1" w:rsidRPr="003F2CA8">
        <w:rPr>
          <w:rFonts w:ascii="Times New Roman" w:hAnsi="Times New Roman" w:cs="Times New Roman"/>
          <w:sz w:val="24"/>
          <w:szCs w:val="24"/>
        </w:rPr>
        <w:t xml:space="preserve">Aspirin is also widely used as an anti-thrombotic agent. Unfortunately, aspirin and most other </w:t>
      </w:r>
      <w:r w:rsidR="000642F1" w:rsidRPr="003F2CA8">
        <w:rPr>
          <w:rFonts w:ascii="Times New Roman" w:hAnsi="Times New Roman" w:cs="Times New Roman"/>
          <w:sz w:val="24"/>
          <w:szCs w:val="24"/>
        </w:rPr>
        <w:lastRenderedPageBreak/>
        <w:t xml:space="preserve">NSAIDs can injure the gastric and duodenal mucosa, with considerable morbidity and </w:t>
      </w:r>
      <w:r w:rsidR="00796E51" w:rsidRPr="003F2CA8">
        <w:rPr>
          <w:rFonts w:ascii="Times New Roman" w:hAnsi="Times New Roman" w:cs="Times New Roman"/>
          <w:sz w:val="24"/>
          <w:szCs w:val="24"/>
        </w:rPr>
        <w:t>mortality</w:t>
      </w:r>
      <w:r w:rsidR="00796E51" w:rsidRPr="003F2CA8">
        <w:rPr>
          <w:rFonts w:ascii="Times New Roman" w:hAnsi="Times New Roman" w:cs="Times New Roman"/>
          <w:sz w:val="24"/>
          <w:szCs w:val="24"/>
          <w:vertAlign w:val="superscript"/>
        </w:rPr>
        <w:t xml:space="preserve"> (14)</w:t>
      </w:r>
    </w:p>
    <w:p w:rsidR="006E2710" w:rsidRPr="003F2CA8" w:rsidRDefault="008F5CFD"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r w:rsidR="00460F23" w:rsidRPr="003F2CA8">
        <w:rPr>
          <w:rFonts w:ascii="Times New Roman" w:hAnsi="Times New Roman" w:cs="Times New Roman"/>
          <w:sz w:val="24"/>
          <w:szCs w:val="24"/>
        </w:rPr>
        <w:t xml:space="preserve"> </w:t>
      </w:r>
      <w:r w:rsidR="006E2710" w:rsidRPr="003F2CA8">
        <w:rPr>
          <w:rFonts w:ascii="Times New Roman" w:hAnsi="Times New Roman" w:cs="Times New Roman"/>
          <w:sz w:val="24"/>
          <w:szCs w:val="24"/>
        </w:rPr>
        <w:t>UGI bleeding commonly presents with hematemesis (vomiting of blood or coffee-ground like material) and/or melena (black, tarry stools</w:t>
      </w:r>
      <w:r w:rsidR="00460F23" w:rsidRPr="003F2CA8">
        <w:rPr>
          <w:rFonts w:ascii="Times New Roman" w:hAnsi="Times New Roman" w:cs="Times New Roman"/>
          <w:sz w:val="24"/>
          <w:szCs w:val="24"/>
        </w:rPr>
        <w:t xml:space="preserve">). </w:t>
      </w:r>
      <w:r w:rsidR="006E2710" w:rsidRPr="003F2CA8">
        <w:rPr>
          <w:rFonts w:ascii="Times New Roman" w:hAnsi="Times New Roman" w:cs="Times New Roman"/>
          <w:sz w:val="24"/>
          <w:szCs w:val="24"/>
        </w:rPr>
        <w:t xml:space="preserve">A nasogastric tube lavage which yields blood or coffee-ground like material confirms this clinical diagnosis. However, lavage may not be positive if </w:t>
      </w:r>
      <w:commentRangeEnd w:id="8"/>
      <w:r w:rsidR="00C7502B">
        <w:rPr>
          <w:rStyle w:val="CommentReference"/>
        </w:rPr>
        <w:commentReference w:id="8"/>
      </w:r>
      <w:r w:rsidR="006E2710" w:rsidRPr="003F2CA8">
        <w:rPr>
          <w:rFonts w:ascii="Times New Roman" w:hAnsi="Times New Roman" w:cs="Times New Roman"/>
          <w:sz w:val="24"/>
          <w:szCs w:val="24"/>
        </w:rPr>
        <w:t>bleeding has ceased or arises beyond a closed pylorus</w:t>
      </w:r>
      <w:r w:rsidR="00460F23" w:rsidRPr="003F2CA8">
        <w:rPr>
          <w:rFonts w:ascii="Times New Roman" w:hAnsi="Times New Roman" w:cs="Times New Roman"/>
          <w:sz w:val="24"/>
          <w:szCs w:val="24"/>
        </w:rPr>
        <w:t>.</w:t>
      </w:r>
    </w:p>
    <w:p w:rsidR="006E2710" w:rsidRPr="003F2CA8" w:rsidRDefault="008F5CFD"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r w:rsidR="00CC05FA" w:rsidRPr="003F2CA8">
        <w:rPr>
          <w:rFonts w:ascii="Times New Roman" w:hAnsi="Times New Roman" w:cs="Times New Roman"/>
          <w:sz w:val="24"/>
          <w:szCs w:val="24"/>
        </w:rPr>
        <w:t xml:space="preserve"> </w:t>
      </w:r>
      <w:commentRangeStart w:id="11"/>
      <w:r w:rsidR="00460F23" w:rsidRPr="003F2CA8">
        <w:rPr>
          <w:rFonts w:ascii="Times New Roman" w:hAnsi="Times New Roman" w:cs="Times New Roman"/>
          <w:sz w:val="24"/>
          <w:szCs w:val="24"/>
        </w:rPr>
        <w:t>G</w:t>
      </w:r>
      <w:r w:rsidR="006E2710" w:rsidRPr="003F2CA8">
        <w:rPr>
          <w:rFonts w:ascii="Times New Roman" w:hAnsi="Times New Roman" w:cs="Times New Roman"/>
          <w:sz w:val="24"/>
          <w:szCs w:val="24"/>
        </w:rPr>
        <w:t xml:space="preserve">astroduodenal ulcer disease remains a common cause of UGI bleeding </w:t>
      </w:r>
      <w:r w:rsidR="00460F23" w:rsidRPr="003F2CA8">
        <w:rPr>
          <w:rFonts w:ascii="Times New Roman" w:hAnsi="Times New Roman" w:cs="Times New Roman"/>
          <w:sz w:val="24"/>
          <w:szCs w:val="24"/>
        </w:rPr>
        <w:t xml:space="preserve"> </w:t>
      </w:r>
      <w:r w:rsidR="006E2710" w:rsidRPr="003F2CA8">
        <w:rPr>
          <w:rFonts w:ascii="Times New Roman" w:hAnsi="Times New Roman" w:cs="Times New Roman"/>
          <w:sz w:val="24"/>
          <w:szCs w:val="24"/>
        </w:rPr>
        <w:t xml:space="preserve"> </w:t>
      </w:r>
      <w:r w:rsidR="006523A2" w:rsidRPr="003F2CA8">
        <w:rPr>
          <w:rFonts w:ascii="Times New Roman" w:hAnsi="Times New Roman" w:cs="Times New Roman"/>
          <w:sz w:val="24"/>
          <w:szCs w:val="24"/>
          <w:vertAlign w:val="superscript"/>
        </w:rPr>
        <w:t>(1)</w:t>
      </w:r>
      <w:r w:rsidR="0021039C" w:rsidRPr="003F2CA8">
        <w:rPr>
          <w:rFonts w:ascii="Times New Roman" w:hAnsi="Times New Roman" w:cs="Times New Roman"/>
          <w:sz w:val="24"/>
          <w:szCs w:val="24"/>
          <w:vertAlign w:val="superscript"/>
        </w:rPr>
        <w:t xml:space="preserve">  </w:t>
      </w:r>
      <w:r w:rsidR="006523A2" w:rsidRPr="003F2CA8">
        <w:rPr>
          <w:rFonts w:ascii="Times New Roman" w:hAnsi="Times New Roman" w:cs="Times New Roman"/>
          <w:sz w:val="24"/>
          <w:szCs w:val="24"/>
        </w:rPr>
        <w:t xml:space="preserve">There are four major risk factors for bleeding peptic ulcers </w:t>
      </w:r>
      <w:r w:rsidR="006523A2" w:rsidRPr="003F2CA8">
        <w:rPr>
          <w:rFonts w:ascii="Times New Roman" w:hAnsi="Times New Roman" w:cs="Times New Roman"/>
          <w:sz w:val="24"/>
          <w:szCs w:val="24"/>
          <w:vertAlign w:val="superscript"/>
        </w:rPr>
        <w:t>(2, 3)</w:t>
      </w:r>
      <w:r w:rsidR="006523A2" w:rsidRPr="003F2CA8">
        <w:rPr>
          <w:rFonts w:ascii="Times New Roman" w:hAnsi="Times New Roman" w:cs="Times New Roman"/>
          <w:sz w:val="24"/>
          <w:szCs w:val="24"/>
        </w:rPr>
        <w:t xml:space="preserve"> Helicobacter pylori infection </w:t>
      </w:r>
      <w:r w:rsidR="00592018" w:rsidRPr="003F2CA8">
        <w:rPr>
          <w:rFonts w:ascii="Times New Roman" w:hAnsi="Times New Roman" w:cs="Times New Roman"/>
          <w:sz w:val="24"/>
          <w:szCs w:val="24"/>
        </w:rPr>
        <w:t>,</w:t>
      </w:r>
      <w:r w:rsidR="00B74BFA" w:rsidRPr="003F2CA8">
        <w:rPr>
          <w:rFonts w:ascii="Times New Roman" w:hAnsi="Times New Roman" w:cs="Times New Roman"/>
          <w:sz w:val="24"/>
          <w:szCs w:val="24"/>
        </w:rPr>
        <w:t xml:space="preserve">  </w:t>
      </w:r>
      <w:r w:rsidR="00B72273" w:rsidRPr="003F2CA8">
        <w:rPr>
          <w:rFonts w:ascii="Times New Roman" w:hAnsi="Times New Roman" w:cs="Times New Roman"/>
          <w:sz w:val="24"/>
          <w:szCs w:val="24"/>
        </w:rPr>
        <w:t>n</w:t>
      </w:r>
      <w:r w:rsidR="006523A2" w:rsidRPr="003F2CA8">
        <w:rPr>
          <w:rFonts w:ascii="Times New Roman" w:hAnsi="Times New Roman" w:cs="Times New Roman"/>
          <w:sz w:val="24"/>
          <w:szCs w:val="24"/>
        </w:rPr>
        <w:t xml:space="preserve">onsteroidal antiinflammatory drugs (NSAIDs) </w:t>
      </w:r>
      <w:r w:rsidR="00B72273" w:rsidRPr="003F2CA8">
        <w:rPr>
          <w:rFonts w:ascii="Times New Roman" w:hAnsi="Times New Roman" w:cs="Times New Roman"/>
          <w:sz w:val="24"/>
          <w:szCs w:val="24"/>
        </w:rPr>
        <w:t>s</w:t>
      </w:r>
      <w:r w:rsidR="006523A2" w:rsidRPr="003F2CA8">
        <w:rPr>
          <w:rFonts w:ascii="Times New Roman" w:hAnsi="Times New Roman" w:cs="Times New Roman"/>
          <w:sz w:val="24"/>
          <w:szCs w:val="24"/>
        </w:rPr>
        <w:t xml:space="preserve">tress </w:t>
      </w:r>
      <w:r w:rsidR="00592018" w:rsidRPr="003F2CA8">
        <w:rPr>
          <w:rFonts w:ascii="Times New Roman" w:hAnsi="Times New Roman" w:cs="Times New Roman"/>
          <w:sz w:val="24"/>
          <w:szCs w:val="24"/>
        </w:rPr>
        <w:t>,</w:t>
      </w:r>
      <w:r w:rsidR="00B72273" w:rsidRPr="003F2CA8">
        <w:rPr>
          <w:rFonts w:ascii="Times New Roman" w:hAnsi="Times New Roman" w:cs="Times New Roman"/>
          <w:sz w:val="24"/>
          <w:szCs w:val="24"/>
        </w:rPr>
        <w:t>g</w:t>
      </w:r>
      <w:r w:rsidR="006523A2" w:rsidRPr="003F2CA8">
        <w:rPr>
          <w:rFonts w:ascii="Times New Roman" w:hAnsi="Times New Roman" w:cs="Times New Roman"/>
          <w:sz w:val="24"/>
          <w:szCs w:val="24"/>
        </w:rPr>
        <w:t xml:space="preserve">astric acid </w:t>
      </w:r>
      <w:r w:rsidR="00592018" w:rsidRPr="003F2CA8">
        <w:rPr>
          <w:rFonts w:ascii="Times New Roman" w:hAnsi="Times New Roman" w:cs="Times New Roman"/>
          <w:sz w:val="24"/>
          <w:szCs w:val="24"/>
        </w:rPr>
        <w:t>.</w:t>
      </w:r>
      <w:r w:rsidR="006523A2" w:rsidRPr="003F2CA8">
        <w:rPr>
          <w:rFonts w:ascii="Times New Roman" w:hAnsi="Times New Roman" w:cs="Times New Roman"/>
          <w:sz w:val="24"/>
          <w:szCs w:val="24"/>
        </w:rPr>
        <w:t>Reduction or elimination of these risk factors reduces ulcer recurrence and rebleeding rates</w:t>
      </w:r>
      <w:r w:rsidR="006523A2" w:rsidRPr="003F2CA8">
        <w:rPr>
          <w:rFonts w:ascii="Times New Roman" w:hAnsi="Times New Roman" w:cs="Times New Roman"/>
          <w:sz w:val="24"/>
          <w:szCs w:val="24"/>
          <w:vertAlign w:val="superscript"/>
        </w:rPr>
        <w:t>(4,5,6,7</w:t>
      </w:r>
      <w:r w:rsidR="00592018" w:rsidRPr="003F2CA8">
        <w:rPr>
          <w:rFonts w:ascii="Times New Roman" w:hAnsi="Times New Roman" w:cs="Times New Roman"/>
          <w:sz w:val="24"/>
          <w:szCs w:val="24"/>
          <w:vertAlign w:val="superscript"/>
        </w:rPr>
        <w:t xml:space="preserve"> ) , </w:t>
      </w:r>
      <w:r w:rsidR="006E2710" w:rsidRPr="003F2CA8">
        <w:rPr>
          <w:rFonts w:ascii="Times New Roman" w:hAnsi="Times New Roman" w:cs="Times New Roman"/>
          <w:sz w:val="24"/>
          <w:szCs w:val="24"/>
        </w:rPr>
        <w:t xml:space="preserve"> NSAIDs are a common cause of gastrointestinal ulceration</w:t>
      </w:r>
      <w:r w:rsidR="00592018" w:rsidRPr="003F2CA8">
        <w:rPr>
          <w:rFonts w:ascii="Times New Roman" w:hAnsi="Times New Roman" w:cs="Times New Roman"/>
          <w:sz w:val="24"/>
          <w:szCs w:val="24"/>
          <w:vertAlign w:val="superscript"/>
        </w:rPr>
        <w:t>(8,9,10,11)</w:t>
      </w:r>
      <w:r w:rsidR="009C43F5" w:rsidRPr="003F2CA8">
        <w:rPr>
          <w:rFonts w:ascii="Times New Roman" w:hAnsi="Times New Roman" w:cs="Times New Roman"/>
          <w:sz w:val="24"/>
          <w:szCs w:val="24"/>
          <w:vertAlign w:val="superscript"/>
        </w:rPr>
        <w:t xml:space="preserve"> . </w:t>
      </w:r>
      <w:r w:rsidR="006E2710" w:rsidRPr="003F2CA8">
        <w:rPr>
          <w:rFonts w:ascii="Times New Roman" w:hAnsi="Times New Roman" w:cs="Times New Roman"/>
          <w:sz w:val="24"/>
          <w:szCs w:val="24"/>
        </w:rPr>
        <w:t xml:space="preserve">However, </w:t>
      </w:r>
      <w:r w:rsidR="00A67B96" w:rsidRPr="003F2CA8">
        <w:rPr>
          <w:rFonts w:ascii="Times New Roman" w:hAnsi="Times New Roman" w:cs="Times New Roman"/>
          <w:sz w:val="24"/>
          <w:szCs w:val="24"/>
        </w:rPr>
        <w:t>all patients</w:t>
      </w:r>
      <w:r w:rsidR="006E2710" w:rsidRPr="003F2CA8">
        <w:rPr>
          <w:rFonts w:ascii="Times New Roman" w:hAnsi="Times New Roman" w:cs="Times New Roman"/>
          <w:sz w:val="24"/>
          <w:szCs w:val="24"/>
        </w:rPr>
        <w:t xml:space="preserve"> with a prior history of bleeding ulcer disease are at increased risk for recurrent ulcer and complications </w:t>
      </w:r>
      <w:r w:rsidR="008D596C" w:rsidRPr="003F2CA8">
        <w:rPr>
          <w:rFonts w:ascii="Times New Roman" w:hAnsi="Times New Roman" w:cs="Times New Roman"/>
          <w:sz w:val="24"/>
          <w:szCs w:val="24"/>
          <w:vertAlign w:val="superscript"/>
        </w:rPr>
        <w:t xml:space="preserve">(12, 13, </w:t>
      </w:r>
      <w:r w:rsidR="00B72273" w:rsidRPr="003F2CA8">
        <w:rPr>
          <w:rFonts w:ascii="Times New Roman" w:hAnsi="Times New Roman" w:cs="Times New Roman"/>
          <w:sz w:val="24"/>
          <w:szCs w:val="24"/>
          <w:vertAlign w:val="superscript"/>
        </w:rPr>
        <w:t>and 14</w:t>
      </w:r>
      <w:r w:rsidR="008D596C" w:rsidRPr="003F2CA8">
        <w:rPr>
          <w:rFonts w:ascii="Times New Roman" w:hAnsi="Times New Roman" w:cs="Times New Roman"/>
          <w:sz w:val="24"/>
          <w:szCs w:val="24"/>
          <w:vertAlign w:val="superscript"/>
        </w:rPr>
        <w:t xml:space="preserve">). </w:t>
      </w:r>
    </w:p>
    <w:p w:rsidR="006E2710" w:rsidRPr="003F2CA8" w:rsidRDefault="006E2710"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NSAIDs also have been implicated as an important factor for non-healing ulcers </w:t>
      </w:r>
      <w:r w:rsidR="008D596C" w:rsidRPr="003F2CA8">
        <w:rPr>
          <w:rFonts w:ascii="Times New Roman" w:hAnsi="Times New Roman" w:cs="Times New Roman"/>
          <w:sz w:val="24"/>
          <w:szCs w:val="24"/>
          <w:vertAlign w:val="superscript"/>
        </w:rPr>
        <w:t xml:space="preserve">(15). </w:t>
      </w:r>
    </w:p>
    <w:p w:rsidR="00E80028" w:rsidRPr="003F2CA8" w:rsidRDefault="008F5CFD" w:rsidP="003F2CA8">
      <w:pPr>
        <w:autoSpaceDE w:val="0"/>
        <w:autoSpaceDN w:val="0"/>
        <w:adjustRightInd w:val="0"/>
        <w:spacing w:after="0"/>
        <w:ind w:left="360"/>
        <w:jc w:val="both"/>
        <w:rPr>
          <w:rFonts w:ascii="Times New Roman" w:hAnsi="Times New Roman" w:cs="Times New Roman"/>
          <w:sz w:val="24"/>
          <w:szCs w:val="24"/>
        </w:rPr>
      </w:pPr>
      <w:r w:rsidRPr="003F2CA8">
        <w:rPr>
          <w:rFonts w:ascii="Times New Roman" w:hAnsi="Times New Roman" w:cs="Times New Roman"/>
          <w:sz w:val="24"/>
          <w:szCs w:val="24"/>
        </w:rPr>
        <w:t xml:space="preserve"> </w:t>
      </w:r>
      <w:r w:rsidR="00E80028" w:rsidRPr="003F2CA8">
        <w:rPr>
          <w:rFonts w:ascii="Times New Roman" w:hAnsi="Times New Roman" w:cs="Times New Roman"/>
          <w:sz w:val="24"/>
          <w:szCs w:val="24"/>
        </w:rPr>
        <w:t>Endoscopy is the preferred investigative procedure for upper gastrointestinal bleeding because of its accuracy, low rate of</w:t>
      </w:r>
      <w:r w:rsidR="00B74BFA" w:rsidRPr="003F2CA8">
        <w:rPr>
          <w:rFonts w:ascii="Times New Roman" w:hAnsi="Times New Roman" w:cs="Times New Roman"/>
          <w:sz w:val="24"/>
          <w:szCs w:val="24"/>
        </w:rPr>
        <w:t xml:space="preserve"> </w:t>
      </w:r>
      <w:r w:rsidR="00B72273" w:rsidRPr="003F2CA8">
        <w:rPr>
          <w:rFonts w:ascii="Times New Roman" w:hAnsi="Times New Roman" w:cs="Times New Roman"/>
          <w:sz w:val="24"/>
          <w:szCs w:val="24"/>
        </w:rPr>
        <w:t>c</w:t>
      </w:r>
      <w:r w:rsidR="009B6F6D" w:rsidRPr="003F2CA8">
        <w:rPr>
          <w:rFonts w:ascii="Times New Roman" w:hAnsi="Times New Roman" w:cs="Times New Roman"/>
          <w:sz w:val="24"/>
          <w:szCs w:val="24"/>
        </w:rPr>
        <w:t>omplications</w:t>
      </w:r>
      <w:r w:rsidR="00E80028" w:rsidRPr="003F2CA8">
        <w:rPr>
          <w:rFonts w:ascii="Times New Roman" w:hAnsi="Times New Roman" w:cs="Times New Roman"/>
          <w:sz w:val="24"/>
          <w:szCs w:val="24"/>
        </w:rPr>
        <w:t xml:space="preserve"> and potential for therapeutic </w:t>
      </w:r>
      <w:r w:rsidR="001461DA" w:rsidRPr="003F2CA8">
        <w:rPr>
          <w:rFonts w:ascii="Times New Roman" w:hAnsi="Times New Roman" w:cs="Times New Roman"/>
          <w:sz w:val="24"/>
          <w:szCs w:val="24"/>
        </w:rPr>
        <w:t xml:space="preserve">   intervention</w:t>
      </w:r>
      <w:r w:rsidR="001461DA" w:rsidRPr="003F2CA8">
        <w:rPr>
          <w:rFonts w:ascii="Times New Roman" w:hAnsi="Times New Roman" w:cs="Times New Roman"/>
          <w:sz w:val="24"/>
          <w:szCs w:val="24"/>
          <w:vertAlign w:val="superscript"/>
        </w:rPr>
        <w:t xml:space="preserve"> (</w:t>
      </w:r>
      <w:r w:rsidR="008D596C" w:rsidRPr="003F2CA8">
        <w:rPr>
          <w:rFonts w:ascii="Times New Roman" w:hAnsi="Times New Roman" w:cs="Times New Roman"/>
          <w:sz w:val="24"/>
          <w:szCs w:val="24"/>
          <w:vertAlign w:val="superscript"/>
        </w:rPr>
        <w:t>16).</w:t>
      </w:r>
    </w:p>
    <w:p w:rsidR="006E2710" w:rsidRPr="003F2CA8" w:rsidRDefault="006E2710" w:rsidP="003F2CA8">
      <w:pPr>
        <w:spacing w:after="0"/>
        <w:ind w:left="360"/>
        <w:jc w:val="both"/>
        <w:rPr>
          <w:rFonts w:ascii="Times New Roman" w:hAnsi="Times New Roman" w:cs="Times New Roman"/>
          <w:sz w:val="24"/>
          <w:szCs w:val="24"/>
          <w:vertAlign w:val="superscript"/>
        </w:rPr>
      </w:pPr>
      <w:r w:rsidRPr="003F2CA8">
        <w:rPr>
          <w:rFonts w:ascii="Times New Roman" w:hAnsi="Times New Roman" w:cs="Times New Roman"/>
          <w:sz w:val="24"/>
          <w:szCs w:val="24"/>
        </w:rPr>
        <w:t xml:space="preserve">Pathology — Acute hemorrhagic and erosive gastropathy appears as multiple petechial hemorrhages and small red or black erosions on endoscopy </w:t>
      </w:r>
      <w:r w:rsidR="009B6F6D" w:rsidRPr="003F2CA8">
        <w:rPr>
          <w:rFonts w:ascii="Times New Roman" w:hAnsi="Times New Roman" w:cs="Times New Roman"/>
          <w:sz w:val="24"/>
          <w:szCs w:val="24"/>
          <w:vertAlign w:val="superscript"/>
        </w:rPr>
        <w:t>(17, 18)</w:t>
      </w:r>
      <w:r w:rsidRPr="003F2CA8">
        <w:rPr>
          <w:rFonts w:ascii="Times New Roman" w:hAnsi="Times New Roman" w:cs="Times New Roman"/>
          <w:sz w:val="24"/>
          <w:szCs w:val="24"/>
          <w:vertAlign w:val="superscript"/>
        </w:rPr>
        <w:t>.</w:t>
      </w:r>
      <w:r w:rsidRPr="003F2CA8">
        <w:rPr>
          <w:rFonts w:ascii="Times New Roman" w:hAnsi="Times New Roman" w:cs="Times New Roman"/>
          <w:sz w:val="24"/>
          <w:szCs w:val="24"/>
        </w:rPr>
        <w:t xml:space="preserve"> Stress-related lesions (Curling's ulcers) usually appear in the fundus near the gastroesophageal junction and spread distally, but remain confined to the fundus and body </w:t>
      </w:r>
      <w:r w:rsidR="009B6F6D" w:rsidRPr="003F2CA8">
        <w:rPr>
          <w:rFonts w:ascii="Times New Roman" w:hAnsi="Times New Roman" w:cs="Times New Roman"/>
          <w:sz w:val="24"/>
          <w:szCs w:val="24"/>
          <w:vertAlign w:val="superscript"/>
        </w:rPr>
        <w:t>(18)</w:t>
      </w:r>
      <w:r w:rsidRPr="003F2CA8">
        <w:rPr>
          <w:rFonts w:ascii="Times New Roman" w:hAnsi="Times New Roman" w:cs="Times New Roman"/>
          <w:sz w:val="24"/>
          <w:szCs w:val="24"/>
          <w:vertAlign w:val="superscript"/>
        </w:rPr>
        <w:t>.</w:t>
      </w:r>
      <w:r w:rsidRPr="003F2CA8">
        <w:rPr>
          <w:rFonts w:ascii="Times New Roman" w:hAnsi="Times New Roman" w:cs="Times New Roman"/>
          <w:sz w:val="24"/>
          <w:szCs w:val="24"/>
        </w:rPr>
        <w:t xml:space="preserve"> In contrast, gastropathy due to NSAIDs and alcohol involves the entire stomach from the start, although it may be most evident in the antrum </w:t>
      </w:r>
      <w:r w:rsidR="009B6F6D" w:rsidRPr="003F2CA8">
        <w:rPr>
          <w:rFonts w:ascii="Times New Roman" w:hAnsi="Times New Roman" w:cs="Times New Roman"/>
          <w:sz w:val="24"/>
          <w:szCs w:val="24"/>
          <w:vertAlign w:val="superscript"/>
        </w:rPr>
        <w:t>(18)</w:t>
      </w:r>
      <w:r w:rsidRPr="003F2CA8">
        <w:rPr>
          <w:rFonts w:ascii="Times New Roman" w:hAnsi="Times New Roman" w:cs="Times New Roman"/>
          <w:sz w:val="24"/>
          <w:szCs w:val="24"/>
        </w:rPr>
        <w:t xml:space="preserve"> </w:t>
      </w:r>
    </w:p>
    <w:p w:rsidR="00BA7B38" w:rsidRPr="003F2CA8" w:rsidRDefault="003F2570" w:rsidP="003F2CA8">
      <w:pPr>
        <w:spacing w:after="0"/>
        <w:ind w:left="360"/>
        <w:jc w:val="both"/>
        <w:rPr>
          <w:rFonts w:ascii="Times New Roman" w:hAnsi="Times New Roman" w:cs="Times New Roman"/>
          <w:sz w:val="24"/>
          <w:szCs w:val="24"/>
        </w:rPr>
      </w:pPr>
      <w:r w:rsidRPr="003F2CA8">
        <w:rPr>
          <w:rFonts w:ascii="Times New Roman" w:hAnsi="Times New Roman" w:cs="Times New Roman"/>
          <w:sz w:val="24"/>
          <w:szCs w:val="24"/>
        </w:rPr>
        <w:t xml:space="preserve">The healthy gastric and duodenal mucosae constitutively use COX- to produce its mucosal protective PGs </w:t>
      </w:r>
      <w:r w:rsidR="00B56324" w:rsidRPr="003F2CA8">
        <w:rPr>
          <w:rFonts w:ascii="Times New Roman" w:hAnsi="Times New Roman" w:cs="Times New Roman"/>
          <w:sz w:val="24"/>
          <w:szCs w:val="24"/>
          <w:vertAlign w:val="superscript"/>
        </w:rPr>
        <w:t xml:space="preserve">(18) </w:t>
      </w:r>
      <w:r w:rsidRPr="003F2CA8">
        <w:rPr>
          <w:rFonts w:ascii="Times New Roman" w:hAnsi="Times New Roman" w:cs="Times New Roman"/>
          <w:sz w:val="24"/>
          <w:szCs w:val="24"/>
        </w:rPr>
        <w:t>Many NSAIDs block COX-1 and COX-2 more or less equally (</w:t>
      </w:r>
      <w:r w:rsidR="001461DA" w:rsidRPr="003F2CA8">
        <w:rPr>
          <w:rFonts w:ascii="Times New Roman" w:hAnsi="Times New Roman" w:cs="Times New Roman"/>
          <w:sz w:val="24"/>
          <w:szCs w:val="24"/>
        </w:rPr>
        <w:t xml:space="preserve">i.e. </w:t>
      </w:r>
      <w:r w:rsidRPr="003F2CA8">
        <w:rPr>
          <w:rFonts w:ascii="Times New Roman" w:hAnsi="Times New Roman" w:cs="Times New Roman"/>
          <w:sz w:val="24"/>
          <w:szCs w:val="24"/>
        </w:rPr>
        <w:t xml:space="preserve">are non-selective) and thus impair gastric </w:t>
      </w:r>
      <w:r w:rsidR="00B56324" w:rsidRPr="003F2CA8">
        <w:rPr>
          <w:rFonts w:ascii="Times New Roman" w:hAnsi="Times New Roman" w:cs="Times New Roman"/>
          <w:sz w:val="24"/>
          <w:szCs w:val="24"/>
        </w:rPr>
        <w:t xml:space="preserve"> </w:t>
      </w:r>
      <w:r w:rsidRPr="003F2CA8">
        <w:rPr>
          <w:rFonts w:ascii="Times New Roman" w:hAnsi="Times New Roman" w:cs="Times New Roman"/>
          <w:sz w:val="24"/>
          <w:szCs w:val="24"/>
        </w:rPr>
        <w:t xml:space="preserve">PG production at low (&lt;1µM) concentrations </w:t>
      </w:r>
      <w:r w:rsidR="00B56324" w:rsidRPr="003F2CA8">
        <w:rPr>
          <w:rFonts w:ascii="Times New Roman" w:hAnsi="Times New Roman" w:cs="Times New Roman"/>
          <w:sz w:val="24"/>
          <w:szCs w:val="24"/>
        </w:rPr>
        <w:t xml:space="preserve"> </w:t>
      </w:r>
      <w:r w:rsidR="0045753F" w:rsidRPr="003F2CA8">
        <w:rPr>
          <w:rFonts w:ascii="Times New Roman" w:hAnsi="Times New Roman" w:cs="Times New Roman"/>
          <w:sz w:val="24"/>
          <w:szCs w:val="24"/>
        </w:rPr>
        <w:t>,e</w:t>
      </w:r>
      <w:r w:rsidRPr="003F2CA8">
        <w:rPr>
          <w:rFonts w:ascii="Times New Roman" w:hAnsi="Times New Roman" w:cs="Times New Roman"/>
          <w:sz w:val="24"/>
          <w:szCs w:val="24"/>
        </w:rPr>
        <w:t xml:space="preserve">xamples include aspirin, indomethacin, ibuprofen, and naproxen. Most drugs that spare COX-1 and selectively inhibit COX-2 have less suppressive effects on gastric PG </w:t>
      </w:r>
      <w:r w:rsidR="001461DA" w:rsidRPr="003F2CA8">
        <w:rPr>
          <w:rFonts w:ascii="Times New Roman" w:hAnsi="Times New Roman" w:cs="Times New Roman"/>
          <w:sz w:val="24"/>
          <w:szCs w:val="24"/>
        </w:rPr>
        <w:t>synthesis</w:t>
      </w:r>
      <w:r w:rsidR="00960B34" w:rsidRPr="003F2CA8">
        <w:rPr>
          <w:rFonts w:ascii="Times New Roman" w:hAnsi="Times New Roman" w:cs="Times New Roman"/>
          <w:sz w:val="24"/>
          <w:szCs w:val="24"/>
        </w:rPr>
        <w:t>, examples</w:t>
      </w:r>
      <w:r w:rsidRPr="003F2CA8">
        <w:rPr>
          <w:rFonts w:ascii="Times New Roman" w:hAnsi="Times New Roman" w:cs="Times New Roman"/>
          <w:sz w:val="24"/>
          <w:szCs w:val="24"/>
        </w:rPr>
        <w:t xml:space="preserve"> include celecoxib and etodolac. As a result, selective inhibitors of COX-2, and also COX–3 inhibitors such as acetaminophen, preserve PG-mediated GI mucosal </w:t>
      </w:r>
      <w:r w:rsidR="009A4BDC" w:rsidRPr="003F2CA8">
        <w:rPr>
          <w:rFonts w:ascii="Times New Roman" w:hAnsi="Times New Roman" w:cs="Times New Roman"/>
          <w:sz w:val="24"/>
          <w:szCs w:val="24"/>
        </w:rPr>
        <w:t>protection (</w:t>
      </w:r>
      <w:r w:rsidR="00B56324" w:rsidRPr="003F2CA8">
        <w:rPr>
          <w:rFonts w:ascii="Times New Roman" w:hAnsi="Times New Roman" w:cs="Times New Roman"/>
          <w:sz w:val="24"/>
          <w:szCs w:val="24"/>
          <w:vertAlign w:val="superscript"/>
        </w:rPr>
        <w:t>19</w:t>
      </w:r>
      <w:r w:rsidR="009A4BDC" w:rsidRPr="003F2CA8">
        <w:rPr>
          <w:rFonts w:ascii="Times New Roman" w:hAnsi="Times New Roman" w:cs="Times New Roman"/>
          <w:sz w:val="24"/>
          <w:szCs w:val="24"/>
          <w:vertAlign w:val="superscript"/>
        </w:rPr>
        <w:t>, 20, and 21)</w:t>
      </w:r>
      <w:r w:rsidR="009A4BDC" w:rsidRPr="003F2CA8">
        <w:rPr>
          <w:rFonts w:ascii="Times New Roman" w:hAnsi="Times New Roman" w:cs="Times New Roman"/>
          <w:sz w:val="24"/>
          <w:szCs w:val="24"/>
        </w:rPr>
        <w:t xml:space="preserve"> .</w:t>
      </w:r>
      <w:r w:rsidRPr="003F2CA8">
        <w:rPr>
          <w:rFonts w:ascii="Times New Roman" w:hAnsi="Times New Roman" w:cs="Times New Roman"/>
          <w:sz w:val="24"/>
          <w:szCs w:val="24"/>
        </w:rPr>
        <w:t>However, COX-2 selective inhibitors can lose their specificity for COX-2 at high doses and have the potential to also block COX-1 in the stomach and duodenum and cause damage</w:t>
      </w:r>
      <w:r w:rsidR="00336C78" w:rsidRPr="003F2CA8">
        <w:rPr>
          <w:rFonts w:ascii="Times New Roman" w:hAnsi="Times New Roman" w:cs="Times New Roman"/>
          <w:sz w:val="24"/>
          <w:szCs w:val="24"/>
        </w:rPr>
        <w:t xml:space="preserve">.  </w:t>
      </w:r>
      <w:r w:rsidR="001461DA" w:rsidRPr="003F2CA8">
        <w:rPr>
          <w:rFonts w:ascii="Times New Roman" w:hAnsi="Times New Roman" w:cs="Times New Roman"/>
          <w:sz w:val="24"/>
          <w:szCs w:val="24"/>
        </w:rPr>
        <w:t xml:space="preserve">                                   </w:t>
      </w:r>
      <w:r w:rsidR="00550613" w:rsidRPr="003F2CA8">
        <w:rPr>
          <w:rFonts w:ascii="Times New Roman" w:hAnsi="Times New Roman" w:cs="Times New Roman"/>
          <w:sz w:val="24"/>
          <w:szCs w:val="24"/>
        </w:rPr>
        <w:t xml:space="preserve"> </w:t>
      </w:r>
      <w:r w:rsidR="001461DA" w:rsidRPr="003F2CA8">
        <w:rPr>
          <w:rFonts w:ascii="Times New Roman" w:hAnsi="Times New Roman" w:cs="Times New Roman"/>
          <w:sz w:val="24"/>
          <w:szCs w:val="24"/>
        </w:rPr>
        <w:t xml:space="preserve">                                        </w:t>
      </w:r>
      <w:r w:rsidR="00E80028" w:rsidRPr="003F2CA8">
        <w:rPr>
          <w:rFonts w:ascii="Times New Roman" w:hAnsi="Times New Roman" w:cs="Times New Roman"/>
          <w:sz w:val="24"/>
          <w:szCs w:val="24"/>
        </w:rPr>
        <w:t xml:space="preserve">American College of Gastroenterology recommendations — A committee appointed by the American College of Gastroenterology has critically reviewed the data regarding the risk factors for NSAID toxicity, and identified the five most important variables that place patients at risk for NSAID-related gastrointestinal complications </w:t>
      </w:r>
      <w:r w:rsidR="00B56324" w:rsidRPr="003F2CA8">
        <w:rPr>
          <w:rFonts w:ascii="Times New Roman" w:hAnsi="Times New Roman" w:cs="Times New Roman"/>
          <w:sz w:val="24"/>
          <w:szCs w:val="24"/>
        </w:rPr>
        <w:t xml:space="preserve"> </w:t>
      </w:r>
      <w:r w:rsidR="00E80028" w:rsidRPr="003F2CA8">
        <w:rPr>
          <w:rFonts w:ascii="Times New Roman" w:hAnsi="Times New Roman" w:cs="Times New Roman"/>
          <w:sz w:val="24"/>
          <w:szCs w:val="24"/>
        </w:rPr>
        <w:t xml:space="preserve"> </w:t>
      </w:r>
      <w:r w:rsidR="00682400" w:rsidRPr="003F2CA8">
        <w:rPr>
          <w:rFonts w:ascii="Times New Roman" w:hAnsi="Times New Roman" w:cs="Times New Roman"/>
          <w:sz w:val="24"/>
          <w:szCs w:val="24"/>
          <w:vertAlign w:val="superscript"/>
        </w:rPr>
        <w:t>(22)</w:t>
      </w:r>
      <w:r w:rsidR="00E80028" w:rsidRPr="003F2CA8">
        <w:rPr>
          <w:rFonts w:ascii="Times New Roman" w:hAnsi="Times New Roman" w:cs="Times New Roman"/>
          <w:sz w:val="24"/>
          <w:szCs w:val="24"/>
          <w:vertAlign w:val="superscript"/>
        </w:rPr>
        <w:t>.</w:t>
      </w:r>
      <w:r w:rsidR="00E80028" w:rsidRPr="003F2CA8">
        <w:rPr>
          <w:rFonts w:ascii="Times New Roman" w:hAnsi="Times New Roman" w:cs="Times New Roman"/>
          <w:sz w:val="24"/>
          <w:szCs w:val="24"/>
        </w:rPr>
        <w:t xml:space="preserve"> </w:t>
      </w:r>
    </w:p>
    <w:p w:rsidR="00BA7B38" w:rsidRPr="003F2CA8" w:rsidRDefault="00682400" w:rsidP="003F2CA8">
      <w:pPr>
        <w:pStyle w:val="ListParagraph"/>
        <w:numPr>
          <w:ilvl w:val="0"/>
          <w:numId w:val="12"/>
        </w:numPr>
        <w:spacing w:after="0"/>
        <w:jc w:val="both"/>
        <w:rPr>
          <w:rFonts w:ascii="Times New Roman" w:hAnsi="Times New Roman" w:cs="Times New Roman"/>
          <w:sz w:val="24"/>
          <w:szCs w:val="24"/>
        </w:rPr>
      </w:pPr>
      <w:r w:rsidRPr="003F2CA8">
        <w:rPr>
          <w:rFonts w:ascii="Times New Roman" w:hAnsi="Times New Roman" w:cs="Times New Roman"/>
          <w:sz w:val="24"/>
          <w:szCs w:val="24"/>
        </w:rPr>
        <w:t>Prior history of an adverse GI event (ulcer, hemorrhage) i</w:t>
      </w:r>
      <w:r w:rsidR="00BA7B38" w:rsidRPr="003F2CA8">
        <w:rPr>
          <w:rFonts w:ascii="Times New Roman" w:hAnsi="Times New Roman" w:cs="Times New Roman"/>
          <w:sz w:val="24"/>
          <w:szCs w:val="24"/>
        </w:rPr>
        <w:t>ncreases risk four to fivefold .</w:t>
      </w:r>
    </w:p>
    <w:p w:rsidR="00BA7B38" w:rsidRPr="003F2CA8" w:rsidRDefault="00682400" w:rsidP="003F2CA8">
      <w:pPr>
        <w:pStyle w:val="ListParagraph"/>
        <w:numPr>
          <w:ilvl w:val="0"/>
          <w:numId w:val="12"/>
        </w:num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Age &gt;60 increases risk five- to </w:t>
      </w:r>
      <w:commentRangeStart w:id="12"/>
      <w:r w:rsidRPr="003F2CA8">
        <w:rPr>
          <w:rFonts w:ascii="Times New Roman" w:hAnsi="Times New Roman" w:cs="Times New Roman"/>
          <w:sz w:val="24"/>
          <w:szCs w:val="24"/>
        </w:rPr>
        <w:t>sixfold</w:t>
      </w:r>
      <w:commentRangeEnd w:id="12"/>
      <w:r w:rsidR="00E94CCF">
        <w:rPr>
          <w:rStyle w:val="CommentReference"/>
        </w:rPr>
        <w:commentReference w:id="12"/>
      </w:r>
      <w:r w:rsidRPr="003F2CA8">
        <w:rPr>
          <w:rFonts w:ascii="Times New Roman" w:hAnsi="Times New Roman" w:cs="Times New Roman"/>
          <w:sz w:val="24"/>
          <w:szCs w:val="24"/>
        </w:rPr>
        <w:t xml:space="preserve"> </w:t>
      </w:r>
      <w:r w:rsidR="003D512A" w:rsidRPr="003F2CA8">
        <w:rPr>
          <w:rFonts w:ascii="Times New Roman" w:hAnsi="Times New Roman" w:cs="Times New Roman"/>
          <w:sz w:val="24"/>
          <w:szCs w:val="24"/>
        </w:rPr>
        <w:t>.</w:t>
      </w:r>
    </w:p>
    <w:p w:rsidR="00BA7B38" w:rsidRPr="003F2CA8" w:rsidRDefault="003D512A" w:rsidP="003F2CA8">
      <w:pPr>
        <w:pStyle w:val="ListParagraph"/>
        <w:numPr>
          <w:ilvl w:val="0"/>
          <w:numId w:val="12"/>
        </w:num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High </w:t>
      </w:r>
      <w:r w:rsidR="00BA7B38" w:rsidRPr="003F2CA8">
        <w:rPr>
          <w:rFonts w:ascii="Times New Roman" w:hAnsi="Times New Roman" w:cs="Times New Roman"/>
          <w:sz w:val="24"/>
          <w:szCs w:val="24"/>
        </w:rPr>
        <w:t xml:space="preserve"> </w:t>
      </w:r>
      <w:r w:rsidR="00682400" w:rsidRPr="003F2CA8">
        <w:rPr>
          <w:rFonts w:ascii="Times New Roman" w:hAnsi="Times New Roman" w:cs="Times New Roman"/>
          <w:sz w:val="24"/>
          <w:szCs w:val="24"/>
        </w:rPr>
        <w:t xml:space="preserve">dosage of a NSAID increases risk 10-fold </w:t>
      </w:r>
      <w:r w:rsidR="00BA7B38" w:rsidRPr="003F2CA8">
        <w:rPr>
          <w:rFonts w:ascii="Times New Roman" w:hAnsi="Times New Roman" w:cs="Times New Roman"/>
          <w:sz w:val="24"/>
          <w:szCs w:val="24"/>
        </w:rPr>
        <w:t>.</w:t>
      </w:r>
    </w:p>
    <w:p w:rsidR="00BA7B38" w:rsidRPr="003F2CA8" w:rsidRDefault="00BA7B38" w:rsidP="003F2CA8">
      <w:pPr>
        <w:pStyle w:val="ListParagraph"/>
        <w:numPr>
          <w:ilvl w:val="0"/>
          <w:numId w:val="12"/>
        </w:num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r w:rsidR="00682400" w:rsidRPr="003F2CA8">
        <w:rPr>
          <w:rFonts w:ascii="Times New Roman" w:hAnsi="Times New Roman" w:cs="Times New Roman"/>
          <w:sz w:val="24"/>
          <w:szCs w:val="24"/>
        </w:rPr>
        <w:t>Concurrent use of glucocorticoids increases risk four to fivefold</w:t>
      </w:r>
      <w:r w:rsidRPr="003F2CA8">
        <w:rPr>
          <w:rFonts w:ascii="Times New Roman" w:hAnsi="Times New Roman" w:cs="Times New Roman"/>
          <w:sz w:val="24"/>
          <w:szCs w:val="24"/>
        </w:rPr>
        <w:t>.</w:t>
      </w:r>
    </w:p>
    <w:p w:rsidR="00BA7B38" w:rsidRPr="003F2CA8" w:rsidRDefault="00BA7B38" w:rsidP="003F2CA8">
      <w:pPr>
        <w:pStyle w:val="ListParagraph"/>
        <w:numPr>
          <w:ilvl w:val="0"/>
          <w:numId w:val="12"/>
        </w:num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r w:rsidR="00682400" w:rsidRPr="003F2CA8">
        <w:rPr>
          <w:rFonts w:ascii="Times New Roman" w:hAnsi="Times New Roman" w:cs="Times New Roman"/>
          <w:sz w:val="24"/>
          <w:szCs w:val="24"/>
        </w:rPr>
        <w:t xml:space="preserve"> Concurrent use of anticoagulants increases risk 10- to 15-fold .</w:t>
      </w:r>
    </w:p>
    <w:p w:rsidR="00E561A3" w:rsidRPr="003F2CA8" w:rsidRDefault="00BA7B38" w:rsidP="003F2CA8">
      <w:pPr>
        <w:spacing w:after="0"/>
        <w:ind w:left="360"/>
        <w:jc w:val="both"/>
        <w:rPr>
          <w:rFonts w:ascii="Times New Roman" w:hAnsi="Times New Roman" w:cs="Times New Roman"/>
          <w:sz w:val="24"/>
          <w:szCs w:val="24"/>
        </w:rPr>
      </w:pPr>
      <w:r w:rsidRPr="003F2CA8">
        <w:rPr>
          <w:rFonts w:ascii="Times New Roman" w:hAnsi="Times New Roman" w:cs="Times New Roman"/>
          <w:sz w:val="24"/>
          <w:szCs w:val="24"/>
        </w:rPr>
        <w:t xml:space="preserve">  P</w:t>
      </w:r>
      <w:r w:rsidR="00682400" w:rsidRPr="003F2CA8">
        <w:rPr>
          <w:rFonts w:ascii="Times New Roman" w:hAnsi="Times New Roman" w:cs="Times New Roman"/>
          <w:sz w:val="24"/>
          <w:szCs w:val="24"/>
        </w:rPr>
        <w:t xml:space="preserve">atients with several risk factors are at highest risk for NSAID-induced GI toxicity (up to 9 percent after six months) </w:t>
      </w:r>
      <w:r w:rsidR="00682400" w:rsidRPr="003F2CA8">
        <w:rPr>
          <w:rFonts w:ascii="Times New Roman" w:hAnsi="Times New Roman" w:cs="Times New Roman"/>
          <w:sz w:val="24"/>
          <w:szCs w:val="24"/>
          <w:vertAlign w:val="superscript"/>
        </w:rPr>
        <w:t xml:space="preserve">(23,24) </w:t>
      </w:r>
      <w:r w:rsidR="00682400" w:rsidRPr="003F2CA8">
        <w:rPr>
          <w:rFonts w:ascii="Times New Roman" w:hAnsi="Times New Roman" w:cs="Times New Roman"/>
          <w:sz w:val="24"/>
          <w:szCs w:val="24"/>
        </w:rPr>
        <w:t xml:space="preserve">, </w:t>
      </w:r>
      <w:r w:rsidR="00E80028" w:rsidRPr="003F2CA8">
        <w:rPr>
          <w:rFonts w:ascii="Times New Roman" w:hAnsi="Times New Roman" w:cs="Times New Roman"/>
          <w:sz w:val="24"/>
          <w:szCs w:val="24"/>
        </w:rPr>
        <w:t xml:space="preserve">Assessment of these risk factors is recommended for identifying patients who should </w:t>
      </w:r>
      <w:commentRangeEnd w:id="11"/>
      <w:r w:rsidR="00C7502B">
        <w:rPr>
          <w:rStyle w:val="CommentReference"/>
        </w:rPr>
        <w:commentReference w:id="11"/>
      </w:r>
      <w:r w:rsidR="00E80028" w:rsidRPr="003F2CA8">
        <w:rPr>
          <w:rFonts w:ascii="Times New Roman" w:hAnsi="Times New Roman" w:cs="Times New Roman"/>
          <w:sz w:val="24"/>
          <w:szCs w:val="24"/>
        </w:rPr>
        <w:t>be considered for prophylaxis if it is f</w:t>
      </w:r>
      <w:r w:rsidR="00682400" w:rsidRPr="003F2CA8">
        <w:rPr>
          <w:rFonts w:ascii="Times New Roman" w:hAnsi="Times New Roman" w:cs="Times New Roman"/>
          <w:sz w:val="24"/>
          <w:szCs w:val="24"/>
        </w:rPr>
        <w:t>elt that an NSAID must be given.</w:t>
      </w:r>
    </w:p>
    <w:p w:rsidR="00BA7B38" w:rsidRPr="009A0C73" w:rsidRDefault="00BA436A" w:rsidP="009A0C73">
      <w:pPr>
        <w:pStyle w:val="ListParagraph"/>
        <w:spacing w:after="0"/>
        <w:jc w:val="both"/>
        <w:rPr>
          <w:rFonts w:ascii="Times New Roman" w:hAnsi="Times New Roman" w:cs="Times New Roman"/>
          <w:b/>
          <w:bCs/>
          <w:sz w:val="24"/>
          <w:szCs w:val="24"/>
        </w:rPr>
      </w:pPr>
      <w:r w:rsidRPr="003F2CA8">
        <w:rPr>
          <w:rFonts w:ascii="Times New Roman" w:hAnsi="Times New Roman" w:cs="Times New Roman"/>
          <w:b/>
          <w:bCs/>
          <w:sz w:val="24"/>
          <w:szCs w:val="24"/>
          <w:u w:val="single"/>
        </w:rPr>
        <w:t>Aim of the study</w:t>
      </w:r>
      <w:r w:rsidRPr="003F2CA8">
        <w:rPr>
          <w:rFonts w:ascii="Times New Roman" w:hAnsi="Times New Roman" w:cs="Times New Roman"/>
          <w:b/>
          <w:bCs/>
          <w:sz w:val="24"/>
          <w:szCs w:val="24"/>
        </w:rPr>
        <w:t>:</w:t>
      </w:r>
    </w:p>
    <w:p w:rsidR="00BA436A" w:rsidRPr="003F2CA8" w:rsidRDefault="00010F8F" w:rsidP="003F2CA8">
      <w:pPr>
        <w:pStyle w:val="ListParagraph"/>
        <w:numPr>
          <w:ilvl w:val="0"/>
          <w:numId w:val="5"/>
        </w:numPr>
        <w:spacing w:after="0"/>
        <w:jc w:val="both"/>
        <w:rPr>
          <w:rFonts w:ascii="Times New Roman" w:hAnsi="Times New Roman" w:cs="Times New Roman"/>
          <w:sz w:val="24"/>
          <w:szCs w:val="24"/>
        </w:rPr>
      </w:pPr>
      <w:commentRangeStart w:id="13"/>
      <w:r w:rsidRPr="003F2CA8">
        <w:rPr>
          <w:rFonts w:ascii="Times New Roman" w:hAnsi="Times New Roman" w:cs="Times New Roman"/>
          <w:sz w:val="24"/>
          <w:szCs w:val="24"/>
        </w:rPr>
        <w:lastRenderedPageBreak/>
        <w:t xml:space="preserve">To </w:t>
      </w:r>
      <w:r w:rsidR="00B96B9D" w:rsidRPr="003F2CA8">
        <w:rPr>
          <w:rFonts w:ascii="Times New Roman" w:hAnsi="Times New Roman" w:cs="Times New Roman"/>
          <w:sz w:val="24"/>
          <w:szCs w:val="24"/>
        </w:rPr>
        <w:t>determin</w:t>
      </w:r>
      <w:r w:rsidR="008B5CE0" w:rsidRPr="003F2CA8">
        <w:rPr>
          <w:rFonts w:ascii="Times New Roman" w:hAnsi="Times New Roman" w:cs="Times New Roman"/>
          <w:sz w:val="24"/>
          <w:szCs w:val="24"/>
        </w:rPr>
        <w:t>e</w:t>
      </w:r>
      <w:r w:rsidRPr="003F2CA8">
        <w:rPr>
          <w:rFonts w:ascii="Times New Roman" w:hAnsi="Times New Roman" w:cs="Times New Roman"/>
          <w:sz w:val="24"/>
          <w:szCs w:val="24"/>
        </w:rPr>
        <w:t xml:space="preserve"> the overall causes of upper </w:t>
      </w:r>
      <w:r w:rsidR="00BA7B38" w:rsidRPr="003F2CA8">
        <w:rPr>
          <w:rFonts w:ascii="Times New Roman" w:hAnsi="Times New Roman" w:cs="Times New Roman"/>
          <w:sz w:val="24"/>
          <w:szCs w:val="24"/>
        </w:rPr>
        <w:t>GIT</w:t>
      </w:r>
      <w:r w:rsidRPr="003F2CA8">
        <w:rPr>
          <w:rFonts w:ascii="Times New Roman" w:hAnsi="Times New Roman" w:cs="Times New Roman"/>
          <w:sz w:val="24"/>
          <w:szCs w:val="24"/>
        </w:rPr>
        <w:t xml:space="preserve"> bleeding</w:t>
      </w:r>
      <w:r w:rsidR="00BA7B38" w:rsidRPr="003F2CA8">
        <w:rPr>
          <w:rFonts w:ascii="Times New Roman" w:hAnsi="Times New Roman" w:cs="Times New Roman"/>
          <w:sz w:val="24"/>
          <w:szCs w:val="24"/>
        </w:rPr>
        <w:t>.</w:t>
      </w:r>
    </w:p>
    <w:p w:rsidR="00010F8F" w:rsidRPr="003F2CA8" w:rsidRDefault="00010F8F" w:rsidP="003F2CA8">
      <w:pPr>
        <w:pStyle w:val="ListParagraph"/>
        <w:numPr>
          <w:ilvl w:val="0"/>
          <w:numId w:val="5"/>
        </w:num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To </w:t>
      </w:r>
      <w:r w:rsidR="00B96B9D" w:rsidRPr="003F2CA8">
        <w:rPr>
          <w:rFonts w:ascii="Times New Roman" w:hAnsi="Times New Roman" w:cs="Times New Roman"/>
          <w:sz w:val="24"/>
          <w:szCs w:val="24"/>
        </w:rPr>
        <w:t>determin</w:t>
      </w:r>
      <w:r w:rsidR="008B5CE0" w:rsidRPr="003F2CA8">
        <w:rPr>
          <w:rFonts w:ascii="Times New Roman" w:hAnsi="Times New Roman" w:cs="Times New Roman"/>
          <w:sz w:val="24"/>
          <w:szCs w:val="24"/>
        </w:rPr>
        <w:t>e</w:t>
      </w:r>
      <w:r w:rsidRPr="003F2CA8">
        <w:rPr>
          <w:rFonts w:ascii="Times New Roman" w:hAnsi="Times New Roman" w:cs="Times New Roman"/>
          <w:sz w:val="24"/>
          <w:szCs w:val="24"/>
        </w:rPr>
        <w:t xml:space="preserve"> the frequency of </w:t>
      </w:r>
      <w:r w:rsidR="00BA7B38" w:rsidRPr="003F2CA8">
        <w:rPr>
          <w:rFonts w:ascii="Times New Roman" w:hAnsi="Times New Roman" w:cs="Times New Roman"/>
          <w:sz w:val="24"/>
          <w:szCs w:val="24"/>
        </w:rPr>
        <w:t xml:space="preserve">NSAIDs </w:t>
      </w:r>
      <w:r w:rsidRPr="003F2CA8">
        <w:rPr>
          <w:rFonts w:ascii="Times New Roman" w:hAnsi="Times New Roman" w:cs="Times New Roman"/>
          <w:sz w:val="24"/>
          <w:szCs w:val="24"/>
        </w:rPr>
        <w:t xml:space="preserve">induced </w:t>
      </w:r>
      <w:r w:rsidR="00BA7B38" w:rsidRPr="003F2CA8">
        <w:rPr>
          <w:rFonts w:ascii="Times New Roman" w:hAnsi="Times New Roman" w:cs="Times New Roman"/>
          <w:sz w:val="24"/>
          <w:szCs w:val="24"/>
        </w:rPr>
        <w:t>upper GIT bleeding.</w:t>
      </w:r>
    </w:p>
    <w:p w:rsidR="003F2CA8" w:rsidRPr="003F2CA8" w:rsidRDefault="00BA7B38" w:rsidP="003F2CA8">
      <w:pPr>
        <w:pStyle w:val="ListParagraph"/>
        <w:numPr>
          <w:ilvl w:val="0"/>
          <w:numId w:val="5"/>
        </w:num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To assess </w:t>
      </w:r>
      <w:r w:rsidR="00B96B9D" w:rsidRPr="003F2CA8">
        <w:rPr>
          <w:rFonts w:ascii="Times New Roman" w:hAnsi="Times New Roman" w:cs="Times New Roman"/>
          <w:sz w:val="24"/>
          <w:szCs w:val="24"/>
        </w:rPr>
        <w:t>local</w:t>
      </w:r>
      <w:r w:rsidR="00010F8F" w:rsidRPr="003F2CA8">
        <w:rPr>
          <w:rFonts w:ascii="Times New Roman" w:hAnsi="Times New Roman" w:cs="Times New Roman"/>
          <w:sz w:val="24"/>
          <w:szCs w:val="24"/>
        </w:rPr>
        <w:t xml:space="preserve"> practice in using </w:t>
      </w:r>
      <w:r w:rsidRPr="003F2CA8">
        <w:rPr>
          <w:rFonts w:ascii="Times New Roman" w:hAnsi="Times New Roman" w:cs="Times New Roman"/>
          <w:sz w:val="24"/>
          <w:szCs w:val="24"/>
        </w:rPr>
        <w:t>prophylaxis</w:t>
      </w:r>
      <w:r w:rsidR="00010F8F" w:rsidRPr="003F2CA8">
        <w:rPr>
          <w:rFonts w:ascii="Times New Roman" w:hAnsi="Times New Roman" w:cs="Times New Roman"/>
          <w:sz w:val="24"/>
          <w:szCs w:val="24"/>
        </w:rPr>
        <w:t xml:space="preserve"> </w:t>
      </w:r>
      <w:r w:rsidR="002734F0" w:rsidRPr="003F2CA8">
        <w:rPr>
          <w:rFonts w:ascii="Times New Roman" w:hAnsi="Times New Roman" w:cs="Times New Roman"/>
          <w:sz w:val="24"/>
          <w:szCs w:val="24"/>
        </w:rPr>
        <w:t xml:space="preserve">against </w:t>
      </w:r>
      <w:r w:rsidR="00010F8F" w:rsidRPr="003F2CA8">
        <w:rPr>
          <w:rFonts w:ascii="Times New Roman" w:hAnsi="Times New Roman" w:cs="Times New Roman"/>
          <w:sz w:val="24"/>
          <w:szCs w:val="24"/>
        </w:rPr>
        <w:t xml:space="preserve"> </w:t>
      </w:r>
      <w:r w:rsidRPr="003F2CA8">
        <w:rPr>
          <w:rFonts w:ascii="Times New Roman" w:hAnsi="Times New Roman" w:cs="Times New Roman"/>
          <w:sz w:val="24"/>
          <w:szCs w:val="24"/>
        </w:rPr>
        <w:t xml:space="preserve"> NSAIDs</w:t>
      </w:r>
      <w:r w:rsidR="00010F8F" w:rsidRPr="003F2CA8">
        <w:rPr>
          <w:rFonts w:ascii="Times New Roman" w:hAnsi="Times New Roman" w:cs="Times New Roman"/>
          <w:sz w:val="24"/>
          <w:szCs w:val="24"/>
        </w:rPr>
        <w:t xml:space="preserve"> induced upper </w:t>
      </w:r>
      <w:r w:rsidRPr="003F2CA8">
        <w:rPr>
          <w:rFonts w:ascii="Times New Roman" w:hAnsi="Times New Roman" w:cs="Times New Roman"/>
          <w:sz w:val="24"/>
          <w:szCs w:val="24"/>
        </w:rPr>
        <w:t xml:space="preserve">GIT </w:t>
      </w:r>
      <w:r w:rsidR="00010F8F" w:rsidRPr="003F2CA8">
        <w:rPr>
          <w:rFonts w:ascii="Times New Roman" w:hAnsi="Times New Roman" w:cs="Times New Roman"/>
          <w:sz w:val="24"/>
          <w:szCs w:val="24"/>
        </w:rPr>
        <w:t>bleeding</w:t>
      </w:r>
      <w:r w:rsidRPr="003F2CA8">
        <w:rPr>
          <w:rFonts w:ascii="Times New Roman" w:hAnsi="Times New Roman" w:cs="Times New Roman"/>
          <w:sz w:val="24"/>
          <w:szCs w:val="24"/>
        </w:rPr>
        <w:t>.</w:t>
      </w:r>
    </w:p>
    <w:p w:rsidR="008E2F88" w:rsidRPr="003F2CA8" w:rsidRDefault="00456295" w:rsidP="003F2CA8">
      <w:pPr>
        <w:spacing w:after="0"/>
        <w:jc w:val="both"/>
        <w:rPr>
          <w:rFonts w:ascii="Times New Roman" w:hAnsi="Times New Roman" w:cs="Times New Roman"/>
          <w:b/>
          <w:bCs/>
          <w:sz w:val="24"/>
          <w:szCs w:val="24"/>
          <w:u w:val="single"/>
        </w:rPr>
      </w:pPr>
      <w:r w:rsidRPr="003F2CA8">
        <w:rPr>
          <w:rFonts w:ascii="Times New Roman" w:hAnsi="Times New Roman" w:cs="Times New Roman"/>
          <w:b/>
          <w:bCs/>
          <w:sz w:val="24"/>
          <w:szCs w:val="24"/>
          <w:u w:val="single"/>
        </w:rPr>
        <w:t>Patients and methods</w:t>
      </w:r>
      <w:r w:rsidR="00BA7B38" w:rsidRPr="003F2CA8">
        <w:rPr>
          <w:rFonts w:ascii="Times New Roman" w:hAnsi="Times New Roman" w:cs="Times New Roman"/>
          <w:b/>
          <w:bCs/>
          <w:sz w:val="24"/>
          <w:szCs w:val="24"/>
          <w:u w:val="single"/>
        </w:rPr>
        <w:t xml:space="preserve">: </w:t>
      </w:r>
    </w:p>
    <w:p w:rsidR="00796E51" w:rsidRPr="003F2CA8" w:rsidRDefault="008E2F88"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This study is a cross sectional study. One hundred patients with upper GIT bleeding had been included in this </w:t>
      </w:r>
      <w:r w:rsidR="00B96B9D" w:rsidRPr="003F2CA8">
        <w:rPr>
          <w:rFonts w:ascii="Times New Roman" w:hAnsi="Times New Roman" w:cs="Times New Roman"/>
          <w:sz w:val="24"/>
          <w:szCs w:val="24"/>
        </w:rPr>
        <w:t>study. They</w:t>
      </w:r>
      <w:r w:rsidRPr="003F2CA8">
        <w:rPr>
          <w:rFonts w:ascii="Times New Roman" w:hAnsi="Times New Roman" w:cs="Times New Roman"/>
          <w:sz w:val="24"/>
          <w:szCs w:val="24"/>
        </w:rPr>
        <w:t xml:space="preserve"> were r</w:t>
      </w:r>
      <w:r w:rsidR="00796E51" w:rsidRPr="003F2CA8">
        <w:rPr>
          <w:rFonts w:ascii="Times New Roman" w:hAnsi="Times New Roman" w:cs="Times New Roman"/>
          <w:sz w:val="24"/>
          <w:szCs w:val="24"/>
        </w:rPr>
        <w:t xml:space="preserve">andomly selected from those </w:t>
      </w:r>
      <w:r w:rsidR="00091C4F" w:rsidRPr="003F2CA8">
        <w:rPr>
          <w:rFonts w:ascii="Times New Roman" w:hAnsi="Times New Roman" w:cs="Times New Roman"/>
          <w:sz w:val="24"/>
          <w:szCs w:val="24"/>
        </w:rPr>
        <w:t>who were</w:t>
      </w:r>
      <w:r w:rsidR="00796E51" w:rsidRPr="003F2CA8">
        <w:rPr>
          <w:rFonts w:ascii="Times New Roman" w:hAnsi="Times New Roman" w:cs="Times New Roman"/>
          <w:sz w:val="24"/>
          <w:szCs w:val="24"/>
        </w:rPr>
        <w:t xml:space="preserve"> referred for GIT centre </w:t>
      </w:r>
      <w:r w:rsidR="00845848" w:rsidRPr="003F2CA8">
        <w:rPr>
          <w:rFonts w:ascii="Times New Roman" w:hAnsi="Times New Roman" w:cs="Times New Roman"/>
          <w:sz w:val="24"/>
          <w:szCs w:val="24"/>
        </w:rPr>
        <w:t>at</w:t>
      </w:r>
      <w:r w:rsidRPr="003F2CA8">
        <w:rPr>
          <w:rFonts w:ascii="Times New Roman" w:hAnsi="Times New Roman" w:cs="Times New Roman"/>
          <w:sz w:val="24"/>
          <w:szCs w:val="24"/>
        </w:rPr>
        <w:t xml:space="preserve"> </w:t>
      </w:r>
      <w:r w:rsidR="004C10CA" w:rsidRPr="003F2CA8">
        <w:rPr>
          <w:rFonts w:ascii="Times New Roman" w:hAnsi="Times New Roman" w:cs="Times New Roman"/>
          <w:sz w:val="24"/>
          <w:szCs w:val="24"/>
        </w:rPr>
        <w:t>Sulaimany</w:t>
      </w:r>
      <w:r w:rsidRPr="003F2CA8">
        <w:rPr>
          <w:rFonts w:ascii="Times New Roman" w:hAnsi="Times New Roman" w:cs="Times New Roman"/>
          <w:sz w:val="24"/>
          <w:szCs w:val="24"/>
        </w:rPr>
        <w:t xml:space="preserve"> Teaching </w:t>
      </w:r>
      <w:r w:rsidR="00091C4F" w:rsidRPr="003F2CA8">
        <w:rPr>
          <w:rFonts w:ascii="Times New Roman" w:hAnsi="Times New Roman" w:cs="Times New Roman"/>
          <w:sz w:val="24"/>
          <w:szCs w:val="24"/>
        </w:rPr>
        <w:t>Hospital during</w:t>
      </w:r>
      <w:r w:rsidRPr="003F2CA8">
        <w:rPr>
          <w:rFonts w:ascii="Times New Roman" w:hAnsi="Times New Roman" w:cs="Times New Roman"/>
          <w:sz w:val="24"/>
          <w:szCs w:val="24"/>
        </w:rPr>
        <w:t xml:space="preserve"> the period from January to December 20</w:t>
      </w:r>
      <w:r w:rsidR="008F5CFD" w:rsidRPr="003F2CA8">
        <w:rPr>
          <w:rFonts w:ascii="Times New Roman" w:hAnsi="Times New Roman" w:cs="Times New Roman"/>
          <w:sz w:val="24"/>
          <w:szCs w:val="24"/>
        </w:rPr>
        <w:t>16</w:t>
      </w:r>
      <w:r w:rsidRPr="003F2CA8">
        <w:rPr>
          <w:rFonts w:ascii="Times New Roman" w:hAnsi="Times New Roman" w:cs="Times New Roman"/>
          <w:sz w:val="24"/>
          <w:szCs w:val="24"/>
        </w:rPr>
        <w:t xml:space="preserve">. </w:t>
      </w:r>
      <w:r w:rsidR="00796E51" w:rsidRPr="003F2CA8">
        <w:rPr>
          <w:rFonts w:ascii="Times New Roman" w:hAnsi="Times New Roman" w:cs="Times New Roman"/>
          <w:sz w:val="24"/>
          <w:szCs w:val="24"/>
        </w:rPr>
        <w:t>All of them had been exposed to full history taking regarding age, gender, smoking, alcohol</w:t>
      </w:r>
      <w:r w:rsidR="00091C4F" w:rsidRPr="003F2CA8">
        <w:rPr>
          <w:rFonts w:ascii="Times New Roman" w:hAnsi="Times New Roman" w:cs="Times New Roman"/>
          <w:sz w:val="24"/>
          <w:szCs w:val="24"/>
        </w:rPr>
        <w:t xml:space="preserve"> intake</w:t>
      </w:r>
      <w:r w:rsidR="00796E51" w:rsidRPr="003F2CA8">
        <w:rPr>
          <w:rFonts w:ascii="Times New Roman" w:hAnsi="Times New Roman" w:cs="Times New Roman"/>
          <w:sz w:val="24"/>
          <w:szCs w:val="24"/>
        </w:rPr>
        <w:t xml:space="preserve"> and medication used, in addition to thorough physical examination and u</w:t>
      </w:r>
      <w:r w:rsidR="00091C4F" w:rsidRPr="003F2CA8">
        <w:rPr>
          <w:rFonts w:ascii="Times New Roman" w:hAnsi="Times New Roman" w:cs="Times New Roman"/>
          <w:sz w:val="24"/>
          <w:szCs w:val="24"/>
        </w:rPr>
        <w:t xml:space="preserve">pper gastrointestinal endoscopy </w:t>
      </w:r>
      <w:r w:rsidR="00796E51" w:rsidRPr="003F2CA8">
        <w:rPr>
          <w:rFonts w:ascii="Times New Roman" w:hAnsi="Times New Roman" w:cs="Times New Roman"/>
          <w:sz w:val="24"/>
          <w:szCs w:val="24"/>
        </w:rPr>
        <w:t>with biopsy when indicated.</w:t>
      </w:r>
    </w:p>
    <w:p w:rsidR="008E2F88" w:rsidRPr="003F2CA8" w:rsidRDefault="008F5CFD"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r w:rsidR="008E2F88" w:rsidRPr="003F2CA8">
        <w:rPr>
          <w:rFonts w:ascii="Times New Roman" w:hAnsi="Times New Roman" w:cs="Times New Roman"/>
          <w:sz w:val="24"/>
          <w:szCs w:val="24"/>
        </w:rPr>
        <w:t xml:space="preserve"> We exclude</w:t>
      </w:r>
      <w:r w:rsidR="00B96B9D" w:rsidRPr="003F2CA8">
        <w:rPr>
          <w:rFonts w:ascii="Times New Roman" w:hAnsi="Times New Roman" w:cs="Times New Roman"/>
          <w:sz w:val="24"/>
          <w:szCs w:val="24"/>
        </w:rPr>
        <w:t>d</w:t>
      </w:r>
      <w:r w:rsidR="008E2F88" w:rsidRPr="003F2CA8">
        <w:rPr>
          <w:rFonts w:ascii="Times New Roman" w:hAnsi="Times New Roman" w:cs="Times New Roman"/>
          <w:sz w:val="24"/>
          <w:szCs w:val="24"/>
        </w:rPr>
        <w:t xml:space="preserve"> those patients with history of upper GIT bleeding with no endoscopic evidence of bleeding</w:t>
      </w:r>
      <w:r w:rsidR="00B96B9D" w:rsidRPr="003F2CA8">
        <w:rPr>
          <w:rFonts w:ascii="Times New Roman" w:hAnsi="Times New Roman" w:cs="Times New Roman"/>
          <w:sz w:val="24"/>
          <w:szCs w:val="24"/>
        </w:rPr>
        <w:t>.</w:t>
      </w:r>
      <w:r w:rsidR="008E2F88" w:rsidRPr="003F2CA8">
        <w:rPr>
          <w:rFonts w:ascii="Times New Roman" w:hAnsi="Times New Roman" w:cs="Times New Roman"/>
          <w:sz w:val="24"/>
          <w:szCs w:val="24"/>
        </w:rPr>
        <w:t xml:space="preserve"> </w:t>
      </w:r>
    </w:p>
    <w:p w:rsidR="008E2F88" w:rsidRPr="003F2CA8" w:rsidRDefault="008E2F88"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All of the collected data had been analyzed using Microsoft Excel and Statistical Package for Social Sciences (SPSS) software. The data had been tabulated in form of frequency distribution tables and graphs. Student’s t-test and Chi-square test had been used for testing the level of significant association or difference between different quantitative and qualitative groups, respectively. A value of less than 0.05 had been selected as the P value required to</w:t>
      </w:r>
      <w:r w:rsidR="00B96B9D" w:rsidRPr="003F2CA8">
        <w:rPr>
          <w:rFonts w:ascii="Times New Roman" w:hAnsi="Times New Roman" w:cs="Times New Roman"/>
          <w:sz w:val="24"/>
          <w:szCs w:val="24"/>
        </w:rPr>
        <w:t xml:space="preserve"> </w:t>
      </w:r>
      <w:r w:rsidR="00091C4F" w:rsidRPr="003F2CA8">
        <w:rPr>
          <w:rFonts w:ascii="Times New Roman" w:hAnsi="Times New Roman" w:cs="Times New Roman"/>
          <w:sz w:val="24"/>
          <w:szCs w:val="24"/>
        </w:rPr>
        <w:t>determine</w:t>
      </w:r>
      <w:r w:rsidRPr="003F2CA8">
        <w:rPr>
          <w:rFonts w:ascii="Times New Roman" w:hAnsi="Times New Roman" w:cs="Times New Roman"/>
          <w:sz w:val="24"/>
          <w:szCs w:val="24"/>
        </w:rPr>
        <w:t xml:space="preserve"> the significant association or </w:t>
      </w:r>
      <w:commentRangeEnd w:id="13"/>
      <w:r w:rsidR="00C7502B">
        <w:rPr>
          <w:rStyle w:val="CommentReference"/>
        </w:rPr>
        <w:commentReference w:id="13"/>
      </w:r>
      <w:r w:rsidRPr="003F2CA8">
        <w:rPr>
          <w:rFonts w:ascii="Times New Roman" w:hAnsi="Times New Roman" w:cs="Times New Roman"/>
          <w:sz w:val="24"/>
          <w:szCs w:val="24"/>
        </w:rPr>
        <w:t xml:space="preserve">difference.  </w:t>
      </w:r>
    </w:p>
    <w:p w:rsidR="008E2F88" w:rsidRPr="003F2CA8" w:rsidRDefault="008E2F88" w:rsidP="003F2CA8">
      <w:pPr>
        <w:spacing w:after="0"/>
        <w:rPr>
          <w:rFonts w:ascii="Times New Roman" w:hAnsi="Times New Roman" w:cs="Times New Roman"/>
          <w:sz w:val="32"/>
          <w:szCs w:val="32"/>
        </w:rPr>
      </w:pPr>
      <w:r w:rsidRPr="003F2CA8">
        <w:rPr>
          <w:rFonts w:ascii="Times New Roman" w:hAnsi="Times New Roman" w:cs="Times New Roman"/>
          <w:b/>
          <w:bCs/>
          <w:sz w:val="32"/>
          <w:szCs w:val="32"/>
          <w:u w:val="single"/>
        </w:rPr>
        <w:t xml:space="preserve"> </w:t>
      </w:r>
      <w:r w:rsidR="002734F0" w:rsidRPr="003F2CA8">
        <w:rPr>
          <w:rFonts w:ascii="Times New Roman" w:hAnsi="Times New Roman" w:cs="Times New Roman"/>
          <w:b/>
          <w:bCs/>
          <w:sz w:val="24"/>
          <w:szCs w:val="24"/>
          <w:u w:val="single"/>
        </w:rPr>
        <w:t>Results</w:t>
      </w:r>
      <w:r w:rsidRPr="003F2CA8">
        <w:rPr>
          <w:rFonts w:ascii="Times New Roman" w:hAnsi="Times New Roman" w:cs="Times New Roman"/>
          <w:b/>
          <w:bCs/>
          <w:sz w:val="24"/>
          <w:szCs w:val="24"/>
        </w:rPr>
        <w:t xml:space="preserve">: </w:t>
      </w:r>
    </w:p>
    <w:p w:rsidR="008E2F88" w:rsidRPr="003F2CA8" w:rsidRDefault="00A32954"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commentRangeStart w:id="14"/>
      <w:r w:rsidR="008E2F88" w:rsidRPr="003F2CA8">
        <w:rPr>
          <w:rFonts w:ascii="Times New Roman" w:hAnsi="Times New Roman" w:cs="Times New Roman"/>
          <w:sz w:val="24"/>
          <w:szCs w:val="24"/>
        </w:rPr>
        <w:t xml:space="preserve">This study enrolled 100 patients with upper GIT bleeding. The sample included 66 male (66% of the sample) and </w:t>
      </w:r>
      <w:r w:rsidR="002F4B5E" w:rsidRPr="003F2CA8">
        <w:rPr>
          <w:rFonts w:ascii="Times New Roman" w:hAnsi="Times New Roman" w:cs="Times New Roman"/>
          <w:sz w:val="24"/>
          <w:szCs w:val="24"/>
        </w:rPr>
        <w:t>3</w:t>
      </w:r>
      <w:r w:rsidR="008E2F88" w:rsidRPr="003F2CA8">
        <w:rPr>
          <w:rFonts w:ascii="Times New Roman" w:hAnsi="Times New Roman" w:cs="Times New Roman"/>
          <w:sz w:val="24"/>
          <w:szCs w:val="24"/>
        </w:rPr>
        <w:t>4 female patients (</w:t>
      </w:r>
      <w:r w:rsidR="002F4B5E" w:rsidRPr="003F2CA8">
        <w:rPr>
          <w:rFonts w:ascii="Times New Roman" w:hAnsi="Times New Roman" w:cs="Times New Roman"/>
          <w:sz w:val="24"/>
          <w:szCs w:val="24"/>
        </w:rPr>
        <w:t>3</w:t>
      </w:r>
      <w:r w:rsidR="008E2F88" w:rsidRPr="003F2CA8">
        <w:rPr>
          <w:rFonts w:ascii="Times New Roman" w:hAnsi="Times New Roman" w:cs="Times New Roman"/>
          <w:sz w:val="24"/>
          <w:szCs w:val="24"/>
        </w:rPr>
        <w:t>4% of the sample). The mean age of the patients was 49.33</w:t>
      </w:r>
      <m:oMath>
        <m:r>
          <w:rPr>
            <w:rFonts w:ascii="Cambria Math" w:hAnsi="Times New Roman" w:cs="Times New Roman"/>
            <w:sz w:val="24"/>
            <w:szCs w:val="24"/>
          </w:rPr>
          <m:t>±</m:t>
        </m:r>
      </m:oMath>
      <w:r w:rsidR="008E2F88" w:rsidRPr="003F2CA8">
        <w:rPr>
          <w:rFonts w:ascii="Times New Roman" w:hAnsi="Times New Roman" w:cs="Times New Roman"/>
          <w:sz w:val="24"/>
          <w:szCs w:val="24"/>
        </w:rPr>
        <w:t xml:space="preserve">  14.9 year old (range: 20-80year old). The mean age of male patients was 50.26</w:t>
      </w:r>
      <m:oMath>
        <m:r>
          <w:rPr>
            <w:rFonts w:ascii="Cambria Math" w:hAnsi="Times New Roman" w:cs="Times New Roman"/>
            <w:sz w:val="24"/>
            <w:szCs w:val="24"/>
          </w:rPr>
          <m:t>±</m:t>
        </m:r>
      </m:oMath>
      <w:r w:rsidR="008E2F88" w:rsidRPr="003F2CA8">
        <w:rPr>
          <w:rFonts w:ascii="Times New Roman" w:hAnsi="Times New Roman" w:cs="Times New Roman"/>
          <w:sz w:val="24"/>
          <w:szCs w:val="24"/>
        </w:rPr>
        <w:t xml:space="preserve"> 13.7 year old (range: 23-80year old) and the mean age of the female patients was 47.5</w:t>
      </w:r>
      <m:oMath>
        <m:r>
          <w:rPr>
            <w:rFonts w:ascii="Cambria Math" w:hAnsi="Times New Roman" w:cs="Times New Roman"/>
            <w:sz w:val="24"/>
            <w:szCs w:val="24"/>
          </w:rPr>
          <m:t>±</m:t>
        </m:r>
      </m:oMath>
      <w:r w:rsidR="008E2F88" w:rsidRPr="003F2CA8">
        <w:rPr>
          <w:rFonts w:ascii="Times New Roman" w:hAnsi="Times New Roman" w:cs="Times New Roman"/>
          <w:sz w:val="24"/>
          <w:szCs w:val="24"/>
        </w:rPr>
        <w:t>17.1 year old (range 20-70 year old). Twenty nine patients (29% of the sample</w:t>
      </w:r>
      <w:r w:rsidR="00F30FD5" w:rsidRPr="003F2CA8">
        <w:rPr>
          <w:rFonts w:ascii="Times New Roman" w:hAnsi="Times New Roman" w:cs="Times New Roman"/>
          <w:sz w:val="24"/>
          <w:szCs w:val="24"/>
        </w:rPr>
        <w:t>) were</w:t>
      </w:r>
      <w:r w:rsidR="008E2F88" w:rsidRPr="003F2CA8">
        <w:rPr>
          <w:rFonts w:ascii="Times New Roman" w:hAnsi="Times New Roman" w:cs="Times New Roman"/>
          <w:sz w:val="24"/>
          <w:szCs w:val="24"/>
        </w:rPr>
        <w:t xml:space="preserve"> 60 years or </w:t>
      </w:r>
      <w:r w:rsidR="00F30FD5" w:rsidRPr="003F2CA8">
        <w:rPr>
          <w:rFonts w:ascii="Times New Roman" w:hAnsi="Times New Roman" w:cs="Times New Roman"/>
          <w:sz w:val="24"/>
          <w:szCs w:val="24"/>
        </w:rPr>
        <w:t xml:space="preserve">older. </w:t>
      </w:r>
      <w:r w:rsidR="008E2F88" w:rsidRPr="003F2CA8">
        <w:rPr>
          <w:rFonts w:ascii="Times New Roman" w:hAnsi="Times New Roman" w:cs="Times New Roman"/>
          <w:sz w:val="24"/>
          <w:szCs w:val="24"/>
        </w:rPr>
        <w:t xml:space="preserve">49 male patients were younger than 60 years (74.3% of male patients) compared to 22   females patients (64.7% of female patients) were within the same age group. </w:t>
      </w:r>
    </w:p>
    <w:p w:rsidR="008E2F88" w:rsidRPr="003F2CA8" w:rsidRDefault="008E2F88"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Table-</w:t>
      </w:r>
      <w:r w:rsidR="00F30FD5" w:rsidRPr="003F2CA8">
        <w:rPr>
          <w:rFonts w:ascii="Times New Roman" w:hAnsi="Times New Roman" w:cs="Times New Roman"/>
          <w:sz w:val="24"/>
          <w:szCs w:val="24"/>
        </w:rPr>
        <w:t xml:space="preserve"> 1 shows</w:t>
      </w:r>
      <w:r w:rsidRPr="003F2CA8">
        <w:rPr>
          <w:rFonts w:ascii="Times New Roman" w:hAnsi="Times New Roman" w:cs="Times New Roman"/>
          <w:sz w:val="24"/>
          <w:szCs w:val="24"/>
        </w:rPr>
        <w:t xml:space="preserve"> </w:t>
      </w:r>
      <w:commentRangeEnd w:id="14"/>
      <w:r w:rsidR="00E706F8">
        <w:rPr>
          <w:rStyle w:val="CommentReference"/>
        </w:rPr>
        <w:commentReference w:id="14"/>
      </w:r>
      <w:r w:rsidRPr="003F2CA8">
        <w:rPr>
          <w:rFonts w:ascii="Times New Roman" w:hAnsi="Times New Roman" w:cs="Times New Roman"/>
          <w:sz w:val="24"/>
          <w:szCs w:val="24"/>
        </w:rPr>
        <w:t xml:space="preserve">age and gender distribution of the sample. </w:t>
      </w:r>
    </w:p>
    <w:p w:rsidR="008E2F88" w:rsidRPr="003F2CA8" w:rsidRDefault="008E2F88"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p>
    <w:tbl>
      <w:tblPr>
        <w:tblStyle w:val="TableGrid"/>
        <w:tblW w:w="0" w:type="auto"/>
        <w:tblLook w:val="04A0"/>
      </w:tblPr>
      <w:tblGrid>
        <w:gridCol w:w="1676"/>
        <w:gridCol w:w="570"/>
        <w:gridCol w:w="956"/>
        <w:gridCol w:w="570"/>
        <w:gridCol w:w="956"/>
        <w:gridCol w:w="1663"/>
      </w:tblGrid>
      <w:tr w:rsidR="008E2F88" w:rsidRPr="003F2CA8" w:rsidTr="00A32954">
        <w:tc>
          <w:tcPr>
            <w:tcW w:w="0" w:type="auto"/>
            <w:vMerge w:val="restart"/>
          </w:tcPr>
          <w:p w:rsidR="008E2F88" w:rsidRPr="003F2CA8" w:rsidRDefault="002F4B5E"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Age group</w:t>
            </w:r>
          </w:p>
        </w:tc>
        <w:tc>
          <w:tcPr>
            <w:tcW w:w="0" w:type="auto"/>
            <w:gridSpan w:val="2"/>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Male</w:t>
            </w:r>
          </w:p>
        </w:tc>
        <w:tc>
          <w:tcPr>
            <w:tcW w:w="0" w:type="auto"/>
            <w:gridSpan w:val="2"/>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Female </w:t>
            </w:r>
          </w:p>
        </w:tc>
        <w:tc>
          <w:tcPr>
            <w:tcW w:w="1663" w:type="dxa"/>
            <w:vMerge w:val="restart"/>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M:F ratio</w:t>
            </w:r>
          </w:p>
        </w:tc>
      </w:tr>
      <w:tr w:rsidR="008E2F88" w:rsidRPr="003F2CA8" w:rsidTr="00A32954">
        <w:tc>
          <w:tcPr>
            <w:tcW w:w="0" w:type="auto"/>
            <w:vMerge/>
          </w:tcPr>
          <w:p w:rsidR="008E2F88" w:rsidRPr="003F2CA8" w:rsidRDefault="008E2F88" w:rsidP="003F2CA8">
            <w:pPr>
              <w:spacing w:line="276" w:lineRule="auto"/>
              <w:jc w:val="both"/>
              <w:rPr>
                <w:rFonts w:ascii="Times New Roman" w:hAnsi="Times New Roman" w:cs="Times New Roman"/>
                <w:sz w:val="24"/>
                <w:szCs w:val="24"/>
              </w:rPr>
            </w:pP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No. </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No. </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w:t>
            </w:r>
          </w:p>
        </w:tc>
        <w:tc>
          <w:tcPr>
            <w:tcW w:w="1663" w:type="dxa"/>
            <w:vMerge/>
          </w:tcPr>
          <w:p w:rsidR="008E2F88" w:rsidRPr="003F2CA8" w:rsidRDefault="008E2F88" w:rsidP="003F2CA8">
            <w:pPr>
              <w:spacing w:line="276" w:lineRule="auto"/>
              <w:jc w:val="both"/>
              <w:rPr>
                <w:rFonts w:ascii="Times New Roman" w:hAnsi="Times New Roman" w:cs="Times New Roman"/>
                <w:sz w:val="24"/>
                <w:szCs w:val="24"/>
              </w:rPr>
            </w:pPr>
          </w:p>
        </w:tc>
      </w:tr>
      <w:tr w:rsidR="008E2F88" w:rsidRPr="003F2CA8" w:rsidTr="00A32954">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20- 39 year old</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17</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25.8%</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12</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35.3%</w:t>
            </w:r>
          </w:p>
        </w:tc>
        <w:tc>
          <w:tcPr>
            <w:tcW w:w="1663" w:type="dxa"/>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1.4:1</w:t>
            </w:r>
          </w:p>
        </w:tc>
      </w:tr>
      <w:tr w:rsidR="008E2F88" w:rsidRPr="003F2CA8" w:rsidTr="00A32954">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40-59 year old</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32</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48.5%</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10</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29.4%</w:t>
            </w:r>
          </w:p>
        </w:tc>
        <w:tc>
          <w:tcPr>
            <w:tcW w:w="1663" w:type="dxa"/>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3.2:1</w:t>
            </w:r>
          </w:p>
        </w:tc>
      </w:tr>
      <w:tr w:rsidR="008E2F88" w:rsidRPr="003F2CA8" w:rsidTr="00A32954">
        <w:tc>
          <w:tcPr>
            <w:tcW w:w="0" w:type="auto"/>
          </w:tcPr>
          <w:p w:rsidR="008E2F88" w:rsidRPr="003F2CA8" w:rsidRDefault="008E2F88" w:rsidP="003F2CA8">
            <w:pPr>
              <w:spacing w:line="276" w:lineRule="auto"/>
              <w:jc w:val="both"/>
              <w:rPr>
                <w:rFonts w:ascii="Times New Roman" w:hAnsi="Times New Roman" w:cs="Times New Roman"/>
                <w:sz w:val="24"/>
                <w:szCs w:val="24"/>
              </w:rPr>
            </w:pPr>
            <m:oMath>
              <m:r>
                <w:rPr>
                  <w:rFonts w:ascii="Cambria Math" w:hAnsi="Times New Roman" w:cs="Times New Roman"/>
                  <w:sz w:val="24"/>
                  <w:szCs w:val="24"/>
                </w:rPr>
                <m:t>≥</m:t>
              </m:r>
            </m:oMath>
            <w:r w:rsidRPr="003F2CA8">
              <w:rPr>
                <w:rFonts w:ascii="Times New Roman" w:hAnsi="Times New Roman" w:cs="Times New Roman"/>
                <w:sz w:val="24"/>
                <w:szCs w:val="24"/>
              </w:rPr>
              <w:t>60</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17</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25.8%</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12</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35.3%</w:t>
            </w:r>
          </w:p>
        </w:tc>
        <w:tc>
          <w:tcPr>
            <w:tcW w:w="1663" w:type="dxa"/>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1.4:1</w:t>
            </w:r>
          </w:p>
        </w:tc>
      </w:tr>
      <w:tr w:rsidR="008E2F88" w:rsidRPr="003F2CA8" w:rsidTr="00A32954">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total</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66</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100.0%</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34</w:t>
            </w:r>
          </w:p>
        </w:tc>
        <w:tc>
          <w:tcPr>
            <w:tcW w:w="0" w:type="auto"/>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100.0%</w:t>
            </w:r>
          </w:p>
        </w:tc>
        <w:tc>
          <w:tcPr>
            <w:tcW w:w="1663" w:type="dxa"/>
          </w:tcPr>
          <w:p w:rsidR="008E2F88" w:rsidRPr="003F2CA8" w:rsidRDefault="008E2F88"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1.9:1</w:t>
            </w:r>
          </w:p>
        </w:tc>
      </w:tr>
    </w:tbl>
    <w:p w:rsidR="004B0D03" w:rsidRPr="003F2CA8" w:rsidRDefault="004B0D03" w:rsidP="003F2CA8">
      <w:pPr>
        <w:spacing w:after="0"/>
        <w:jc w:val="both"/>
        <w:rPr>
          <w:rFonts w:ascii="Times New Roman" w:hAnsi="Times New Roman" w:cs="Times New Roman"/>
          <w:sz w:val="24"/>
          <w:szCs w:val="24"/>
        </w:rPr>
      </w:pPr>
    </w:p>
    <w:p w:rsidR="004B0D03" w:rsidRPr="003F2CA8" w:rsidRDefault="004B0D03"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Table - 2: patient’s distribution according to their age and history of NSAID use</w:t>
      </w:r>
    </w:p>
    <w:tbl>
      <w:tblPr>
        <w:tblStyle w:val="TableGrid"/>
        <w:tblW w:w="0" w:type="auto"/>
        <w:tblLook w:val="04A0"/>
      </w:tblPr>
      <w:tblGrid>
        <w:gridCol w:w="1996"/>
        <w:gridCol w:w="638"/>
        <w:gridCol w:w="936"/>
        <w:gridCol w:w="797"/>
        <w:gridCol w:w="1169"/>
      </w:tblGrid>
      <w:tr w:rsidR="004B0D03" w:rsidRPr="003F2CA8" w:rsidTr="00796E51">
        <w:tc>
          <w:tcPr>
            <w:tcW w:w="0" w:type="auto"/>
            <w:vMerge w:val="restart"/>
          </w:tcPr>
          <w:p w:rsidR="004B0D03" w:rsidRPr="003F2CA8" w:rsidRDefault="002F22E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Age group</w:t>
            </w:r>
          </w:p>
        </w:tc>
        <w:tc>
          <w:tcPr>
            <w:tcW w:w="0" w:type="auto"/>
            <w:gridSpan w:val="2"/>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Use NSAIDs</w:t>
            </w:r>
          </w:p>
        </w:tc>
        <w:tc>
          <w:tcPr>
            <w:tcW w:w="0" w:type="auto"/>
            <w:gridSpan w:val="2"/>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Not use NSAIDs</w:t>
            </w:r>
          </w:p>
        </w:tc>
      </w:tr>
      <w:tr w:rsidR="004B0D03" w:rsidRPr="003F2CA8" w:rsidTr="00796E51">
        <w:tc>
          <w:tcPr>
            <w:tcW w:w="0" w:type="auto"/>
            <w:vMerge/>
          </w:tcPr>
          <w:p w:rsidR="004B0D03" w:rsidRPr="003F2CA8" w:rsidRDefault="004B0D03" w:rsidP="003F2CA8">
            <w:pPr>
              <w:spacing w:line="276" w:lineRule="auto"/>
              <w:jc w:val="both"/>
              <w:rPr>
                <w:rFonts w:ascii="Times New Roman" w:hAnsi="Times New Roman" w:cs="Times New Roman"/>
                <w:sz w:val="24"/>
                <w:szCs w:val="24"/>
              </w:rPr>
            </w:pP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No.</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No.</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w:t>
            </w:r>
          </w:p>
        </w:tc>
      </w:tr>
      <w:tr w:rsidR="004B0D03" w:rsidRPr="003F2CA8" w:rsidTr="00796E51">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20-39 year- old</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9</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31.0%</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20</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69.0%</w:t>
            </w:r>
          </w:p>
        </w:tc>
      </w:tr>
      <w:tr w:rsidR="004B0D03" w:rsidRPr="003F2CA8" w:rsidTr="00796E51">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40-59year old</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15</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35.7%</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27</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64.3%</w:t>
            </w:r>
          </w:p>
        </w:tc>
      </w:tr>
      <w:tr w:rsidR="004B0D03" w:rsidRPr="003F2CA8" w:rsidTr="00796E51">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≥60 year old</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24</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82.8%</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5</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17.2%</w:t>
            </w:r>
          </w:p>
        </w:tc>
      </w:tr>
      <w:tr w:rsidR="004B0D03" w:rsidRPr="003F2CA8" w:rsidTr="00796E51">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Total(n=100)</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48</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48.0%</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52</w:t>
            </w:r>
          </w:p>
        </w:tc>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52.2%</w:t>
            </w:r>
          </w:p>
        </w:tc>
      </w:tr>
      <w:tr w:rsidR="004B0D03" w:rsidRPr="003F2CA8" w:rsidTr="00796E51">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mean± SD</w:t>
            </w:r>
          </w:p>
        </w:tc>
        <w:tc>
          <w:tcPr>
            <w:tcW w:w="0" w:type="auto"/>
            <w:gridSpan w:val="2"/>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53.63± 16.5</w:t>
            </w:r>
          </w:p>
        </w:tc>
        <w:tc>
          <w:tcPr>
            <w:tcW w:w="0" w:type="auto"/>
            <w:gridSpan w:val="2"/>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45.37±12.2</w:t>
            </w:r>
          </w:p>
        </w:tc>
      </w:tr>
      <w:tr w:rsidR="004B0D03" w:rsidRPr="003F2CA8" w:rsidTr="00796E51">
        <w:tc>
          <w:tcPr>
            <w:tcW w:w="0" w:type="auto"/>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Statistical analysis</w:t>
            </w:r>
          </w:p>
        </w:tc>
        <w:tc>
          <w:tcPr>
            <w:tcW w:w="0" w:type="auto"/>
            <w:gridSpan w:val="4"/>
          </w:tcPr>
          <w:p w:rsidR="004B0D03" w:rsidRPr="003F2CA8" w:rsidRDefault="004B0D03"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Calculated t = 2.84, p value = 0.01</w:t>
            </w:r>
          </w:p>
        </w:tc>
      </w:tr>
    </w:tbl>
    <w:p w:rsidR="00AF643F" w:rsidRPr="003F2CA8" w:rsidRDefault="00AF643F" w:rsidP="003F2CA8">
      <w:pPr>
        <w:spacing w:after="0"/>
        <w:jc w:val="both"/>
        <w:rPr>
          <w:rFonts w:ascii="Times New Roman" w:hAnsi="Times New Roman" w:cs="Times New Roman"/>
          <w:sz w:val="24"/>
          <w:szCs w:val="24"/>
        </w:rPr>
      </w:pPr>
    </w:p>
    <w:p w:rsidR="00A32954" w:rsidRPr="003F2CA8" w:rsidRDefault="002F22E4"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it can be seen clearly </w:t>
      </w:r>
      <w:r w:rsidR="00C72E90" w:rsidRPr="003F2CA8">
        <w:rPr>
          <w:rFonts w:ascii="Times New Roman" w:hAnsi="Times New Roman" w:cs="Times New Roman"/>
          <w:sz w:val="24"/>
          <w:szCs w:val="24"/>
        </w:rPr>
        <w:t>from table</w:t>
      </w:r>
      <w:r w:rsidR="00AF643F" w:rsidRPr="003F2CA8">
        <w:rPr>
          <w:rFonts w:ascii="Times New Roman" w:hAnsi="Times New Roman" w:cs="Times New Roman"/>
          <w:sz w:val="24"/>
          <w:szCs w:val="24"/>
        </w:rPr>
        <w:t xml:space="preserve"> -</w:t>
      </w:r>
      <w:r w:rsidR="00C72E90" w:rsidRPr="003F2CA8">
        <w:rPr>
          <w:rFonts w:ascii="Times New Roman" w:hAnsi="Times New Roman" w:cs="Times New Roman"/>
          <w:sz w:val="24"/>
          <w:szCs w:val="24"/>
        </w:rPr>
        <w:t>2 that total</w:t>
      </w:r>
      <w:r w:rsidR="009C1CA5" w:rsidRPr="003F2CA8">
        <w:rPr>
          <w:rFonts w:ascii="Times New Roman" w:hAnsi="Times New Roman" w:cs="Times New Roman"/>
          <w:sz w:val="24"/>
          <w:szCs w:val="24"/>
        </w:rPr>
        <w:t xml:space="preserve"> number of patients   taken NSAIDs were 48, </w:t>
      </w:r>
      <w:r w:rsidR="00AF643F" w:rsidRPr="003F2CA8">
        <w:rPr>
          <w:rFonts w:ascii="Times New Roman" w:hAnsi="Times New Roman" w:cs="Times New Roman"/>
          <w:sz w:val="24"/>
          <w:szCs w:val="24"/>
        </w:rPr>
        <w:t xml:space="preserve">with mean± SD 53.63± </w:t>
      </w:r>
      <w:r w:rsidR="00AE61BF" w:rsidRPr="003F2CA8">
        <w:rPr>
          <w:rFonts w:ascii="Times New Roman" w:hAnsi="Times New Roman" w:cs="Times New Roman"/>
          <w:sz w:val="24"/>
          <w:szCs w:val="24"/>
        </w:rPr>
        <w:t>16.5,</w:t>
      </w:r>
      <w:r w:rsidR="00AF643F" w:rsidRPr="003F2CA8">
        <w:rPr>
          <w:rFonts w:ascii="Times New Roman" w:hAnsi="Times New Roman" w:cs="Times New Roman"/>
          <w:sz w:val="24"/>
          <w:szCs w:val="24"/>
        </w:rPr>
        <w:t xml:space="preserve"> and total number of patients who did </w:t>
      </w:r>
      <w:r w:rsidR="00AE61BF" w:rsidRPr="003F2CA8">
        <w:rPr>
          <w:rFonts w:ascii="Times New Roman" w:hAnsi="Times New Roman" w:cs="Times New Roman"/>
          <w:sz w:val="24"/>
          <w:szCs w:val="24"/>
        </w:rPr>
        <w:t>not taken</w:t>
      </w:r>
      <w:r w:rsidR="00AF643F" w:rsidRPr="003F2CA8">
        <w:rPr>
          <w:rFonts w:ascii="Times New Roman" w:hAnsi="Times New Roman" w:cs="Times New Roman"/>
          <w:sz w:val="24"/>
          <w:szCs w:val="24"/>
        </w:rPr>
        <w:t xml:space="preserve"> NSAIDs are52 with mean± SD 45.37±</w:t>
      </w:r>
      <w:r w:rsidR="00AE61BF" w:rsidRPr="003F2CA8">
        <w:rPr>
          <w:rFonts w:ascii="Times New Roman" w:hAnsi="Times New Roman" w:cs="Times New Roman"/>
          <w:sz w:val="24"/>
          <w:szCs w:val="24"/>
        </w:rPr>
        <w:t>12.2 which</w:t>
      </w:r>
      <w:r w:rsidR="009C1CA5" w:rsidRPr="003F2CA8">
        <w:rPr>
          <w:rFonts w:ascii="Times New Roman" w:hAnsi="Times New Roman" w:cs="Times New Roman"/>
          <w:sz w:val="24"/>
          <w:szCs w:val="24"/>
        </w:rPr>
        <w:t xml:space="preserve"> represent statically significant association </w:t>
      </w:r>
      <w:r w:rsidR="00AE61BF" w:rsidRPr="003F2CA8">
        <w:rPr>
          <w:rFonts w:ascii="Times New Roman" w:hAnsi="Times New Roman" w:cs="Times New Roman"/>
          <w:sz w:val="24"/>
          <w:szCs w:val="24"/>
        </w:rPr>
        <w:t>between NSAIDs</w:t>
      </w:r>
      <w:r w:rsidR="009C1CA5" w:rsidRPr="003F2CA8">
        <w:rPr>
          <w:rFonts w:ascii="Times New Roman" w:hAnsi="Times New Roman" w:cs="Times New Roman"/>
          <w:sz w:val="24"/>
          <w:szCs w:val="24"/>
        </w:rPr>
        <w:t xml:space="preserve"> and upper GIT </w:t>
      </w:r>
      <w:r w:rsidR="00AE61BF" w:rsidRPr="003F2CA8">
        <w:rPr>
          <w:rFonts w:ascii="Times New Roman" w:hAnsi="Times New Roman" w:cs="Times New Roman"/>
          <w:sz w:val="24"/>
          <w:szCs w:val="24"/>
        </w:rPr>
        <w:t>bleeding with</w:t>
      </w:r>
      <w:r w:rsidR="009C1CA5" w:rsidRPr="003F2CA8">
        <w:rPr>
          <w:rFonts w:ascii="Times New Roman" w:hAnsi="Times New Roman" w:cs="Times New Roman"/>
          <w:sz w:val="24"/>
          <w:szCs w:val="24"/>
        </w:rPr>
        <w:t xml:space="preserve"> calculated t =2.84</w:t>
      </w:r>
      <w:r w:rsidR="00AF643F" w:rsidRPr="003F2CA8">
        <w:rPr>
          <w:rFonts w:ascii="Times New Roman" w:hAnsi="Times New Roman" w:cs="Times New Roman"/>
          <w:sz w:val="24"/>
          <w:szCs w:val="24"/>
        </w:rPr>
        <w:t xml:space="preserve"> </w:t>
      </w:r>
      <w:r w:rsidR="009C1CA5" w:rsidRPr="003F2CA8">
        <w:rPr>
          <w:rFonts w:ascii="Times New Roman" w:hAnsi="Times New Roman" w:cs="Times New Roman"/>
          <w:sz w:val="24"/>
          <w:szCs w:val="24"/>
        </w:rPr>
        <w:t>and p value 0.01</w:t>
      </w:r>
      <w:r w:rsidR="00AE61BF" w:rsidRPr="003F2CA8">
        <w:rPr>
          <w:rFonts w:ascii="Times New Roman" w:hAnsi="Times New Roman" w:cs="Times New Roman"/>
          <w:sz w:val="24"/>
          <w:szCs w:val="24"/>
        </w:rPr>
        <w:t>, it</w:t>
      </w:r>
      <w:r w:rsidR="00AF643F" w:rsidRPr="003F2CA8">
        <w:rPr>
          <w:rFonts w:ascii="Times New Roman" w:hAnsi="Times New Roman" w:cs="Times New Roman"/>
          <w:sz w:val="24"/>
          <w:szCs w:val="24"/>
        </w:rPr>
        <w:t xml:space="preserve"> can also be seen that 82.8% of those aged above 60 year old were taken NSAIDs.</w:t>
      </w:r>
    </w:p>
    <w:p w:rsidR="00A32954" w:rsidRPr="003F2CA8" w:rsidRDefault="00A32954" w:rsidP="003F2CA8">
      <w:pPr>
        <w:spacing w:after="0"/>
        <w:jc w:val="distribute"/>
        <w:rPr>
          <w:rFonts w:ascii="Times New Roman" w:hAnsi="Times New Roman" w:cs="Times New Roman"/>
          <w:sz w:val="24"/>
          <w:szCs w:val="24"/>
        </w:rPr>
      </w:pPr>
      <w:r w:rsidRPr="003F2CA8">
        <w:rPr>
          <w:rFonts w:ascii="Times New Roman" w:hAnsi="Times New Roman" w:cs="Times New Roman"/>
          <w:noProof/>
          <w:sz w:val="24"/>
          <w:szCs w:val="24"/>
          <w:lang w:eastAsia="en-US"/>
        </w:rPr>
        <w:drawing>
          <wp:inline distT="0" distB="0" distL="0" distR="0">
            <wp:extent cx="5410200" cy="32004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B0D03" w:rsidRPr="003F2CA8" w:rsidRDefault="004B0D03"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Graph 1</w:t>
      </w:r>
      <w:r w:rsidR="003D16AC" w:rsidRPr="003F2CA8">
        <w:rPr>
          <w:rFonts w:ascii="Times New Roman" w:hAnsi="Times New Roman" w:cs="Times New Roman"/>
          <w:sz w:val="24"/>
          <w:szCs w:val="24"/>
        </w:rPr>
        <w:t xml:space="preserve">: </w:t>
      </w:r>
      <w:bookmarkStart w:id="15" w:name="OLE_LINK1"/>
      <w:r w:rsidR="003D16AC" w:rsidRPr="003F2CA8">
        <w:rPr>
          <w:rFonts w:ascii="Times New Roman" w:hAnsi="Times New Roman" w:cs="Times New Roman"/>
          <w:sz w:val="24"/>
          <w:szCs w:val="24"/>
        </w:rPr>
        <w:t>frequency</w:t>
      </w:r>
      <w:r w:rsidRPr="003F2CA8">
        <w:rPr>
          <w:rFonts w:ascii="Times New Roman" w:hAnsi="Times New Roman" w:cs="Times New Roman"/>
          <w:sz w:val="24"/>
          <w:szCs w:val="24"/>
        </w:rPr>
        <w:t xml:space="preserve"> of gastrointestinal irritant agents</w:t>
      </w:r>
      <w:bookmarkEnd w:id="15"/>
      <w:r w:rsidRPr="003F2CA8">
        <w:rPr>
          <w:rFonts w:ascii="Times New Roman" w:hAnsi="Times New Roman" w:cs="Times New Roman"/>
          <w:sz w:val="24"/>
          <w:szCs w:val="24"/>
        </w:rPr>
        <w:t>.</w:t>
      </w:r>
    </w:p>
    <w:p w:rsidR="00AE61BF" w:rsidRPr="003F2CA8" w:rsidRDefault="004518AB"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It can be seen clearly from the graph </w:t>
      </w:r>
      <w:r w:rsidR="003D16AC" w:rsidRPr="003F2CA8">
        <w:rPr>
          <w:rFonts w:ascii="Times New Roman" w:hAnsi="Times New Roman" w:cs="Times New Roman"/>
          <w:sz w:val="24"/>
          <w:szCs w:val="24"/>
        </w:rPr>
        <w:t>1</w:t>
      </w:r>
      <w:r w:rsidRPr="003F2CA8">
        <w:rPr>
          <w:rFonts w:ascii="Times New Roman" w:hAnsi="Times New Roman" w:cs="Times New Roman"/>
          <w:sz w:val="24"/>
          <w:szCs w:val="24"/>
        </w:rPr>
        <w:t xml:space="preserve"> that approximately half of those with upper GIT bleeding were tak</w:t>
      </w:r>
      <w:r w:rsidR="003D16AC" w:rsidRPr="003F2CA8">
        <w:rPr>
          <w:rFonts w:ascii="Times New Roman" w:hAnsi="Times New Roman" w:cs="Times New Roman"/>
          <w:sz w:val="24"/>
          <w:szCs w:val="24"/>
        </w:rPr>
        <w:t>ing</w:t>
      </w:r>
      <w:r w:rsidRPr="003F2CA8">
        <w:rPr>
          <w:rFonts w:ascii="Times New Roman" w:hAnsi="Times New Roman" w:cs="Times New Roman"/>
          <w:sz w:val="24"/>
          <w:szCs w:val="24"/>
        </w:rPr>
        <w:t xml:space="preserve"> </w:t>
      </w:r>
      <w:r w:rsidR="007F4A4F" w:rsidRPr="003F2CA8">
        <w:rPr>
          <w:rFonts w:ascii="Times New Roman" w:hAnsi="Times New Roman" w:cs="Times New Roman"/>
          <w:sz w:val="24"/>
          <w:szCs w:val="24"/>
        </w:rPr>
        <w:t>NSAID, while</w:t>
      </w:r>
      <w:r w:rsidR="003D16AC" w:rsidRPr="003F2CA8">
        <w:rPr>
          <w:rFonts w:ascii="Times New Roman" w:hAnsi="Times New Roman" w:cs="Times New Roman"/>
          <w:sz w:val="24"/>
          <w:szCs w:val="24"/>
        </w:rPr>
        <w:t xml:space="preserve"> steroids</w:t>
      </w:r>
      <w:r w:rsidRPr="003F2CA8">
        <w:rPr>
          <w:rFonts w:ascii="Times New Roman" w:hAnsi="Times New Roman" w:cs="Times New Roman"/>
          <w:sz w:val="24"/>
          <w:szCs w:val="24"/>
        </w:rPr>
        <w:t xml:space="preserve"> 3% of the sample,</w:t>
      </w:r>
      <w:r w:rsidR="003D16AC" w:rsidRPr="003F2CA8">
        <w:rPr>
          <w:rFonts w:ascii="Times New Roman" w:hAnsi="Times New Roman" w:cs="Times New Roman"/>
          <w:sz w:val="24"/>
          <w:szCs w:val="24"/>
        </w:rPr>
        <w:t xml:space="preserve"> alcohol 3%</w:t>
      </w:r>
      <w:r w:rsidR="007F4A4F" w:rsidRPr="003F2CA8">
        <w:rPr>
          <w:rFonts w:ascii="Times New Roman" w:hAnsi="Times New Roman" w:cs="Times New Roman"/>
          <w:sz w:val="24"/>
          <w:szCs w:val="24"/>
        </w:rPr>
        <w:t xml:space="preserve"> and</w:t>
      </w:r>
      <w:r w:rsidRPr="003F2CA8">
        <w:rPr>
          <w:rFonts w:ascii="Times New Roman" w:hAnsi="Times New Roman" w:cs="Times New Roman"/>
          <w:sz w:val="24"/>
          <w:szCs w:val="24"/>
        </w:rPr>
        <w:t xml:space="preserve"> 16 % of patients were smokers. </w:t>
      </w:r>
    </w:p>
    <w:p w:rsidR="004518AB" w:rsidRPr="003F2CA8" w:rsidRDefault="004518AB" w:rsidP="003F2CA8">
      <w:pPr>
        <w:spacing w:after="0"/>
        <w:rPr>
          <w:rFonts w:ascii="Times New Roman" w:hAnsi="Times New Roman" w:cs="Times New Roman"/>
          <w:sz w:val="24"/>
          <w:szCs w:val="24"/>
        </w:rPr>
      </w:pPr>
    </w:p>
    <w:p w:rsidR="004B0D03" w:rsidRPr="003F2CA8" w:rsidRDefault="004518AB" w:rsidP="003F2CA8">
      <w:pPr>
        <w:spacing w:after="0"/>
        <w:rPr>
          <w:rFonts w:ascii="Times New Roman" w:hAnsi="Times New Roman" w:cs="Times New Roman"/>
          <w:sz w:val="24"/>
          <w:szCs w:val="24"/>
        </w:rPr>
      </w:pPr>
      <w:r w:rsidRPr="003F2CA8">
        <w:rPr>
          <w:rFonts w:ascii="Times New Roman" w:hAnsi="Times New Roman" w:cs="Times New Roman"/>
          <w:noProof/>
          <w:sz w:val="24"/>
          <w:szCs w:val="24"/>
          <w:lang w:eastAsia="en-US"/>
        </w:rPr>
        <w:drawing>
          <wp:inline distT="0" distB="0" distL="0" distR="0">
            <wp:extent cx="5486400" cy="32004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91C4F" w:rsidRPr="003F2CA8" w:rsidRDefault="004B0D03"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 </w:t>
      </w:r>
      <w:r w:rsidR="00091C4F" w:rsidRPr="003F2CA8">
        <w:rPr>
          <w:rFonts w:ascii="Times New Roman" w:hAnsi="Times New Roman" w:cs="Times New Roman"/>
          <w:sz w:val="24"/>
          <w:szCs w:val="24"/>
        </w:rPr>
        <w:t>Graph 2: frequency of different NSAIDs usage</w:t>
      </w:r>
    </w:p>
    <w:p w:rsidR="00AE61BF" w:rsidRPr="003F2CA8" w:rsidRDefault="004B0D03" w:rsidP="009A0C73">
      <w:pPr>
        <w:spacing w:after="0"/>
        <w:ind w:firstLine="990"/>
        <w:jc w:val="both"/>
        <w:rPr>
          <w:rFonts w:ascii="Times New Roman" w:hAnsi="Times New Roman" w:cs="Times New Roman"/>
          <w:sz w:val="24"/>
          <w:szCs w:val="24"/>
        </w:rPr>
      </w:pPr>
      <w:r w:rsidRPr="003F2CA8">
        <w:rPr>
          <w:rFonts w:ascii="Times New Roman" w:hAnsi="Times New Roman" w:cs="Times New Roman"/>
          <w:sz w:val="24"/>
          <w:szCs w:val="24"/>
        </w:rPr>
        <w:t xml:space="preserve"> </w:t>
      </w:r>
      <w:r w:rsidR="00091C4F" w:rsidRPr="003F2CA8">
        <w:rPr>
          <w:rFonts w:ascii="Times New Roman" w:hAnsi="Times New Roman" w:cs="Times New Roman"/>
          <w:sz w:val="24"/>
          <w:szCs w:val="24"/>
        </w:rPr>
        <w:t xml:space="preserve">Graph </w:t>
      </w:r>
      <w:r w:rsidR="008B5CE0" w:rsidRPr="003F2CA8">
        <w:rPr>
          <w:rFonts w:ascii="Times New Roman" w:hAnsi="Times New Roman" w:cs="Times New Roman"/>
          <w:sz w:val="24"/>
          <w:szCs w:val="24"/>
        </w:rPr>
        <w:t>2:</w:t>
      </w:r>
      <w:r w:rsidR="00A32954" w:rsidRPr="003F2CA8">
        <w:rPr>
          <w:rFonts w:ascii="Times New Roman" w:hAnsi="Times New Roman" w:cs="Times New Roman"/>
          <w:sz w:val="24"/>
          <w:szCs w:val="24"/>
        </w:rPr>
        <w:t xml:space="preserve"> demonstrate aspirin is the most frequently used drugs among the </w:t>
      </w:r>
      <w:r w:rsidR="008B5CE0" w:rsidRPr="003F2CA8">
        <w:rPr>
          <w:rFonts w:ascii="Times New Roman" w:hAnsi="Times New Roman" w:cs="Times New Roman"/>
          <w:sz w:val="24"/>
          <w:szCs w:val="24"/>
        </w:rPr>
        <w:t>NSAID which</w:t>
      </w:r>
      <w:r w:rsidR="00A32954" w:rsidRPr="003F2CA8">
        <w:rPr>
          <w:rFonts w:ascii="Times New Roman" w:hAnsi="Times New Roman" w:cs="Times New Roman"/>
          <w:sz w:val="24"/>
          <w:szCs w:val="24"/>
        </w:rPr>
        <w:t xml:space="preserve"> represent 64.4</w:t>
      </w:r>
      <w:r w:rsidR="008B5CE0" w:rsidRPr="003F2CA8">
        <w:rPr>
          <w:rFonts w:ascii="Times New Roman" w:hAnsi="Times New Roman" w:cs="Times New Roman"/>
          <w:sz w:val="24"/>
          <w:szCs w:val="24"/>
        </w:rPr>
        <w:t>%,</w:t>
      </w:r>
      <w:r w:rsidR="00A32954" w:rsidRPr="003F2CA8">
        <w:rPr>
          <w:rFonts w:ascii="Times New Roman" w:hAnsi="Times New Roman" w:cs="Times New Roman"/>
          <w:sz w:val="24"/>
          <w:szCs w:val="24"/>
        </w:rPr>
        <w:t xml:space="preserve"> while the selective NSAID usage is only 6.25% from the total usage of </w:t>
      </w:r>
      <w:r w:rsidR="00A32954" w:rsidRPr="003F2CA8">
        <w:rPr>
          <w:rFonts w:ascii="Times New Roman" w:hAnsi="Times New Roman" w:cs="Times New Roman"/>
          <w:sz w:val="24"/>
          <w:szCs w:val="24"/>
        </w:rPr>
        <w:lastRenderedPageBreak/>
        <w:t>NSAID. It had been shown that there was a significant association between the use of NSAIDs in all of their types and the development of upper GIT bleeding (</w:t>
      </w:r>
      <w:r w:rsidR="00A32954" w:rsidRPr="003F2CA8">
        <w:rPr>
          <w:rFonts w:ascii="Times New Roman" w:hAnsi="Times New Roman" w:cs="Times New Roman"/>
          <w:i/>
          <w:iCs/>
          <w:sz w:val="24"/>
          <w:szCs w:val="24"/>
        </w:rPr>
        <w:t>X</w:t>
      </w:r>
      <w:r w:rsidR="00A32954" w:rsidRPr="003F2CA8">
        <w:rPr>
          <w:rFonts w:ascii="Times New Roman" w:hAnsi="Times New Roman" w:cs="Times New Roman"/>
          <w:sz w:val="24"/>
          <w:szCs w:val="24"/>
          <w:vertAlign w:val="superscript"/>
        </w:rPr>
        <w:t xml:space="preserve">2 </w:t>
      </w:r>
      <w:r w:rsidR="00A32954" w:rsidRPr="003F2CA8">
        <w:rPr>
          <w:rFonts w:ascii="Times New Roman" w:hAnsi="Times New Roman" w:cs="Times New Roman"/>
          <w:sz w:val="24"/>
          <w:szCs w:val="24"/>
        </w:rPr>
        <w:t>= 5.6, p value = 0.001). On the other hand no statistically significant association had been observed between use of COX-2 inhibitors and the development of upper GIT bleeding (X</w:t>
      </w:r>
      <w:r w:rsidR="00A32954" w:rsidRPr="003F2CA8">
        <w:rPr>
          <w:rFonts w:ascii="Times New Roman" w:hAnsi="Times New Roman" w:cs="Times New Roman"/>
          <w:sz w:val="24"/>
          <w:szCs w:val="24"/>
          <w:vertAlign w:val="superscript"/>
        </w:rPr>
        <w:t>2</w:t>
      </w:r>
      <w:r w:rsidR="00A32954" w:rsidRPr="003F2CA8">
        <w:rPr>
          <w:rFonts w:ascii="Times New Roman" w:hAnsi="Times New Roman" w:cs="Times New Roman"/>
          <w:sz w:val="24"/>
          <w:szCs w:val="24"/>
        </w:rPr>
        <w:t xml:space="preserve"> = 1.43, p value &gt; 0.05). </w:t>
      </w:r>
    </w:p>
    <w:p w:rsidR="00A32954" w:rsidRPr="003F2CA8" w:rsidRDefault="00A32954"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TABLE- </w:t>
      </w:r>
      <w:r w:rsidR="00091C4F" w:rsidRPr="003F2CA8">
        <w:rPr>
          <w:rFonts w:ascii="Times New Roman" w:hAnsi="Times New Roman" w:cs="Times New Roman"/>
          <w:sz w:val="24"/>
          <w:szCs w:val="24"/>
        </w:rPr>
        <w:t>3</w:t>
      </w:r>
      <w:r w:rsidR="007F4A4F" w:rsidRPr="003F2CA8">
        <w:rPr>
          <w:rFonts w:ascii="Times New Roman" w:hAnsi="Times New Roman" w:cs="Times New Roman"/>
          <w:sz w:val="24"/>
          <w:szCs w:val="24"/>
        </w:rPr>
        <w:t>:</w:t>
      </w:r>
      <w:r w:rsidRPr="003F2CA8">
        <w:rPr>
          <w:rFonts w:ascii="Times New Roman" w:hAnsi="Times New Roman" w:cs="Times New Roman"/>
          <w:sz w:val="24"/>
          <w:szCs w:val="24"/>
        </w:rPr>
        <w:t xml:space="preserve"> </w:t>
      </w:r>
      <w:r w:rsidR="007F4A4F" w:rsidRPr="003F2CA8">
        <w:rPr>
          <w:rFonts w:ascii="Times New Roman" w:hAnsi="Times New Roman" w:cs="Times New Roman"/>
          <w:sz w:val="24"/>
          <w:szCs w:val="24"/>
        </w:rPr>
        <w:t>patient’s</w:t>
      </w:r>
      <w:r w:rsidRPr="003F2CA8">
        <w:rPr>
          <w:rFonts w:ascii="Times New Roman" w:hAnsi="Times New Roman" w:cs="Times New Roman"/>
          <w:sz w:val="24"/>
          <w:szCs w:val="24"/>
        </w:rPr>
        <w:t xml:space="preserve"> distribution according to their history of </w:t>
      </w:r>
      <w:r w:rsidR="007F4A4F" w:rsidRPr="003F2CA8">
        <w:rPr>
          <w:rFonts w:ascii="Times New Roman" w:hAnsi="Times New Roman" w:cs="Times New Roman"/>
          <w:sz w:val="24"/>
          <w:szCs w:val="24"/>
        </w:rPr>
        <w:t>NSAIDs</w:t>
      </w:r>
      <w:r w:rsidRPr="003F2CA8">
        <w:rPr>
          <w:rFonts w:ascii="Times New Roman" w:hAnsi="Times New Roman" w:cs="Times New Roman"/>
          <w:sz w:val="24"/>
          <w:szCs w:val="24"/>
        </w:rPr>
        <w:t xml:space="preserve"> and </w:t>
      </w:r>
      <w:r w:rsidR="007F4A4F" w:rsidRPr="003F2CA8">
        <w:rPr>
          <w:rFonts w:ascii="Times New Roman" w:hAnsi="Times New Roman" w:cs="Times New Roman"/>
          <w:sz w:val="24"/>
          <w:szCs w:val="24"/>
        </w:rPr>
        <w:t>PPI</w:t>
      </w:r>
      <w:r w:rsidRPr="003F2CA8">
        <w:rPr>
          <w:rFonts w:ascii="Times New Roman" w:hAnsi="Times New Roman" w:cs="Times New Roman"/>
          <w:sz w:val="24"/>
          <w:szCs w:val="24"/>
        </w:rPr>
        <w:t xml:space="preserve"> use</w:t>
      </w:r>
      <w:r w:rsidR="004518AB" w:rsidRPr="003F2CA8">
        <w:rPr>
          <w:rFonts w:ascii="Times New Roman" w:hAnsi="Times New Roman" w:cs="Times New Roman"/>
          <w:sz w:val="24"/>
          <w:szCs w:val="24"/>
        </w:rPr>
        <w:t>.</w:t>
      </w:r>
    </w:p>
    <w:tbl>
      <w:tblPr>
        <w:tblStyle w:val="TableGrid"/>
        <w:tblW w:w="0" w:type="auto"/>
        <w:tblLook w:val="04A0"/>
      </w:tblPr>
      <w:tblGrid>
        <w:gridCol w:w="1730"/>
        <w:gridCol w:w="608"/>
        <w:gridCol w:w="3360"/>
      </w:tblGrid>
      <w:tr w:rsidR="00091C4F" w:rsidRPr="003F2CA8" w:rsidTr="00091C4F">
        <w:tc>
          <w:tcPr>
            <w:tcW w:w="0" w:type="auto"/>
            <w:vMerge w:val="restart"/>
          </w:tcPr>
          <w:p w:rsidR="00091C4F" w:rsidRPr="003F2CA8" w:rsidRDefault="00091C4F" w:rsidP="003F2CA8">
            <w:pPr>
              <w:spacing w:line="276" w:lineRule="auto"/>
              <w:jc w:val="both"/>
              <w:rPr>
                <w:rFonts w:ascii="Times New Roman" w:hAnsi="Times New Roman" w:cs="Times New Roman"/>
                <w:sz w:val="24"/>
                <w:szCs w:val="24"/>
              </w:rPr>
            </w:pPr>
          </w:p>
        </w:tc>
        <w:tc>
          <w:tcPr>
            <w:tcW w:w="3968" w:type="dxa"/>
            <w:gridSpan w:val="2"/>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Use  NSAIDs</w:t>
            </w:r>
          </w:p>
        </w:tc>
      </w:tr>
      <w:tr w:rsidR="00091C4F" w:rsidRPr="003F2CA8" w:rsidTr="00091C4F">
        <w:trPr>
          <w:trHeight w:val="707"/>
        </w:trPr>
        <w:tc>
          <w:tcPr>
            <w:tcW w:w="0" w:type="auto"/>
            <w:vMerge/>
          </w:tcPr>
          <w:p w:rsidR="00091C4F" w:rsidRPr="003F2CA8" w:rsidRDefault="00091C4F" w:rsidP="003F2CA8">
            <w:pPr>
              <w:spacing w:line="276" w:lineRule="auto"/>
              <w:jc w:val="both"/>
              <w:rPr>
                <w:rFonts w:ascii="Times New Roman" w:hAnsi="Times New Roman" w:cs="Times New Roman"/>
                <w:sz w:val="24"/>
                <w:szCs w:val="24"/>
              </w:rPr>
            </w:pPr>
          </w:p>
        </w:tc>
        <w:tc>
          <w:tcPr>
            <w:tcW w:w="0" w:type="auto"/>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No.</w:t>
            </w:r>
          </w:p>
        </w:tc>
        <w:tc>
          <w:tcPr>
            <w:tcW w:w="3152" w:type="dxa"/>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w:t>
            </w:r>
          </w:p>
        </w:tc>
      </w:tr>
      <w:tr w:rsidR="00091C4F" w:rsidRPr="003F2CA8" w:rsidTr="00091C4F">
        <w:tc>
          <w:tcPr>
            <w:tcW w:w="0" w:type="auto"/>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Use PPI</w:t>
            </w:r>
          </w:p>
        </w:tc>
        <w:tc>
          <w:tcPr>
            <w:tcW w:w="0" w:type="auto"/>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11</w:t>
            </w:r>
          </w:p>
        </w:tc>
        <w:tc>
          <w:tcPr>
            <w:tcW w:w="3152" w:type="dxa"/>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22.9%</w:t>
            </w:r>
          </w:p>
        </w:tc>
      </w:tr>
      <w:tr w:rsidR="00091C4F" w:rsidRPr="003F2CA8" w:rsidTr="00091C4F">
        <w:tc>
          <w:tcPr>
            <w:tcW w:w="0" w:type="auto"/>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Did not use PPI</w:t>
            </w:r>
          </w:p>
        </w:tc>
        <w:tc>
          <w:tcPr>
            <w:tcW w:w="0" w:type="auto"/>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37</w:t>
            </w:r>
          </w:p>
        </w:tc>
        <w:tc>
          <w:tcPr>
            <w:tcW w:w="3152" w:type="dxa"/>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77.1%</w:t>
            </w:r>
          </w:p>
        </w:tc>
      </w:tr>
      <w:tr w:rsidR="00091C4F" w:rsidRPr="003F2CA8" w:rsidTr="00091C4F">
        <w:tc>
          <w:tcPr>
            <w:tcW w:w="0" w:type="auto"/>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Total</w:t>
            </w:r>
          </w:p>
        </w:tc>
        <w:tc>
          <w:tcPr>
            <w:tcW w:w="0" w:type="auto"/>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48</w:t>
            </w:r>
          </w:p>
        </w:tc>
        <w:tc>
          <w:tcPr>
            <w:tcW w:w="3152" w:type="dxa"/>
          </w:tcPr>
          <w:p w:rsidR="00091C4F" w:rsidRPr="003F2CA8" w:rsidRDefault="00091C4F"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100%</w:t>
            </w:r>
          </w:p>
        </w:tc>
      </w:tr>
    </w:tbl>
    <w:p w:rsidR="004518AB" w:rsidRPr="003F2CA8" w:rsidRDefault="00AE61BF" w:rsidP="003F2CA8">
      <w:pPr>
        <w:spacing w:after="0"/>
        <w:jc w:val="both"/>
        <w:rPr>
          <w:rFonts w:ascii="Times New Roman" w:hAnsi="Times New Roman" w:cs="Times New Roman"/>
          <w:sz w:val="24"/>
          <w:szCs w:val="24"/>
        </w:rPr>
      </w:pPr>
      <w:commentRangeStart w:id="16"/>
      <w:r w:rsidRPr="003F2CA8">
        <w:rPr>
          <w:rFonts w:ascii="Times New Roman" w:hAnsi="Times New Roman" w:cs="Times New Roman"/>
          <w:sz w:val="24"/>
          <w:szCs w:val="24"/>
        </w:rPr>
        <w:t xml:space="preserve">We </w:t>
      </w:r>
      <w:commentRangeEnd w:id="16"/>
      <w:r w:rsidR="009A0C73">
        <w:rPr>
          <w:rStyle w:val="CommentReference"/>
        </w:rPr>
        <w:commentReference w:id="16"/>
      </w:r>
      <w:r w:rsidRPr="003F2CA8">
        <w:rPr>
          <w:rFonts w:ascii="Times New Roman" w:hAnsi="Times New Roman" w:cs="Times New Roman"/>
          <w:sz w:val="24"/>
          <w:szCs w:val="24"/>
        </w:rPr>
        <w:t xml:space="preserve">can see from table </w:t>
      </w:r>
      <w:r w:rsidR="00091C4F" w:rsidRPr="003F2CA8">
        <w:rPr>
          <w:rFonts w:ascii="Times New Roman" w:hAnsi="Times New Roman" w:cs="Times New Roman"/>
          <w:sz w:val="24"/>
          <w:szCs w:val="24"/>
        </w:rPr>
        <w:t>3</w:t>
      </w:r>
      <w:r w:rsidRPr="003F2CA8">
        <w:rPr>
          <w:rFonts w:ascii="Times New Roman" w:hAnsi="Times New Roman" w:cs="Times New Roman"/>
          <w:sz w:val="24"/>
          <w:szCs w:val="24"/>
        </w:rPr>
        <w:t xml:space="preserve"> that the majority </w:t>
      </w:r>
      <w:r w:rsidR="009C01C1" w:rsidRPr="003F2CA8">
        <w:rPr>
          <w:rFonts w:ascii="Times New Roman" w:hAnsi="Times New Roman" w:cs="Times New Roman"/>
          <w:sz w:val="24"/>
          <w:szCs w:val="24"/>
        </w:rPr>
        <w:t xml:space="preserve">of </w:t>
      </w:r>
      <w:r w:rsidR="00C51648" w:rsidRPr="003F2CA8">
        <w:rPr>
          <w:rFonts w:ascii="Times New Roman" w:hAnsi="Times New Roman" w:cs="Times New Roman"/>
          <w:sz w:val="24"/>
          <w:szCs w:val="24"/>
        </w:rPr>
        <w:t>patients</w:t>
      </w:r>
      <w:r w:rsidR="00084957" w:rsidRPr="003F2CA8">
        <w:rPr>
          <w:rFonts w:ascii="Times New Roman" w:hAnsi="Times New Roman" w:cs="Times New Roman"/>
          <w:sz w:val="24"/>
          <w:szCs w:val="24"/>
        </w:rPr>
        <w:t xml:space="preserve"> who use NSAIDs (77.1%) do not use PPI concomitantly, compared to </w:t>
      </w:r>
      <w:r w:rsidR="00C51648" w:rsidRPr="003F2CA8">
        <w:rPr>
          <w:rFonts w:ascii="Times New Roman" w:hAnsi="Times New Roman" w:cs="Times New Roman"/>
          <w:sz w:val="24"/>
          <w:szCs w:val="24"/>
        </w:rPr>
        <w:t xml:space="preserve">(22.9%) who were using </w:t>
      </w:r>
      <w:r w:rsidR="00091C4F" w:rsidRPr="003F2CA8">
        <w:rPr>
          <w:rFonts w:ascii="Times New Roman" w:hAnsi="Times New Roman" w:cs="Times New Roman"/>
          <w:sz w:val="24"/>
          <w:szCs w:val="24"/>
        </w:rPr>
        <w:t>PPI.</w:t>
      </w:r>
    </w:p>
    <w:p w:rsidR="00A32954" w:rsidRPr="003F2CA8" w:rsidRDefault="004518AB"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Table </w:t>
      </w:r>
      <w:r w:rsidR="008B5CE0" w:rsidRPr="003F2CA8">
        <w:rPr>
          <w:rFonts w:ascii="Times New Roman" w:hAnsi="Times New Roman" w:cs="Times New Roman"/>
          <w:sz w:val="24"/>
          <w:szCs w:val="24"/>
        </w:rPr>
        <w:t>4</w:t>
      </w:r>
      <w:r w:rsidR="007F4A4F" w:rsidRPr="003F2CA8">
        <w:rPr>
          <w:rFonts w:ascii="Times New Roman" w:hAnsi="Times New Roman" w:cs="Times New Roman"/>
          <w:sz w:val="24"/>
          <w:szCs w:val="24"/>
        </w:rPr>
        <w:t>:</w:t>
      </w:r>
      <w:r w:rsidRPr="003F2CA8">
        <w:rPr>
          <w:rFonts w:ascii="Times New Roman" w:hAnsi="Times New Roman" w:cs="Times New Roman"/>
          <w:sz w:val="24"/>
          <w:szCs w:val="24"/>
        </w:rPr>
        <w:t xml:space="preserve"> </w:t>
      </w:r>
      <w:r w:rsidR="00A32954" w:rsidRPr="003F2CA8">
        <w:rPr>
          <w:rFonts w:ascii="Times New Roman" w:hAnsi="Times New Roman" w:cs="Times New Roman"/>
          <w:sz w:val="24"/>
          <w:szCs w:val="24"/>
        </w:rPr>
        <w:t>Patients’ distribution according to the endoscopic finding and their history of NSAIDs use</w:t>
      </w:r>
    </w:p>
    <w:tbl>
      <w:tblPr>
        <w:tblStyle w:val="TableGrid"/>
        <w:tblW w:w="0" w:type="auto"/>
        <w:tblLook w:val="04A0"/>
      </w:tblPr>
      <w:tblGrid>
        <w:gridCol w:w="3642"/>
        <w:gridCol w:w="577"/>
        <w:gridCol w:w="846"/>
        <w:gridCol w:w="896"/>
        <w:gridCol w:w="1314"/>
      </w:tblGrid>
      <w:tr w:rsidR="00A32954" w:rsidRPr="003F2CA8" w:rsidTr="00A32954">
        <w:tc>
          <w:tcPr>
            <w:tcW w:w="0" w:type="auto"/>
            <w:vMerge w:val="restart"/>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ab/>
            </w:r>
          </w:p>
        </w:tc>
        <w:tc>
          <w:tcPr>
            <w:tcW w:w="0" w:type="auto"/>
            <w:gridSpan w:val="2"/>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use NSAIDs</w:t>
            </w:r>
          </w:p>
        </w:tc>
        <w:tc>
          <w:tcPr>
            <w:tcW w:w="0" w:type="auto"/>
            <w:gridSpan w:val="2"/>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Did not use NSAIDs</w:t>
            </w:r>
          </w:p>
        </w:tc>
      </w:tr>
      <w:tr w:rsidR="00A32954" w:rsidRPr="003F2CA8" w:rsidTr="00A32954">
        <w:tc>
          <w:tcPr>
            <w:tcW w:w="0" w:type="auto"/>
            <w:vMerge/>
          </w:tcPr>
          <w:p w:rsidR="00A32954" w:rsidRPr="003F2CA8" w:rsidRDefault="00A32954" w:rsidP="003F2CA8">
            <w:pPr>
              <w:spacing w:line="276" w:lineRule="auto"/>
              <w:jc w:val="both"/>
              <w:rPr>
                <w:rFonts w:ascii="Times New Roman" w:hAnsi="Times New Roman" w:cs="Times New Roman"/>
                <w:sz w:val="24"/>
                <w:szCs w:val="24"/>
              </w:rPr>
            </w:pP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No.</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No.</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w:t>
            </w:r>
          </w:p>
        </w:tc>
      </w:tr>
      <w:tr w:rsidR="00A32954" w:rsidRPr="003F2CA8" w:rsidTr="00A32954">
        <w:tc>
          <w:tcPr>
            <w:tcW w:w="0" w:type="auto"/>
          </w:tcPr>
          <w:p w:rsidR="00A32954" w:rsidRPr="003F2CA8" w:rsidRDefault="008B5CE0"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D</w:t>
            </w:r>
            <w:r w:rsidR="00A32954" w:rsidRPr="003F2CA8">
              <w:rPr>
                <w:rFonts w:ascii="Times New Roman" w:hAnsi="Times New Roman" w:cs="Times New Roman"/>
                <w:sz w:val="24"/>
                <w:szCs w:val="24"/>
              </w:rPr>
              <w:t>uodenal ulcer</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w:t>
            </w:r>
            <w:r w:rsidR="008B5CE0" w:rsidRPr="003F2CA8">
              <w:rPr>
                <w:rFonts w:ascii="Times New Roman" w:hAnsi="Times New Roman" w:cs="Times New Roman"/>
                <w:sz w:val="24"/>
                <w:szCs w:val="24"/>
              </w:rPr>
              <w:t>8</w:t>
            </w:r>
          </w:p>
        </w:tc>
        <w:tc>
          <w:tcPr>
            <w:tcW w:w="0" w:type="auto"/>
          </w:tcPr>
          <w:p w:rsidR="00A32954" w:rsidRPr="003F2CA8" w:rsidRDefault="008B5CE0"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34.6%</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w:t>
            </w:r>
            <w:r w:rsidR="008B5CE0" w:rsidRPr="003F2CA8">
              <w:rPr>
                <w:rFonts w:ascii="Times New Roman" w:hAnsi="Times New Roman" w:cs="Times New Roman"/>
                <w:sz w:val="24"/>
                <w:szCs w:val="24"/>
              </w:rPr>
              <w:t>4</w:t>
            </w:r>
          </w:p>
        </w:tc>
        <w:tc>
          <w:tcPr>
            <w:tcW w:w="0" w:type="auto"/>
          </w:tcPr>
          <w:p w:rsidR="00A32954" w:rsidRPr="003F2CA8" w:rsidRDefault="008B5CE0"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65.3</w:t>
            </w:r>
            <w:r w:rsidR="00A32954" w:rsidRPr="003F2CA8">
              <w:rPr>
                <w:rFonts w:ascii="Times New Roman" w:hAnsi="Times New Roman" w:cs="Times New Roman"/>
                <w:sz w:val="24"/>
                <w:szCs w:val="24"/>
              </w:rPr>
              <w:t>%</w:t>
            </w:r>
          </w:p>
        </w:tc>
      </w:tr>
      <w:tr w:rsidR="00A32954" w:rsidRPr="003F2CA8" w:rsidTr="00A32954">
        <w:tc>
          <w:tcPr>
            <w:tcW w:w="0" w:type="auto"/>
          </w:tcPr>
          <w:p w:rsidR="00A32954" w:rsidRPr="003F2CA8" w:rsidRDefault="00CA7A9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Erosive g</w:t>
            </w:r>
            <w:r w:rsidR="00A32954" w:rsidRPr="003F2CA8">
              <w:rPr>
                <w:rFonts w:ascii="Times New Roman" w:hAnsi="Times New Roman" w:cs="Times New Roman"/>
                <w:sz w:val="24"/>
                <w:szCs w:val="24"/>
              </w:rPr>
              <w:t>astritis</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13</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61.9%</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8</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38.1%</w:t>
            </w:r>
          </w:p>
        </w:tc>
      </w:tr>
      <w:tr w:rsidR="00A32954" w:rsidRPr="003F2CA8" w:rsidTr="00A32954">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Gastric ulcer</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10</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76.9%</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23.1%</w:t>
            </w:r>
          </w:p>
        </w:tc>
      </w:tr>
      <w:tr w:rsidR="00A32954" w:rsidRPr="003F2CA8" w:rsidTr="00A32954">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Oesophagitis</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60%</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40%</w:t>
            </w:r>
          </w:p>
        </w:tc>
      </w:tr>
      <w:tr w:rsidR="00A32954" w:rsidRPr="003F2CA8" w:rsidTr="00A32954">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Oesophageal varices</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33.3%</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66.7%</w:t>
            </w:r>
          </w:p>
        </w:tc>
      </w:tr>
      <w:tr w:rsidR="00A32954" w:rsidRPr="003F2CA8" w:rsidTr="00A32954">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Gastric malignancy</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66.7%</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33.3%</w:t>
            </w:r>
          </w:p>
        </w:tc>
      </w:tr>
      <w:tr w:rsidR="00A32954" w:rsidRPr="003F2CA8" w:rsidTr="00A32954">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Mallory </w:t>
            </w:r>
            <w:r w:rsidR="00FA07CF" w:rsidRPr="003F2CA8">
              <w:rPr>
                <w:rFonts w:ascii="Times New Roman" w:hAnsi="Times New Roman" w:cs="Times New Roman"/>
                <w:sz w:val="24"/>
                <w:szCs w:val="24"/>
              </w:rPr>
              <w:t>W</w:t>
            </w:r>
            <w:r w:rsidRPr="003F2CA8">
              <w:rPr>
                <w:rFonts w:ascii="Times New Roman" w:hAnsi="Times New Roman" w:cs="Times New Roman"/>
                <w:sz w:val="24"/>
                <w:szCs w:val="24"/>
              </w:rPr>
              <w:t>eiss syndrome</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0</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0%</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2</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100%</w:t>
            </w:r>
          </w:p>
        </w:tc>
      </w:tr>
      <w:tr w:rsidR="00A32954" w:rsidRPr="003F2CA8" w:rsidTr="00A32954">
        <w:tc>
          <w:tcPr>
            <w:tcW w:w="0" w:type="auto"/>
          </w:tcPr>
          <w:p w:rsidR="00A32954" w:rsidRPr="003F2CA8" w:rsidRDefault="00A32954" w:rsidP="003F2CA8">
            <w:pPr>
              <w:spacing w:line="276" w:lineRule="auto"/>
              <w:rPr>
                <w:rFonts w:ascii="Times New Roman" w:hAnsi="Times New Roman" w:cs="Times New Roman"/>
                <w:sz w:val="24"/>
                <w:szCs w:val="24"/>
              </w:rPr>
            </w:pPr>
            <w:r w:rsidRPr="003F2CA8">
              <w:rPr>
                <w:rFonts w:ascii="Times New Roman" w:hAnsi="Times New Roman" w:cs="Times New Roman"/>
                <w:sz w:val="24"/>
                <w:szCs w:val="24"/>
              </w:rPr>
              <w:t>Gastric arteriovenous malformation</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100%</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0</w:t>
            </w:r>
          </w:p>
        </w:tc>
        <w:tc>
          <w:tcPr>
            <w:tcW w:w="0" w:type="auto"/>
          </w:tcPr>
          <w:p w:rsidR="00A32954" w:rsidRPr="003F2CA8" w:rsidRDefault="00A32954" w:rsidP="003F2CA8">
            <w:pPr>
              <w:spacing w:line="276" w:lineRule="auto"/>
              <w:jc w:val="both"/>
              <w:rPr>
                <w:rFonts w:ascii="Times New Roman" w:hAnsi="Times New Roman" w:cs="Times New Roman"/>
                <w:sz w:val="24"/>
                <w:szCs w:val="24"/>
              </w:rPr>
            </w:pPr>
            <w:r w:rsidRPr="003F2CA8">
              <w:rPr>
                <w:rFonts w:ascii="Times New Roman" w:hAnsi="Times New Roman" w:cs="Times New Roman"/>
                <w:sz w:val="24"/>
                <w:szCs w:val="24"/>
              </w:rPr>
              <w:t>0%</w:t>
            </w:r>
          </w:p>
        </w:tc>
      </w:tr>
    </w:tbl>
    <w:p w:rsidR="00A32954" w:rsidRPr="003F2CA8" w:rsidRDefault="00A32954" w:rsidP="003F2CA8">
      <w:pPr>
        <w:spacing w:after="0"/>
        <w:jc w:val="both"/>
        <w:rPr>
          <w:rFonts w:ascii="Times New Roman" w:hAnsi="Times New Roman" w:cs="Times New Roman"/>
          <w:sz w:val="24"/>
          <w:szCs w:val="24"/>
        </w:rPr>
      </w:pPr>
    </w:p>
    <w:p w:rsidR="0065664D" w:rsidRPr="003F2CA8" w:rsidRDefault="00FA07CF" w:rsidP="003F2CA8">
      <w:pPr>
        <w:spacing w:after="0"/>
        <w:jc w:val="both"/>
        <w:rPr>
          <w:rFonts w:ascii="Times New Roman" w:hAnsi="Times New Roman" w:cs="Times New Roman"/>
          <w:b/>
          <w:bCs/>
          <w:sz w:val="24"/>
          <w:szCs w:val="24"/>
          <w:u w:val="single"/>
        </w:rPr>
      </w:pPr>
      <w:r w:rsidRPr="003F2CA8">
        <w:rPr>
          <w:rFonts w:ascii="Times New Roman" w:hAnsi="Times New Roman" w:cs="Times New Roman"/>
          <w:sz w:val="24"/>
          <w:szCs w:val="24"/>
        </w:rPr>
        <w:t xml:space="preserve"> </w:t>
      </w:r>
      <w:r w:rsidR="00202F89" w:rsidRPr="003F2CA8">
        <w:rPr>
          <w:rFonts w:ascii="Times New Roman" w:hAnsi="Times New Roman" w:cs="Times New Roman"/>
          <w:sz w:val="24"/>
          <w:szCs w:val="24"/>
        </w:rPr>
        <w:t xml:space="preserve"> </w:t>
      </w:r>
      <w:r w:rsidR="006523A2" w:rsidRPr="003F2CA8">
        <w:rPr>
          <w:rFonts w:ascii="Times New Roman" w:hAnsi="Times New Roman" w:cs="Times New Roman"/>
          <w:b/>
          <w:bCs/>
          <w:sz w:val="24"/>
          <w:szCs w:val="24"/>
          <w:u w:val="single"/>
        </w:rPr>
        <w:t>Discussion</w:t>
      </w:r>
      <w:r w:rsidR="00F77891" w:rsidRPr="003F2CA8">
        <w:rPr>
          <w:rFonts w:ascii="Times New Roman" w:hAnsi="Times New Roman" w:cs="Times New Roman"/>
          <w:b/>
          <w:bCs/>
          <w:sz w:val="24"/>
          <w:szCs w:val="24"/>
          <w:u w:val="single"/>
        </w:rPr>
        <w:t>:</w:t>
      </w:r>
    </w:p>
    <w:p w:rsidR="001C76FE" w:rsidRPr="003F2CA8" w:rsidRDefault="001C76FE" w:rsidP="003F2CA8">
      <w:pPr>
        <w:spacing w:after="0"/>
        <w:jc w:val="both"/>
        <w:rPr>
          <w:rFonts w:ascii="Times New Roman" w:hAnsi="Times New Roman" w:cs="Times New Roman"/>
          <w:sz w:val="24"/>
          <w:szCs w:val="24"/>
        </w:rPr>
      </w:pPr>
      <w:commentRangeStart w:id="17"/>
      <w:r w:rsidRPr="003F2CA8">
        <w:rPr>
          <w:rFonts w:ascii="Times New Roman" w:hAnsi="Times New Roman" w:cs="Times New Roman"/>
          <w:sz w:val="24"/>
          <w:szCs w:val="24"/>
        </w:rPr>
        <w:t xml:space="preserve">Acute upper GIT bleeding is a </w:t>
      </w:r>
      <w:r w:rsidR="00FA07CF" w:rsidRPr="003F2CA8">
        <w:rPr>
          <w:rFonts w:ascii="Times New Roman" w:hAnsi="Times New Roman" w:cs="Times New Roman"/>
          <w:sz w:val="24"/>
          <w:szCs w:val="24"/>
        </w:rPr>
        <w:t>common</w:t>
      </w:r>
      <w:r w:rsidRPr="003F2CA8">
        <w:rPr>
          <w:rFonts w:ascii="Times New Roman" w:hAnsi="Times New Roman" w:cs="Times New Roman"/>
          <w:sz w:val="24"/>
          <w:szCs w:val="24"/>
        </w:rPr>
        <w:t xml:space="preserve"> </w:t>
      </w:r>
      <w:r w:rsidR="00FA07CF" w:rsidRPr="003F2CA8">
        <w:rPr>
          <w:rFonts w:ascii="Times New Roman" w:hAnsi="Times New Roman" w:cs="Times New Roman"/>
          <w:sz w:val="24"/>
          <w:szCs w:val="24"/>
        </w:rPr>
        <w:t>emergency</w:t>
      </w:r>
      <w:r w:rsidRPr="003F2CA8">
        <w:rPr>
          <w:rFonts w:ascii="Times New Roman" w:hAnsi="Times New Roman" w:cs="Times New Roman"/>
          <w:sz w:val="24"/>
          <w:szCs w:val="24"/>
        </w:rPr>
        <w:t xml:space="preserve"> with important implications for health care costs worldwide. Negative outcomes include rebleeding and death, and many of the deaths are associated with decompensation of coexisting medical condition precipitated by acute bleeding </w:t>
      </w:r>
      <w:r w:rsidR="00FA07CF" w:rsidRPr="003F2CA8">
        <w:rPr>
          <w:rFonts w:ascii="Times New Roman" w:hAnsi="Times New Roman" w:cs="Times New Roman"/>
          <w:sz w:val="24"/>
          <w:szCs w:val="24"/>
        </w:rPr>
        <w:t>events</w:t>
      </w:r>
      <w:r w:rsidR="00FA07CF" w:rsidRPr="003F2CA8">
        <w:rPr>
          <w:rFonts w:ascii="Times New Roman" w:hAnsi="Times New Roman" w:cs="Times New Roman"/>
          <w:sz w:val="24"/>
          <w:szCs w:val="24"/>
          <w:vertAlign w:val="superscript"/>
        </w:rPr>
        <w:t xml:space="preserve"> (</w:t>
      </w:r>
      <w:r w:rsidR="003647B4" w:rsidRPr="003F2CA8">
        <w:rPr>
          <w:rFonts w:ascii="Times New Roman" w:hAnsi="Times New Roman" w:cs="Times New Roman"/>
          <w:sz w:val="24"/>
          <w:szCs w:val="24"/>
          <w:vertAlign w:val="superscript"/>
        </w:rPr>
        <w:t>25</w:t>
      </w:r>
      <w:r w:rsidRPr="003F2CA8">
        <w:rPr>
          <w:rFonts w:ascii="Times New Roman" w:hAnsi="Times New Roman" w:cs="Times New Roman"/>
          <w:sz w:val="24"/>
          <w:szCs w:val="24"/>
          <w:vertAlign w:val="superscript"/>
        </w:rPr>
        <w:t>)</w:t>
      </w:r>
      <w:r w:rsidRPr="003F2CA8">
        <w:rPr>
          <w:rFonts w:ascii="Times New Roman" w:hAnsi="Times New Roman" w:cs="Times New Roman"/>
          <w:sz w:val="24"/>
          <w:szCs w:val="24"/>
        </w:rPr>
        <w:t>. In a study from one large health maintenance organization, the annual incidence of hospitalization for acute upper GIT bleeding was 102 per 100 000; the incidence was twice as common in males as in females and increased with age</w:t>
      </w:r>
      <w:r w:rsidRPr="003F2CA8">
        <w:rPr>
          <w:rFonts w:ascii="Times New Roman" w:hAnsi="Times New Roman" w:cs="Times New Roman"/>
          <w:sz w:val="24"/>
          <w:szCs w:val="24"/>
          <w:vertAlign w:val="superscript"/>
        </w:rPr>
        <w:t xml:space="preserve"> (2</w:t>
      </w:r>
      <w:r w:rsidR="006326D5" w:rsidRPr="003F2CA8">
        <w:rPr>
          <w:rFonts w:ascii="Times New Roman" w:hAnsi="Times New Roman" w:cs="Times New Roman"/>
          <w:sz w:val="24"/>
          <w:szCs w:val="24"/>
          <w:vertAlign w:val="superscript"/>
        </w:rPr>
        <w:t>6</w:t>
      </w:r>
      <w:r w:rsidRPr="003F2CA8">
        <w:rPr>
          <w:rFonts w:ascii="Times New Roman" w:hAnsi="Times New Roman" w:cs="Times New Roman"/>
          <w:sz w:val="24"/>
          <w:szCs w:val="24"/>
          <w:vertAlign w:val="superscript"/>
        </w:rPr>
        <w:t>)</w:t>
      </w:r>
      <w:r w:rsidRPr="003F2CA8">
        <w:rPr>
          <w:rFonts w:ascii="Times New Roman" w:hAnsi="Times New Roman" w:cs="Times New Roman"/>
          <w:sz w:val="24"/>
          <w:szCs w:val="24"/>
        </w:rPr>
        <w:t>. Similar finding</w:t>
      </w:r>
      <w:r w:rsidR="00F30FD5" w:rsidRPr="003F2CA8">
        <w:rPr>
          <w:rFonts w:ascii="Times New Roman" w:hAnsi="Times New Roman" w:cs="Times New Roman"/>
          <w:sz w:val="24"/>
          <w:szCs w:val="24"/>
        </w:rPr>
        <w:t>s</w:t>
      </w:r>
      <w:r w:rsidRPr="003F2CA8">
        <w:rPr>
          <w:rFonts w:ascii="Times New Roman" w:hAnsi="Times New Roman" w:cs="Times New Roman"/>
          <w:sz w:val="24"/>
          <w:szCs w:val="24"/>
        </w:rPr>
        <w:t xml:space="preserve"> </w:t>
      </w:r>
      <w:r w:rsidR="00F30FD5" w:rsidRPr="003F2CA8">
        <w:rPr>
          <w:rFonts w:ascii="Times New Roman" w:hAnsi="Times New Roman" w:cs="Times New Roman"/>
          <w:sz w:val="24"/>
          <w:szCs w:val="24"/>
        </w:rPr>
        <w:t>were</w:t>
      </w:r>
      <w:r w:rsidRPr="003F2CA8">
        <w:rPr>
          <w:rFonts w:ascii="Times New Roman" w:hAnsi="Times New Roman" w:cs="Times New Roman"/>
          <w:sz w:val="24"/>
          <w:szCs w:val="24"/>
        </w:rPr>
        <w:t xml:space="preserve"> observed in this study which indicated that overall male to female ratio in all age groups was 1.9:1. Furthermore, this phenomenon of higher frequency of upper GIT bleeding was most prominent and evident among those whose age ranged between 40 and 59 year-old with a frequency of upper GIT bleeding among male patients 3 times its frequency among female patients. </w:t>
      </w:r>
      <w:r w:rsidR="00BE0D55" w:rsidRPr="003F2CA8">
        <w:rPr>
          <w:rFonts w:ascii="Times New Roman" w:hAnsi="Times New Roman" w:cs="Times New Roman"/>
          <w:sz w:val="24"/>
          <w:szCs w:val="24"/>
        </w:rPr>
        <w:t>The</w:t>
      </w:r>
      <w:r w:rsidRPr="003F2CA8">
        <w:rPr>
          <w:rFonts w:ascii="Times New Roman" w:hAnsi="Times New Roman" w:cs="Times New Roman"/>
          <w:sz w:val="24"/>
          <w:szCs w:val="24"/>
        </w:rPr>
        <w:t xml:space="preserve"> M</w:t>
      </w:r>
      <w:r w:rsidR="00BE0D55" w:rsidRPr="003F2CA8">
        <w:rPr>
          <w:rFonts w:ascii="Times New Roman" w:hAnsi="Times New Roman" w:cs="Times New Roman"/>
          <w:sz w:val="24"/>
          <w:szCs w:val="24"/>
        </w:rPr>
        <w:t>: F</w:t>
      </w:r>
      <w:r w:rsidRPr="003F2CA8">
        <w:rPr>
          <w:rFonts w:ascii="Times New Roman" w:hAnsi="Times New Roman" w:cs="Times New Roman"/>
          <w:sz w:val="24"/>
          <w:szCs w:val="24"/>
        </w:rPr>
        <w:t xml:space="preserve"> ratio showed some decline among those aging 60 years or older</w:t>
      </w:r>
      <w:commentRangeEnd w:id="17"/>
      <w:r w:rsidR="00E706F8">
        <w:rPr>
          <w:rStyle w:val="CommentReference"/>
        </w:rPr>
        <w:commentReference w:id="17"/>
      </w:r>
      <w:r w:rsidRPr="003F2CA8">
        <w:rPr>
          <w:rFonts w:ascii="Times New Roman" w:hAnsi="Times New Roman" w:cs="Times New Roman"/>
          <w:sz w:val="24"/>
          <w:szCs w:val="24"/>
        </w:rPr>
        <w:t>, with M</w:t>
      </w:r>
      <w:r w:rsidR="00BE0D55" w:rsidRPr="003F2CA8">
        <w:rPr>
          <w:rFonts w:ascii="Times New Roman" w:hAnsi="Times New Roman" w:cs="Times New Roman"/>
          <w:sz w:val="24"/>
          <w:szCs w:val="24"/>
        </w:rPr>
        <w:t>: F</w:t>
      </w:r>
      <w:r w:rsidRPr="003F2CA8">
        <w:rPr>
          <w:rFonts w:ascii="Times New Roman" w:hAnsi="Times New Roman" w:cs="Times New Roman"/>
          <w:sz w:val="24"/>
          <w:szCs w:val="24"/>
        </w:rPr>
        <w:t xml:space="preserve"> ratio of about 1.4:1. </w:t>
      </w:r>
      <w:commentRangeStart w:id="18"/>
      <w:r w:rsidRPr="003F2CA8">
        <w:rPr>
          <w:rFonts w:ascii="Times New Roman" w:hAnsi="Times New Roman" w:cs="Times New Roman"/>
          <w:sz w:val="24"/>
          <w:szCs w:val="24"/>
        </w:rPr>
        <w:t xml:space="preserve">Examining the data collected from this study showed that </w:t>
      </w:r>
      <w:r w:rsidR="00BE0D55" w:rsidRPr="003F2CA8">
        <w:rPr>
          <w:rFonts w:ascii="Times New Roman" w:hAnsi="Times New Roman" w:cs="Times New Roman"/>
          <w:sz w:val="24"/>
          <w:szCs w:val="24"/>
        </w:rPr>
        <w:t>in</w:t>
      </w:r>
      <w:r w:rsidRPr="003F2CA8">
        <w:rPr>
          <w:rFonts w:ascii="Times New Roman" w:hAnsi="Times New Roman" w:cs="Times New Roman"/>
          <w:sz w:val="24"/>
          <w:szCs w:val="24"/>
        </w:rPr>
        <w:t xml:space="preserve"> this age group, female patients were more frequently using NSAIDs drugs for different reasons and with the possible taking of drugs with more toxic effects on the gastrointestinal tract. In addition, many other studies showed that the impact of NSAIDs on the risk of upper GIT bleeding was greater in women than in </w:t>
      </w:r>
      <w:r w:rsidR="00BE0D55" w:rsidRPr="003F2CA8">
        <w:rPr>
          <w:rFonts w:ascii="Times New Roman" w:hAnsi="Times New Roman" w:cs="Times New Roman"/>
          <w:sz w:val="24"/>
          <w:szCs w:val="24"/>
        </w:rPr>
        <w:t>men</w:t>
      </w:r>
      <w:r w:rsidR="00BE0D55" w:rsidRPr="003F2CA8">
        <w:rPr>
          <w:rFonts w:ascii="Times New Roman" w:hAnsi="Times New Roman" w:cs="Times New Roman"/>
          <w:sz w:val="24"/>
          <w:szCs w:val="24"/>
          <w:vertAlign w:val="superscript"/>
        </w:rPr>
        <w:t xml:space="preserve"> (</w:t>
      </w:r>
      <w:r w:rsidR="00124A76" w:rsidRPr="003F2CA8">
        <w:rPr>
          <w:rFonts w:ascii="Times New Roman" w:hAnsi="Times New Roman" w:cs="Times New Roman"/>
          <w:sz w:val="24"/>
          <w:szCs w:val="24"/>
          <w:vertAlign w:val="superscript"/>
        </w:rPr>
        <w:t>27</w:t>
      </w:r>
      <w:r w:rsidR="00BE0D55" w:rsidRPr="003F2CA8">
        <w:rPr>
          <w:rFonts w:ascii="Times New Roman" w:hAnsi="Times New Roman" w:cs="Times New Roman"/>
          <w:sz w:val="24"/>
          <w:szCs w:val="24"/>
          <w:vertAlign w:val="superscript"/>
        </w:rPr>
        <w:t>, 28, and 29</w:t>
      </w:r>
      <w:r w:rsidRPr="003F2CA8">
        <w:rPr>
          <w:rFonts w:ascii="Times New Roman" w:hAnsi="Times New Roman" w:cs="Times New Roman"/>
          <w:sz w:val="24"/>
          <w:szCs w:val="24"/>
          <w:vertAlign w:val="superscript"/>
        </w:rPr>
        <w:t>)</w:t>
      </w:r>
      <w:r w:rsidRPr="003F2CA8">
        <w:rPr>
          <w:rFonts w:ascii="Times New Roman" w:hAnsi="Times New Roman" w:cs="Times New Roman"/>
          <w:sz w:val="24"/>
          <w:szCs w:val="24"/>
        </w:rPr>
        <w:t>.</w:t>
      </w:r>
      <w:r w:rsidR="00A95064" w:rsidRPr="003F2CA8">
        <w:rPr>
          <w:rFonts w:ascii="Times New Roman" w:hAnsi="Times New Roman" w:cs="Times New Roman"/>
          <w:sz w:val="24"/>
          <w:szCs w:val="24"/>
        </w:rPr>
        <w:t xml:space="preserve"> </w:t>
      </w:r>
    </w:p>
    <w:p w:rsidR="001C76FE" w:rsidRPr="003F2CA8" w:rsidRDefault="001C76FE"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Age had been considered as one of five most important risk factors for gastroduodenal toxicity from NSAIDs </w:t>
      </w:r>
      <w:r w:rsidR="00F30FD5" w:rsidRPr="003F2CA8">
        <w:rPr>
          <w:rFonts w:ascii="Times New Roman" w:hAnsi="Times New Roman" w:cs="Times New Roman"/>
          <w:sz w:val="24"/>
          <w:szCs w:val="24"/>
        </w:rPr>
        <w:t xml:space="preserve">according to the </w:t>
      </w:r>
      <w:r w:rsidRPr="003F2CA8">
        <w:rPr>
          <w:rFonts w:ascii="Times New Roman" w:hAnsi="Times New Roman" w:cs="Times New Roman"/>
          <w:sz w:val="24"/>
          <w:szCs w:val="24"/>
        </w:rPr>
        <w:t xml:space="preserve">committee appointed by the American </w:t>
      </w:r>
      <w:r w:rsidR="00BE0D55" w:rsidRPr="003F2CA8">
        <w:rPr>
          <w:rFonts w:ascii="Times New Roman" w:hAnsi="Times New Roman" w:cs="Times New Roman"/>
          <w:sz w:val="24"/>
          <w:szCs w:val="24"/>
        </w:rPr>
        <w:t>C</w:t>
      </w:r>
      <w:r w:rsidRPr="003F2CA8">
        <w:rPr>
          <w:rFonts w:ascii="Times New Roman" w:hAnsi="Times New Roman" w:cs="Times New Roman"/>
          <w:sz w:val="24"/>
          <w:szCs w:val="24"/>
        </w:rPr>
        <w:t xml:space="preserve">ollege of </w:t>
      </w:r>
      <w:r w:rsidR="00E224A8" w:rsidRPr="003F2CA8">
        <w:rPr>
          <w:rFonts w:ascii="Times New Roman" w:hAnsi="Times New Roman" w:cs="Times New Roman"/>
          <w:sz w:val="24"/>
          <w:szCs w:val="24"/>
        </w:rPr>
        <w:lastRenderedPageBreak/>
        <w:t>Gastroenterology</w:t>
      </w:r>
      <w:r w:rsidR="00E224A8" w:rsidRPr="003F2CA8">
        <w:rPr>
          <w:rFonts w:ascii="Times New Roman" w:hAnsi="Times New Roman" w:cs="Times New Roman"/>
          <w:sz w:val="24"/>
          <w:szCs w:val="24"/>
          <w:vertAlign w:val="superscript"/>
        </w:rPr>
        <w:t xml:space="preserve"> (</w:t>
      </w:r>
      <w:r w:rsidR="00662828" w:rsidRPr="003F2CA8">
        <w:rPr>
          <w:rFonts w:ascii="Times New Roman" w:hAnsi="Times New Roman" w:cs="Times New Roman"/>
          <w:sz w:val="24"/>
          <w:szCs w:val="24"/>
          <w:vertAlign w:val="superscript"/>
        </w:rPr>
        <w:t>30</w:t>
      </w:r>
      <w:r w:rsidRPr="003F2CA8">
        <w:rPr>
          <w:rFonts w:ascii="Times New Roman" w:hAnsi="Times New Roman" w:cs="Times New Roman"/>
          <w:sz w:val="24"/>
          <w:szCs w:val="24"/>
          <w:vertAlign w:val="superscript"/>
        </w:rPr>
        <w:t>)</w:t>
      </w:r>
      <w:r w:rsidRPr="003F2CA8">
        <w:rPr>
          <w:rFonts w:ascii="Times New Roman" w:hAnsi="Times New Roman" w:cs="Times New Roman"/>
          <w:sz w:val="24"/>
          <w:szCs w:val="24"/>
        </w:rPr>
        <w:t xml:space="preserve">. Similarly, this study showed that elderly patients taking NSAIDs were at higher risk of developing upper GIT bleeding, as 24 out of 29 patients with an age of 60 years or older (82.8%) were taking NSAIDs, </w:t>
      </w:r>
      <w:r w:rsidR="00BE0D55" w:rsidRPr="003F2CA8">
        <w:rPr>
          <w:rFonts w:ascii="Times New Roman" w:hAnsi="Times New Roman" w:cs="Times New Roman"/>
          <w:sz w:val="24"/>
          <w:szCs w:val="24"/>
        </w:rPr>
        <w:t>I</w:t>
      </w:r>
      <w:r w:rsidRPr="003F2CA8">
        <w:rPr>
          <w:rFonts w:ascii="Times New Roman" w:hAnsi="Times New Roman" w:cs="Times New Roman"/>
          <w:sz w:val="24"/>
          <w:szCs w:val="24"/>
        </w:rPr>
        <w:t xml:space="preserve">n contrast, only 9 out of 29 patients </w:t>
      </w:r>
      <w:r w:rsidR="00CC4A83" w:rsidRPr="003F2CA8">
        <w:rPr>
          <w:rFonts w:ascii="Times New Roman" w:hAnsi="Times New Roman" w:cs="Times New Roman"/>
          <w:sz w:val="24"/>
          <w:szCs w:val="24"/>
        </w:rPr>
        <w:t xml:space="preserve">(31%) </w:t>
      </w:r>
      <w:r w:rsidRPr="003F2CA8">
        <w:rPr>
          <w:rFonts w:ascii="Times New Roman" w:hAnsi="Times New Roman" w:cs="Times New Roman"/>
          <w:sz w:val="24"/>
          <w:szCs w:val="24"/>
        </w:rPr>
        <w:t xml:space="preserve">whose age was 20-39 year-old were taking NSAIDs indicating that the effect of other risk factors for upper GIT bleeding had stronger effect in comparison to the effect of NSAIDs on the frequency of upper GIT bleeding among young patients. </w:t>
      </w:r>
    </w:p>
    <w:commentRangeEnd w:id="18"/>
    <w:p w:rsidR="001C76FE" w:rsidRPr="003F2CA8" w:rsidRDefault="00E706F8" w:rsidP="003F2CA8">
      <w:pPr>
        <w:spacing w:after="0"/>
        <w:jc w:val="both"/>
        <w:rPr>
          <w:rFonts w:ascii="Times New Roman" w:hAnsi="Times New Roman" w:cs="Times New Roman"/>
          <w:sz w:val="24"/>
          <w:szCs w:val="24"/>
        </w:rPr>
      </w:pPr>
      <w:r>
        <w:rPr>
          <w:rStyle w:val="CommentReference"/>
        </w:rPr>
        <w:commentReference w:id="18"/>
      </w:r>
      <w:commentRangeStart w:id="19"/>
      <w:r w:rsidR="001C76FE" w:rsidRPr="003F2CA8">
        <w:rPr>
          <w:rFonts w:ascii="Times New Roman" w:hAnsi="Times New Roman" w:cs="Times New Roman"/>
          <w:sz w:val="24"/>
          <w:szCs w:val="24"/>
        </w:rPr>
        <w:t xml:space="preserve">Regarding the history of NSAIDs use including the use of aspirin in all of its recommended doses, many studies with different designs reached the conclusion of considering the use of NSAIDs as a major risk factor </w:t>
      </w:r>
      <w:r w:rsidR="00BE0D55" w:rsidRPr="003F2CA8">
        <w:rPr>
          <w:rFonts w:ascii="Times New Roman" w:hAnsi="Times New Roman" w:cs="Times New Roman"/>
          <w:sz w:val="24"/>
          <w:szCs w:val="24"/>
        </w:rPr>
        <w:t>in</w:t>
      </w:r>
      <w:r w:rsidR="001C76FE" w:rsidRPr="003F2CA8">
        <w:rPr>
          <w:rFonts w:ascii="Times New Roman" w:hAnsi="Times New Roman" w:cs="Times New Roman"/>
          <w:sz w:val="24"/>
          <w:szCs w:val="24"/>
        </w:rPr>
        <w:t xml:space="preserve"> the development of upper GIT bleeding which is the main cause of morbidity and mortality related to NSAIDs use</w:t>
      </w:r>
      <w:r w:rsidR="001C76FE" w:rsidRPr="003F2CA8">
        <w:rPr>
          <w:rFonts w:ascii="Times New Roman" w:hAnsi="Times New Roman" w:cs="Times New Roman"/>
          <w:sz w:val="24"/>
          <w:szCs w:val="24"/>
          <w:vertAlign w:val="superscript"/>
        </w:rPr>
        <w:t>(</w:t>
      </w:r>
      <w:r w:rsidR="00C26DEA" w:rsidRPr="003F2CA8">
        <w:rPr>
          <w:rFonts w:ascii="Times New Roman" w:hAnsi="Times New Roman" w:cs="Times New Roman"/>
          <w:sz w:val="24"/>
          <w:szCs w:val="24"/>
          <w:vertAlign w:val="superscript"/>
        </w:rPr>
        <w:t>31,32)</w:t>
      </w:r>
      <w:r w:rsidR="001C76FE" w:rsidRPr="003F2CA8">
        <w:rPr>
          <w:rFonts w:ascii="Times New Roman" w:hAnsi="Times New Roman" w:cs="Times New Roman"/>
          <w:sz w:val="24"/>
          <w:szCs w:val="24"/>
        </w:rPr>
        <w:t xml:space="preserve"> In the United States cohort of rheumatoid arthritis patients alone, it has been estimated that GI toxicity related to NSAIDs use accounts for at least 2600 deaths annually</w:t>
      </w:r>
      <w:r w:rsidR="001C76FE" w:rsidRPr="003F2CA8">
        <w:rPr>
          <w:rFonts w:ascii="Times New Roman" w:hAnsi="Times New Roman" w:cs="Times New Roman"/>
          <w:sz w:val="24"/>
          <w:szCs w:val="24"/>
          <w:vertAlign w:val="superscript"/>
        </w:rPr>
        <w:t>(</w:t>
      </w:r>
      <w:r w:rsidR="00C26DEA" w:rsidRPr="003F2CA8">
        <w:rPr>
          <w:rFonts w:ascii="Times New Roman" w:hAnsi="Times New Roman" w:cs="Times New Roman"/>
          <w:sz w:val="24"/>
          <w:szCs w:val="24"/>
          <w:vertAlign w:val="superscript"/>
        </w:rPr>
        <w:t>33</w:t>
      </w:r>
      <w:r w:rsidR="001C76FE" w:rsidRPr="003F2CA8">
        <w:rPr>
          <w:rFonts w:ascii="Times New Roman" w:hAnsi="Times New Roman" w:cs="Times New Roman"/>
          <w:sz w:val="24"/>
          <w:szCs w:val="24"/>
          <w:vertAlign w:val="superscript"/>
        </w:rPr>
        <w:t>)</w:t>
      </w:r>
      <w:r w:rsidR="001C76FE" w:rsidRPr="003F2CA8">
        <w:rPr>
          <w:rFonts w:ascii="Times New Roman" w:hAnsi="Times New Roman" w:cs="Times New Roman"/>
          <w:sz w:val="24"/>
          <w:szCs w:val="24"/>
        </w:rPr>
        <w:t xml:space="preserve">. This study had shown that 48% of those with upper GIT bleeding were using NSAIDs, making the use of NSAIDs the most frequent risk factors for developing upper GI bleeding in the sample enrolled in this study. Lim </w:t>
      </w:r>
      <w:commentRangeStart w:id="20"/>
      <w:r w:rsidR="001C76FE" w:rsidRPr="003F2CA8">
        <w:rPr>
          <w:rFonts w:ascii="Times New Roman" w:hAnsi="Times New Roman" w:cs="Times New Roman"/>
          <w:sz w:val="24"/>
          <w:szCs w:val="24"/>
        </w:rPr>
        <w:t xml:space="preserve">et al </w:t>
      </w:r>
      <w:commentRangeEnd w:id="20"/>
      <w:r w:rsidR="00E94CCF">
        <w:rPr>
          <w:rStyle w:val="CommentReference"/>
        </w:rPr>
        <w:commentReference w:id="20"/>
      </w:r>
      <w:r w:rsidR="001C76FE" w:rsidRPr="003F2CA8">
        <w:rPr>
          <w:rFonts w:ascii="Times New Roman" w:hAnsi="Times New Roman" w:cs="Times New Roman"/>
          <w:sz w:val="24"/>
          <w:szCs w:val="24"/>
        </w:rPr>
        <w:t xml:space="preserve">(2005) indicated that over 25% of those with significant upper GIT bleeding were using NSAIDs including COX2 </w:t>
      </w:r>
      <w:r w:rsidR="00BE0D55" w:rsidRPr="003F2CA8">
        <w:rPr>
          <w:rFonts w:ascii="Times New Roman" w:hAnsi="Times New Roman" w:cs="Times New Roman"/>
          <w:sz w:val="24"/>
          <w:szCs w:val="24"/>
        </w:rPr>
        <w:t>inhibitors</w:t>
      </w:r>
      <w:r w:rsidR="00BE0D55" w:rsidRPr="003F2CA8">
        <w:rPr>
          <w:rFonts w:ascii="Times New Roman" w:hAnsi="Times New Roman" w:cs="Times New Roman"/>
          <w:sz w:val="24"/>
          <w:szCs w:val="24"/>
          <w:vertAlign w:val="superscript"/>
        </w:rPr>
        <w:t xml:space="preserve"> (</w:t>
      </w:r>
      <w:r w:rsidR="00C26DEA" w:rsidRPr="003F2CA8">
        <w:rPr>
          <w:rFonts w:ascii="Times New Roman" w:hAnsi="Times New Roman" w:cs="Times New Roman"/>
          <w:sz w:val="24"/>
          <w:szCs w:val="24"/>
          <w:vertAlign w:val="superscript"/>
        </w:rPr>
        <w:t>31</w:t>
      </w:r>
      <w:r w:rsidR="001C76FE" w:rsidRPr="003F2CA8">
        <w:rPr>
          <w:rFonts w:ascii="Times New Roman" w:hAnsi="Times New Roman" w:cs="Times New Roman"/>
          <w:sz w:val="24"/>
          <w:szCs w:val="24"/>
          <w:vertAlign w:val="superscript"/>
        </w:rPr>
        <w:t>)</w:t>
      </w:r>
      <w:r w:rsidR="001C76FE" w:rsidRPr="003F2CA8">
        <w:rPr>
          <w:rFonts w:ascii="Times New Roman" w:hAnsi="Times New Roman" w:cs="Times New Roman"/>
          <w:sz w:val="24"/>
          <w:szCs w:val="24"/>
        </w:rPr>
        <w:t>. T</w:t>
      </w:r>
      <w:r w:rsidR="00BE0D55" w:rsidRPr="003F2CA8">
        <w:rPr>
          <w:rFonts w:ascii="Times New Roman" w:hAnsi="Times New Roman" w:cs="Times New Roman"/>
          <w:sz w:val="24"/>
          <w:szCs w:val="24"/>
        </w:rPr>
        <w:t>he</w:t>
      </w:r>
      <w:r w:rsidR="001C76FE" w:rsidRPr="003F2CA8">
        <w:rPr>
          <w:rFonts w:ascii="Times New Roman" w:hAnsi="Times New Roman" w:cs="Times New Roman"/>
          <w:sz w:val="24"/>
          <w:szCs w:val="24"/>
        </w:rPr>
        <w:t xml:space="preserve"> relatively higher frequency of NSAIDs use among patients enrolled in </w:t>
      </w:r>
      <w:commentRangeStart w:id="21"/>
      <w:r w:rsidR="001C76FE" w:rsidRPr="003F2CA8">
        <w:rPr>
          <w:rFonts w:ascii="Times New Roman" w:hAnsi="Times New Roman" w:cs="Times New Roman"/>
          <w:sz w:val="24"/>
          <w:szCs w:val="24"/>
        </w:rPr>
        <w:t>our</w:t>
      </w:r>
      <w:commentRangeEnd w:id="21"/>
      <w:r w:rsidR="00F76AD0">
        <w:rPr>
          <w:rStyle w:val="CommentReference"/>
        </w:rPr>
        <w:commentReference w:id="21"/>
      </w:r>
      <w:r w:rsidR="001C76FE" w:rsidRPr="003F2CA8">
        <w:rPr>
          <w:rFonts w:ascii="Times New Roman" w:hAnsi="Times New Roman" w:cs="Times New Roman"/>
          <w:sz w:val="24"/>
          <w:szCs w:val="24"/>
        </w:rPr>
        <w:t xml:space="preserve"> study (48% in our study versus 25% in Lim’s study) can be attributed to the current trends in our community </w:t>
      </w:r>
      <w:r w:rsidR="00BE0D55" w:rsidRPr="003F2CA8">
        <w:rPr>
          <w:rFonts w:ascii="Times New Roman" w:hAnsi="Times New Roman" w:cs="Times New Roman"/>
          <w:sz w:val="24"/>
          <w:szCs w:val="24"/>
        </w:rPr>
        <w:t xml:space="preserve">where drugs are available without proper prescription by an authorized </w:t>
      </w:r>
      <w:r w:rsidR="009B781F" w:rsidRPr="003F2CA8">
        <w:rPr>
          <w:rFonts w:ascii="Times New Roman" w:hAnsi="Times New Roman" w:cs="Times New Roman"/>
          <w:sz w:val="24"/>
          <w:szCs w:val="24"/>
        </w:rPr>
        <w:t>physician;</w:t>
      </w:r>
      <w:r w:rsidR="001C76FE" w:rsidRPr="003F2CA8">
        <w:rPr>
          <w:rFonts w:ascii="Times New Roman" w:hAnsi="Times New Roman" w:cs="Times New Roman"/>
          <w:sz w:val="24"/>
          <w:szCs w:val="24"/>
        </w:rPr>
        <w:t xml:space="preserve"> this makes a lot of NSAIDs</w:t>
      </w:r>
      <w:r w:rsidR="00BE0D55" w:rsidRPr="003F2CA8">
        <w:rPr>
          <w:rFonts w:ascii="Times New Roman" w:hAnsi="Times New Roman" w:cs="Times New Roman"/>
          <w:sz w:val="24"/>
          <w:szCs w:val="24"/>
        </w:rPr>
        <w:t xml:space="preserve"> as</w:t>
      </w:r>
      <w:r w:rsidR="001C76FE" w:rsidRPr="003F2CA8">
        <w:rPr>
          <w:rFonts w:ascii="Times New Roman" w:hAnsi="Times New Roman" w:cs="Times New Roman"/>
          <w:sz w:val="24"/>
          <w:szCs w:val="24"/>
        </w:rPr>
        <w:t xml:space="preserve"> </w:t>
      </w:r>
      <w:r w:rsidR="00BE0D55" w:rsidRPr="003F2CA8">
        <w:rPr>
          <w:rFonts w:ascii="Times New Roman" w:hAnsi="Times New Roman" w:cs="Times New Roman"/>
          <w:sz w:val="24"/>
          <w:szCs w:val="24"/>
        </w:rPr>
        <w:t>a</w:t>
      </w:r>
      <w:r w:rsidR="001C76FE" w:rsidRPr="003F2CA8">
        <w:rPr>
          <w:rFonts w:ascii="Times New Roman" w:hAnsi="Times New Roman" w:cs="Times New Roman"/>
          <w:sz w:val="24"/>
          <w:szCs w:val="24"/>
        </w:rPr>
        <w:t>n</w:t>
      </w:r>
      <w:r w:rsidR="00BE0D55" w:rsidRPr="003F2CA8">
        <w:rPr>
          <w:rFonts w:ascii="Times New Roman" w:hAnsi="Times New Roman" w:cs="Times New Roman"/>
          <w:sz w:val="24"/>
          <w:szCs w:val="24"/>
        </w:rPr>
        <w:t xml:space="preserve"> </w:t>
      </w:r>
      <w:r w:rsidR="001C76FE" w:rsidRPr="003F2CA8">
        <w:rPr>
          <w:rFonts w:ascii="Times New Roman" w:hAnsi="Times New Roman" w:cs="Times New Roman"/>
          <w:sz w:val="24"/>
          <w:szCs w:val="24"/>
        </w:rPr>
        <w:t xml:space="preserve">over </w:t>
      </w:r>
      <w:r w:rsidR="00BE0D55" w:rsidRPr="003F2CA8">
        <w:rPr>
          <w:rFonts w:ascii="Times New Roman" w:hAnsi="Times New Roman" w:cs="Times New Roman"/>
          <w:sz w:val="24"/>
          <w:szCs w:val="24"/>
        </w:rPr>
        <w:t xml:space="preserve">the </w:t>
      </w:r>
      <w:r w:rsidR="001C76FE" w:rsidRPr="003F2CA8">
        <w:rPr>
          <w:rFonts w:ascii="Times New Roman" w:hAnsi="Times New Roman" w:cs="Times New Roman"/>
          <w:sz w:val="24"/>
          <w:szCs w:val="24"/>
        </w:rPr>
        <w:t>shelf medicine with more frequent use</w:t>
      </w:r>
      <w:r w:rsidR="009B781F" w:rsidRPr="003F2CA8">
        <w:rPr>
          <w:rFonts w:ascii="Times New Roman" w:hAnsi="Times New Roman" w:cs="Times New Roman"/>
          <w:sz w:val="24"/>
          <w:szCs w:val="24"/>
        </w:rPr>
        <w:t xml:space="preserve"> as an analgesic.   </w:t>
      </w:r>
      <w:r w:rsidR="001C76FE" w:rsidRPr="003F2CA8">
        <w:rPr>
          <w:rFonts w:ascii="Times New Roman" w:hAnsi="Times New Roman" w:cs="Times New Roman"/>
          <w:sz w:val="24"/>
          <w:szCs w:val="24"/>
        </w:rPr>
        <w:t xml:space="preserve"> </w:t>
      </w:r>
    </w:p>
    <w:p w:rsidR="001C76FE" w:rsidRPr="003F2CA8" w:rsidRDefault="001C76FE"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 xml:space="preserve">This study indicated that different types of NSAIDs had different frequency of usage in patients with upper GIT bleeding, with aspirin as the most frequently used drug (64.6% of the sample). Other NSAIDs were observed much less frequently including ibuprofen, diclofenac (Voltarin®), indomethacin (Indocid®) and </w:t>
      </w:r>
      <w:r w:rsidR="00A01BF7" w:rsidRPr="003F2CA8">
        <w:rPr>
          <w:rFonts w:ascii="Times New Roman" w:hAnsi="Times New Roman" w:cs="Times New Roman"/>
          <w:sz w:val="24"/>
          <w:szCs w:val="24"/>
        </w:rPr>
        <w:t xml:space="preserve">meloxicam ( </w:t>
      </w:r>
      <w:r w:rsidRPr="003F2CA8">
        <w:rPr>
          <w:rFonts w:ascii="Times New Roman" w:hAnsi="Times New Roman" w:cs="Times New Roman"/>
          <w:sz w:val="24"/>
          <w:szCs w:val="24"/>
        </w:rPr>
        <w:t>mobic®</w:t>
      </w:r>
      <w:r w:rsidR="00A01BF7" w:rsidRPr="003F2CA8">
        <w:rPr>
          <w:rFonts w:ascii="Times New Roman" w:hAnsi="Times New Roman" w:cs="Times New Roman"/>
          <w:sz w:val="24"/>
          <w:szCs w:val="24"/>
        </w:rPr>
        <w:t>),</w:t>
      </w:r>
      <w:r w:rsidRPr="003F2CA8">
        <w:rPr>
          <w:rFonts w:ascii="Times New Roman" w:hAnsi="Times New Roman" w:cs="Times New Roman"/>
          <w:sz w:val="24"/>
          <w:szCs w:val="24"/>
        </w:rPr>
        <w:t xml:space="preserve"> which had been used by 16.7%, 12.8%, 8.3% and 6.25% of patients, respectively. On reviewing the results of similar studies</w:t>
      </w:r>
      <w:r w:rsidR="00434BCD" w:rsidRPr="003F2CA8">
        <w:rPr>
          <w:rFonts w:ascii="Times New Roman" w:hAnsi="Times New Roman" w:cs="Times New Roman"/>
          <w:sz w:val="24"/>
          <w:szCs w:val="24"/>
        </w:rPr>
        <w:t xml:space="preserve"> ,</w:t>
      </w:r>
      <w:r w:rsidRPr="003F2CA8">
        <w:rPr>
          <w:rFonts w:ascii="Times New Roman" w:hAnsi="Times New Roman" w:cs="Times New Roman"/>
          <w:sz w:val="24"/>
          <w:szCs w:val="24"/>
        </w:rPr>
        <w:t xml:space="preserve"> the risk of gastrointestinal complications was highest with indomethacin and putting ibuprofen </w:t>
      </w:r>
      <w:r w:rsidR="00434BCD" w:rsidRPr="003F2CA8">
        <w:rPr>
          <w:rFonts w:ascii="Times New Roman" w:hAnsi="Times New Roman" w:cs="Times New Roman"/>
          <w:sz w:val="24"/>
          <w:szCs w:val="24"/>
        </w:rPr>
        <w:t xml:space="preserve">at the </w:t>
      </w:r>
      <w:r w:rsidR="00A01BF7" w:rsidRPr="003F2CA8">
        <w:rPr>
          <w:rFonts w:ascii="Times New Roman" w:hAnsi="Times New Roman" w:cs="Times New Roman"/>
          <w:sz w:val="24"/>
          <w:szCs w:val="24"/>
        </w:rPr>
        <w:t>bottom</w:t>
      </w:r>
      <w:r w:rsidRPr="003F2CA8">
        <w:rPr>
          <w:rFonts w:ascii="Times New Roman" w:hAnsi="Times New Roman" w:cs="Times New Roman"/>
          <w:sz w:val="24"/>
          <w:szCs w:val="24"/>
        </w:rPr>
        <w:t xml:space="preserve"> of the list</w:t>
      </w:r>
      <w:r w:rsidRPr="003F2CA8">
        <w:rPr>
          <w:rFonts w:ascii="Times New Roman" w:hAnsi="Times New Roman" w:cs="Times New Roman"/>
          <w:sz w:val="24"/>
          <w:szCs w:val="24"/>
          <w:vertAlign w:val="superscript"/>
        </w:rPr>
        <w:t>(</w:t>
      </w:r>
      <w:r w:rsidR="00A01BF7" w:rsidRPr="003F2CA8">
        <w:rPr>
          <w:rFonts w:ascii="Times New Roman" w:hAnsi="Times New Roman" w:cs="Times New Roman"/>
          <w:sz w:val="24"/>
          <w:szCs w:val="24"/>
          <w:vertAlign w:val="superscript"/>
        </w:rPr>
        <w:t>34</w:t>
      </w:r>
      <w:r w:rsidRPr="003F2CA8">
        <w:rPr>
          <w:rFonts w:ascii="Times New Roman" w:hAnsi="Times New Roman" w:cs="Times New Roman"/>
          <w:sz w:val="24"/>
          <w:szCs w:val="24"/>
          <w:vertAlign w:val="superscript"/>
        </w:rPr>
        <w:t>)</w:t>
      </w:r>
      <w:r w:rsidRPr="003F2CA8">
        <w:rPr>
          <w:rFonts w:ascii="Times New Roman" w:hAnsi="Times New Roman" w:cs="Times New Roman"/>
          <w:sz w:val="24"/>
          <w:szCs w:val="24"/>
        </w:rPr>
        <w:t xml:space="preserve">. Another potentially important finding that can be </w:t>
      </w:r>
      <w:r w:rsidR="00434BCD" w:rsidRPr="003F2CA8">
        <w:rPr>
          <w:rFonts w:ascii="Times New Roman" w:hAnsi="Times New Roman" w:cs="Times New Roman"/>
          <w:sz w:val="24"/>
          <w:szCs w:val="24"/>
        </w:rPr>
        <w:t>derived</w:t>
      </w:r>
      <w:r w:rsidRPr="003F2CA8">
        <w:rPr>
          <w:rFonts w:ascii="Times New Roman" w:hAnsi="Times New Roman" w:cs="Times New Roman"/>
          <w:sz w:val="24"/>
          <w:szCs w:val="24"/>
        </w:rPr>
        <w:t xml:space="preserve"> from this study is </w:t>
      </w:r>
      <w:r w:rsidR="00434BCD" w:rsidRPr="003F2CA8">
        <w:rPr>
          <w:rFonts w:ascii="Times New Roman" w:hAnsi="Times New Roman" w:cs="Times New Roman"/>
          <w:sz w:val="24"/>
          <w:szCs w:val="24"/>
        </w:rPr>
        <w:t>that</w:t>
      </w:r>
      <w:r w:rsidRPr="003F2CA8">
        <w:rPr>
          <w:rFonts w:ascii="Times New Roman" w:hAnsi="Times New Roman" w:cs="Times New Roman"/>
          <w:sz w:val="24"/>
          <w:szCs w:val="24"/>
        </w:rPr>
        <w:t xml:space="preserve"> cox2 inhibitor</w:t>
      </w:r>
      <w:r w:rsidR="00434BCD" w:rsidRPr="003F2CA8">
        <w:rPr>
          <w:rFonts w:ascii="Times New Roman" w:hAnsi="Times New Roman" w:cs="Times New Roman"/>
          <w:sz w:val="24"/>
          <w:szCs w:val="24"/>
        </w:rPr>
        <w:t xml:space="preserve">s are </w:t>
      </w:r>
      <w:r w:rsidRPr="003F2CA8">
        <w:rPr>
          <w:rFonts w:ascii="Times New Roman" w:hAnsi="Times New Roman" w:cs="Times New Roman"/>
          <w:sz w:val="24"/>
          <w:szCs w:val="24"/>
        </w:rPr>
        <w:t xml:space="preserve">the least frequent risk factor for upper GI bleeding in our sample (6.25% of the sample). </w:t>
      </w:r>
      <w:r w:rsidR="009C01C1" w:rsidRPr="003F2CA8">
        <w:rPr>
          <w:rFonts w:ascii="Times New Roman" w:hAnsi="Times New Roman" w:cs="Times New Roman"/>
          <w:sz w:val="24"/>
          <w:szCs w:val="24"/>
        </w:rPr>
        <w:t xml:space="preserve"> </w:t>
      </w:r>
      <w:r w:rsidRPr="003F2CA8">
        <w:rPr>
          <w:rFonts w:ascii="Times New Roman" w:hAnsi="Times New Roman" w:cs="Times New Roman"/>
          <w:sz w:val="24"/>
          <w:szCs w:val="24"/>
        </w:rPr>
        <w:t xml:space="preserve"> This finding is similar to the finding of two large trials that studied the effect of cox2 inhibitors to reduce the gastrointestinal complications. The first trial is the CLASS study which involved 8059 patients and found that over the initial six months of therapy, cox2 inhibitors were associated with significantly fewer symptomatic ulcers and ulcer complications than ibuprofen or diclofenac </w:t>
      </w:r>
      <w:r w:rsidRPr="003F2CA8">
        <w:rPr>
          <w:rFonts w:ascii="Times New Roman" w:hAnsi="Times New Roman" w:cs="Times New Roman"/>
          <w:sz w:val="24"/>
          <w:szCs w:val="24"/>
          <w:vertAlign w:val="superscript"/>
        </w:rPr>
        <w:t>(</w:t>
      </w:r>
      <w:r w:rsidR="00A95064" w:rsidRPr="003F2CA8">
        <w:rPr>
          <w:rFonts w:ascii="Times New Roman" w:hAnsi="Times New Roman" w:cs="Times New Roman"/>
          <w:sz w:val="24"/>
          <w:szCs w:val="24"/>
          <w:vertAlign w:val="superscript"/>
        </w:rPr>
        <w:t>35</w:t>
      </w:r>
      <w:r w:rsidRPr="003F2CA8">
        <w:rPr>
          <w:rFonts w:ascii="Times New Roman" w:hAnsi="Times New Roman" w:cs="Times New Roman"/>
          <w:sz w:val="24"/>
          <w:szCs w:val="24"/>
          <w:vertAlign w:val="superscript"/>
        </w:rPr>
        <w:t>)</w:t>
      </w:r>
      <w:r w:rsidRPr="003F2CA8">
        <w:rPr>
          <w:rFonts w:ascii="Times New Roman" w:hAnsi="Times New Roman" w:cs="Times New Roman"/>
          <w:sz w:val="24"/>
          <w:szCs w:val="24"/>
        </w:rPr>
        <w:t>. A second trial (the SUCCESS-I study) included a total of 13, 274 patients with osteoarthritis from 39 countries and found that there was a reduction in gastrointestinal complications only in patients not taking concomitant aspirin i.e. cox2 inhibitors only</w:t>
      </w:r>
      <w:r w:rsidRPr="003F2CA8">
        <w:rPr>
          <w:rFonts w:ascii="Times New Roman" w:hAnsi="Times New Roman" w:cs="Times New Roman"/>
          <w:sz w:val="24"/>
          <w:szCs w:val="24"/>
          <w:vertAlign w:val="superscript"/>
        </w:rPr>
        <w:t xml:space="preserve"> (</w:t>
      </w:r>
      <w:r w:rsidR="00A95064" w:rsidRPr="003F2CA8">
        <w:rPr>
          <w:rFonts w:ascii="Times New Roman" w:hAnsi="Times New Roman" w:cs="Times New Roman"/>
          <w:sz w:val="24"/>
          <w:szCs w:val="24"/>
          <w:vertAlign w:val="superscript"/>
        </w:rPr>
        <w:t>36</w:t>
      </w:r>
      <w:r w:rsidRPr="003F2CA8">
        <w:rPr>
          <w:rFonts w:ascii="Times New Roman" w:hAnsi="Times New Roman" w:cs="Times New Roman"/>
          <w:sz w:val="24"/>
          <w:szCs w:val="24"/>
          <w:vertAlign w:val="superscript"/>
        </w:rPr>
        <w:t>)</w:t>
      </w:r>
      <w:r w:rsidRPr="003F2CA8">
        <w:rPr>
          <w:rFonts w:ascii="Times New Roman" w:hAnsi="Times New Roman" w:cs="Times New Roman"/>
          <w:sz w:val="24"/>
          <w:szCs w:val="24"/>
        </w:rPr>
        <w:t xml:space="preserve">. </w:t>
      </w:r>
    </w:p>
    <w:commentRangeEnd w:id="19"/>
    <w:p w:rsidR="001C76FE" w:rsidRPr="003F2CA8" w:rsidRDefault="00E706F8" w:rsidP="003F2CA8">
      <w:pPr>
        <w:spacing w:after="0"/>
        <w:jc w:val="both"/>
        <w:rPr>
          <w:rFonts w:ascii="Times New Roman" w:hAnsi="Times New Roman" w:cs="Times New Roman"/>
          <w:sz w:val="24"/>
          <w:szCs w:val="24"/>
        </w:rPr>
      </w:pPr>
      <w:r>
        <w:rPr>
          <w:rStyle w:val="CommentReference"/>
        </w:rPr>
        <w:commentReference w:id="19"/>
      </w:r>
      <w:commentRangeStart w:id="22"/>
      <w:r w:rsidR="001C76FE" w:rsidRPr="003F2CA8">
        <w:rPr>
          <w:rFonts w:ascii="Times New Roman" w:hAnsi="Times New Roman" w:cs="Times New Roman"/>
          <w:sz w:val="24"/>
          <w:szCs w:val="24"/>
        </w:rPr>
        <w:t xml:space="preserve">The cornerstone in approaching the problem of NSAIDs induced gastrointestinal toxicity is the primary prevention of such a catastrophic adverse effect aiming to reduce the associated high mortality and </w:t>
      </w:r>
      <w:r w:rsidR="00E224A8" w:rsidRPr="003F2CA8">
        <w:rPr>
          <w:rFonts w:ascii="Times New Roman" w:hAnsi="Times New Roman" w:cs="Times New Roman"/>
          <w:sz w:val="24"/>
          <w:szCs w:val="24"/>
        </w:rPr>
        <w:t>morbidity</w:t>
      </w:r>
      <w:r w:rsidR="00E224A8" w:rsidRPr="003F2CA8">
        <w:rPr>
          <w:rFonts w:ascii="Times New Roman" w:hAnsi="Times New Roman" w:cs="Times New Roman"/>
          <w:sz w:val="24"/>
          <w:szCs w:val="24"/>
          <w:vertAlign w:val="superscript"/>
        </w:rPr>
        <w:t xml:space="preserve"> (</w:t>
      </w:r>
      <w:r w:rsidR="00A95064" w:rsidRPr="003F2CA8">
        <w:rPr>
          <w:rFonts w:ascii="Times New Roman" w:hAnsi="Times New Roman" w:cs="Times New Roman"/>
          <w:sz w:val="24"/>
          <w:szCs w:val="24"/>
          <w:vertAlign w:val="superscript"/>
        </w:rPr>
        <w:t>32</w:t>
      </w:r>
      <w:r w:rsidR="001C76FE" w:rsidRPr="003F2CA8">
        <w:rPr>
          <w:rFonts w:ascii="Times New Roman" w:hAnsi="Times New Roman" w:cs="Times New Roman"/>
          <w:sz w:val="24"/>
          <w:szCs w:val="24"/>
          <w:vertAlign w:val="superscript"/>
        </w:rPr>
        <w:t>)</w:t>
      </w:r>
      <w:r w:rsidR="001C76FE" w:rsidRPr="003F2CA8">
        <w:rPr>
          <w:rFonts w:ascii="Times New Roman" w:hAnsi="Times New Roman" w:cs="Times New Roman"/>
          <w:sz w:val="24"/>
          <w:szCs w:val="24"/>
        </w:rPr>
        <w:t xml:space="preserve">. Proton pump inhibitors (PPIs) are useful for the prevention of NSAIDs induced </w:t>
      </w:r>
      <w:r w:rsidR="00434BCD" w:rsidRPr="003F2CA8">
        <w:rPr>
          <w:rFonts w:ascii="Times New Roman" w:hAnsi="Times New Roman" w:cs="Times New Roman"/>
          <w:sz w:val="24"/>
          <w:szCs w:val="24"/>
        </w:rPr>
        <w:t>ulcers</w:t>
      </w:r>
      <w:r w:rsidR="00434BCD" w:rsidRPr="003F2CA8">
        <w:rPr>
          <w:rFonts w:ascii="Times New Roman" w:hAnsi="Times New Roman" w:cs="Times New Roman"/>
          <w:sz w:val="24"/>
          <w:szCs w:val="24"/>
          <w:vertAlign w:val="superscript"/>
        </w:rPr>
        <w:t xml:space="preserve"> (</w:t>
      </w:r>
      <w:r w:rsidR="00A95064" w:rsidRPr="003F2CA8">
        <w:rPr>
          <w:rFonts w:ascii="Times New Roman" w:hAnsi="Times New Roman" w:cs="Times New Roman"/>
          <w:sz w:val="24"/>
          <w:szCs w:val="24"/>
          <w:vertAlign w:val="superscript"/>
        </w:rPr>
        <w:t>37-</w:t>
      </w:r>
      <w:r w:rsidR="00E52460" w:rsidRPr="003F2CA8">
        <w:rPr>
          <w:rFonts w:ascii="Times New Roman" w:hAnsi="Times New Roman" w:cs="Times New Roman"/>
          <w:sz w:val="24"/>
          <w:szCs w:val="24"/>
          <w:vertAlign w:val="superscript"/>
        </w:rPr>
        <w:t>40</w:t>
      </w:r>
      <w:r w:rsidR="001C76FE" w:rsidRPr="003F2CA8">
        <w:rPr>
          <w:rFonts w:ascii="Times New Roman" w:hAnsi="Times New Roman" w:cs="Times New Roman"/>
          <w:sz w:val="24"/>
          <w:szCs w:val="24"/>
          <w:vertAlign w:val="superscript"/>
        </w:rPr>
        <w:t>)</w:t>
      </w:r>
      <w:r w:rsidR="001C76FE" w:rsidRPr="003F2CA8">
        <w:rPr>
          <w:rFonts w:ascii="Times New Roman" w:hAnsi="Times New Roman" w:cs="Times New Roman"/>
          <w:sz w:val="24"/>
          <w:szCs w:val="24"/>
        </w:rPr>
        <w:t>. In an illustrative study, the combined incidence of gastric and duodenal ulcers detected endoscopically was reduced in patients who were also treated with 20 mg omeprazole per day (3.6% versus 16.5% with placebo at 6 months</w:t>
      </w:r>
      <w:r w:rsidR="003D7B6F" w:rsidRPr="003F2CA8">
        <w:rPr>
          <w:rFonts w:ascii="Times New Roman" w:hAnsi="Times New Roman" w:cs="Times New Roman"/>
          <w:sz w:val="24"/>
          <w:szCs w:val="24"/>
        </w:rPr>
        <w:t>)</w:t>
      </w:r>
      <w:r w:rsidR="003D7B6F" w:rsidRPr="003F2CA8">
        <w:rPr>
          <w:rFonts w:ascii="Times New Roman" w:hAnsi="Times New Roman" w:cs="Times New Roman"/>
          <w:sz w:val="24"/>
          <w:szCs w:val="24"/>
          <w:vertAlign w:val="superscript"/>
        </w:rPr>
        <w:t xml:space="preserve"> (</w:t>
      </w:r>
      <w:r w:rsidR="00E52460" w:rsidRPr="003F2CA8">
        <w:rPr>
          <w:rFonts w:ascii="Times New Roman" w:hAnsi="Times New Roman" w:cs="Times New Roman"/>
          <w:sz w:val="24"/>
          <w:szCs w:val="24"/>
          <w:vertAlign w:val="superscript"/>
        </w:rPr>
        <w:t>40</w:t>
      </w:r>
      <w:r w:rsidR="001C76FE" w:rsidRPr="003F2CA8">
        <w:rPr>
          <w:rFonts w:ascii="Times New Roman" w:hAnsi="Times New Roman" w:cs="Times New Roman"/>
          <w:sz w:val="24"/>
          <w:szCs w:val="24"/>
          <w:vertAlign w:val="superscript"/>
        </w:rPr>
        <w:t>)</w:t>
      </w:r>
      <w:r w:rsidR="001C76FE" w:rsidRPr="003F2CA8">
        <w:rPr>
          <w:rFonts w:ascii="Times New Roman" w:hAnsi="Times New Roman" w:cs="Times New Roman"/>
          <w:sz w:val="24"/>
          <w:szCs w:val="24"/>
        </w:rPr>
        <w:t xml:space="preserve">. Unfortunately, </w:t>
      </w:r>
      <w:commentRangeStart w:id="23"/>
      <w:r w:rsidR="009B781F" w:rsidRPr="003F2CA8">
        <w:rPr>
          <w:rFonts w:ascii="Times New Roman" w:hAnsi="Times New Roman" w:cs="Times New Roman"/>
          <w:sz w:val="24"/>
          <w:szCs w:val="24"/>
        </w:rPr>
        <w:t>our</w:t>
      </w:r>
      <w:commentRangeEnd w:id="23"/>
      <w:r w:rsidR="00F76AD0">
        <w:rPr>
          <w:rStyle w:val="CommentReference"/>
        </w:rPr>
        <w:commentReference w:id="23"/>
      </w:r>
      <w:r w:rsidR="001C76FE" w:rsidRPr="003F2CA8">
        <w:rPr>
          <w:rFonts w:ascii="Times New Roman" w:hAnsi="Times New Roman" w:cs="Times New Roman"/>
          <w:sz w:val="24"/>
          <w:szCs w:val="24"/>
        </w:rPr>
        <w:t xml:space="preserve"> study only 11 out of 48 patients using NSAIDs (22.9%) were taking PPIs for the prevention of NSAIDs induced GIT bleeding. This means that the remaining 37 patients (77.1%) had been deprived from the protecting effect of PPIs use despite their history of NSAIDs intake.</w:t>
      </w:r>
    </w:p>
    <w:p w:rsidR="009B1A43" w:rsidRPr="003F2CA8" w:rsidRDefault="009B781F" w:rsidP="003F2CA8">
      <w:pPr>
        <w:spacing w:after="0"/>
        <w:jc w:val="both"/>
        <w:rPr>
          <w:rFonts w:ascii="Times New Roman" w:hAnsi="Times New Roman" w:cs="Times New Roman"/>
          <w:sz w:val="24"/>
          <w:szCs w:val="24"/>
        </w:rPr>
      </w:pPr>
      <w:r w:rsidRPr="003F2CA8">
        <w:rPr>
          <w:rFonts w:ascii="Times New Roman" w:hAnsi="Times New Roman" w:cs="Times New Roman"/>
          <w:sz w:val="24"/>
          <w:szCs w:val="24"/>
        </w:rPr>
        <w:t>This study revealed that NSAIDs use was</w:t>
      </w:r>
      <w:r w:rsidR="001C76FE" w:rsidRPr="003F2CA8">
        <w:rPr>
          <w:rFonts w:ascii="Times New Roman" w:hAnsi="Times New Roman" w:cs="Times New Roman"/>
          <w:sz w:val="24"/>
          <w:szCs w:val="24"/>
        </w:rPr>
        <w:t xml:space="preserve"> more frequently associated with gastric mucosal injury. Twenty three out of 34 patients (67.6%), diagnosed endoscopically as having a gastric mucosal </w:t>
      </w:r>
      <w:r w:rsidR="001C76FE" w:rsidRPr="003F2CA8">
        <w:rPr>
          <w:rFonts w:ascii="Times New Roman" w:hAnsi="Times New Roman" w:cs="Times New Roman"/>
          <w:sz w:val="24"/>
          <w:szCs w:val="24"/>
        </w:rPr>
        <w:lastRenderedPageBreak/>
        <w:t xml:space="preserve">injury in </w:t>
      </w:r>
      <w:r w:rsidRPr="003F2CA8">
        <w:rPr>
          <w:rFonts w:ascii="Times New Roman" w:hAnsi="Times New Roman" w:cs="Times New Roman"/>
          <w:sz w:val="24"/>
          <w:szCs w:val="24"/>
        </w:rPr>
        <w:t xml:space="preserve"> the </w:t>
      </w:r>
      <w:r w:rsidR="001C76FE" w:rsidRPr="003F2CA8">
        <w:rPr>
          <w:rFonts w:ascii="Times New Roman" w:hAnsi="Times New Roman" w:cs="Times New Roman"/>
          <w:sz w:val="24"/>
          <w:szCs w:val="24"/>
        </w:rPr>
        <w:t xml:space="preserve">form of either </w:t>
      </w:r>
      <w:r w:rsidR="00CA7A94" w:rsidRPr="003F2CA8">
        <w:rPr>
          <w:rFonts w:ascii="Times New Roman" w:hAnsi="Times New Roman" w:cs="Times New Roman"/>
          <w:sz w:val="24"/>
          <w:szCs w:val="24"/>
        </w:rPr>
        <w:t xml:space="preserve">erosive </w:t>
      </w:r>
      <w:r w:rsidR="001C76FE" w:rsidRPr="003F2CA8">
        <w:rPr>
          <w:rFonts w:ascii="Times New Roman" w:hAnsi="Times New Roman" w:cs="Times New Roman"/>
          <w:sz w:val="24"/>
          <w:szCs w:val="24"/>
        </w:rPr>
        <w:t xml:space="preserve">gastritis (13 patients) or gastric ulcer (10 patients), were using NSAIDs. This higher frequency of gastric mucosal injury in association with NSAIDs use in comparison to less frequent injuries to other parts of GI tract, can be related to the fact that gastric mucosa, not the duodenal or esophageal mucosa, is dependent on COX-1 (which would be inhibited by NSAIDs) to generate mucosal-protective prostaglandins. This protective mechanism can be inhibited </w:t>
      </w:r>
      <w:r w:rsidR="00E52460" w:rsidRPr="003F2CA8">
        <w:rPr>
          <w:rFonts w:ascii="Times New Roman" w:hAnsi="Times New Roman" w:cs="Times New Roman"/>
          <w:sz w:val="24"/>
          <w:szCs w:val="24"/>
        </w:rPr>
        <w:t>by a very low dose</w:t>
      </w:r>
      <w:r w:rsidR="001C76FE" w:rsidRPr="003F2CA8">
        <w:rPr>
          <w:rFonts w:ascii="Times New Roman" w:hAnsi="Times New Roman" w:cs="Times New Roman"/>
          <w:sz w:val="24"/>
          <w:szCs w:val="24"/>
        </w:rPr>
        <w:t xml:space="preserve"> of aspirin or other NSAIDs. Cryer </w:t>
      </w:r>
      <w:commentRangeStart w:id="24"/>
      <w:r w:rsidR="001C76FE" w:rsidRPr="003F2CA8">
        <w:rPr>
          <w:rFonts w:ascii="Times New Roman" w:hAnsi="Times New Roman" w:cs="Times New Roman"/>
          <w:sz w:val="24"/>
          <w:szCs w:val="24"/>
        </w:rPr>
        <w:t xml:space="preserve">et al </w:t>
      </w:r>
      <w:commentRangeEnd w:id="24"/>
      <w:r w:rsidR="00E94CCF">
        <w:rPr>
          <w:rStyle w:val="CommentReference"/>
        </w:rPr>
        <w:commentReference w:id="24"/>
      </w:r>
      <w:r w:rsidR="001C76FE" w:rsidRPr="003F2CA8">
        <w:rPr>
          <w:rFonts w:ascii="Times New Roman" w:hAnsi="Times New Roman" w:cs="Times New Roman"/>
          <w:sz w:val="24"/>
          <w:szCs w:val="24"/>
        </w:rPr>
        <w:t xml:space="preserve">found that aspirin doses as low as 10 mg/day can inhibit gastric prostaglandin generation considerably and can damage the </w:t>
      </w:r>
      <w:r w:rsidRPr="003F2CA8">
        <w:rPr>
          <w:rFonts w:ascii="Times New Roman" w:hAnsi="Times New Roman" w:cs="Times New Roman"/>
          <w:sz w:val="24"/>
          <w:szCs w:val="24"/>
        </w:rPr>
        <w:t>stomach</w:t>
      </w:r>
      <w:r w:rsidRPr="003F2CA8">
        <w:rPr>
          <w:rFonts w:ascii="Times New Roman" w:hAnsi="Times New Roman" w:cs="Times New Roman"/>
          <w:sz w:val="24"/>
          <w:szCs w:val="24"/>
          <w:vertAlign w:val="superscript"/>
        </w:rPr>
        <w:t xml:space="preserve"> (</w:t>
      </w:r>
      <w:r w:rsidR="00E52460" w:rsidRPr="003F2CA8">
        <w:rPr>
          <w:rFonts w:ascii="Times New Roman" w:hAnsi="Times New Roman" w:cs="Times New Roman"/>
          <w:sz w:val="24"/>
          <w:szCs w:val="24"/>
          <w:vertAlign w:val="superscript"/>
        </w:rPr>
        <w:t>41</w:t>
      </w:r>
      <w:r w:rsidR="001C76FE" w:rsidRPr="003F2CA8">
        <w:rPr>
          <w:rFonts w:ascii="Times New Roman" w:hAnsi="Times New Roman" w:cs="Times New Roman"/>
          <w:sz w:val="24"/>
          <w:szCs w:val="24"/>
          <w:vertAlign w:val="superscript"/>
        </w:rPr>
        <w:t>)</w:t>
      </w:r>
      <w:r w:rsidR="001C76FE" w:rsidRPr="003F2CA8">
        <w:rPr>
          <w:rFonts w:ascii="Times New Roman" w:hAnsi="Times New Roman" w:cs="Times New Roman"/>
          <w:sz w:val="24"/>
          <w:szCs w:val="24"/>
        </w:rPr>
        <w:t xml:space="preserve">. In contrast, some studies showed that aspirin doses as low as 325 mg/day every other day increase the risk of duodenal </w:t>
      </w:r>
      <w:r w:rsidRPr="003F2CA8">
        <w:rPr>
          <w:rFonts w:ascii="Times New Roman" w:hAnsi="Times New Roman" w:cs="Times New Roman"/>
          <w:sz w:val="24"/>
          <w:szCs w:val="24"/>
        </w:rPr>
        <w:t>ulcer</w:t>
      </w:r>
      <w:r w:rsidRPr="003F2CA8">
        <w:rPr>
          <w:rFonts w:ascii="Times New Roman" w:hAnsi="Times New Roman" w:cs="Times New Roman"/>
          <w:sz w:val="24"/>
          <w:szCs w:val="24"/>
          <w:vertAlign w:val="superscript"/>
        </w:rPr>
        <w:t xml:space="preserve"> (</w:t>
      </w:r>
      <w:r w:rsidR="00E52460" w:rsidRPr="003F2CA8">
        <w:rPr>
          <w:rFonts w:ascii="Times New Roman" w:hAnsi="Times New Roman" w:cs="Times New Roman"/>
          <w:sz w:val="24"/>
          <w:szCs w:val="24"/>
          <w:vertAlign w:val="superscript"/>
        </w:rPr>
        <w:t>42</w:t>
      </w:r>
      <w:r w:rsidR="001C76FE" w:rsidRPr="003F2CA8">
        <w:rPr>
          <w:rFonts w:ascii="Times New Roman" w:hAnsi="Times New Roman" w:cs="Times New Roman"/>
          <w:sz w:val="24"/>
          <w:szCs w:val="24"/>
          <w:vertAlign w:val="superscript"/>
        </w:rPr>
        <w:t>)</w:t>
      </w:r>
      <w:r w:rsidR="001C76FE" w:rsidRPr="003F2CA8">
        <w:rPr>
          <w:rFonts w:ascii="Times New Roman" w:hAnsi="Times New Roman" w:cs="Times New Roman"/>
          <w:sz w:val="24"/>
          <w:szCs w:val="24"/>
        </w:rPr>
        <w:t xml:space="preserve">. Although the risk of gastric mucosal injury is increased with increasing dose of NSAIDs depending on the finding of several epidemiological and placebo controlled </w:t>
      </w:r>
      <w:r w:rsidRPr="003F2CA8">
        <w:rPr>
          <w:rFonts w:ascii="Times New Roman" w:hAnsi="Times New Roman" w:cs="Times New Roman"/>
          <w:sz w:val="24"/>
          <w:szCs w:val="24"/>
        </w:rPr>
        <w:t>studies</w:t>
      </w:r>
      <w:r w:rsidRPr="003F2CA8">
        <w:rPr>
          <w:rFonts w:ascii="Times New Roman" w:hAnsi="Times New Roman" w:cs="Times New Roman"/>
          <w:sz w:val="24"/>
          <w:szCs w:val="24"/>
          <w:vertAlign w:val="superscript"/>
        </w:rPr>
        <w:t xml:space="preserve"> (</w:t>
      </w:r>
      <w:r w:rsidR="00E52460" w:rsidRPr="003F2CA8">
        <w:rPr>
          <w:rFonts w:ascii="Times New Roman" w:hAnsi="Times New Roman" w:cs="Times New Roman"/>
          <w:sz w:val="24"/>
          <w:szCs w:val="24"/>
          <w:vertAlign w:val="superscript"/>
        </w:rPr>
        <w:t>4</w:t>
      </w:r>
      <w:r w:rsidR="001C76FE" w:rsidRPr="003F2CA8">
        <w:rPr>
          <w:rFonts w:ascii="Times New Roman" w:hAnsi="Times New Roman" w:cs="Times New Roman"/>
          <w:sz w:val="24"/>
          <w:szCs w:val="24"/>
          <w:vertAlign w:val="superscript"/>
        </w:rPr>
        <w:t>3-</w:t>
      </w:r>
      <w:r w:rsidR="00E52460" w:rsidRPr="003F2CA8">
        <w:rPr>
          <w:rFonts w:ascii="Times New Roman" w:hAnsi="Times New Roman" w:cs="Times New Roman"/>
          <w:sz w:val="24"/>
          <w:szCs w:val="24"/>
          <w:vertAlign w:val="superscript"/>
        </w:rPr>
        <w:t>45</w:t>
      </w:r>
      <w:r w:rsidR="001C76FE" w:rsidRPr="003F2CA8">
        <w:rPr>
          <w:rFonts w:ascii="Times New Roman" w:hAnsi="Times New Roman" w:cs="Times New Roman"/>
          <w:sz w:val="24"/>
          <w:szCs w:val="24"/>
          <w:vertAlign w:val="superscript"/>
        </w:rPr>
        <w:t>)</w:t>
      </w:r>
      <w:r w:rsidR="001C76FE" w:rsidRPr="003F2CA8">
        <w:rPr>
          <w:rFonts w:ascii="Times New Roman" w:hAnsi="Times New Roman" w:cs="Times New Roman"/>
          <w:sz w:val="24"/>
          <w:szCs w:val="24"/>
        </w:rPr>
        <w:t xml:space="preserve">, but lower doses of NSAIDs are required to </w:t>
      </w:r>
      <w:r w:rsidR="00434BCD" w:rsidRPr="003F2CA8">
        <w:rPr>
          <w:rFonts w:ascii="Times New Roman" w:hAnsi="Times New Roman" w:cs="Times New Roman"/>
          <w:sz w:val="24"/>
          <w:szCs w:val="24"/>
        </w:rPr>
        <w:t xml:space="preserve">initiate </w:t>
      </w:r>
      <w:r w:rsidR="001C76FE" w:rsidRPr="003F2CA8">
        <w:rPr>
          <w:rFonts w:ascii="Times New Roman" w:hAnsi="Times New Roman" w:cs="Times New Roman"/>
          <w:sz w:val="24"/>
          <w:szCs w:val="24"/>
        </w:rPr>
        <w:t>gastric mucosal injury compared to the high doses required for creating the same degree of injury in the mucosa of other parts of GIT</w:t>
      </w:r>
      <w:commentRangeEnd w:id="22"/>
      <w:r w:rsidR="00E706F8">
        <w:rPr>
          <w:rStyle w:val="CommentReference"/>
        </w:rPr>
        <w:commentReference w:id="22"/>
      </w:r>
      <w:r w:rsidR="001C76FE" w:rsidRPr="003F2CA8">
        <w:rPr>
          <w:rFonts w:ascii="Times New Roman" w:hAnsi="Times New Roman" w:cs="Times New Roman"/>
          <w:sz w:val="24"/>
          <w:szCs w:val="24"/>
        </w:rPr>
        <w:t>.</w:t>
      </w:r>
    </w:p>
    <w:p w:rsidR="009B1A43" w:rsidRPr="003F2CA8" w:rsidRDefault="001C76FE" w:rsidP="003F2CA8">
      <w:pPr>
        <w:spacing w:after="0"/>
        <w:jc w:val="both"/>
        <w:rPr>
          <w:rFonts w:ascii="Times New Roman" w:hAnsi="Times New Roman" w:cs="Times New Roman"/>
          <w:b/>
          <w:bCs/>
          <w:sz w:val="24"/>
          <w:szCs w:val="24"/>
        </w:rPr>
      </w:pPr>
      <w:r w:rsidRPr="003F2CA8">
        <w:rPr>
          <w:rFonts w:ascii="Times New Roman" w:hAnsi="Times New Roman" w:cs="Times New Roman"/>
          <w:sz w:val="24"/>
          <w:szCs w:val="24"/>
        </w:rPr>
        <w:t xml:space="preserve"> </w:t>
      </w:r>
      <w:commentRangeStart w:id="25"/>
      <w:r w:rsidR="009B1A43" w:rsidRPr="003F2CA8">
        <w:rPr>
          <w:rFonts w:ascii="Times New Roman" w:hAnsi="Times New Roman" w:cs="Times New Roman"/>
          <w:b/>
          <w:bCs/>
          <w:sz w:val="24"/>
          <w:szCs w:val="24"/>
        </w:rPr>
        <w:t>CONCLUSIONS:</w:t>
      </w:r>
    </w:p>
    <w:p w:rsidR="009B1A43" w:rsidRPr="003F2CA8" w:rsidRDefault="009B1A43" w:rsidP="003F2CA8">
      <w:pPr>
        <w:spacing w:after="0"/>
        <w:jc w:val="both"/>
        <w:rPr>
          <w:rFonts w:ascii="Times New Roman" w:hAnsi="Times New Roman" w:cs="Times New Roman"/>
          <w:sz w:val="24"/>
          <w:szCs w:val="24"/>
        </w:rPr>
      </w:pPr>
      <w:r w:rsidRPr="003F2CA8">
        <w:rPr>
          <w:rFonts w:ascii="Times New Roman" w:hAnsi="Times New Roman" w:cs="Times New Roman"/>
          <w:b/>
          <w:bCs/>
          <w:sz w:val="24"/>
          <w:szCs w:val="24"/>
        </w:rPr>
        <w:t xml:space="preserve"> </w:t>
      </w:r>
      <w:r w:rsidRPr="003F2CA8">
        <w:rPr>
          <w:rFonts w:ascii="Times New Roman" w:hAnsi="Times New Roman" w:cs="Times New Roman"/>
          <w:sz w:val="24"/>
          <w:szCs w:val="24"/>
        </w:rPr>
        <w:t xml:space="preserve">Elderly patients who were taken NSAIDs associated with significant upper GIT bleeding, and their </w:t>
      </w:r>
      <w:commentRangeEnd w:id="25"/>
      <w:r w:rsidR="00E706F8">
        <w:rPr>
          <w:rStyle w:val="CommentReference"/>
        </w:rPr>
        <w:commentReference w:id="25"/>
      </w:r>
      <w:r w:rsidRPr="003F2CA8">
        <w:rPr>
          <w:rFonts w:ascii="Times New Roman" w:hAnsi="Times New Roman" w:cs="Times New Roman"/>
          <w:sz w:val="24"/>
          <w:szCs w:val="24"/>
        </w:rPr>
        <w:t>uses were without prophylactic PPI cover in high risk individuals</w:t>
      </w:r>
      <w:r w:rsidR="00A67B96" w:rsidRPr="003F2CA8">
        <w:rPr>
          <w:rFonts w:ascii="Times New Roman" w:hAnsi="Times New Roman" w:cs="Times New Roman"/>
          <w:sz w:val="24"/>
          <w:szCs w:val="24"/>
        </w:rPr>
        <w:t>.</w:t>
      </w:r>
    </w:p>
    <w:p w:rsidR="009B1A43" w:rsidRPr="003F2CA8" w:rsidRDefault="009B1A43" w:rsidP="003F2CA8">
      <w:pPr>
        <w:spacing w:after="0"/>
        <w:jc w:val="both"/>
        <w:rPr>
          <w:rFonts w:ascii="Times New Roman" w:hAnsi="Times New Roman" w:cs="Times New Roman"/>
          <w:b/>
          <w:bCs/>
          <w:sz w:val="24"/>
          <w:szCs w:val="24"/>
          <w:u w:val="single"/>
        </w:rPr>
      </w:pPr>
      <w:commentRangeStart w:id="26"/>
      <w:r w:rsidRPr="003F2CA8">
        <w:rPr>
          <w:rFonts w:ascii="Times New Roman" w:hAnsi="Times New Roman" w:cs="Times New Roman"/>
          <w:b/>
          <w:bCs/>
          <w:sz w:val="24"/>
          <w:szCs w:val="24"/>
          <w:u w:val="single"/>
        </w:rPr>
        <w:t>Recommendation</w:t>
      </w:r>
      <w:r w:rsidR="00A67B96" w:rsidRPr="003F2CA8">
        <w:rPr>
          <w:rFonts w:ascii="Times New Roman" w:hAnsi="Times New Roman" w:cs="Times New Roman"/>
          <w:b/>
          <w:bCs/>
          <w:sz w:val="24"/>
          <w:szCs w:val="24"/>
          <w:u w:val="single"/>
        </w:rPr>
        <w:t>:</w:t>
      </w:r>
    </w:p>
    <w:p w:rsidR="009B1A43" w:rsidRPr="003F2CA8" w:rsidRDefault="009B1A43" w:rsidP="009A0C73">
      <w:pPr>
        <w:pStyle w:val="ListParagraph"/>
        <w:numPr>
          <w:ilvl w:val="0"/>
          <w:numId w:val="13"/>
        </w:numPr>
        <w:spacing w:after="0" w:line="240" w:lineRule="auto"/>
        <w:jc w:val="both"/>
        <w:rPr>
          <w:rFonts w:ascii="Times New Roman" w:hAnsi="Times New Roman" w:cs="Times New Roman"/>
          <w:b/>
          <w:bCs/>
          <w:sz w:val="24"/>
          <w:szCs w:val="24"/>
          <w:u w:val="single"/>
        </w:rPr>
      </w:pPr>
      <w:r w:rsidRPr="003F2CA8">
        <w:rPr>
          <w:rFonts w:ascii="Times New Roman" w:hAnsi="Times New Roman" w:cs="Times New Roman"/>
          <w:sz w:val="24"/>
          <w:szCs w:val="24"/>
        </w:rPr>
        <w:t xml:space="preserve"> We have to increase public and physician awareness of NSAIDs side effects </w:t>
      </w:r>
      <w:r w:rsidR="00A67B96" w:rsidRPr="003F2CA8">
        <w:rPr>
          <w:rFonts w:ascii="Times New Roman" w:hAnsi="Times New Roman" w:cs="Times New Roman"/>
          <w:sz w:val="24"/>
          <w:szCs w:val="24"/>
        </w:rPr>
        <w:t>,</w:t>
      </w:r>
      <w:r w:rsidRPr="003F2CA8">
        <w:rPr>
          <w:rFonts w:ascii="Times New Roman" w:hAnsi="Times New Roman" w:cs="Times New Roman"/>
          <w:sz w:val="24"/>
          <w:szCs w:val="24"/>
        </w:rPr>
        <w:t xml:space="preserve">and limit its usage whenever possible </w:t>
      </w:r>
    </w:p>
    <w:p w:rsidR="00A67B96" w:rsidRPr="003F2CA8" w:rsidRDefault="009B1A43" w:rsidP="009A0C73">
      <w:pPr>
        <w:pStyle w:val="ListParagraph"/>
        <w:numPr>
          <w:ilvl w:val="0"/>
          <w:numId w:val="13"/>
        </w:numPr>
        <w:spacing w:after="0" w:line="240" w:lineRule="auto"/>
        <w:jc w:val="both"/>
        <w:rPr>
          <w:rFonts w:ascii="Times New Roman" w:hAnsi="Times New Roman" w:cs="Times New Roman"/>
          <w:b/>
          <w:bCs/>
          <w:sz w:val="24"/>
          <w:szCs w:val="24"/>
          <w:u w:val="single"/>
        </w:rPr>
      </w:pPr>
      <w:r w:rsidRPr="003F2CA8">
        <w:rPr>
          <w:rFonts w:ascii="Times New Roman" w:hAnsi="Times New Roman" w:cs="Times New Roman"/>
          <w:sz w:val="24"/>
          <w:szCs w:val="24"/>
        </w:rPr>
        <w:t xml:space="preserve">To cover NDAIDs </w:t>
      </w:r>
      <w:commentRangeEnd w:id="26"/>
      <w:r w:rsidR="00E706F8">
        <w:rPr>
          <w:rStyle w:val="CommentReference"/>
        </w:rPr>
        <w:commentReference w:id="26"/>
      </w:r>
      <w:r w:rsidRPr="003F2CA8">
        <w:rPr>
          <w:rFonts w:ascii="Times New Roman" w:hAnsi="Times New Roman" w:cs="Times New Roman"/>
          <w:sz w:val="24"/>
          <w:szCs w:val="24"/>
        </w:rPr>
        <w:t xml:space="preserve">usage with prophylactic PPI </w:t>
      </w:r>
      <w:r w:rsidR="00A67B96" w:rsidRPr="003F2CA8">
        <w:rPr>
          <w:rFonts w:ascii="Times New Roman" w:hAnsi="Times New Roman" w:cs="Times New Roman"/>
          <w:sz w:val="24"/>
          <w:szCs w:val="24"/>
        </w:rPr>
        <w:t>in high risk groups</w:t>
      </w:r>
    </w:p>
    <w:p w:rsidR="006523A2" w:rsidRPr="003F2CA8" w:rsidRDefault="006523A2" w:rsidP="009A0C73">
      <w:pPr>
        <w:spacing w:after="0" w:line="240" w:lineRule="auto"/>
        <w:jc w:val="both"/>
        <w:rPr>
          <w:rFonts w:ascii="Times New Roman" w:hAnsi="Times New Roman" w:cs="Times New Roman"/>
          <w:b/>
          <w:bCs/>
          <w:sz w:val="24"/>
          <w:szCs w:val="24"/>
          <w:u w:val="single"/>
        </w:rPr>
      </w:pPr>
      <w:commentRangeStart w:id="27"/>
      <w:r w:rsidRPr="003F2CA8">
        <w:rPr>
          <w:rFonts w:ascii="Times New Roman" w:hAnsi="Times New Roman" w:cs="Times New Roman"/>
          <w:b/>
          <w:bCs/>
          <w:sz w:val="24"/>
          <w:szCs w:val="24"/>
          <w:u w:val="single"/>
        </w:rPr>
        <w:t>Refe</w:t>
      </w:r>
      <w:commentRangeStart w:id="28"/>
      <w:r w:rsidRPr="003F2CA8">
        <w:rPr>
          <w:rFonts w:ascii="Times New Roman" w:hAnsi="Times New Roman" w:cs="Times New Roman"/>
          <w:b/>
          <w:bCs/>
          <w:sz w:val="24"/>
          <w:szCs w:val="24"/>
          <w:u w:val="single"/>
        </w:rPr>
        <w:t>ren</w:t>
      </w:r>
      <w:commentRangeEnd w:id="28"/>
      <w:r w:rsidR="000C16DB">
        <w:rPr>
          <w:rStyle w:val="CommentReference"/>
        </w:rPr>
        <w:commentReference w:id="28"/>
      </w:r>
      <w:r w:rsidRPr="003F2CA8">
        <w:rPr>
          <w:rFonts w:ascii="Times New Roman" w:hAnsi="Times New Roman" w:cs="Times New Roman"/>
          <w:b/>
          <w:bCs/>
          <w:sz w:val="24"/>
          <w:szCs w:val="24"/>
          <w:u w:val="single"/>
        </w:rPr>
        <w:t>ce</w:t>
      </w:r>
      <w:r w:rsidR="007E088E" w:rsidRPr="003F2CA8">
        <w:rPr>
          <w:rFonts w:ascii="Times New Roman" w:hAnsi="Times New Roman" w:cs="Times New Roman"/>
          <w:b/>
          <w:bCs/>
          <w:sz w:val="24"/>
          <w:szCs w:val="24"/>
          <w:u w:val="single"/>
        </w:rPr>
        <w:t>:</w:t>
      </w:r>
      <w:commentRangeEnd w:id="27"/>
      <w:r w:rsidR="001003B0">
        <w:rPr>
          <w:rStyle w:val="CommentReference"/>
        </w:rPr>
        <w:commentReference w:id="27"/>
      </w:r>
    </w:p>
    <w:p w:rsidR="006523A2" w:rsidRPr="003F2CA8" w:rsidRDefault="006523A2"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Longstreth, GF. Epidemiology of hospitalization for acute upper gastrointestinal hemorrhage: A population-based study. Am J Gastroenterol 1995; 90:206.</w:t>
      </w:r>
    </w:p>
    <w:p w:rsidR="006523A2" w:rsidRPr="003F2CA8" w:rsidRDefault="009D6B80"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Hunt</w:t>
      </w:r>
      <w:r w:rsidR="006523A2" w:rsidRPr="003F2CA8">
        <w:rPr>
          <w:rFonts w:ascii="Times New Roman" w:hAnsi="Times New Roman" w:cs="Times New Roman"/>
          <w:sz w:val="24"/>
          <w:szCs w:val="24"/>
        </w:rPr>
        <w:t xml:space="preserve"> RH, Malfertheiner, P, Yeomans, ND</w:t>
      </w:r>
      <w:commentRangeStart w:id="29"/>
      <w:r w:rsidR="006523A2" w:rsidRPr="003F2CA8">
        <w:rPr>
          <w:rFonts w:ascii="Times New Roman" w:hAnsi="Times New Roman" w:cs="Times New Roman"/>
          <w:sz w:val="24"/>
          <w:szCs w:val="24"/>
        </w:rPr>
        <w:t xml:space="preserve">, et al. </w:t>
      </w:r>
      <w:commentRangeEnd w:id="29"/>
      <w:r w:rsidR="00E94CCF">
        <w:rPr>
          <w:rStyle w:val="CommentReference"/>
        </w:rPr>
        <w:commentReference w:id="29"/>
      </w:r>
      <w:r w:rsidR="006523A2" w:rsidRPr="003F2CA8">
        <w:rPr>
          <w:rFonts w:ascii="Times New Roman" w:hAnsi="Times New Roman" w:cs="Times New Roman"/>
          <w:sz w:val="24"/>
          <w:szCs w:val="24"/>
        </w:rPr>
        <w:t>Critical issues in the pathophysiology and management of peptic ulcer disease. Eur J Gastroenterol Hepatol 1995; 7:685.</w:t>
      </w:r>
    </w:p>
    <w:p w:rsidR="006523A2" w:rsidRPr="003F2CA8" w:rsidRDefault="006523A2"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Hallas, J, Lauritsen, J, Villadsen, HD, </w:t>
      </w:r>
      <w:commentRangeStart w:id="30"/>
      <w:r w:rsidRPr="003F2CA8">
        <w:rPr>
          <w:rFonts w:ascii="Times New Roman" w:hAnsi="Times New Roman" w:cs="Times New Roman"/>
          <w:sz w:val="24"/>
          <w:szCs w:val="24"/>
        </w:rPr>
        <w:t>et al</w:t>
      </w:r>
      <w:commentRangeEnd w:id="30"/>
      <w:r w:rsidR="00E94CCF">
        <w:rPr>
          <w:rStyle w:val="CommentReference"/>
        </w:rPr>
        <w:commentReference w:id="30"/>
      </w:r>
      <w:r w:rsidRPr="003F2CA8">
        <w:rPr>
          <w:rFonts w:ascii="Times New Roman" w:hAnsi="Times New Roman" w:cs="Times New Roman"/>
          <w:sz w:val="24"/>
          <w:szCs w:val="24"/>
        </w:rPr>
        <w:t>. Nonsteroidal anti-inflammatory drugs and upper gastrointestinal bleeding, identifying high-risk groups by excess risk estimates. Scand J Gastroenterol 1995; 30:438.</w:t>
      </w:r>
    </w:p>
    <w:p w:rsidR="006523A2" w:rsidRPr="003F2CA8" w:rsidRDefault="006523A2"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Graham, DY, Hepps, KS, Ramirez, FC, </w:t>
      </w:r>
      <w:commentRangeStart w:id="31"/>
      <w:r w:rsidRPr="003F2CA8">
        <w:rPr>
          <w:rFonts w:ascii="Times New Roman" w:hAnsi="Times New Roman" w:cs="Times New Roman"/>
          <w:sz w:val="24"/>
          <w:szCs w:val="24"/>
        </w:rPr>
        <w:t>et al</w:t>
      </w:r>
      <w:commentRangeEnd w:id="31"/>
      <w:r w:rsidR="00E94CCF">
        <w:rPr>
          <w:rStyle w:val="CommentReference"/>
        </w:rPr>
        <w:commentReference w:id="31"/>
      </w:r>
      <w:r w:rsidRPr="003F2CA8">
        <w:rPr>
          <w:rFonts w:ascii="Times New Roman" w:hAnsi="Times New Roman" w:cs="Times New Roman"/>
          <w:sz w:val="24"/>
          <w:szCs w:val="24"/>
        </w:rPr>
        <w:t>. Treatment of Helicobacter pylori reduces the rate of rebleeding in peptic ulcer disease. Scand J Gastroenterol 1993; 28:939.</w:t>
      </w:r>
    </w:p>
    <w:p w:rsidR="006523A2" w:rsidRPr="003F2CA8" w:rsidRDefault="006523A2"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Tytgat, GN. Peptic ulcer and Helicobacter pylori: Eradication and relapse. Scand J Gastroenterol Suppl 1995; 210:70.</w:t>
      </w:r>
    </w:p>
    <w:p w:rsidR="006523A2" w:rsidRPr="003F2CA8" w:rsidRDefault="006523A2"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Rokkas, T, Karameris, A, Mavrogeorgis, A, </w:t>
      </w:r>
      <w:commentRangeStart w:id="32"/>
      <w:r w:rsidRPr="003F2CA8">
        <w:rPr>
          <w:rFonts w:ascii="Times New Roman" w:hAnsi="Times New Roman" w:cs="Times New Roman"/>
          <w:sz w:val="24"/>
          <w:szCs w:val="24"/>
        </w:rPr>
        <w:t>et al.</w:t>
      </w:r>
      <w:commentRangeEnd w:id="32"/>
      <w:r w:rsidR="00E94CCF">
        <w:rPr>
          <w:rStyle w:val="CommentReference"/>
        </w:rPr>
        <w:commentReference w:id="32"/>
      </w:r>
      <w:r w:rsidRPr="003F2CA8">
        <w:rPr>
          <w:rFonts w:ascii="Times New Roman" w:hAnsi="Times New Roman" w:cs="Times New Roman"/>
          <w:sz w:val="24"/>
          <w:szCs w:val="24"/>
        </w:rPr>
        <w:t xml:space="preserve"> Eradication of Helicobacter pylori reduces the possibility of rebleeding in peptic ulcer disease. Gastrointest Endosc 1995; 41:1.</w:t>
      </w:r>
    </w:p>
    <w:p w:rsidR="006523A2" w:rsidRPr="003F2CA8" w:rsidRDefault="006523A2"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Bayerdorffer, E, Neubauer, A, Rudolph, B, </w:t>
      </w:r>
      <w:commentRangeStart w:id="33"/>
      <w:r w:rsidRPr="003F2CA8">
        <w:rPr>
          <w:rFonts w:ascii="Times New Roman" w:hAnsi="Times New Roman" w:cs="Times New Roman"/>
          <w:sz w:val="24"/>
          <w:szCs w:val="24"/>
        </w:rPr>
        <w:t>et al</w:t>
      </w:r>
      <w:commentRangeEnd w:id="33"/>
      <w:r w:rsidR="00E94CCF">
        <w:rPr>
          <w:rStyle w:val="CommentReference"/>
        </w:rPr>
        <w:commentReference w:id="33"/>
      </w:r>
      <w:r w:rsidRPr="003F2CA8">
        <w:rPr>
          <w:rFonts w:ascii="Times New Roman" w:hAnsi="Times New Roman" w:cs="Times New Roman"/>
          <w:sz w:val="24"/>
          <w:szCs w:val="24"/>
        </w:rPr>
        <w:t>. Regression of primary gastric lymphoma of mucosa-associated lymphoid tissue type after cure of Helicobacter pylori infection. MALT Lymphoma Study Group. Lancet 1995; 345:1591.</w:t>
      </w:r>
    </w:p>
    <w:p w:rsidR="006523A2" w:rsidRPr="003F2CA8" w:rsidRDefault="00592018"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Scheiman, JM. NSAID-induced peptic ulcer disease: A critical review of pathogenesis and management. Dig Dis 1994; 12:210.</w:t>
      </w:r>
    </w:p>
    <w:p w:rsidR="00592018" w:rsidRPr="003F2CA8" w:rsidRDefault="00592018"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Bretagne, JF, Raoul, JL. Management of nonsteroidal anti-inflammatory drug-induced upper gastrointestinal bleeding and perforation. Dig Dis 1995; 13 Suppl 1:89.</w:t>
      </w:r>
    </w:p>
    <w:p w:rsidR="00592018" w:rsidRPr="003F2CA8" w:rsidRDefault="00592018"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Bjorkman, DJ, Kimmey, MB. Nonsteroidal anti-inflammatory drugs and gastrointestinal disease: Pathophysiology, treatment and prevention. Dig Dis 1995; 13:119.</w:t>
      </w:r>
    </w:p>
    <w:p w:rsidR="00592018" w:rsidRPr="003F2CA8" w:rsidRDefault="00592018"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Lanas, A, Perez-Aisa, MA, Feu, F, </w:t>
      </w:r>
      <w:commentRangeStart w:id="34"/>
      <w:r w:rsidRPr="003F2CA8">
        <w:rPr>
          <w:rFonts w:ascii="Times New Roman" w:hAnsi="Times New Roman" w:cs="Times New Roman"/>
          <w:sz w:val="24"/>
          <w:szCs w:val="24"/>
        </w:rPr>
        <w:t>et al</w:t>
      </w:r>
      <w:commentRangeEnd w:id="34"/>
      <w:r w:rsidR="00E94CCF">
        <w:rPr>
          <w:rStyle w:val="CommentReference"/>
        </w:rPr>
        <w:commentReference w:id="34"/>
      </w:r>
      <w:r w:rsidRPr="003F2CA8">
        <w:rPr>
          <w:rFonts w:ascii="Times New Roman" w:hAnsi="Times New Roman" w:cs="Times New Roman"/>
          <w:sz w:val="24"/>
          <w:szCs w:val="24"/>
        </w:rPr>
        <w:t>. A nationwide study of mortality associated with hospital admission due to severe gastrointestinal events and those associated with nonsteroidal antiinflammatory drug use. Am J Gastroenterol 2005; 100:1685.</w:t>
      </w:r>
    </w:p>
    <w:p w:rsidR="00592018" w:rsidRPr="003F2CA8" w:rsidRDefault="008D596C"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Hansen, JM, Hallas, J, Lauritsen, JM, </w:t>
      </w:r>
      <w:commentRangeStart w:id="35"/>
      <w:r w:rsidRPr="003F2CA8">
        <w:rPr>
          <w:rFonts w:ascii="Times New Roman" w:hAnsi="Times New Roman" w:cs="Times New Roman"/>
          <w:sz w:val="24"/>
          <w:szCs w:val="24"/>
        </w:rPr>
        <w:t>et al</w:t>
      </w:r>
      <w:commentRangeEnd w:id="35"/>
      <w:r w:rsidR="00E94CCF">
        <w:rPr>
          <w:rStyle w:val="CommentReference"/>
        </w:rPr>
        <w:commentReference w:id="35"/>
      </w:r>
      <w:r w:rsidRPr="003F2CA8">
        <w:rPr>
          <w:rFonts w:ascii="Times New Roman" w:hAnsi="Times New Roman" w:cs="Times New Roman"/>
          <w:sz w:val="24"/>
          <w:szCs w:val="24"/>
        </w:rPr>
        <w:t>. Non-steroidal anti-inflammatory drugs and ulcer complications: A risk factor analysis for clinical decision-making. Scand J Gastroenterol 1996; 31:126.</w:t>
      </w:r>
    </w:p>
    <w:p w:rsidR="008D596C" w:rsidRPr="003F2CA8" w:rsidRDefault="008D596C"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lastRenderedPageBreak/>
        <w:t xml:space="preserve"> Koch, M, Dezi, A, Ferrario, F, </w:t>
      </w:r>
      <w:commentRangeStart w:id="36"/>
      <w:r w:rsidRPr="003F2CA8">
        <w:rPr>
          <w:rFonts w:ascii="Times New Roman" w:hAnsi="Times New Roman" w:cs="Times New Roman"/>
          <w:sz w:val="24"/>
          <w:szCs w:val="24"/>
        </w:rPr>
        <w:t>et al</w:t>
      </w:r>
      <w:commentRangeEnd w:id="36"/>
      <w:r w:rsidR="00E94CCF">
        <w:rPr>
          <w:rStyle w:val="CommentReference"/>
        </w:rPr>
        <w:commentReference w:id="36"/>
      </w:r>
      <w:r w:rsidRPr="003F2CA8">
        <w:rPr>
          <w:rFonts w:ascii="Times New Roman" w:hAnsi="Times New Roman" w:cs="Times New Roman"/>
          <w:sz w:val="24"/>
          <w:szCs w:val="24"/>
        </w:rPr>
        <w:t>. Prevention of nonsteroidal anti-inflammatory drug-induced gastrointestinal mucosal injury. A meta-analysis of randomized controlled clinical trials. Arch Intern Med 1996; 156:2321.</w:t>
      </w:r>
    </w:p>
    <w:p w:rsidR="008D596C" w:rsidRPr="003F2CA8" w:rsidRDefault="008D596C"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Smalley, WE, Ray, WA, Daugherty, JR, </w:t>
      </w:r>
      <w:commentRangeStart w:id="37"/>
      <w:r w:rsidRPr="003F2CA8">
        <w:rPr>
          <w:rFonts w:ascii="Times New Roman" w:hAnsi="Times New Roman" w:cs="Times New Roman"/>
          <w:sz w:val="24"/>
          <w:szCs w:val="24"/>
        </w:rPr>
        <w:t>et al</w:t>
      </w:r>
      <w:commentRangeEnd w:id="37"/>
      <w:r w:rsidR="00E94CCF">
        <w:rPr>
          <w:rStyle w:val="CommentReference"/>
        </w:rPr>
        <w:commentReference w:id="37"/>
      </w:r>
      <w:r w:rsidRPr="003F2CA8">
        <w:rPr>
          <w:rFonts w:ascii="Times New Roman" w:hAnsi="Times New Roman" w:cs="Times New Roman"/>
          <w:sz w:val="24"/>
          <w:szCs w:val="24"/>
        </w:rPr>
        <w:t>. Nonsteroidal anti-inflammatory drugs and the incidence of hospitalizations for peptic ulcer disease in elderly persons. Am J Epidemiol 1995; 141:539.</w:t>
      </w:r>
    </w:p>
    <w:p w:rsidR="008D596C" w:rsidRPr="003F2CA8" w:rsidRDefault="008D596C" w:rsidP="009A0C73">
      <w:pPr>
        <w:pStyle w:val="ListParagraph"/>
        <w:numPr>
          <w:ilvl w:val="0"/>
          <w:numId w:val="6"/>
        </w:numPr>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Lanas, AI, Remacha, B, Esteva, F, </w:t>
      </w:r>
      <w:commentRangeStart w:id="38"/>
      <w:r w:rsidRPr="003F2CA8">
        <w:rPr>
          <w:rFonts w:ascii="Times New Roman" w:hAnsi="Times New Roman" w:cs="Times New Roman"/>
          <w:sz w:val="24"/>
          <w:szCs w:val="24"/>
        </w:rPr>
        <w:t>et al</w:t>
      </w:r>
      <w:commentRangeEnd w:id="38"/>
      <w:r w:rsidR="00E94CCF">
        <w:rPr>
          <w:rStyle w:val="CommentReference"/>
        </w:rPr>
        <w:commentReference w:id="38"/>
      </w:r>
      <w:r w:rsidRPr="003F2CA8">
        <w:rPr>
          <w:rFonts w:ascii="Times New Roman" w:hAnsi="Times New Roman" w:cs="Times New Roman"/>
          <w:sz w:val="24"/>
          <w:szCs w:val="24"/>
        </w:rPr>
        <w:t>. Risk factors associated with refractory peptic ulcers. Gastroenterology 1995; 109:1124.</w:t>
      </w:r>
    </w:p>
    <w:p w:rsidR="009B6F6D" w:rsidRPr="003F2CA8" w:rsidRDefault="009B6F6D" w:rsidP="009A0C73">
      <w:pPr>
        <w:autoSpaceDE w:val="0"/>
        <w:autoSpaceDN w:val="0"/>
        <w:adjustRightInd w:val="0"/>
        <w:spacing w:after="0" w:line="240" w:lineRule="auto"/>
        <w:ind w:left="360"/>
        <w:jc w:val="both"/>
        <w:rPr>
          <w:rFonts w:ascii="Times New Roman" w:hAnsi="Times New Roman" w:cs="Times New Roman"/>
          <w:sz w:val="24"/>
          <w:szCs w:val="24"/>
        </w:rPr>
      </w:pPr>
      <w:r w:rsidRPr="003F2CA8">
        <w:rPr>
          <w:rFonts w:ascii="Times New Roman" w:hAnsi="Times New Roman" w:cs="Times New Roman"/>
          <w:sz w:val="24"/>
          <w:szCs w:val="24"/>
        </w:rPr>
        <w:t>16 .Sperber AD, Fich A, Eidelman L, et al. Open access endoscopy for hospitalized  patients. Am J Gastroenterol 1997;92:1823-6.</w:t>
      </w:r>
    </w:p>
    <w:p w:rsidR="009B6F6D" w:rsidRPr="003F2CA8" w:rsidRDefault="009B6F6D"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Sloan, JM. Acute haemorrhage gastritis and acute infective gastritis, gastritis caused by physical agents and corrosives, uraemic gastritis. In: Gastrointestinal and oesophageal pathology, Whitehead, R (Ed), Churchill Livingstone, Edinburgh 1989. p.385.</w:t>
      </w:r>
    </w:p>
    <w:p w:rsidR="009B6F6D" w:rsidRPr="003F2CA8" w:rsidRDefault="009B6F6D"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w:t>
      </w:r>
      <w:commentRangeStart w:id="39"/>
      <w:r w:rsidRPr="003F2CA8">
        <w:rPr>
          <w:rFonts w:ascii="Times New Roman" w:hAnsi="Times New Roman" w:cs="Times New Roman"/>
          <w:sz w:val="24"/>
          <w:szCs w:val="24"/>
        </w:rPr>
        <w:t>Sloan, JM. Acute haemorrhage gastritis and acute infective gastritis, gastritis caused by physical agents and corrosives, uraemic gastritis. In: Gastrointestinal and oesophageal pathology, Whitehead, R (Ed), Churchill Livingstone, Edinburgh 1989. p.385.</w:t>
      </w:r>
      <w:commentRangeEnd w:id="39"/>
      <w:r w:rsidR="001003B0">
        <w:rPr>
          <w:rStyle w:val="CommentReference"/>
        </w:rPr>
        <w:commentReference w:id="39"/>
      </w:r>
    </w:p>
    <w:p w:rsidR="009B6F6D" w:rsidRPr="003F2CA8" w:rsidRDefault="00B5632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Cryer, B, Feldman, M. Cyclooxygenase-1 and cyclooxygenase-2 selectivity of widely used nonsteroidal anti-inflammatory drugs. Am J Med 1998; 104:413.</w:t>
      </w:r>
    </w:p>
    <w:p w:rsidR="00B56324" w:rsidRPr="003F2CA8" w:rsidRDefault="00B5632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Jick, H. Effects of aspirin and acetaminophen in gastrointestinal hemorrhage. Arch Intern Med 1981; 141:316.</w:t>
      </w:r>
    </w:p>
    <w:p w:rsidR="00B56324" w:rsidRPr="003F2CA8" w:rsidRDefault="00B5632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Blot, WJ, McLaughlin, JK. Over the counter non-steroidal anti-inflammatory drugs and risk of gastrointestinal bleeding. J Epidemiol Biostat 2000; 5:137.</w:t>
      </w:r>
    </w:p>
    <w:p w:rsidR="00B56324" w:rsidRPr="003F2CA8" w:rsidRDefault="00B5632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Lanza, FL, Codispoti, JR, Nelson, EB. An endoscopic comparison of gastroduodenal injury with over-the-counter doses of ketoprofen and acetaminophen. Am J Gastroenterol 1998; 93:1051.</w:t>
      </w:r>
    </w:p>
    <w:p w:rsidR="00B56324" w:rsidRPr="003F2CA8" w:rsidRDefault="00682400"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Lanza, FL. A guideline for the treatment and prevention of NSAID-induced ulcers. Members of the Ad Hoc Committee on Practice Parameters of the American College of Gastroenterology. Am J Gastroenterol 1998; 93:2037.</w:t>
      </w:r>
    </w:p>
    <w:p w:rsidR="00682400" w:rsidRPr="003F2CA8" w:rsidRDefault="00682400"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Silverstein, FE, Graham, DY, Senior, JR, </w:t>
      </w:r>
      <w:commentRangeStart w:id="40"/>
      <w:r w:rsidRPr="003F2CA8">
        <w:rPr>
          <w:rFonts w:ascii="Times New Roman" w:hAnsi="Times New Roman" w:cs="Times New Roman"/>
          <w:sz w:val="24"/>
          <w:szCs w:val="24"/>
        </w:rPr>
        <w:t>et al</w:t>
      </w:r>
      <w:commentRangeEnd w:id="40"/>
      <w:r w:rsidR="00E94CCF">
        <w:rPr>
          <w:rStyle w:val="CommentReference"/>
        </w:rPr>
        <w:commentReference w:id="40"/>
      </w:r>
      <w:r w:rsidRPr="003F2CA8">
        <w:rPr>
          <w:rFonts w:ascii="Times New Roman" w:hAnsi="Times New Roman" w:cs="Times New Roman"/>
          <w:sz w:val="24"/>
          <w:szCs w:val="24"/>
        </w:rPr>
        <w:t>. Misoprostol reduces serious gastrointestinal complications in patients with rheumatoid arthritis receiving nonsteroidal anti-inflammatory drugs. Ann Intern Med 1995; 123:214.</w:t>
      </w:r>
    </w:p>
    <w:p w:rsidR="00682400" w:rsidRPr="003F2CA8" w:rsidRDefault="00682400"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Simon, LS, Hatoum, TH, Bittman, RM, </w:t>
      </w:r>
      <w:commentRangeStart w:id="41"/>
      <w:r w:rsidRPr="003F2CA8">
        <w:rPr>
          <w:rFonts w:ascii="Times New Roman" w:hAnsi="Times New Roman" w:cs="Times New Roman"/>
          <w:sz w:val="24"/>
          <w:szCs w:val="24"/>
        </w:rPr>
        <w:t>et al</w:t>
      </w:r>
      <w:commentRangeEnd w:id="41"/>
      <w:r w:rsidR="00E94CCF">
        <w:rPr>
          <w:rStyle w:val="CommentReference"/>
        </w:rPr>
        <w:commentReference w:id="41"/>
      </w:r>
      <w:r w:rsidRPr="003F2CA8">
        <w:rPr>
          <w:rFonts w:ascii="Times New Roman" w:hAnsi="Times New Roman" w:cs="Times New Roman"/>
          <w:sz w:val="24"/>
          <w:szCs w:val="24"/>
        </w:rPr>
        <w:t>. Risk factors for serious nonsteroidal-induced gastrointestinal complications: Regression analysis of the MUCOSA trial. Fam Med 1996; 28:202.</w:t>
      </w:r>
    </w:p>
    <w:p w:rsidR="00682400" w:rsidRPr="003F2CA8" w:rsidRDefault="003647B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Lim CH, vani D, Shah SG, Everett SM, Rembacken Bj . the outcome of suspected upper gastrointestinal bleeding with 24-hour access to upper gastrointestinal undoscopy: a prospective cohort study. Endoscopy2006 ;38:581-5.</w:t>
      </w:r>
    </w:p>
    <w:p w:rsidR="003647B4" w:rsidRPr="003F2CA8" w:rsidRDefault="006326D5"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w:t>
      </w:r>
      <w:commentRangeStart w:id="42"/>
      <w:r w:rsidRPr="003F2CA8">
        <w:rPr>
          <w:rFonts w:ascii="Times New Roman" w:hAnsi="Times New Roman" w:cs="Times New Roman"/>
          <w:sz w:val="24"/>
          <w:szCs w:val="24"/>
        </w:rPr>
        <w:t>Longstreth, GF. Epidemiology of hospitalization for acute upper gastrointestinal hemorrhage: A population-based study. Am J Gastroenterol 1995; 90:206.</w:t>
      </w:r>
      <w:commentRangeEnd w:id="42"/>
      <w:r w:rsidR="00E94CCF">
        <w:rPr>
          <w:rStyle w:val="CommentReference"/>
        </w:rPr>
        <w:commentReference w:id="42"/>
      </w:r>
    </w:p>
    <w:p w:rsidR="006326D5" w:rsidRPr="003F2CA8" w:rsidRDefault="00124A76"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Garcia Rodrigues LA. Jick H . risk of upper gastrointestinal bleeding and perforation associated with individual non-steroidal anti-inflammatory drugs. Lancet 1994;343:769-772</w:t>
      </w:r>
    </w:p>
    <w:p w:rsidR="00124A76" w:rsidRPr="003F2CA8" w:rsidRDefault="00124A76"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Hallas J,Lauritsen L </w:t>
      </w:r>
      <w:r w:rsidR="00662828" w:rsidRPr="003F2CA8">
        <w:rPr>
          <w:rFonts w:ascii="Times New Roman" w:hAnsi="Times New Roman" w:cs="Times New Roman"/>
          <w:sz w:val="24"/>
          <w:szCs w:val="24"/>
        </w:rPr>
        <w:t>Falsgard Villadsen H Gram LF . non-steroidal anti-inflammatory drugs and uppergastrointestinal bleeding , identifying high risk groups by excess risk estimated . scandJ Gasterenterol 1995;30:438-444</w:t>
      </w:r>
    </w:p>
    <w:p w:rsidR="00662828" w:rsidRPr="003F2CA8" w:rsidRDefault="00662828"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Perez –gutthann S,Garcia R odrriguez LA ,Raiford DS. Individual non-steroidal anti-inflammatory drugs and other risk factors for upper</w:t>
      </w:r>
      <w:r w:rsidR="00A01BF7" w:rsidRPr="003F2CA8">
        <w:rPr>
          <w:rFonts w:ascii="Times New Roman" w:hAnsi="Times New Roman" w:cs="Times New Roman"/>
          <w:sz w:val="24"/>
          <w:szCs w:val="24"/>
        </w:rPr>
        <w:t xml:space="preserve"> </w:t>
      </w:r>
      <w:r w:rsidRPr="003F2CA8">
        <w:rPr>
          <w:rFonts w:ascii="Times New Roman" w:hAnsi="Times New Roman" w:cs="Times New Roman"/>
          <w:sz w:val="24"/>
          <w:szCs w:val="24"/>
        </w:rPr>
        <w:t>gastrointestinal bleeding and perforation . epidemiology . 1997;8:18-24</w:t>
      </w:r>
    </w:p>
    <w:p w:rsidR="00CC4A83" w:rsidRPr="003F2CA8" w:rsidRDefault="00CC4A83"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commentRangeStart w:id="43"/>
      <w:r w:rsidRPr="003F2CA8">
        <w:rPr>
          <w:rFonts w:ascii="Times New Roman" w:hAnsi="Times New Roman" w:cs="Times New Roman"/>
          <w:sz w:val="24"/>
          <w:szCs w:val="24"/>
        </w:rPr>
        <w:t>Lanza, FL. A guideline for the treatment and prevention of NSAID-induced ulcers. Members of the Ad Hoc Committee on Practice Parameters of the American College of Gastroenterology. Am J Gastroenterol 1998; 93:2037.</w:t>
      </w:r>
      <w:commentRangeEnd w:id="43"/>
      <w:r w:rsidR="001003B0">
        <w:rPr>
          <w:rStyle w:val="CommentReference"/>
        </w:rPr>
        <w:commentReference w:id="43"/>
      </w:r>
    </w:p>
    <w:p w:rsidR="00C26DEA" w:rsidRPr="003F2CA8" w:rsidRDefault="00A01BF7"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lastRenderedPageBreak/>
        <w:t>C H Lim, RV Healtley . prospective study of acute gastrointestinal bleeding attributable to anti-inflammatory drug ingestion in the Yorkshire region of the United Kingdom .Postgraduate medical journal 2005;81:252-254.</w:t>
      </w:r>
    </w:p>
    <w:p w:rsidR="00CC4A83" w:rsidRPr="003F2CA8" w:rsidRDefault="00C26DEA"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Wallace, JL. Nonsteroidal anti-inflammatory drugs and gastroenteropathy: The second hundred years. Gastroenterology 1997; 112:1000.</w:t>
      </w:r>
    </w:p>
    <w:p w:rsidR="00C26DEA" w:rsidRPr="003F2CA8" w:rsidRDefault="00C26DEA"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Gabriel, SE, Jaaklimainen, L, Bombadier, C. Risk for serious gastrointestinal complications related to use of nonsteroidal antiinflammatory drugs: A meta-analysis. Ann Intern Med 1991; 115:787.</w:t>
      </w:r>
    </w:p>
    <w:p w:rsidR="00C26DEA" w:rsidRPr="003F2CA8" w:rsidRDefault="00A01BF7"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Richy, F, Bruyere, O, Ethgen, O, </w:t>
      </w:r>
      <w:commentRangeStart w:id="44"/>
      <w:r w:rsidRPr="003F2CA8">
        <w:rPr>
          <w:rFonts w:ascii="Times New Roman" w:hAnsi="Times New Roman" w:cs="Times New Roman"/>
          <w:sz w:val="24"/>
          <w:szCs w:val="24"/>
        </w:rPr>
        <w:t>et al</w:t>
      </w:r>
      <w:commentRangeEnd w:id="44"/>
      <w:r w:rsidR="00E94CCF">
        <w:rPr>
          <w:rStyle w:val="CommentReference"/>
        </w:rPr>
        <w:commentReference w:id="44"/>
      </w:r>
      <w:r w:rsidRPr="003F2CA8">
        <w:rPr>
          <w:rFonts w:ascii="Times New Roman" w:hAnsi="Times New Roman" w:cs="Times New Roman"/>
          <w:sz w:val="24"/>
          <w:szCs w:val="24"/>
        </w:rPr>
        <w:t>. Time dependent risk of gastrointestinal complications induced by non-steroidal anti-inflammatory drug use: a consensus statement using a meta-analytic approach. Ann Rheum Dis 2004; 63:759.</w:t>
      </w:r>
    </w:p>
    <w:p w:rsidR="00A01BF7" w:rsidRPr="003F2CA8" w:rsidRDefault="00A9506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Silverstein, FE, Faich, G, Goldstein, JL, </w:t>
      </w:r>
      <w:commentRangeStart w:id="45"/>
      <w:r w:rsidRPr="003F2CA8">
        <w:rPr>
          <w:rFonts w:ascii="Times New Roman" w:hAnsi="Times New Roman" w:cs="Times New Roman"/>
          <w:sz w:val="24"/>
          <w:szCs w:val="24"/>
        </w:rPr>
        <w:t>et al</w:t>
      </w:r>
      <w:commentRangeEnd w:id="45"/>
      <w:r w:rsidR="00E94CCF">
        <w:rPr>
          <w:rStyle w:val="CommentReference"/>
        </w:rPr>
        <w:commentReference w:id="45"/>
      </w:r>
      <w:r w:rsidRPr="003F2CA8">
        <w:rPr>
          <w:rFonts w:ascii="Times New Roman" w:hAnsi="Times New Roman" w:cs="Times New Roman"/>
          <w:sz w:val="24"/>
          <w:szCs w:val="24"/>
        </w:rPr>
        <w:t>. Gastrointestinal toxicity with celecoxib vs nonsteroidal anti-inflammatory drugs for osteoarthritis and rheumatoid arthritis. The CLASS study: A randomized controlled trial. JAMA 2000; 284:1247.</w:t>
      </w:r>
    </w:p>
    <w:p w:rsidR="00A95064" w:rsidRPr="003F2CA8" w:rsidRDefault="00A9506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Singh, G, Fort, JG, Goldstsein, JL, et al. Celecoxib versus naproxen and diclofenac in osteoarthritis patients: SUCCESS-I study. Am J Med 2006; 119:255.</w:t>
      </w:r>
    </w:p>
    <w:p w:rsidR="00A95064" w:rsidRPr="003F2CA8" w:rsidRDefault="00A9506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Graham, DY, Agrawal, NM, Campbell, DR, et al. Ulcer prevention in long-term users of nonsteroidal anti-inflammatory drugs: Results of a double-blind, randomized, multicenter, active- and placebo-controlled study of misoprostol vs lansoprazole. Arch Intern Med 2002; 162:169</w:t>
      </w:r>
    </w:p>
    <w:p w:rsidR="00A95064" w:rsidRPr="003F2CA8" w:rsidRDefault="00A9506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Lai, KC, Lam, SK, Chu, KM, </w:t>
      </w:r>
      <w:commentRangeStart w:id="46"/>
      <w:r w:rsidRPr="003F2CA8">
        <w:rPr>
          <w:rFonts w:ascii="Times New Roman" w:hAnsi="Times New Roman" w:cs="Times New Roman"/>
          <w:sz w:val="24"/>
          <w:szCs w:val="24"/>
        </w:rPr>
        <w:t>et al</w:t>
      </w:r>
      <w:commentRangeEnd w:id="46"/>
      <w:r w:rsidR="00E94CCF">
        <w:rPr>
          <w:rStyle w:val="CommentReference"/>
        </w:rPr>
        <w:commentReference w:id="46"/>
      </w:r>
      <w:r w:rsidRPr="003F2CA8">
        <w:rPr>
          <w:rFonts w:ascii="Times New Roman" w:hAnsi="Times New Roman" w:cs="Times New Roman"/>
          <w:sz w:val="24"/>
          <w:szCs w:val="24"/>
        </w:rPr>
        <w:t>. Lansoprazole for the prevention of recurrences of ulcer complications from long-term low-dose aspirin use. N Engl J Med 2002; 346:2033.</w:t>
      </w:r>
    </w:p>
    <w:p w:rsidR="00A95064" w:rsidRPr="003F2CA8" w:rsidRDefault="00A95064"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Ekstrom, P, Carling, L, Wetterhus, S, </w:t>
      </w:r>
      <w:commentRangeStart w:id="47"/>
      <w:r w:rsidRPr="003F2CA8">
        <w:rPr>
          <w:rFonts w:ascii="Times New Roman" w:hAnsi="Times New Roman" w:cs="Times New Roman"/>
          <w:sz w:val="24"/>
          <w:szCs w:val="24"/>
        </w:rPr>
        <w:t xml:space="preserve">et al. </w:t>
      </w:r>
      <w:commentRangeEnd w:id="47"/>
      <w:r w:rsidR="00E94CCF">
        <w:rPr>
          <w:rStyle w:val="CommentReference"/>
        </w:rPr>
        <w:commentReference w:id="47"/>
      </w:r>
      <w:r w:rsidRPr="003F2CA8">
        <w:rPr>
          <w:rFonts w:ascii="Times New Roman" w:hAnsi="Times New Roman" w:cs="Times New Roman"/>
          <w:sz w:val="24"/>
          <w:szCs w:val="24"/>
        </w:rPr>
        <w:t>Prevention of peptic ulcer and dyspeptic symptoms with omeprazole in patients receiving continuous non-steroidal anti-inflammatory drug therapy. A Nordic multicentre study. Scand J Gastroenterol 1996; 31:753.</w:t>
      </w:r>
    </w:p>
    <w:p w:rsidR="00E52460" w:rsidRPr="003F2CA8" w:rsidRDefault="00E52460"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Hooper, L, Brown, TJ, Elliott, R, </w:t>
      </w:r>
      <w:commentRangeStart w:id="48"/>
      <w:r w:rsidRPr="003F2CA8">
        <w:rPr>
          <w:rFonts w:ascii="Times New Roman" w:hAnsi="Times New Roman" w:cs="Times New Roman"/>
          <w:sz w:val="24"/>
          <w:szCs w:val="24"/>
        </w:rPr>
        <w:t>et al</w:t>
      </w:r>
      <w:commentRangeEnd w:id="48"/>
      <w:r w:rsidR="00E94CCF">
        <w:rPr>
          <w:rStyle w:val="CommentReference"/>
        </w:rPr>
        <w:commentReference w:id="48"/>
      </w:r>
      <w:r w:rsidRPr="003F2CA8">
        <w:rPr>
          <w:rFonts w:ascii="Times New Roman" w:hAnsi="Times New Roman" w:cs="Times New Roman"/>
          <w:sz w:val="24"/>
          <w:szCs w:val="24"/>
        </w:rPr>
        <w:t>. The effectiveness of five strategies for the prevention of gastrointestinal toxicity induced by non-steroidal anti-inflammatory drugs: systematic review. BMJ 2004; 329:948.</w:t>
      </w:r>
    </w:p>
    <w:p w:rsidR="00E52460" w:rsidRPr="003F2CA8" w:rsidRDefault="00E52460"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Raskin, JB, White, RH, Jackson, JE, </w:t>
      </w:r>
      <w:commentRangeStart w:id="49"/>
      <w:r w:rsidRPr="003F2CA8">
        <w:rPr>
          <w:rFonts w:ascii="Times New Roman" w:hAnsi="Times New Roman" w:cs="Times New Roman"/>
          <w:sz w:val="24"/>
          <w:szCs w:val="24"/>
        </w:rPr>
        <w:t>et al</w:t>
      </w:r>
      <w:commentRangeEnd w:id="49"/>
      <w:r w:rsidR="00E94CCF">
        <w:rPr>
          <w:rStyle w:val="CommentReference"/>
        </w:rPr>
        <w:commentReference w:id="49"/>
      </w:r>
      <w:r w:rsidRPr="003F2CA8">
        <w:rPr>
          <w:rFonts w:ascii="Times New Roman" w:hAnsi="Times New Roman" w:cs="Times New Roman"/>
          <w:sz w:val="24"/>
          <w:szCs w:val="24"/>
        </w:rPr>
        <w:t>. Misoprostol dosage in the prevention of nonsteroidal anti-inflammatory drug-induced gastric and duodenal ulcers: A comparison of three regimens. Ann Intern Med 1995; 123:344.</w:t>
      </w:r>
    </w:p>
    <w:p w:rsidR="00E52460" w:rsidRPr="003F2CA8" w:rsidRDefault="00E52460"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xml:space="preserve"> Cullen, D, Bardhan, KD, Eisner, M, </w:t>
      </w:r>
      <w:commentRangeStart w:id="50"/>
      <w:r w:rsidRPr="003F2CA8">
        <w:rPr>
          <w:rFonts w:ascii="Times New Roman" w:hAnsi="Times New Roman" w:cs="Times New Roman"/>
          <w:sz w:val="24"/>
          <w:szCs w:val="24"/>
        </w:rPr>
        <w:t>et al</w:t>
      </w:r>
      <w:commentRangeEnd w:id="50"/>
      <w:r w:rsidR="00E94CCF">
        <w:rPr>
          <w:rStyle w:val="CommentReference"/>
        </w:rPr>
        <w:commentReference w:id="50"/>
      </w:r>
      <w:r w:rsidRPr="003F2CA8">
        <w:rPr>
          <w:rFonts w:ascii="Times New Roman" w:hAnsi="Times New Roman" w:cs="Times New Roman"/>
          <w:sz w:val="24"/>
          <w:szCs w:val="24"/>
        </w:rPr>
        <w:t>. Primary gastroduodenal prophylaxis with omeprazole for non-steroidal anti-inflammatory drug users. Aliment Pharmacol Ther 1998; 12:135.</w:t>
      </w:r>
    </w:p>
    <w:p w:rsidR="00E52460" w:rsidRPr="003F2CA8" w:rsidRDefault="00E52460"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commentRangeStart w:id="51"/>
      <w:r w:rsidRPr="003F2CA8">
        <w:rPr>
          <w:rFonts w:ascii="Times New Roman" w:hAnsi="Times New Roman" w:cs="Times New Roman"/>
          <w:sz w:val="24"/>
          <w:szCs w:val="24"/>
        </w:rPr>
        <w:t xml:space="preserve">Richy, F, Bruyere, O, Ethgen, O, </w:t>
      </w:r>
      <w:commentRangeStart w:id="52"/>
      <w:r w:rsidRPr="003F2CA8">
        <w:rPr>
          <w:rFonts w:ascii="Times New Roman" w:hAnsi="Times New Roman" w:cs="Times New Roman"/>
          <w:sz w:val="24"/>
          <w:szCs w:val="24"/>
        </w:rPr>
        <w:t xml:space="preserve">et al. </w:t>
      </w:r>
      <w:commentRangeEnd w:id="52"/>
      <w:r w:rsidR="00E94CCF">
        <w:rPr>
          <w:rStyle w:val="CommentReference"/>
        </w:rPr>
        <w:commentReference w:id="52"/>
      </w:r>
      <w:r w:rsidRPr="003F2CA8">
        <w:rPr>
          <w:rFonts w:ascii="Times New Roman" w:hAnsi="Times New Roman" w:cs="Times New Roman"/>
          <w:sz w:val="24"/>
          <w:szCs w:val="24"/>
        </w:rPr>
        <w:t>Time dependent risk of gastrointestinal complications induced by non-steroidal anti-inflammatory drug use: a consensus statement using a meta-analytic approach. Ann Rheum Dis 2004; 63:759.</w:t>
      </w:r>
      <w:commentRangeEnd w:id="51"/>
      <w:r w:rsidR="00EB10B6">
        <w:rPr>
          <w:rStyle w:val="CommentReference"/>
        </w:rPr>
        <w:commentReference w:id="51"/>
      </w:r>
    </w:p>
    <w:p w:rsidR="00E52460" w:rsidRPr="003F2CA8" w:rsidRDefault="007E088E"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w:t>
      </w:r>
      <w:commentRangeStart w:id="53"/>
      <w:r w:rsidRPr="003F2CA8">
        <w:rPr>
          <w:rFonts w:ascii="Times New Roman" w:hAnsi="Times New Roman" w:cs="Times New Roman"/>
          <w:sz w:val="24"/>
          <w:szCs w:val="24"/>
        </w:rPr>
        <w:t xml:space="preserve">Graham, DY, Agrawal, NM, Campbell, DR, </w:t>
      </w:r>
      <w:commentRangeStart w:id="54"/>
      <w:r w:rsidRPr="003F2CA8">
        <w:rPr>
          <w:rFonts w:ascii="Times New Roman" w:hAnsi="Times New Roman" w:cs="Times New Roman"/>
          <w:sz w:val="24"/>
          <w:szCs w:val="24"/>
        </w:rPr>
        <w:t xml:space="preserve">et al. </w:t>
      </w:r>
      <w:commentRangeEnd w:id="54"/>
      <w:r w:rsidR="00E94CCF">
        <w:rPr>
          <w:rStyle w:val="CommentReference"/>
        </w:rPr>
        <w:commentReference w:id="54"/>
      </w:r>
      <w:r w:rsidRPr="003F2CA8">
        <w:rPr>
          <w:rFonts w:ascii="Times New Roman" w:hAnsi="Times New Roman" w:cs="Times New Roman"/>
          <w:sz w:val="24"/>
          <w:szCs w:val="24"/>
        </w:rPr>
        <w:t>Ulcer prevention in long-term users of nonsteroidal anti-inflammatory drugs: Results of a double-blind, randomized, multicenter, active- and placebo-controlled study of misoprostol vs lansoprazole. Arch Intern Med 2002; 162:169.</w:t>
      </w:r>
      <w:commentRangeEnd w:id="53"/>
      <w:r w:rsidR="00EB10B6">
        <w:rPr>
          <w:rStyle w:val="CommentReference"/>
        </w:rPr>
        <w:commentReference w:id="53"/>
      </w:r>
    </w:p>
    <w:p w:rsidR="009B6F6D" w:rsidRPr="003F2CA8" w:rsidRDefault="007E088E" w:rsidP="009A0C73">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3F2CA8">
        <w:rPr>
          <w:rFonts w:ascii="Times New Roman" w:hAnsi="Times New Roman" w:cs="Times New Roman"/>
          <w:sz w:val="24"/>
          <w:szCs w:val="24"/>
        </w:rPr>
        <w:t> </w:t>
      </w:r>
      <w:commentRangeStart w:id="55"/>
      <w:r w:rsidRPr="003F2CA8">
        <w:rPr>
          <w:rFonts w:ascii="Times New Roman" w:hAnsi="Times New Roman" w:cs="Times New Roman"/>
          <w:sz w:val="24"/>
          <w:szCs w:val="24"/>
        </w:rPr>
        <w:t xml:space="preserve">Lai, KC, Lam, SK, Chu, KM, </w:t>
      </w:r>
      <w:commentRangeStart w:id="56"/>
      <w:r w:rsidRPr="003F2CA8">
        <w:rPr>
          <w:rFonts w:ascii="Times New Roman" w:hAnsi="Times New Roman" w:cs="Times New Roman"/>
          <w:sz w:val="24"/>
          <w:szCs w:val="24"/>
        </w:rPr>
        <w:t xml:space="preserve">et al. </w:t>
      </w:r>
      <w:commentRangeEnd w:id="56"/>
      <w:r w:rsidR="00E94CCF">
        <w:rPr>
          <w:rStyle w:val="CommentReference"/>
        </w:rPr>
        <w:commentReference w:id="56"/>
      </w:r>
      <w:r w:rsidRPr="003F2CA8">
        <w:rPr>
          <w:rFonts w:ascii="Times New Roman" w:hAnsi="Times New Roman" w:cs="Times New Roman"/>
          <w:sz w:val="24"/>
          <w:szCs w:val="24"/>
        </w:rPr>
        <w:t>Lansoprazole for the prevention of recurrences of ulcer complications from long-term low-dose aspirin use. N Engl J Med 2002; 346:2033</w:t>
      </w:r>
      <w:commentRangeEnd w:id="55"/>
      <w:r w:rsidR="00EB10B6">
        <w:rPr>
          <w:rStyle w:val="CommentReference"/>
        </w:rPr>
        <w:commentReference w:id="55"/>
      </w:r>
      <w:r w:rsidRPr="003F2CA8">
        <w:rPr>
          <w:rFonts w:ascii="Times New Roman" w:hAnsi="Times New Roman" w:cs="Times New Roman"/>
          <w:sz w:val="24"/>
          <w:szCs w:val="24"/>
        </w:rPr>
        <w:t>.</w:t>
      </w:r>
    </w:p>
    <w:p w:rsidR="0069512E" w:rsidRPr="003F2CA8" w:rsidRDefault="0069512E" w:rsidP="009A0C73">
      <w:pPr>
        <w:spacing w:after="0" w:line="240" w:lineRule="auto"/>
        <w:ind w:left="360"/>
        <w:jc w:val="both"/>
        <w:rPr>
          <w:rFonts w:ascii="Times New Roman" w:hAnsi="Times New Roman" w:cs="Times New Roman"/>
          <w:sz w:val="32"/>
          <w:szCs w:val="32"/>
          <w:rtl/>
        </w:rPr>
      </w:pPr>
    </w:p>
    <w:p w:rsidR="00660F68" w:rsidRPr="003F2CA8" w:rsidRDefault="00660F68" w:rsidP="009A0C73">
      <w:pPr>
        <w:spacing w:after="0"/>
        <w:rPr>
          <w:rFonts w:ascii="Times New Roman" w:hAnsi="Times New Roman" w:cs="Times New Roman"/>
          <w:sz w:val="36"/>
          <w:szCs w:val="36"/>
        </w:rPr>
        <w:sectPr w:rsidR="00660F68" w:rsidRPr="003F2CA8" w:rsidSect="003F2CA8">
          <w:type w:val="continuous"/>
          <w:pgSz w:w="12240" w:h="15840"/>
          <w:pgMar w:top="360" w:right="1440" w:bottom="270" w:left="1440" w:header="360" w:footer="0" w:gutter="0"/>
          <w:cols w:space="720"/>
          <w:docGrid w:linePitch="360"/>
        </w:sectPr>
      </w:pPr>
    </w:p>
    <w:p w:rsidR="003F2CA8" w:rsidRPr="003F2CA8" w:rsidRDefault="003F2CA8" w:rsidP="003F2CA8">
      <w:pPr>
        <w:spacing w:after="0"/>
        <w:rPr>
          <w:rFonts w:ascii="Times New Roman" w:hAnsi="Times New Roman" w:cs="Times New Roman"/>
          <w:sz w:val="36"/>
          <w:szCs w:val="36"/>
        </w:rPr>
        <w:sectPr w:rsidR="003F2CA8" w:rsidRPr="003F2CA8" w:rsidSect="00660F68">
          <w:type w:val="continuous"/>
          <w:pgSz w:w="12240" w:h="15840"/>
          <w:pgMar w:top="1440" w:right="1440" w:bottom="1440" w:left="1440" w:header="720" w:footer="720" w:gutter="0"/>
          <w:cols w:space="720"/>
          <w:docGrid w:linePitch="360"/>
        </w:sectPr>
      </w:pPr>
    </w:p>
    <w:p w:rsidR="0078085F" w:rsidRPr="003F2CA8" w:rsidRDefault="0078085F" w:rsidP="003F2CA8">
      <w:pPr>
        <w:spacing w:after="0"/>
        <w:rPr>
          <w:rFonts w:ascii="Times New Roman" w:hAnsi="Times New Roman" w:cs="Times New Roman"/>
          <w:sz w:val="36"/>
          <w:szCs w:val="36"/>
        </w:rPr>
      </w:pPr>
    </w:p>
    <w:sectPr w:rsidR="0078085F" w:rsidRPr="003F2CA8" w:rsidSect="00660F68">
      <w:type w:val="continuous"/>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28:00Z" w:initials="K">
    <w:p w:rsidR="004F6228" w:rsidRDefault="004F6228" w:rsidP="004F6228">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F6228" w:rsidRPr="00B07E1A" w:rsidRDefault="004F6228" w:rsidP="004F6228">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25</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F6228" w:rsidRPr="00E41274" w:rsidRDefault="004F6228" w:rsidP="004F6228">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F6228" w:rsidRDefault="004F6228">
      <w:pPr>
        <w:pStyle w:val="CommentText"/>
      </w:pPr>
    </w:p>
  </w:comment>
  <w:comment w:id="1" w:author="kapil chauhan" w:date="2021-05-09T14:34:00Z" w:initials="kc">
    <w:p w:rsidR="00C7502B" w:rsidRPr="006B3A13" w:rsidRDefault="00E94CCF" w:rsidP="00C7502B">
      <w:pPr>
        <w:spacing w:after="0"/>
        <w:rPr>
          <w:rFonts w:ascii="Bookman Old Style" w:hAnsi="Bookman Old Style" w:cs="Times New Roman"/>
        </w:rPr>
      </w:pPr>
      <w:r>
        <w:rPr>
          <w:rStyle w:val="CommentReference"/>
        </w:rPr>
        <w:annotationRef/>
      </w:r>
      <w:r>
        <w:rPr>
          <w:rStyle w:val="CommentReference"/>
        </w:rPr>
        <w:annotationRef/>
      </w:r>
      <w:r w:rsidR="00C7502B" w:rsidRPr="000253CE">
        <w:rPr>
          <w:rFonts w:ascii="Bookman Old Style" w:hAnsi="Bookman Old Style" w:cs="Times New Roman"/>
        </w:rPr>
        <w:t>This study</w:t>
      </w:r>
      <w:r w:rsidR="00C7502B">
        <w:rPr>
          <w:rFonts w:ascii="Bookman Old Style" w:hAnsi="Bookman Old Style" w:cs="Times New Roman"/>
        </w:rPr>
        <w:t xml:space="preserve"> however can be a foundation to </w:t>
      </w:r>
      <w:r w:rsidR="00C7502B" w:rsidRPr="000253CE">
        <w:rPr>
          <w:rFonts w:ascii="Bookman Old Style" w:hAnsi="Bookman Old Style" w:cs="Times New Roman"/>
        </w:rPr>
        <w:t>further studies</w:t>
      </w:r>
      <w:r w:rsidR="00C7502B">
        <w:rPr>
          <w:rFonts w:ascii="Bookman Old Style" w:hAnsi="Bookman Old Style" w:cs="Times New Roman"/>
        </w:rPr>
        <w:t>.</w:t>
      </w:r>
    </w:p>
    <w:p w:rsidR="00E94CCF" w:rsidRDefault="00E94CCF" w:rsidP="00C7502B">
      <w:pPr>
        <w:pStyle w:val="CommentText"/>
      </w:pPr>
    </w:p>
    <w:p w:rsidR="00E94CCF" w:rsidRDefault="00E94CCF">
      <w:pPr>
        <w:pStyle w:val="CommentText"/>
      </w:pPr>
    </w:p>
  </w:comment>
  <w:comment w:id="2" w:author="kapil chauhan" w:date="2019-11-09T22:48:00Z" w:initials="kc">
    <w:p w:rsidR="00E94CCF" w:rsidRDefault="00E94CCF">
      <w:pPr>
        <w:pStyle w:val="CommentText"/>
      </w:pPr>
      <w:r>
        <w:rPr>
          <w:rStyle w:val="CommentReference"/>
        </w:rPr>
        <w:annotationRef/>
      </w:r>
      <w:r>
        <w:t>No keywords</w:t>
      </w:r>
    </w:p>
    <w:p w:rsidR="00E94CCF" w:rsidRDefault="00E94CCF">
      <w:pPr>
        <w:pStyle w:val="CommentText"/>
      </w:pPr>
      <w:r>
        <w:t>Please check journal specifications for abstract</w:t>
      </w:r>
    </w:p>
  </w:comment>
  <w:comment w:id="3" w:author="Kapil" w:date="2021-05-09T14:40:00Z" w:initials="K">
    <w:p w:rsidR="00C7502B" w:rsidRDefault="00C7502B" w:rsidP="00C7502B">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C7502B" w:rsidRDefault="00C7502B">
      <w:pPr>
        <w:pStyle w:val="CommentText"/>
      </w:pPr>
    </w:p>
  </w:comment>
  <w:comment w:id="6" w:author="Kapil" w:date="2021-05-09T14:41:00Z" w:initials="K">
    <w:p w:rsidR="00C7502B" w:rsidRDefault="00C7502B">
      <w:pPr>
        <w:pStyle w:val="CommentText"/>
      </w:pPr>
      <w:r>
        <w:rPr>
          <w:rStyle w:val="CommentReference"/>
        </w:rPr>
        <w:annotationRef/>
      </w:r>
      <w:r>
        <w:t>Add keywords</w:t>
      </w:r>
    </w:p>
  </w:comment>
  <w:comment w:id="7" w:author="kapil chauhan" w:date="2019-11-09T22:48:00Z" w:initials="kc">
    <w:p w:rsidR="00E94CCF" w:rsidRDefault="00E94CCF">
      <w:pPr>
        <w:pStyle w:val="CommentText"/>
      </w:pPr>
      <w:r>
        <w:rPr>
          <w:rStyle w:val="CommentReference"/>
        </w:rPr>
        <w:annotationRef/>
      </w:r>
      <w:r>
        <w:t>Italic?</w:t>
      </w:r>
    </w:p>
  </w:comment>
  <w:comment w:id="10" w:author="kapil chauhan" w:date="2019-11-09T22:49:00Z" w:initials="kc">
    <w:p w:rsidR="00E94CCF" w:rsidRDefault="00E94CCF">
      <w:pPr>
        <w:pStyle w:val="CommentText"/>
      </w:pPr>
      <w:r>
        <w:rPr>
          <w:rStyle w:val="CommentReference"/>
        </w:rPr>
        <w:annotationRef/>
      </w:r>
      <w:r>
        <w:t>Starting from 14?</w:t>
      </w:r>
    </w:p>
  </w:comment>
  <w:comment w:id="9" w:author="kapil chauhan" w:date="2019-11-09T22:49:00Z" w:initials="kc">
    <w:p w:rsidR="00E94CCF" w:rsidRDefault="00E94CCF">
      <w:pPr>
        <w:pStyle w:val="CommentText"/>
      </w:pPr>
      <w:r>
        <w:rPr>
          <w:rStyle w:val="CommentReference"/>
        </w:rPr>
        <w:annotationRef/>
      </w:r>
      <w:r>
        <w:t>Remove all brackets from the references cited in the text</w:t>
      </w:r>
    </w:p>
  </w:comment>
  <w:comment w:id="8" w:author="Kapil" w:date="2021-05-09T14:41:00Z" w:initials="K">
    <w:p w:rsidR="00C7502B" w:rsidRPr="00073C62" w:rsidRDefault="00C7502B" w:rsidP="00C7502B">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C7502B" w:rsidRDefault="00C7502B">
      <w:pPr>
        <w:pStyle w:val="CommentText"/>
      </w:pPr>
    </w:p>
  </w:comment>
  <w:comment w:id="12" w:author="kapil chauhan" w:date="2019-11-09T22:50:00Z" w:initials="kc">
    <w:p w:rsidR="00E94CCF" w:rsidRDefault="00E94CCF">
      <w:pPr>
        <w:pStyle w:val="CommentText"/>
      </w:pPr>
      <w:r>
        <w:rPr>
          <w:rStyle w:val="CommentReference"/>
        </w:rPr>
        <w:annotationRef/>
      </w:r>
      <w:r>
        <w:t>Need spacing</w:t>
      </w:r>
    </w:p>
  </w:comment>
  <w:comment w:id="11" w:author="Kapil" w:date="2021-05-09T14:41:00Z" w:initials="K">
    <w:p w:rsidR="00C7502B" w:rsidRPr="00CF1B05" w:rsidRDefault="00C7502B" w:rsidP="00C7502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C7502B" w:rsidRDefault="00C7502B">
      <w:pPr>
        <w:pStyle w:val="CommentText"/>
      </w:pPr>
    </w:p>
  </w:comment>
  <w:comment w:id="13" w:author="Kapil" w:date="2021-05-09T14:42:00Z" w:initials="K">
    <w:p w:rsidR="00C7502B" w:rsidRDefault="00C7502B" w:rsidP="00C7502B">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Problems are clearly identified and explained. Research objectives are well-related to the problems raised and are</w:t>
      </w:r>
      <w:r>
        <w:rPr>
          <w:rFonts w:ascii="Bookman Old Style" w:hAnsi="Bookman Old Style" w:cs="Times New Roman"/>
        </w:rPr>
        <w:t xml:space="preserve"> </w:t>
      </w:r>
      <w:r w:rsidRPr="000253CE">
        <w:rPr>
          <w:rFonts w:ascii="Bookman Old Style" w:hAnsi="Bookman Old Style" w:cs="Times New Roman"/>
        </w:rPr>
        <w:t>achievable.</w:t>
      </w:r>
    </w:p>
    <w:p w:rsidR="00C7502B" w:rsidRDefault="00C7502B">
      <w:pPr>
        <w:pStyle w:val="CommentText"/>
      </w:pPr>
    </w:p>
  </w:comment>
  <w:comment w:id="14" w:author="Kapil" w:date="2021-05-09T18:01:00Z" w:initials="K">
    <w:p w:rsidR="00E706F8" w:rsidRPr="00BB0FA3" w:rsidRDefault="00E706F8" w:rsidP="00E706F8">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Table/Figure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E706F8" w:rsidRDefault="00E706F8" w:rsidP="00E706F8">
      <w:pPr>
        <w:spacing w:after="0"/>
      </w:pPr>
    </w:p>
  </w:comment>
  <w:comment w:id="16" w:author="Kapil" w:date="2021-05-09T18:21:00Z" w:initials="K">
    <w:p w:rsidR="009A0C73" w:rsidRDefault="009A0C73" w:rsidP="009A0C73">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9A0C73" w:rsidRDefault="009A0C73" w:rsidP="009A0C73">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9A0C73" w:rsidRDefault="009A0C73">
      <w:pPr>
        <w:pStyle w:val="CommentText"/>
      </w:pPr>
    </w:p>
  </w:comment>
  <w:comment w:id="17" w:author="Kapil" w:date="2021-05-09T18:01:00Z" w:initials="K">
    <w:p w:rsidR="00E706F8" w:rsidRDefault="00E706F8" w:rsidP="00E706F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E706F8" w:rsidRDefault="00E706F8">
      <w:pPr>
        <w:pStyle w:val="CommentText"/>
      </w:pPr>
    </w:p>
  </w:comment>
  <w:comment w:id="18" w:author="Kapil" w:date="2021-05-09T18:02:00Z" w:initials="K">
    <w:p w:rsidR="00E706F8" w:rsidRDefault="00E706F8" w:rsidP="00E706F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E706F8" w:rsidRDefault="00E706F8">
      <w:pPr>
        <w:pStyle w:val="CommentText"/>
      </w:pPr>
    </w:p>
  </w:comment>
  <w:comment w:id="20" w:author="kapil chauhan" w:date="2019-11-09T22:54: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21" w:author="Kapil" w:date="2021-05-09T18:20:00Z" w:initials="K">
    <w:p w:rsidR="00F76AD0" w:rsidRDefault="00F76AD0" w:rsidP="00F76AD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F76AD0" w:rsidRDefault="00F76AD0" w:rsidP="00F76AD0">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F76AD0" w:rsidRDefault="00F76AD0">
      <w:pPr>
        <w:pStyle w:val="CommentText"/>
      </w:pPr>
    </w:p>
  </w:comment>
  <w:comment w:id="19" w:author="Kapil" w:date="2021-05-09T18:02:00Z" w:initials="K">
    <w:p w:rsidR="00E706F8" w:rsidRDefault="00E706F8">
      <w:pPr>
        <w:pStyle w:val="CommentText"/>
      </w:pPr>
      <w:r>
        <w:rPr>
          <w:rStyle w:val="CommentReference"/>
        </w:rPr>
        <w:annotationRef/>
      </w:r>
      <w:r>
        <w:rPr>
          <w:rFonts w:ascii="Bookman Old Style" w:hAnsi="Bookman Old Style" w:cs="Times New Roman"/>
        </w:rPr>
        <w:t>This section is</w:t>
      </w:r>
      <w:r w:rsidRPr="00AB42B9">
        <w:rPr>
          <w:rFonts w:ascii="Bookman Old Style" w:hAnsi="Bookman Old Style" w:cs="Times New Roman"/>
        </w:rPr>
        <w:t xml:space="preserve"> covered by the researcher very well.</w:t>
      </w:r>
    </w:p>
  </w:comment>
  <w:comment w:id="23" w:author="Kapil" w:date="2021-05-09T18:20:00Z" w:initials="K">
    <w:p w:rsidR="00F76AD0" w:rsidRDefault="00F76AD0" w:rsidP="00F76AD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current</w:t>
      </w:r>
    </w:p>
    <w:p w:rsidR="00F76AD0" w:rsidRDefault="00F76AD0" w:rsidP="00F76AD0">
      <w:pPr>
        <w:spacing w:after="0" w:line="240" w:lineRule="auto"/>
        <w:rPr>
          <w:rFonts w:ascii="Bookman Old Style" w:hAnsi="Bookman Old Style" w:cs="Times New Roman"/>
          <w:highlight w:val="yellow"/>
        </w:rPr>
      </w:pPr>
      <w:r w:rsidRPr="006B3A13">
        <w:rPr>
          <w:rFonts w:ascii="Bookman Old Style" w:hAnsi="Bookman Old Style" w:cs="Times New Roman"/>
        </w:rPr>
        <w:t>Please use some scientific words, remove words like we, I, our, your</w:t>
      </w:r>
      <w:r>
        <w:rPr>
          <w:rFonts w:ascii="Bookman Old Style" w:hAnsi="Bookman Old Style" w:cs="Times New Roman"/>
        </w:rPr>
        <w:t>,</w:t>
      </w:r>
      <w:r w:rsidRPr="006B3A13">
        <w:rPr>
          <w:rFonts w:ascii="Bookman Old Style" w:hAnsi="Bookman Old Style" w:cs="Times New Roman"/>
        </w:rPr>
        <w:t xml:space="preserve"> etc</w:t>
      </w:r>
      <w:r>
        <w:rPr>
          <w:rFonts w:ascii="Bookman Old Style" w:hAnsi="Bookman Old Style" w:cs="Times New Roman"/>
        </w:rPr>
        <w:t>.</w:t>
      </w:r>
      <w:r w:rsidRPr="006B3A13">
        <w:rPr>
          <w:rFonts w:ascii="Bookman Old Style" w:hAnsi="Bookman Old Style" w:cs="Times New Roman"/>
          <w:highlight w:val="yellow"/>
        </w:rPr>
        <w:t xml:space="preserve"> </w:t>
      </w:r>
    </w:p>
    <w:p w:rsidR="00F76AD0" w:rsidRDefault="00F76AD0">
      <w:pPr>
        <w:pStyle w:val="CommentText"/>
      </w:pPr>
    </w:p>
  </w:comment>
  <w:comment w:id="24" w:author="kapil chauhan" w:date="2019-11-09T22:54: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22" w:author="Kapil" w:date="2021-05-09T18:02:00Z" w:initials="K">
    <w:p w:rsidR="00E706F8" w:rsidRDefault="00E706F8" w:rsidP="00E706F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E706F8" w:rsidRDefault="00E706F8">
      <w:pPr>
        <w:pStyle w:val="CommentText"/>
      </w:pPr>
    </w:p>
  </w:comment>
  <w:comment w:id="25" w:author="Kapil" w:date="2021-05-09T18:03:00Z" w:initials="K">
    <w:p w:rsidR="00E706F8" w:rsidRDefault="00E706F8">
      <w:pPr>
        <w:pStyle w:val="CommentText"/>
      </w:pPr>
      <w:r>
        <w:rPr>
          <w:rStyle w:val="CommentReference"/>
        </w:rPr>
        <w:annotationRef/>
      </w:r>
      <w:r w:rsidRPr="00F8780A">
        <w:rPr>
          <w:rFonts w:ascii="Bookman Old Style" w:hAnsi="Bookman Old Style" w:cs="Times New Roman"/>
        </w:rPr>
        <w:t xml:space="preserve">Proper </w:t>
      </w:r>
      <w:r>
        <w:rPr>
          <w:rFonts w:ascii="Bookman Old Style" w:hAnsi="Bookman Old Style" w:cs="Times New Roman"/>
        </w:rPr>
        <w:t>conclusion</w:t>
      </w:r>
      <w:r w:rsidRPr="00F8780A">
        <w:rPr>
          <w:rFonts w:ascii="Bookman Old Style" w:hAnsi="Bookman Old Style" w:cs="Times New Roman"/>
        </w:rPr>
        <w:t xml:space="preserve"> is</w:t>
      </w:r>
      <w:r>
        <w:rPr>
          <w:rFonts w:ascii="Bookman Old Style" w:hAnsi="Bookman Old Style" w:cs="Times New Roman"/>
        </w:rPr>
        <w:t xml:space="preserve"> missing.</w:t>
      </w:r>
    </w:p>
  </w:comment>
  <w:comment w:id="26" w:author="Kapil" w:date="2021-05-09T18:03:00Z" w:initials="K">
    <w:p w:rsidR="00E706F8" w:rsidRPr="000253CE" w:rsidRDefault="00E706F8" w:rsidP="00E706F8">
      <w:pPr>
        <w:spacing w:after="0" w:line="240" w:lineRule="auto"/>
        <w:rPr>
          <w:rFonts w:ascii="Bookman Old Style" w:hAnsi="Bookman Old Style" w:cs="Times New Roman"/>
        </w:rPr>
      </w:pPr>
      <w:r>
        <w:rPr>
          <w:rStyle w:val="CommentReference"/>
        </w:rPr>
        <w:annotationRef/>
      </w:r>
      <w:r w:rsidRPr="000253CE">
        <w:rPr>
          <w:rFonts w:ascii="Bookman Old Style" w:hAnsi="Bookman Old Style" w:cs="Times New Roman"/>
        </w:rPr>
        <w:t>Current research's recommendations for future research are</w:t>
      </w:r>
      <w:r>
        <w:rPr>
          <w:rFonts w:ascii="Bookman Old Style" w:hAnsi="Bookman Old Style" w:cs="Times New Roman"/>
        </w:rPr>
        <w:t xml:space="preserve"> </w:t>
      </w:r>
      <w:r w:rsidRPr="000253CE">
        <w:rPr>
          <w:rFonts w:ascii="Bookman Old Style" w:hAnsi="Bookman Old Style" w:cs="Times New Roman"/>
        </w:rPr>
        <w:t>reasonable and acceptable.</w:t>
      </w:r>
    </w:p>
    <w:p w:rsidR="00E706F8" w:rsidRDefault="00E706F8">
      <w:pPr>
        <w:pStyle w:val="CommentText"/>
      </w:pPr>
    </w:p>
  </w:comment>
  <w:comment w:id="28" w:author="Kapil" w:date="2021-05-09T18:15:00Z" w:initials="K">
    <w:p w:rsidR="000C16DB" w:rsidRPr="00186B8E" w:rsidRDefault="000C16DB" w:rsidP="000C16D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C16DB" w:rsidRDefault="000C16DB" w:rsidP="000C16DB">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0C16DB" w:rsidRDefault="000C16DB" w:rsidP="000C16DB">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0C16DB" w:rsidRDefault="000C16DB">
      <w:pPr>
        <w:pStyle w:val="CommentText"/>
      </w:pPr>
    </w:p>
  </w:comment>
  <w:comment w:id="27" w:author="kapil chauhan" w:date="2019-11-09T23:17:00Z" w:initials="kc">
    <w:p w:rsidR="001003B0" w:rsidRDefault="001003B0" w:rsidP="001003B0">
      <w:pPr>
        <w:pStyle w:val="CommentText"/>
      </w:pPr>
      <w:r>
        <w:rPr>
          <w:rStyle w:val="CommentReference"/>
        </w:rPr>
        <w:annotationRef/>
      </w:r>
      <w:r>
        <w:rPr>
          <w:rFonts w:ascii="Times New Roman" w:hAnsi="Times New Roman" w:cs="Times New Roman"/>
          <w:sz w:val="24"/>
          <w:szCs w:val="24"/>
        </w:rPr>
        <w:t>Please check journal specification for references</w:t>
      </w:r>
    </w:p>
    <w:p w:rsidR="001003B0" w:rsidRDefault="001003B0">
      <w:pPr>
        <w:pStyle w:val="CommentText"/>
      </w:pPr>
    </w:p>
  </w:comment>
  <w:comment w:id="29" w:author="kapil chauhan" w:date="2019-11-09T22:51:00Z" w:initials="kc">
    <w:p w:rsidR="00E94CCF" w:rsidRPr="00E94CCF" w:rsidRDefault="00E94CCF">
      <w:pPr>
        <w:pStyle w:val="CommentText"/>
        <w:rPr>
          <w:i/>
        </w:rPr>
      </w:pPr>
      <w:r>
        <w:rPr>
          <w:rStyle w:val="CommentReference"/>
        </w:rPr>
        <w:annotationRef/>
      </w:r>
      <w:r w:rsidRPr="00E94CCF">
        <w:rPr>
          <w:rFonts w:ascii="Times New Roman" w:hAnsi="Times New Roman" w:cs="Times New Roman"/>
          <w:i/>
          <w:sz w:val="24"/>
          <w:szCs w:val="24"/>
        </w:rPr>
        <w:t>et al.</w:t>
      </w:r>
    </w:p>
  </w:comment>
  <w:comment w:id="30" w:author="kapil chauhan" w:date="2019-11-09T22:51: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31" w:author="kapil chauhan" w:date="2019-11-09T22:51: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32" w:author="kapil chauhan" w:date="2019-11-09T22:51: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33" w:author="kapil chauhan" w:date="2019-11-09T22:51: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34" w:author="kapil chauhan" w:date="2019-11-09T22:52: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35" w:author="kapil chauhan" w:date="2019-11-09T22:52: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36" w:author="kapil chauhan" w:date="2019-11-09T22:52: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37" w:author="kapil chauhan" w:date="2019-11-09T22:52: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38" w:author="kapil chauhan" w:date="2019-11-09T22:52: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39" w:author="kapil chauhan" w:date="2019-11-09T23:15:00Z" w:initials="kc">
    <w:p w:rsidR="001003B0" w:rsidRDefault="001003B0" w:rsidP="001003B0">
      <w:pPr>
        <w:pStyle w:val="CommentText"/>
      </w:pPr>
      <w:r>
        <w:rPr>
          <w:rStyle w:val="CommentReference"/>
        </w:rPr>
        <w:annotationRef/>
      </w:r>
      <w:r>
        <w:t>Same as reference 16. Remove this one</w:t>
      </w:r>
    </w:p>
    <w:p w:rsidR="001003B0" w:rsidRDefault="001003B0">
      <w:pPr>
        <w:pStyle w:val="CommentText"/>
      </w:pPr>
    </w:p>
  </w:comment>
  <w:comment w:id="40" w:author="kapil chauhan" w:date="2019-11-09T22:53: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41" w:author="kapil chauhan" w:date="2019-11-09T22:53: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42" w:author="kapil chauhan" w:date="2019-11-09T22:56:00Z" w:initials="kc">
    <w:p w:rsidR="00E94CCF" w:rsidRDefault="00E94CCF">
      <w:pPr>
        <w:pStyle w:val="CommentText"/>
      </w:pPr>
      <w:r>
        <w:rPr>
          <w:rStyle w:val="CommentReference"/>
        </w:rPr>
        <w:annotationRef/>
      </w:r>
      <w:r>
        <w:t>Same as reference 1. Remove this one</w:t>
      </w:r>
    </w:p>
  </w:comment>
  <w:comment w:id="43" w:author="kapil chauhan" w:date="2019-11-09T23:15:00Z" w:initials="kc">
    <w:p w:rsidR="001003B0" w:rsidRDefault="001003B0" w:rsidP="001003B0">
      <w:pPr>
        <w:pStyle w:val="CommentText"/>
      </w:pPr>
      <w:r>
        <w:rPr>
          <w:rStyle w:val="CommentReference"/>
        </w:rPr>
        <w:annotationRef/>
      </w:r>
      <w:r>
        <w:t>Same as reference 22. Remove this one</w:t>
      </w:r>
    </w:p>
    <w:p w:rsidR="001003B0" w:rsidRDefault="001003B0">
      <w:pPr>
        <w:pStyle w:val="CommentText"/>
      </w:pPr>
    </w:p>
  </w:comment>
  <w:comment w:id="44" w:author="kapil chauhan" w:date="2019-11-09T22:53: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45" w:author="kapil chauhan" w:date="2019-11-09T22:53: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46" w:author="kapil chauhan" w:date="2019-11-09T22:53: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47" w:author="kapil chauhan" w:date="2019-11-09T22:53: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48" w:author="kapil chauhan" w:date="2019-11-09T22:53: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49" w:author="kapil chauhan" w:date="2019-11-09T22:54: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50" w:author="kapil chauhan" w:date="2019-11-09T22:54: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52" w:author="kapil chauhan" w:date="2019-11-09T22:54: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51" w:author="kapil chauhan" w:date="2019-11-09T23:00:00Z" w:initials="kc">
    <w:p w:rsidR="00EB10B6" w:rsidRDefault="00EB10B6" w:rsidP="00EB10B6">
      <w:pPr>
        <w:pStyle w:val="CommentText"/>
      </w:pPr>
      <w:r>
        <w:rPr>
          <w:rStyle w:val="CommentReference"/>
        </w:rPr>
        <w:annotationRef/>
      </w:r>
      <w:r>
        <w:t>Same as 34. So remove this one</w:t>
      </w:r>
    </w:p>
    <w:p w:rsidR="00EB10B6" w:rsidRDefault="00EB10B6">
      <w:pPr>
        <w:pStyle w:val="CommentText"/>
      </w:pPr>
    </w:p>
  </w:comment>
  <w:comment w:id="54" w:author="kapil chauhan" w:date="2019-11-09T22:54: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53" w:author="kapil chauhan" w:date="2019-11-09T22:59:00Z" w:initials="kc">
    <w:p w:rsidR="00EB10B6" w:rsidRDefault="00EB10B6" w:rsidP="00EB10B6">
      <w:pPr>
        <w:pStyle w:val="CommentText"/>
      </w:pPr>
      <w:r>
        <w:rPr>
          <w:rStyle w:val="CommentReference"/>
        </w:rPr>
        <w:annotationRef/>
      </w:r>
      <w:r>
        <w:t>Same as 37. So remove this one</w:t>
      </w:r>
    </w:p>
    <w:p w:rsidR="00EB10B6" w:rsidRDefault="00EB10B6">
      <w:pPr>
        <w:pStyle w:val="CommentText"/>
      </w:pPr>
    </w:p>
  </w:comment>
  <w:comment w:id="56" w:author="kapil chauhan" w:date="2019-11-09T22:54:00Z" w:initials="kc">
    <w:p w:rsidR="00E94CCF" w:rsidRDefault="00E94CCF">
      <w:pPr>
        <w:pStyle w:val="CommentText"/>
      </w:pPr>
      <w:r>
        <w:rPr>
          <w:rStyle w:val="CommentReference"/>
        </w:rPr>
        <w:annotationRef/>
      </w:r>
      <w:r w:rsidRPr="00E94CCF">
        <w:rPr>
          <w:rFonts w:ascii="Times New Roman" w:hAnsi="Times New Roman" w:cs="Times New Roman"/>
          <w:i/>
          <w:sz w:val="24"/>
          <w:szCs w:val="24"/>
        </w:rPr>
        <w:t>et al.</w:t>
      </w:r>
    </w:p>
  </w:comment>
  <w:comment w:id="55" w:author="kapil chauhan" w:date="2019-11-09T22:58:00Z" w:initials="kc">
    <w:p w:rsidR="00EB10B6" w:rsidRDefault="00EB10B6">
      <w:pPr>
        <w:pStyle w:val="CommentText"/>
      </w:pPr>
      <w:r>
        <w:rPr>
          <w:rStyle w:val="CommentReference"/>
        </w:rPr>
        <w:annotationRef/>
      </w:r>
      <w:r>
        <w:t>Same as 38. So remove this one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C72" w:rsidRDefault="00C27C72" w:rsidP="00CA700B">
      <w:pPr>
        <w:spacing w:after="0" w:line="240" w:lineRule="auto"/>
      </w:pPr>
      <w:r>
        <w:separator/>
      </w:r>
    </w:p>
  </w:endnote>
  <w:endnote w:type="continuationSeparator" w:id="1">
    <w:p w:rsidR="00C27C72" w:rsidRDefault="00C27C72" w:rsidP="00CA7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F" w:rsidRDefault="00E94C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9360"/>
      <w:docPartObj>
        <w:docPartGallery w:val="Page Numbers (Bottom of Page)"/>
        <w:docPartUnique/>
      </w:docPartObj>
    </w:sdtPr>
    <w:sdtContent>
      <w:p w:rsidR="00FD4770" w:rsidRDefault="00EA4AA5">
        <w:pPr>
          <w:pStyle w:val="Footer"/>
          <w:jc w:val="center"/>
        </w:pPr>
      </w:p>
    </w:sdtContent>
  </w:sdt>
  <w:p w:rsidR="00FD4770" w:rsidRDefault="00FD47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CCF" w:rsidRDefault="00E94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C72" w:rsidRDefault="00C27C72" w:rsidP="00CA700B">
      <w:pPr>
        <w:spacing w:after="0" w:line="240" w:lineRule="auto"/>
      </w:pPr>
      <w:r>
        <w:separator/>
      </w:r>
    </w:p>
  </w:footnote>
  <w:footnote w:type="continuationSeparator" w:id="1">
    <w:p w:rsidR="00C27C72" w:rsidRDefault="00C27C72" w:rsidP="00CA7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A8" w:rsidRDefault="00EA4A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182"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A8" w:rsidRDefault="00EA4A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183"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A8" w:rsidRDefault="00EA4A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181"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39E"/>
    <w:multiLevelType w:val="hybridMultilevel"/>
    <w:tmpl w:val="26EA33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D4717E"/>
    <w:multiLevelType w:val="hybridMultilevel"/>
    <w:tmpl w:val="9F9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02978"/>
    <w:multiLevelType w:val="hybridMultilevel"/>
    <w:tmpl w:val="1E6A52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DC7F07"/>
    <w:multiLevelType w:val="hybridMultilevel"/>
    <w:tmpl w:val="F35A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D5C91"/>
    <w:multiLevelType w:val="hybridMultilevel"/>
    <w:tmpl w:val="2E885F82"/>
    <w:lvl w:ilvl="0" w:tplc="10E8F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72F99"/>
    <w:multiLevelType w:val="hybridMultilevel"/>
    <w:tmpl w:val="9564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B17AE"/>
    <w:multiLevelType w:val="hybridMultilevel"/>
    <w:tmpl w:val="4840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8055D"/>
    <w:multiLevelType w:val="hybridMultilevel"/>
    <w:tmpl w:val="FFAE78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4187C96"/>
    <w:multiLevelType w:val="hybridMultilevel"/>
    <w:tmpl w:val="C56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1D21D1"/>
    <w:multiLevelType w:val="hybridMultilevel"/>
    <w:tmpl w:val="0F22C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43272"/>
    <w:multiLevelType w:val="hybridMultilevel"/>
    <w:tmpl w:val="0F22C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17CB8"/>
    <w:multiLevelType w:val="hybridMultilevel"/>
    <w:tmpl w:val="067E509C"/>
    <w:lvl w:ilvl="0" w:tplc="10E8FE4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6DFF2BDD"/>
    <w:multiLevelType w:val="hybridMultilevel"/>
    <w:tmpl w:val="C96A643C"/>
    <w:lvl w:ilvl="0" w:tplc="AB1260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8"/>
  </w:num>
  <w:num w:numId="3">
    <w:abstractNumId w:val="3"/>
  </w:num>
  <w:num w:numId="4">
    <w:abstractNumId w:val="0"/>
  </w:num>
  <w:num w:numId="5">
    <w:abstractNumId w:val="2"/>
  </w:num>
  <w:num w:numId="6">
    <w:abstractNumId w:val="9"/>
  </w:num>
  <w:num w:numId="7">
    <w:abstractNumId w:val="10"/>
  </w:num>
  <w:num w:numId="8">
    <w:abstractNumId w:val="6"/>
  </w:num>
  <w:num w:numId="9">
    <w:abstractNumId w:val="5"/>
  </w:num>
  <w:num w:numId="10">
    <w:abstractNumId w:val="4"/>
  </w:num>
  <w:num w:numId="11">
    <w:abstractNumId w:val="11"/>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applyBreakingRules/>
    <w:useFELayout/>
  </w:compat>
  <w:rsids>
    <w:rsidRoot w:val="00785B95"/>
    <w:rsid w:val="00010F8F"/>
    <w:rsid w:val="00043381"/>
    <w:rsid w:val="00043888"/>
    <w:rsid w:val="000642F1"/>
    <w:rsid w:val="00065F37"/>
    <w:rsid w:val="000822B2"/>
    <w:rsid w:val="00084957"/>
    <w:rsid w:val="00085D30"/>
    <w:rsid w:val="00091C4F"/>
    <w:rsid w:val="000A57C3"/>
    <w:rsid w:val="000C16DB"/>
    <w:rsid w:val="000E7012"/>
    <w:rsid w:val="000F5615"/>
    <w:rsid w:val="001003B0"/>
    <w:rsid w:val="001123C8"/>
    <w:rsid w:val="00112AD9"/>
    <w:rsid w:val="00113341"/>
    <w:rsid w:val="00124A76"/>
    <w:rsid w:val="0012718D"/>
    <w:rsid w:val="001461DA"/>
    <w:rsid w:val="00151F8D"/>
    <w:rsid w:val="00152911"/>
    <w:rsid w:val="0015537F"/>
    <w:rsid w:val="001579E2"/>
    <w:rsid w:val="00164084"/>
    <w:rsid w:val="001C33B6"/>
    <w:rsid w:val="001C76FE"/>
    <w:rsid w:val="001F4405"/>
    <w:rsid w:val="00202F89"/>
    <w:rsid w:val="002052D7"/>
    <w:rsid w:val="0021039C"/>
    <w:rsid w:val="00235FF3"/>
    <w:rsid w:val="002623B2"/>
    <w:rsid w:val="002734F0"/>
    <w:rsid w:val="002971FC"/>
    <w:rsid w:val="002B1CAB"/>
    <w:rsid w:val="002B1E60"/>
    <w:rsid w:val="002D1F51"/>
    <w:rsid w:val="002E6F33"/>
    <w:rsid w:val="002F22E4"/>
    <w:rsid w:val="002F4B5E"/>
    <w:rsid w:val="002F4BBD"/>
    <w:rsid w:val="00326677"/>
    <w:rsid w:val="00335218"/>
    <w:rsid w:val="00336C78"/>
    <w:rsid w:val="003647B4"/>
    <w:rsid w:val="00391088"/>
    <w:rsid w:val="003A03EC"/>
    <w:rsid w:val="003A4758"/>
    <w:rsid w:val="003C5EAB"/>
    <w:rsid w:val="003D16AC"/>
    <w:rsid w:val="003D512A"/>
    <w:rsid w:val="003D7B6F"/>
    <w:rsid w:val="003F2570"/>
    <w:rsid w:val="003F2CA8"/>
    <w:rsid w:val="003F51FF"/>
    <w:rsid w:val="003F6019"/>
    <w:rsid w:val="00434BCD"/>
    <w:rsid w:val="0044370B"/>
    <w:rsid w:val="004518AB"/>
    <w:rsid w:val="00456295"/>
    <w:rsid w:val="0045753F"/>
    <w:rsid w:val="00460F23"/>
    <w:rsid w:val="00477DDA"/>
    <w:rsid w:val="00490D6C"/>
    <w:rsid w:val="004936E4"/>
    <w:rsid w:val="004A1AC5"/>
    <w:rsid w:val="004A4C67"/>
    <w:rsid w:val="004A7286"/>
    <w:rsid w:val="004B0191"/>
    <w:rsid w:val="004B0D03"/>
    <w:rsid w:val="004C10CA"/>
    <w:rsid w:val="004D1619"/>
    <w:rsid w:val="004D32B5"/>
    <w:rsid w:val="004D35FE"/>
    <w:rsid w:val="004E297B"/>
    <w:rsid w:val="004F6228"/>
    <w:rsid w:val="00517FE9"/>
    <w:rsid w:val="00521E99"/>
    <w:rsid w:val="00530543"/>
    <w:rsid w:val="005436A7"/>
    <w:rsid w:val="00550613"/>
    <w:rsid w:val="005643C3"/>
    <w:rsid w:val="00566413"/>
    <w:rsid w:val="00582659"/>
    <w:rsid w:val="00592018"/>
    <w:rsid w:val="00593A29"/>
    <w:rsid w:val="005E2BA5"/>
    <w:rsid w:val="005E76CA"/>
    <w:rsid w:val="005E7ED8"/>
    <w:rsid w:val="00600F67"/>
    <w:rsid w:val="00610C93"/>
    <w:rsid w:val="00624035"/>
    <w:rsid w:val="00627C03"/>
    <w:rsid w:val="006326D5"/>
    <w:rsid w:val="00634101"/>
    <w:rsid w:val="006523A2"/>
    <w:rsid w:val="00654B5A"/>
    <w:rsid w:val="0065664D"/>
    <w:rsid w:val="00660F68"/>
    <w:rsid w:val="00662828"/>
    <w:rsid w:val="00682400"/>
    <w:rsid w:val="006933A3"/>
    <w:rsid w:val="0069512E"/>
    <w:rsid w:val="006A29B2"/>
    <w:rsid w:val="006D777C"/>
    <w:rsid w:val="006E05AE"/>
    <w:rsid w:val="006E2710"/>
    <w:rsid w:val="006E72D9"/>
    <w:rsid w:val="006F3A3A"/>
    <w:rsid w:val="006F4481"/>
    <w:rsid w:val="00704A2D"/>
    <w:rsid w:val="007313CC"/>
    <w:rsid w:val="00731D2D"/>
    <w:rsid w:val="00743134"/>
    <w:rsid w:val="007475EE"/>
    <w:rsid w:val="007749E7"/>
    <w:rsid w:val="0078085F"/>
    <w:rsid w:val="00785B95"/>
    <w:rsid w:val="00796645"/>
    <w:rsid w:val="00796E51"/>
    <w:rsid w:val="007D5BCF"/>
    <w:rsid w:val="007E088E"/>
    <w:rsid w:val="007F4710"/>
    <w:rsid w:val="007F4896"/>
    <w:rsid w:val="007F4A4F"/>
    <w:rsid w:val="00807A9A"/>
    <w:rsid w:val="008228A6"/>
    <w:rsid w:val="00823EC3"/>
    <w:rsid w:val="00841940"/>
    <w:rsid w:val="00845848"/>
    <w:rsid w:val="00852ACB"/>
    <w:rsid w:val="00857F11"/>
    <w:rsid w:val="008676F5"/>
    <w:rsid w:val="008677D8"/>
    <w:rsid w:val="008A1A10"/>
    <w:rsid w:val="008A4E46"/>
    <w:rsid w:val="008A5EEF"/>
    <w:rsid w:val="008B0BC4"/>
    <w:rsid w:val="008B5CE0"/>
    <w:rsid w:val="008C0088"/>
    <w:rsid w:val="008C04D7"/>
    <w:rsid w:val="008C0DA5"/>
    <w:rsid w:val="008D596C"/>
    <w:rsid w:val="008E2F88"/>
    <w:rsid w:val="008F5CFD"/>
    <w:rsid w:val="00914C4B"/>
    <w:rsid w:val="00920D04"/>
    <w:rsid w:val="009278A3"/>
    <w:rsid w:val="00935458"/>
    <w:rsid w:val="00946B61"/>
    <w:rsid w:val="00960B34"/>
    <w:rsid w:val="009935B9"/>
    <w:rsid w:val="009A0C73"/>
    <w:rsid w:val="009A4BDC"/>
    <w:rsid w:val="009B1A43"/>
    <w:rsid w:val="009B6F6D"/>
    <w:rsid w:val="009B781F"/>
    <w:rsid w:val="009C01C1"/>
    <w:rsid w:val="009C1CA5"/>
    <w:rsid w:val="009C43F5"/>
    <w:rsid w:val="009D6B80"/>
    <w:rsid w:val="009F6289"/>
    <w:rsid w:val="00A01BF7"/>
    <w:rsid w:val="00A25BBE"/>
    <w:rsid w:val="00A32954"/>
    <w:rsid w:val="00A329DC"/>
    <w:rsid w:val="00A56396"/>
    <w:rsid w:val="00A611AE"/>
    <w:rsid w:val="00A660A8"/>
    <w:rsid w:val="00A67B96"/>
    <w:rsid w:val="00A95064"/>
    <w:rsid w:val="00AB1C0A"/>
    <w:rsid w:val="00AB205E"/>
    <w:rsid w:val="00AB6D7C"/>
    <w:rsid w:val="00AE61BF"/>
    <w:rsid w:val="00AF643F"/>
    <w:rsid w:val="00B17204"/>
    <w:rsid w:val="00B364BD"/>
    <w:rsid w:val="00B44225"/>
    <w:rsid w:val="00B5269C"/>
    <w:rsid w:val="00B53DB2"/>
    <w:rsid w:val="00B551C2"/>
    <w:rsid w:val="00B56324"/>
    <w:rsid w:val="00B71C2B"/>
    <w:rsid w:val="00B72273"/>
    <w:rsid w:val="00B74BFA"/>
    <w:rsid w:val="00B95096"/>
    <w:rsid w:val="00B96B9D"/>
    <w:rsid w:val="00BA436A"/>
    <w:rsid w:val="00BA4D53"/>
    <w:rsid w:val="00BA7B38"/>
    <w:rsid w:val="00BA7CE0"/>
    <w:rsid w:val="00BC7542"/>
    <w:rsid w:val="00BD5900"/>
    <w:rsid w:val="00BE0D55"/>
    <w:rsid w:val="00BF098C"/>
    <w:rsid w:val="00C268A1"/>
    <w:rsid w:val="00C26DEA"/>
    <w:rsid w:val="00C27C72"/>
    <w:rsid w:val="00C34DC9"/>
    <w:rsid w:val="00C426A7"/>
    <w:rsid w:val="00C51648"/>
    <w:rsid w:val="00C72E90"/>
    <w:rsid w:val="00C7502B"/>
    <w:rsid w:val="00C9259E"/>
    <w:rsid w:val="00CA700B"/>
    <w:rsid w:val="00CA7A94"/>
    <w:rsid w:val="00CC05FA"/>
    <w:rsid w:val="00CC4A83"/>
    <w:rsid w:val="00CC7B60"/>
    <w:rsid w:val="00CE32AC"/>
    <w:rsid w:val="00CE5DBC"/>
    <w:rsid w:val="00CE691E"/>
    <w:rsid w:val="00CF5960"/>
    <w:rsid w:val="00CF6FA7"/>
    <w:rsid w:val="00D017E3"/>
    <w:rsid w:val="00D04165"/>
    <w:rsid w:val="00D07434"/>
    <w:rsid w:val="00D13512"/>
    <w:rsid w:val="00D15C59"/>
    <w:rsid w:val="00D65A07"/>
    <w:rsid w:val="00D953FA"/>
    <w:rsid w:val="00D970C0"/>
    <w:rsid w:val="00DE59A5"/>
    <w:rsid w:val="00DE73C7"/>
    <w:rsid w:val="00DF7603"/>
    <w:rsid w:val="00E072D1"/>
    <w:rsid w:val="00E224A8"/>
    <w:rsid w:val="00E2319E"/>
    <w:rsid w:val="00E52460"/>
    <w:rsid w:val="00E561A3"/>
    <w:rsid w:val="00E578E6"/>
    <w:rsid w:val="00E6046A"/>
    <w:rsid w:val="00E706F8"/>
    <w:rsid w:val="00E73582"/>
    <w:rsid w:val="00E745AD"/>
    <w:rsid w:val="00E80028"/>
    <w:rsid w:val="00E9264A"/>
    <w:rsid w:val="00E94CCF"/>
    <w:rsid w:val="00EA4AA5"/>
    <w:rsid w:val="00EB10B6"/>
    <w:rsid w:val="00EB1F91"/>
    <w:rsid w:val="00EC05EF"/>
    <w:rsid w:val="00ED0101"/>
    <w:rsid w:val="00ED1345"/>
    <w:rsid w:val="00ED15B5"/>
    <w:rsid w:val="00F30FD5"/>
    <w:rsid w:val="00F33EF6"/>
    <w:rsid w:val="00F35538"/>
    <w:rsid w:val="00F35A2E"/>
    <w:rsid w:val="00F76AD0"/>
    <w:rsid w:val="00F77891"/>
    <w:rsid w:val="00F94C52"/>
    <w:rsid w:val="00F95670"/>
    <w:rsid w:val="00FA07CF"/>
    <w:rsid w:val="00FA0F4F"/>
    <w:rsid w:val="00FA3E03"/>
    <w:rsid w:val="00FC2864"/>
    <w:rsid w:val="00FC6A3B"/>
    <w:rsid w:val="00FD4770"/>
    <w:rsid w:val="00FE196B"/>
    <w:rsid w:val="00FE710D"/>
    <w:rsid w:val="00FF12F0"/>
    <w:rsid w:val="00FF32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B95"/>
    <w:pPr>
      <w:ind w:left="720"/>
      <w:contextualSpacing/>
    </w:pPr>
  </w:style>
  <w:style w:type="paragraph" w:styleId="Header">
    <w:name w:val="header"/>
    <w:basedOn w:val="Normal"/>
    <w:link w:val="HeaderChar"/>
    <w:uiPriority w:val="99"/>
    <w:semiHidden/>
    <w:unhideWhenUsed/>
    <w:rsid w:val="00CA70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700B"/>
  </w:style>
  <w:style w:type="paragraph" w:styleId="Footer">
    <w:name w:val="footer"/>
    <w:basedOn w:val="Normal"/>
    <w:link w:val="FooterChar"/>
    <w:uiPriority w:val="99"/>
    <w:unhideWhenUsed/>
    <w:rsid w:val="00CA7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00B"/>
  </w:style>
  <w:style w:type="character" w:styleId="Hyperlink">
    <w:name w:val="Hyperlink"/>
    <w:basedOn w:val="DefaultParagraphFont"/>
    <w:unhideWhenUsed/>
    <w:rsid w:val="006E2710"/>
    <w:rPr>
      <w:color w:val="0000FF" w:themeColor="hyperlink"/>
      <w:u w:val="single"/>
    </w:rPr>
  </w:style>
  <w:style w:type="character" w:styleId="PlaceholderText">
    <w:name w:val="Placeholder Text"/>
    <w:basedOn w:val="DefaultParagraphFont"/>
    <w:uiPriority w:val="99"/>
    <w:semiHidden/>
    <w:rsid w:val="002734F0"/>
    <w:rPr>
      <w:color w:val="808080"/>
    </w:rPr>
  </w:style>
  <w:style w:type="paragraph" w:styleId="BalloonText">
    <w:name w:val="Balloon Text"/>
    <w:basedOn w:val="Normal"/>
    <w:link w:val="BalloonTextChar"/>
    <w:uiPriority w:val="99"/>
    <w:semiHidden/>
    <w:unhideWhenUsed/>
    <w:rsid w:val="00273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4F0"/>
    <w:rPr>
      <w:rFonts w:ascii="Tahoma" w:hAnsi="Tahoma" w:cs="Tahoma"/>
      <w:sz w:val="16"/>
      <w:szCs w:val="16"/>
    </w:rPr>
  </w:style>
  <w:style w:type="table" w:styleId="TableGrid">
    <w:name w:val="Table Grid"/>
    <w:basedOn w:val="TableNormal"/>
    <w:uiPriority w:val="59"/>
    <w:rsid w:val="007D5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94CCF"/>
    <w:rPr>
      <w:sz w:val="16"/>
      <w:szCs w:val="16"/>
    </w:rPr>
  </w:style>
  <w:style w:type="paragraph" w:styleId="CommentText">
    <w:name w:val="annotation text"/>
    <w:basedOn w:val="Normal"/>
    <w:link w:val="CommentTextChar"/>
    <w:uiPriority w:val="99"/>
    <w:unhideWhenUsed/>
    <w:rsid w:val="00E94CCF"/>
    <w:pPr>
      <w:spacing w:line="240" w:lineRule="auto"/>
    </w:pPr>
    <w:rPr>
      <w:sz w:val="20"/>
      <w:szCs w:val="20"/>
    </w:rPr>
  </w:style>
  <w:style w:type="character" w:customStyle="1" w:styleId="CommentTextChar">
    <w:name w:val="Comment Text Char"/>
    <w:basedOn w:val="DefaultParagraphFont"/>
    <w:link w:val="CommentText"/>
    <w:uiPriority w:val="99"/>
    <w:rsid w:val="00E94CCF"/>
    <w:rPr>
      <w:sz w:val="20"/>
      <w:szCs w:val="20"/>
    </w:rPr>
  </w:style>
  <w:style w:type="paragraph" w:styleId="CommentSubject">
    <w:name w:val="annotation subject"/>
    <w:basedOn w:val="CommentText"/>
    <w:next w:val="CommentText"/>
    <w:link w:val="CommentSubjectChar"/>
    <w:uiPriority w:val="99"/>
    <w:semiHidden/>
    <w:unhideWhenUsed/>
    <w:rsid w:val="00E94CCF"/>
    <w:rPr>
      <w:b/>
      <w:bCs/>
    </w:rPr>
  </w:style>
  <w:style w:type="character" w:customStyle="1" w:styleId="CommentSubjectChar">
    <w:name w:val="Comment Subject Char"/>
    <w:basedOn w:val="CommentTextChar"/>
    <w:link w:val="CommentSubject"/>
    <w:uiPriority w:val="99"/>
    <w:semiHidden/>
    <w:rsid w:val="00E94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stacked"/>
        <c:ser>
          <c:idx val="0"/>
          <c:order val="0"/>
          <c:tx>
            <c:strRef>
              <c:f>Sheet1!$B$1</c:f>
              <c:strCache>
                <c:ptCount val="1"/>
                <c:pt idx="0">
                  <c:v>frequency of risk factor</c:v>
                </c:pt>
              </c:strCache>
            </c:strRef>
          </c:tx>
          <c:dLbls>
            <c:dLbl>
              <c:idx val="0"/>
              <c:layout>
                <c:manualLayout>
                  <c:x val="-2.3474178403756311E-3"/>
                  <c:y val="-0.22222222222222299"/>
                </c:manualLayout>
              </c:layout>
              <c:showVal val="1"/>
            </c:dLbl>
            <c:dLbl>
              <c:idx val="1"/>
              <c:layout>
                <c:manualLayout>
                  <c:x val="7.0422535211268102E-3"/>
                  <c:y val="-9.9206349206350547E-2"/>
                </c:manualLayout>
              </c:layout>
              <c:showVal val="1"/>
            </c:dLbl>
            <c:dLbl>
              <c:idx val="2"/>
              <c:layout>
                <c:manualLayout>
                  <c:x val="-2.3474178403756311E-3"/>
                  <c:y val="-4.3650793650793794E-2"/>
                </c:manualLayout>
              </c:layout>
              <c:showVal val="1"/>
            </c:dLbl>
            <c:dLbl>
              <c:idx val="3"/>
              <c:layout>
                <c:manualLayout>
                  <c:x val="0"/>
                  <c:y val="-4.3650793650793794E-2"/>
                </c:manualLayout>
              </c:layout>
              <c:showVal val="1"/>
            </c:dLbl>
            <c:txPr>
              <a:bodyPr/>
              <a:lstStyle/>
              <a:p>
                <a:pPr>
                  <a:defRPr lang="en-US"/>
                </a:pPr>
                <a:endParaRPr lang="en-US"/>
              </a:p>
            </c:txPr>
            <c:showVal val="1"/>
          </c:dLbls>
          <c:cat>
            <c:strRef>
              <c:f>Sheet1!$A$2:$A$5</c:f>
              <c:strCache>
                <c:ptCount val="4"/>
                <c:pt idx="0">
                  <c:v>NSAID USE</c:v>
                </c:pt>
                <c:pt idx="1">
                  <c:v>SMOKER</c:v>
                </c:pt>
                <c:pt idx="2">
                  <c:v>ALCOHOL USE</c:v>
                </c:pt>
                <c:pt idx="3">
                  <c:v>STEROID USE</c:v>
                </c:pt>
              </c:strCache>
            </c:strRef>
          </c:cat>
          <c:val>
            <c:numRef>
              <c:f>Sheet1!$B$2:$B$5</c:f>
              <c:numCache>
                <c:formatCode>General</c:formatCode>
                <c:ptCount val="4"/>
                <c:pt idx="0">
                  <c:v>48</c:v>
                </c:pt>
                <c:pt idx="1">
                  <c:v>16</c:v>
                </c:pt>
                <c:pt idx="2">
                  <c:v>3</c:v>
                </c:pt>
                <c:pt idx="3">
                  <c:v>3</c:v>
                </c:pt>
              </c:numCache>
            </c:numRef>
          </c:val>
        </c:ser>
        <c:gapWidth val="75"/>
        <c:overlap val="100"/>
        <c:axId val="81192448"/>
        <c:axId val="81436032"/>
      </c:barChart>
      <c:catAx>
        <c:axId val="81192448"/>
        <c:scaling>
          <c:orientation val="minMax"/>
        </c:scaling>
        <c:axPos val="b"/>
        <c:majorTickMark val="none"/>
        <c:tickLblPos val="nextTo"/>
        <c:txPr>
          <a:bodyPr/>
          <a:lstStyle/>
          <a:p>
            <a:pPr>
              <a:defRPr lang="en-US"/>
            </a:pPr>
            <a:endParaRPr lang="en-US"/>
          </a:p>
        </c:txPr>
        <c:crossAx val="81436032"/>
        <c:crosses val="autoZero"/>
        <c:auto val="1"/>
        <c:lblAlgn val="ctr"/>
        <c:lblOffset val="100"/>
      </c:catAx>
      <c:valAx>
        <c:axId val="81436032"/>
        <c:scaling>
          <c:orientation val="minMax"/>
          <c:max val="100"/>
        </c:scaling>
        <c:axPos val="l"/>
        <c:majorGridlines/>
        <c:minorGridlines/>
        <c:numFmt formatCode="General" sourceLinked="1"/>
        <c:tickLblPos val="nextTo"/>
        <c:txPr>
          <a:bodyPr/>
          <a:lstStyle/>
          <a:p>
            <a:pPr>
              <a:defRPr lang="en-US"/>
            </a:pPr>
            <a:endParaRPr lang="en-US"/>
          </a:p>
        </c:txPr>
        <c:crossAx val="8119244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Pr>
        <a:bodyPr/>
        <a:lstStyle/>
        <a:p>
          <a:pPr>
            <a:defRPr lang="en-US"/>
          </a:pPr>
          <a:endParaRPr lang="en-US"/>
        </a:p>
      </c:txPr>
    </c:title>
    <c:plotArea>
      <c:layout>
        <c:manualLayout>
          <c:layoutTarget val="inner"/>
          <c:xMode val="edge"/>
          <c:yMode val="edge"/>
          <c:x val="7.0569043452901714E-2"/>
          <c:y val="2.4216347956505492E-2"/>
          <c:w val="0.56764964275299556"/>
          <c:h val="0.56056680414948135"/>
        </c:manualLayout>
      </c:layout>
      <c:barChart>
        <c:barDir val="col"/>
        <c:grouping val="stacked"/>
        <c:ser>
          <c:idx val="0"/>
          <c:order val="0"/>
          <c:tx>
            <c:strRef>
              <c:f>Sheet1!$B$1</c:f>
              <c:strCache>
                <c:ptCount val="1"/>
                <c:pt idx="0">
                  <c:v>frequency of different NSAID usage</c:v>
                </c:pt>
              </c:strCache>
            </c:strRef>
          </c:tx>
          <c:dLbls>
            <c:txPr>
              <a:bodyPr/>
              <a:lstStyle/>
              <a:p>
                <a:pPr>
                  <a:defRPr lang="ar-IQ"/>
                </a:pPr>
                <a:endParaRPr lang="en-US"/>
              </a:p>
            </c:txPr>
            <c:showVal val="1"/>
          </c:dLbls>
          <c:cat>
            <c:strRef>
              <c:f>Sheet1!$A$2:$A$6</c:f>
              <c:strCache>
                <c:ptCount val="5"/>
                <c:pt idx="0">
                  <c:v>Aspirin</c:v>
                </c:pt>
                <c:pt idx="1">
                  <c:v>Indomethacin</c:v>
                </c:pt>
                <c:pt idx="2">
                  <c:v>Diclfenac</c:v>
                </c:pt>
                <c:pt idx="3">
                  <c:v>Ibuprofen</c:v>
                </c:pt>
                <c:pt idx="4">
                  <c:v>Meloxicam</c:v>
                </c:pt>
              </c:strCache>
            </c:strRef>
          </c:cat>
          <c:val>
            <c:numRef>
              <c:f>Sheet1!$B$2:$B$6</c:f>
              <c:numCache>
                <c:formatCode>General</c:formatCode>
                <c:ptCount val="5"/>
                <c:pt idx="0">
                  <c:v>64.599999999999994</c:v>
                </c:pt>
                <c:pt idx="1">
                  <c:v>16.7</c:v>
                </c:pt>
                <c:pt idx="2">
                  <c:v>12.8</c:v>
                </c:pt>
                <c:pt idx="3">
                  <c:v>8.3000000000000007</c:v>
                </c:pt>
                <c:pt idx="4">
                  <c:v>6.25</c:v>
                </c:pt>
              </c:numCache>
            </c:numRef>
          </c:val>
        </c:ser>
        <c:overlap val="100"/>
        <c:axId val="118008064"/>
        <c:axId val="120926976"/>
      </c:barChart>
      <c:catAx>
        <c:axId val="118008064"/>
        <c:scaling>
          <c:orientation val="minMax"/>
        </c:scaling>
        <c:axPos val="b"/>
        <c:tickLblPos val="nextTo"/>
        <c:txPr>
          <a:bodyPr/>
          <a:lstStyle/>
          <a:p>
            <a:pPr>
              <a:defRPr lang="en-US"/>
            </a:pPr>
            <a:endParaRPr lang="en-US"/>
          </a:p>
        </c:txPr>
        <c:crossAx val="120926976"/>
        <c:crosses val="autoZero"/>
        <c:auto val="1"/>
        <c:lblAlgn val="ctr"/>
        <c:lblOffset val="100"/>
      </c:catAx>
      <c:valAx>
        <c:axId val="120926976"/>
        <c:scaling>
          <c:orientation val="minMax"/>
          <c:max val="100"/>
        </c:scaling>
        <c:axPos val="l"/>
        <c:majorGridlines/>
        <c:numFmt formatCode="General" sourceLinked="1"/>
        <c:tickLblPos val="nextTo"/>
        <c:txPr>
          <a:bodyPr/>
          <a:lstStyle/>
          <a:p>
            <a:pPr>
              <a:defRPr lang="en-US"/>
            </a:pPr>
            <a:endParaRPr lang="en-US"/>
          </a:p>
        </c:txPr>
        <c:crossAx val="118008064"/>
        <c:crosses val="autoZero"/>
        <c:crossBetween val="between"/>
      </c:val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7F491-2C3D-44EC-8D8C-0B6D77E5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9</Pages>
  <Words>3940</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Kapil</cp:lastModifiedBy>
  <cp:revision>41</cp:revision>
  <cp:lastPrinted>2009-06-25T21:18:00Z</cp:lastPrinted>
  <dcterms:created xsi:type="dcterms:W3CDTF">2009-03-16T20:22:00Z</dcterms:created>
  <dcterms:modified xsi:type="dcterms:W3CDTF">2021-05-10T01:21:00Z</dcterms:modified>
</cp:coreProperties>
</file>