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FA" w:rsidRPr="006C1E68" w:rsidRDefault="004642FA" w:rsidP="004642FA">
      <w:pPr>
        <w:shd w:val="clear" w:color="auto" w:fill="00B050"/>
        <w:jc w:val="center"/>
        <w:rPr>
          <w:b/>
          <w:bCs/>
          <w:color w:val="FFFFFF"/>
          <w:sz w:val="28"/>
          <w:szCs w:val="28"/>
        </w:rPr>
      </w:pPr>
      <w:r w:rsidRPr="006C1E68">
        <w:rPr>
          <w:b/>
          <w:bCs/>
          <w:color w:val="FFFFFF"/>
          <w:sz w:val="28"/>
          <w:szCs w:val="28"/>
        </w:rPr>
        <w:t>Reviewer’s Comments</w:t>
      </w:r>
    </w:p>
    <w:p w:rsidR="004642FA" w:rsidRDefault="004642FA" w:rsidP="002168AB">
      <w:pPr>
        <w:tabs>
          <w:tab w:val="left" w:pos="0"/>
        </w:tabs>
        <w:bidi w:val="0"/>
        <w:spacing w:line="276" w:lineRule="auto"/>
        <w:jc w:val="center"/>
        <w:rPr>
          <w:b/>
          <w:bCs/>
          <w:sz w:val="28"/>
          <w:szCs w:val="28"/>
        </w:rPr>
      </w:pPr>
      <w:commentRangeStart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5370706" cy="1411515"/>
            <wp:effectExtent l="19050" t="0" r="139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29" cy="141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 w:rsidR="0023269D">
        <w:rPr>
          <w:rStyle w:val="CommentReference"/>
        </w:rPr>
        <w:commentReference w:id="0"/>
      </w:r>
    </w:p>
    <w:p w:rsidR="00793E07" w:rsidRPr="002168AB" w:rsidRDefault="003F2528" w:rsidP="004642FA">
      <w:pPr>
        <w:tabs>
          <w:tab w:val="left" w:pos="0"/>
        </w:tabs>
        <w:bidi w:val="0"/>
        <w:spacing w:line="276" w:lineRule="auto"/>
        <w:jc w:val="center"/>
        <w:rPr>
          <w:b/>
          <w:bCs/>
          <w:sz w:val="28"/>
          <w:szCs w:val="28"/>
        </w:rPr>
      </w:pPr>
      <w:commentRangeStart w:id="1"/>
      <w:r w:rsidRPr="002168AB">
        <w:rPr>
          <w:b/>
          <w:bCs/>
          <w:sz w:val="28"/>
          <w:szCs w:val="28"/>
        </w:rPr>
        <w:t>IL-22 serum levels in patients with rheumatoid arthritis in Sana'a city, Yemen</w:t>
      </w:r>
      <w:commentRangeEnd w:id="1"/>
      <w:r w:rsidR="00225778">
        <w:rPr>
          <w:rStyle w:val="CommentReference"/>
        </w:rPr>
        <w:commentReference w:id="1"/>
      </w:r>
    </w:p>
    <w:p w:rsidR="002D1BB4" w:rsidRPr="000B182C" w:rsidRDefault="002D1BB4" w:rsidP="002168AB">
      <w:pPr>
        <w:tabs>
          <w:tab w:val="left" w:pos="0"/>
        </w:tabs>
        <w:bidi w:val="0"/>
        <w:spacing w:line="276" w:lineRule="auto"/>
        <w:rPr>
          <w:b/>
          <w:bCs/>
          <w:i/>
          <w:iCs/>
        </w:rPr>
      </w:pPr>
      <w:commentRangeStart w:id="2"/>
      <w:r w:rsidRPr="000B182C">
        <w:rPr>
          <w:b/>
          <w:bCs/>
          <w:i/>
          <w:iCs/>
        </w:rPr>
        <w:t>Abstract</w:t>
      </w:r>
      <w:commentRangeEnd w:id="2"/>
      <w:r w:rsidR="00225778">
        <w:rPr>
          <w:rStyle w:val="CommentReference"/>
        </w:rPr>
        <w:commentReference w:id="2"/>
      </w:r>
    </w:p>
    <w:p w:rsidR="002D1BB4" w:rsidRPr="00647239" w:rsidRDefault="002D1BB4" w:rsidP="002168AB">
      <w:pPr>
        <w:tabs>
          <w:tab w:val="left" w:pos="0"/>
        </w:tabs>
        <w:bidi w:val="0"/>
        <w:spacing w:line="276" w:lineRule="auto"/>
        <w:jc w:val="both"/>
        <w:rPr>
          <w:color w:val="FF0000"/>
          <w:sz w:val="22"/>
          <w:szCs w:val="22"/>
        </w:rPr>
      </w:pPr>
      <w:commentRangeStart w:id="3"/>
      <w:r w:rsidRPr="00647239">
        <w:rPr>
          <w:sz w:val="22"/>
          <w:szCs w:val="22"/>
        </w:rPr>
        <w:t>Interleukin (IL) -22 is a novel me</w:t>
      </w:r>
      <w:r w:rsidR="00E26FFC" w:rsidRPr="00647239">
        <w:rPr>
          <w:sz w:val="22"/>
          <w:szCs w:val="22"/>
        </w:rPr>
        <w:t>diator of a member of IL-10 fami</w:t>
      </w:r>
      <w:r w:rsidRPr="00647239">
        <w:rPr>
          <w:sz w:val="22"/>
          <w:szCs w:val="22"/>
        </w:rPr>
        <w:t xml:space="preserve">ly cytokines that is produced by many different types of lymphocytes including both those of innate </w:t>
      </w:r>
      <w:commentRangeStart w:id="4"/>
      <w:r w:rsidRPr="00647239">
        <w:rPr>
          <w:sz w:val="22"/>
          <w:szCs w:val="22"/>
        </w:rPr>
        <w:t>&amp;</w:t>
      </w:r>
      <w:commentRangeEnd w:id="4"/>
      <w:r w:rsidR="00225778">
        <w:rPr>
          <w:rStyle w:val="CommentReference"/>
        </w:rPr>
        <w:commentReference w:id="4"/>
      </w:r>
      <w:r w:rsidRPr="00647239">
        <w:rPr>
          <w:sz w:val="22"/>
          <w:szCs w:val="22"/>
        </w:rPr>
        <w:t xml:space="preserve"> adaptive immune system. This cytokine has potent proliferative &amp; inflammatory effects on different cell lines. Recently, accumulated data has indicated that IL-22 plays an important role in the pathogenesis of rheumatoid arthritis (R</w:t>
      </w:r>
      <w:r w:rsidR="00D942EC" w:rsidRPr="00647239">
        <w:rPr>
          <w:sz w:val="22"/>
          <w:szCs w:val="22"/>
        </w:rPr>
        <w:t>A)</w:t>
      </w:r>
      <w:r w:rsidRPr="00647239">
        <w:rPr>
          <w:sz w:val="22"/>
          <w:szCs w:val="22"/>
        </w:rPr>
        <w:t xml:space="preserve">. </w:t>
      </w:r>
      <w:commentRangeStart w:id="5"/>
      <w:r w:rsidRPr="00647239">
        <w:rPr>
          <w:sz w:val="22"/>
          <w:szCs w:val="22"/>
        </w:rPr>
        <w:t xml:space="preserve">We </w:t>
      </w:r>
      <w:commentRangeEnd w:id="5"/>
      <w:r w:rsidR="0065164D">
        <w:rPr>
          <w:rStyle w:val="CommentReference"/>
        </w:rPr>
        <w:commentReference w:id="5"/>
      </w:r>
      <w:r w:rsidRPr="00647239">
        <w:rPr>
          <w:sz w:val="22"/>
          <w:szCs w:val="22"/>
        </w:rPr>
        <w:t>aimed to investigate the levels of IL-22 and its association with demographic, clinical data as well as serological markers in RA.</w:t>
      </w:r>
    </w:p>
    <w:p w:rsidR="002D1BB4" w:rsidRPr="00647239" w:rsidRDefault="002D1BB4" w:rsidP="002168AB">
      <w:pPr>
        <w:tabs>
          <w:tab w:val="left" w:pos="0"/>
        </w:tabs>
        <w:bidi w:val="0"/>
        <w:spacing w:line="276" w:lineRule="auto"/>
        <w:jc w:val="both"/>
        <w:rPr>
          <w:sz w:val="22"/>
          <w:szCs w:val="22"/>
        </w:rPr>
      </w:pPr>
      <w:r w:rsidRPr="00647239">
        <w:rPr>
          <w:sz w:val="22"/>
          <w:szCs w:val="22"/>
        </w:rPr>
        <w:t>IL-22 serum levels were measured in 45 newly diagnosed RA patients without any treatment and 45 healthy individuals as control</w:t>
      </w:r>
      <w:r w:rsidR="006B1453" w:rsidRPr="00647239">
        <w:rPr>
          <w:sz w:val="22"/>
          <w:szCs w:val="22"/>
        </w:rPr>
        <w:t xml:space="preserve"> </w:t>
      </w:r>
      <w:r w:rsidR="006B1453" w:rsidRPr="00647239">
        <w:rPr>
          <w:rFonts w:asciiTheme="majorBidi" w:hAnsiTheme="majorBidi" w:cstheme="majorBidi"/>
          <w:sz w:val="22"/>
          <w:szCs w:val="22"/>
        </w:rPr>
        <w:t>by a manual Enzyme linked immunosorbent assay (ELISA)</w:t>
      </w:r>
      <w:r w:rsidRPr="00647239">
        <w:rPr>
          <w:sz w:val="22"/>
          <w:szCs w:val="22"/>
        </w:rPr>
        <w:t>. Correlations of IL-22 serum levels were sought with demographic, clinical data and serological parameters.</w:t>
      </w:r>
    </w:p>
    <w:p w:rsidR="002D1BB4" w:rsidRPr="00647239" w:rsidRDefault="002D1BB4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sz w:val="22"/>
          <w:szCs w:val="22"/>
        </w:rPr>
      </w:pPr>
      <w:r w:rsidRPr="00647239">
        <w:rPr>
          <w:sz w:val="22"/>
          <w:szCs w:val="22"/>
        </w:rPr>
        <w:t>IL-22 levels were significantly elevated in serum of RA patients</w:t>
      </w:r>
      <w:r w:rsidR="00D942EC" w:rsidRPr="00647239">
        <w:rPr>
          <w:sz w:val="22"/>
          <w:szCs w:val="22"/>
        </w:rPr>
        <w:t xml:space="preserve"> </w:t>
      </w:r>
      <w:r w:rsidR="005C4425" w:rsidRPr="00647239">
        <w:rPr>
          <w:sz w:val="22"/>
          <w:szCs w:val="22"/>
        </w:rPr>
        <w:t>(median= 86.89</w:t>
      </w:r>
      <w:r w:rsidRPr="00647239">
        <w:rPr>
          <w:sz w:val="22"/>
          <w:szCs w:val="22"/>
        </w:rPr>
        <w:t xml:space="preserve">ng/ml </w:t>
      </w:r>
      <w:r w:rsidR="005C4425" w:rsidRPr="00647239">
        <w:rPr>
          <w:sz w:val="22"/>
          <w:szCs w:val="22"/>
        </w:rPr>
        <w:t>&amp; range = 896</w:t>
      </w:r>
      <w:r w:rsidRPr="00647239">
        <w:rPr>
          <w:sz w:val="22"/>
          <w:szCs w:val="22"/>
        </w:rPr>
        <w:t xml:space="preserve">) compared to serum of healthy control </w:t>
      </w:r>
      <w:r w:rsidR="005C4425" w:rsidRPr="00647239">
        <w:rPr>
          <w:sz w:val="22"/>
          <w:szCs w:val="22"/>
        </w:rPr>
        <w:t>(median=75.36</w:t>
      </w:r>
      <w:r w:rsidRPr="00647239">
        <w:rPr>
          <w:sz w:val="22"/>
          <w:szCs w:val="22"/>
        </w:rPr>
        <w:t>ng</w:t>
      </w:r>
      <w:r w:rsidR="005C4425" w:rsidRPr="00647239">
        <w:rPr>
          <w:sz w:val="22"/>
          <w:szCs w:val="22"/>
        </w:rPr>
        <w:t xml:space="preserve">/ml </w:t>
      </w:r>
      <w:commentRangeStart w:id="6"/>
      <w:r w:rsidR="005C4425" w:rsidRPr="00647239">
        <w:rPr>
          <w:sz w:val="22"/>
          <w:szCs w:val="22"/>
        </w:rPr>
        <w:t>&amp;</w:t>
      </w:r>
      <w:commentRangeEnd w:id="6"/>
      <w:r w:rsidR="00225778">
        <w:rPr>
          <w:rStyle w:val="CommentReference"/>
        </w:rPr>
        <w:commentReference w:id="6"/>
      </w:r>
      <w:r w:rsidR="005C4425" w:rsidRPr="00647239">
        <w:rPr>
          <w:sz w:val="22"/>
          <w:szCs w:val="22"/>
        </w:rPr>
        <w:t xml:space="preserve"> </w:t>
      </w:r>
      <w:r w:rsidRPr="00647239">
        <w:rPr>
          <w:sz w:val="22"/>
          <w:szCs w:val="22"/>
        </w:rPr>
        <w:t>range</w:t>
      </w:r>
      <w:r w:rsidR="005C4425" w:rsidRPr="00647239">
        <w:rPr>
          <w:sz w:val="22"/>
          <w:szCs w:val="22"/>
        </w:rPr>
        <w:t>=</w:t>
      </w:r>
      <w:r w:rsidR="00A97365" w:rsidRPr="00647239">
        <w:rPr>
          <w:sz w:val="22"/>
          <w:szCs w:val="22"/>
        </w:rPr>
        <w:t>459</w:t>
      </w:r>
      <w:r w:rsidRPr="00647239">
        <w:rPr>
          <w:sz w:val="22"/>
          <w:szCs w:val="22"/>
        </w:rPr>
        <w:t xml:space="preserve">), p=.022. The IL-22 levels were correlated positively with </w:t>
      </w:r>
      <w:r w:rsidRPr="00647239">
        <w:rPr>
          <w:rFonts w:eastAsia="Calibri"/>
          <w:sz w:val="22"/>
          <w:szCs w:val="22"/>
        </w:rPr>
        <w:t>C-reactive protein</w:t>
      </w:r>
      <w:r w:rsidRPr="00647239">
        <w:rPr>
          <w:sz w:val="22"/>
          <w:szCs w:val="22"/>
        </w:rPr>
        <w:t xml:space="preserve"> (CRP),</w:t>
      </w:r>
      <w:r w:rsidRPr="00647239">
        <w:rPr>
          <w:rFonts w:eastAsia="Calibri"/>
          <w:sz w:val="22"/>
          <w:szCs w:val="22"/>
        </w:rPr>
        <w:t xml:space="preserve"> anti-cyclic citrullinated peptide (ACCP) </w:t>
      </w:r>
      <w:r w:rsidRPr="00647239">
        <w:rPr>
          <w:sz w:val="22"/>
          <w:szCs w:val="22"/>
        </w:rPr>
        <w:t>antibodies in RA patients.</w:t>
      </w:r>
    </w:p>
    <w:p w:rsidR="002D1BB4" w:rsidRPr="00647239" w:rsidRDefault="002D1BB4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sz w:val="22"/>
          <w:szCs w:val="22"/>
        </w:rPr>
      </w:pPr>
      <w:r w:rsidRPr="00647239">
        <w:rPr>
          <w:sz w:val="22"/>
          <w:szCs w:val="22"/>
        </w:rPr>
        <w:t xml:space="preserve">A significant higher levels of serum IL-22 in RA patients compare with those in healthy control. Highly significant association between serum levels of IL-22 </w:t>
      </w:r>
      <w:commentRangeStart w:id="7"/>
      <w:r w:rsidRPr="00647239">
        <w:rPr>
          <w:sz w:val="22"/>
          <w:szCs w:val="22"/>
        </w:rPr>
        <w:t>&amp;</w:t>
      </w:r>
      <w:commentRangeEnd w:id="7"/>
      <w:r w:rsidR="00225778">
        <w:rPr>
          <w:rStyle w:val="CommentReference"/>
        </w:rPr>
        <w:commentReference w:id="7"/>
      </w:r>
      <w:r w:rsidRPr="00647239">
        <w:rPr>
          <w:sz w:val="22"/>
          <w:szCs w:val="22"/>
        </w:rPr>
        <w:t xml:space="preserve"> the serological markers (CRP </w:t>
      </w:r>
      <w:commentRangeStart w:id="8"/>
      <w:r w:rsidRPr="00647239">
        <w:rPr>
          <w:sz w:val="22"/>
          <w:szCs w:val="22"/>
        </w:rPr>
        <w:t>&amp;</w:t>
      </w:r>
      <w:commentRangeEnd w:id="8"/>
      <w:r w:rsidR="00225778">
        <w:rPr>
          <w:rStyle w:val="CommentReference"/>
        </w:rPr>
        <w:commentReference w:id="8"/>
      </w:r>
      <w:r w:rsidRPr="00647239">
        <w:rPr>
          <w:sz w:val="22"/>
          <w:szCs w:val="22"/>
        </w:rPr>
        <w:t xml:space="preserve"> ACCP antibodies) in the diagnosis of RA suggest </w:t>
      </w:r>
      <w:r w:rsidR="00A97365" w:rsidRPr="00647239">
        <w:rPr>
          <w:sz w:val="22"/>
          <w:szCs w:val="22"/>
        </w:rPr>
        <w:t>t</w:t>
      </w:r>
      <w:r w:rsidRPr="00647239">
        <w:rPr>
          <w:sz w:val="22"/>
          <w:szCs w:val="22"/>
        </w:rPr>
        <w:t>he potential levels of IL-22 as a valuable biomarker for the evaluation of disease severity in RA patients.</w:t>
      </w:r>
    </w:p>
    <w:p w:rsidR="002D1BB4" w:rsidRPr="00647239" w:rsidRDefault="002D1BB4" w:rsidP="002168AB">
      <w:pPr>
        <w:bidi w:val="0"/>
        <w:spacing w:line="276" w:lineRule="auto"/>
        <w:jc w:val="both"/>
        <w:rPr>
          <w:sz w:val="22"/>
          <w:szCs w:val="22"/>
        </w:rPr>
      </w:pPr>
    </w:p>
    <w:p w:rsidR="002D1BB4" w:rsidRPr="002D1BB4" w:rsidRDefault="002D1BB4" w:rsidP="002168AB">
      <w:pPr>
        <w:bidi w:val="0"/>
        <w:spacing w:line="276" w:lineRule="auto"/>
        <w:jc w:val="both"/>
        <w:rPr>
          <w:sz w:val="22"/>
          <w:szCs w:val="22"/>
        </w:rPr>
      </w:pPr>
      <w:r w:rsidRPr="008A1719">
        <w:rPr>
          <w:b/>
          <w:sz w:val="22"/>
          <w:szCs w:val="22"/>
        </w:rPr>
        <w:t>Key words:</w:t>
      </w:r>
      <w:r w:rsidRPr="002D1BB4">
        <w:rPr>
          <w:sz w:val="22"/>
          <w:szCs w:val="22"/>
        </w:rPr>
        <w:t xml:space="preserve"> </w:t>
      </w:r>
      <w:commentRangeStart w:id="9"/>
      <w:r w:rsidRPr="002D1BB4">
        <w:rPr>
          <w:sz w:val="22"/>
          <w:szCs w:val="22"/>
        </w:rPr>
        <w:t>I</w:t>
      </w:r>
      <w:r w:rsidR="00E26FFC">
        <w:rPr>
          <w:sz w:val="22"/>
          <w:szCs w:val="22"/>
        </w:rPr>
        <w:t>nterleukin</w:t>
      </w:r>
      <w:r w:rsidRPr="002D1BB4">
        <w:rPr>
          <w:sz w:val="22"/>
          <w:szCs w:val="22"/>
        </w:rPr>
        <w:t xml:space="preserve">-22, rheumatoid arthritis, </w:t>
      </w:r>
      <w:r w:rsidRPr="002D1BB4">
        <w:rPr>
          <w:rFonts w:eastAsia="Calibri"/>
          <w:sz w:val="22"/>
          <w:szCs w:val="22"/>
        </w:rPr>
        <w:t>C-reactive protein, rheumatoid factor</w:t>
      </w:r>
      <w:r w:rsidRPr="002D1BB4">
        <w:rPr>
          <w:sz w:val="22"/>
          <w:szCs w:val="22"/>
        </w:rPr>
        <w:t xml:space="preserve">, </w:t>
      </w:r>
      <w:r w:rsidRPr="002D1BB4">
        <w:rPr>
          <w:rFonts w:eastAsia="Calibri"/>
          <w:sz w:val="22"/>
          <w:szCs w:val="22"/>
        </w:rPr>
        <w:t>anti-cyclic citrullinated pe</w:t>
      </w:r>
      <w:commentRangeEnd w:id="9"/>
      <w:r w:rsidR="0076780C">
        <w:rPr>
          <w:rStyle w:val="CommentReference"/>
        </w:rPr>
        <w:commentReference w:id="9"/>
      </w:r>
      <w:r w:rsidRPr="002D1BB4">
        <w:rPr>
          <w:rFonts w:eastAsia="Calibri"/>
          <w:sz w:val="22"/>
          <w:szCs w:val="22"/>
        </w:rPr>
        <w:t>ptide antibody.</w:t>
      </w:r>
    </w:p>
    <w:commentRangeEnd w:id="3"/>
    <w:p w:rsidR="00066ED5" w:rsidRDefault="0031157D" w:rsidP="002168AB">
      <w:pPr>
        <w:bidi w:val="0"/>
        <w:spacing w:line="276" w:lineRule="auto"/>
        <w:rPr>
          <w:rFonts w:asciiTheme="majorBidi" w:hAnsiTheme="majorBidi" w:cstheme="majorBidi"/>
          <w:b/>
          <w:bCs/>
          <w:lang w:bidi="ar-YE"/>
        </w:rPr>
        <w:sectPr w:rsidR="00066ED5" w:rsidSect="002168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358" w:right="1418" w:bottom="1418" w:left="1418" w:header="270" w:footer="0" w:gutter="0"/>
          <w:cols w:space="708"/>
          <w:bidi/>
          <w:rtlGutter/>
          <w:docGrid w:linePitch="360"/>
        </w:sectPr>
      </w:pPr>
      <w:r>
        <w:rPr>
          <w:rStyle w:val="CommentReference"/>
        </w:rPr>
        <w:commentReference w:id="3"/>
      </w:r>
    </w:p>
    <w:p w:rsidR="002168AB" w:rsidRDefault="002168AB" w:rsidP="002168AB">
      <w:pPr>
        <w:tabs>
          <w:tab w:val="left" w:pos="0"/>
        </w:tabs>
        <w:bidi w:val="0"/>
        <w:spacing w:line="276" w:lineRule="auto"/>
        <w:jc w:val="both"/>
        <w:rPr>
          <w:rFonts w:asciiTheme="majorBidi" w:hAnsiTheme="majorBidi" w:cstheme="majorBidi"/>
          <w:b/>
          <w:bCs/>
        </w:rPr>
        <w:sectPr w:rsidR="002168AB" w:rsidSect="002168AB">
          <w:type w:val="continuous"/>
          <w:pgSz w:w="11906" w:h="16838" w:code="9"/>
          <w:pgMar w:top="358" w:right="1418" w:bottom="1418" w:left="1418" w:header="270" w:footer="0" w:gutter="0"/>
          <w:cols w:num="2" w:space="708"/>
          <w:rtlGutter/>
          <w:docGrid w:linePitch="360"/>
        </w:sectPr>
      </w:pPr>
    </w:p>
    <w:p w:rsidR="00CC0CA8" w:rsidRDefault="00CC0CA8" w:rsidP="002168AB">
      <w:pPr>
        <w:tabs>
          <w:tab w:val="left" w:pos="0"/>
        </w:tabs>
        <w:bidi w:val="0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AE514D">
        <w:rPr>
          <w:rFonts w:asciiTheme="majorBidi" w:hAnsiTheme="majorBidi" w:cstheme="majorBidi"/>
          <w:b/>
          <w:bCs/>
        </w:rPr>
        <w:lastRenderedPageBreak/>
        <w:t>Introduction</w:t>
      </w:r>
    </w:p>
    <w:p w:rsidR="00CC0CA8" w:rsidRPr="00AE514D" w:rsidRDefault="00CC0CA8" w:rsidP="002168AB">
      <w:pPr>
        <w:bidi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commentRangeStart w:id="10"/>
      <w:r w:rsidRPr="00AE514D">
        <w:rPr>
          <w:rFonts w:asciiTheme="majorBidi" w:eastAsia="Calibri" w:hAnsiTheme="majorBidi" w:cstheme="majorBidi"/>
        </w:rPr>
        <w:t>Rheumatoid arthritis (RA) is a chronic inflammatory disease that represents one of the most common autoimmune-related disease.</w:t>
      </w:r>
      <w:r w:rsidRPr="00AE514D">
        <w:rPr>
          <w:rFonts w:asciiTheme="majorBidi" w:hAnsiTheme="majorBidi" w:cstheme="majorBidi"/>
        </w:rPr>
        <w:t xml:space="preserve"> Histologically, it is characterized by prominent infiltration of inflammatory mononuclear cells, such as T cells and macrophages, and the proliferation of synovial fibroblasts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1</w:t>
      </w:r>
      <w:r w:rsidRPr="00AE514D">
        <w:rPr>
          <w:rFonts w:asciiTheme="majorBidi" w:hAnsiTheme="majorBidi" w:cstheme="majorBidi"/>
        </w:rPr>
        <w:t xml:space="preserve"> In RA, it is clear that</w:t>
      </w:r>
      <w:r w:rsidRPr="00AE514D">
        <w:rPr>
          <w:rFonts w:asciiTheme="majorBidi" w:hAnsiTheme="majorBidi" w:cstheme="majorBidi"/>
          <w:color w:val="000000"/>
        </w:rPr>
        <w:t xml:space="preserve"> inflammatory cytokines play a key role in driving T cell activation and migration that lead to joint destruction</w:t>
      </w:r>
      <w:r>
        <w:rPr>
          <w:rFonts w:asciiTheme="majorBidi" w:hAnsiTheme="majorBidi" w:cstheme="majorBidi"/>
          <w:color w:val="000000"/>
        </w:rPr>
        <w:t>.</w:t>
      </w:r>
      <w:r w:rsidRPr="00AE514D">
        <w:rPr>
          <w:rFonts w:asciiTheme="majorBidi" w:hAnsiTheme="majorBidi" w:cstheme="majorBidi"/>
          <w:color w:val="000000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2</w:t>
      </w:r>
    </w:p>
    <w:p w:rsidR="00CC0CA8" w:rsidRPr="00AE514D" w:rsidRDefault="00CC0CA8" w:rsidP="002168AB">
      <w:pPr>
        <w:bidi w:val="0"/>
        <w:spacing w:before="240" w:line="276" w:lineRule="auto"/>
        <w:jc w:val="both"/>
        <w:rPr>
          <w:rFonts w:asciiTheme="majorBidi" w:hAnsiTheme="majorBidi" w:cstheme="majorBidi"/>
        </w:rPr>
      </w:pPr>
      <w:r w:rsidRPr="00AE514D">
        <w:rPr>
          <w:rFonts w:asciiTheme="majorBidi" w:hAnsiTheme="majorBidi" w:cstheme="majorBidi"/>
        </w:rPr>
        <w:t>Interleukin</w:t>
      </w:r>
      <w:r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</w:rPr>
        <w:t>(IL)</w:t>
      </w:r>
      <w:r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</w:rPr>
        <w:t>-22 is a novel α-helical protein, the human IL-22 encoding gene is located in the longer arm (q15) of chromosome 12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  <w:vertAlign w:val="superscript"/>
        </w:rPr>
        <w:t xml:space="preserve"> 3</w:t>
      </w:r>
      <w:r w:rsidRPr="00AE514D">
        <w:rPr>
          <w:rFonts w:asciiTheme="majorBidi" w:hAnsiTheme="majorBidi" w:cstheme="majorBidi"/>
        </w:rPr>
        <w:t xml:space="preserve"> It belongs to a group of </w:t>
      </w:r>
      <w:hyperlink r:id="rId16" w:tooltip="Cytokine" w:history="1">
        <w:r w:rsidRPr="00AE514D">
          <w:rPr>
            <w:rFonts w:asciiTheme="majorBidi" w:hAnsiTheme="majorBidi" w:cstheme="majorBidi"/>
          </w:rPr>
          <w:t>cytokines</w:t>
        </w:r>
      </w:hyperlink>
      <w:r w:rsidRPr="00AE514D">
        <w:rPr>
          <w:rFonts w:asciiTheme="majorBidi" w:hAnsiTheme="majorBidi" w:cstheme="majorBidi"/>
        </w:rPr>
        <w:t xml:space="preserve"> called the </w:t>
      </w:r>
      <w:hyperlink r:id="rId17" w:tooltip="Interleukin 10" w:history="1">
        <w:r w:rsidRPr="00AE514D">
          <w:rPr>
            <w:rFonts w:asciiTheme="majorBidi" w:hAnsiTheme="majorBidi" w:cstheme="majorBidi"/>
            <w:color w:val="000000" w:themeColor="text1"/>
          </w:rPr>
          <w:t>IL-10</w:t>
        </w:r>
      </w:hyperlink>
      <w:r w:rsidRPr="00AE514D">
        <w:rPr>
          <w:rFonts w:asciiTheme="majorBidi" w:hAnsiTheme="majorBidi" w:cstheme="majorBidi"/>
          <w:color w:val="000000" w:themeColor="text1"/>
        </w:rPr>
        <w:t xml:space="preserve"> family which is a class of potent mediators of cellular inflammatory responses</w:t>
      </w:r>
      <w:r>
        <w:rPr>
          <w:rFonts w:asciiTheme="majorBidi" w:hAnsiTheme="majorBidi" w:cstheme="majorBidi"/>
          <w:color w:val="000000" w:themeColor="text1"/>
        </w:rPr>
        <w:t>.</w:t>
      </w:r>
      <w:r w:rsidRPr="00AE514D">
        <w:rPr>
          <w:rFonts w:asciiTheme="majorBidi" w:hAnsiTheme="majorBidi" w:cstheme="majorBidi"/>
          <w:color w:val="000000" w:themeColor="text1"/>
        </w:rPr>
        <w:t xml:space="preserve"> </w:t>
      </w:r>
      <w:hyperlink r:id="rId18" w:anchor="cite_note-pmid15032600-4" w:history="1">
        <w:r w:rsidRPr="00AE514D">
          <w:rPr>
            <w:rFonts w:asciiTheme="majorBidi" w:hAnsiTheme="majorBidi" w:cstheme="majorBidi"/>
            <w:color w:val="000000" w:themeColor="text1"/>
            <w:vertAlign w:val="superscript"/>
          </w:rPr>
          <w:t>4</w:t>
        </w:r>
      </w:hyperlink>
      <w:r w:rsidRPr="00AE514D">
        <w:rPr>
          <w:rFonts w:asciiTheme="majorBidi" w:hAnsiTheme="majorBidi" w:cstheme="majorBidi"/>
          <w:color w:val="000000" w:themeColor="text1"/>
          <w:vertAlign w:val="superscript"/>
        </w:rPr>
        <w:t>,5</w:t>
      </w:r>
      <w:r w:rsidRPr="00AE514D">
        <w:rPr>
          <w:rFonts w:asciiTheme="majorBidi" w:hAnsiTheme="majorBidi" w:cstheme="majorBidi"/>
          <w:color w:val="000000" w:themeColor="text1"/>
        </w:rPr>
        <w:t xml:space="preserve"> IL-22 differs from other cytokines of </w:t>
      </w:r>
      <w:hyperlink r:id="rId19" w:tooltip="Interleukin 10" w:history="1">
        <w:r w:rsidRPr="00AE514D">
          <w:rPr>
            <w:rFonts w:asciiTheme="majorBidi" w:hAnsiTheme="majorBidi" w:cstheme="majorBidi"/>
            <w:color w:val="000000" w:themeColor="text1"/>
          </w:rPr>
          <w:t>IL-10</w:t>
        </w:r>
      </w:hyperlink>
      <w:r w:rsidRPr="00AE514D">
        <w:rPr>
          <w:rFonts w:asciiTheme="majorBidi" w:hAnsiTheme="majorBidi" w:cstheme="majorBidi"/>
          <w:color w:val="000000" w:themeColor="text1"/>
        </w:rPr>
        <w:t xml:space="preserve"> family by being a potent proliferative and inflammatory agent for different</w:t>
      </w:r>
      <w:r w:rsidRPr="00AE514D">
        <w:rPr>
          <w:rFonts w:asciiTheme="majorBidi" w:hAnsiTheme="majorBidi" w:cstheme="majorBidi"/>
        </w:rPr>
        <w:t xml:space="preserve"> cell lines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3, 6</w:t>
      </w:r>
      <w:r w:rsidRPr="00AE514D">
        <w:rPr>
          <w:rFonts w:asciiTheme="majorBidi" w:hAnsiTheme="majorBidi" w:cstheme="majorBidi"/>
        </w:rPr>
        <w:t xml:space="preserve"> Many types of cells from lymphoid lineage can secrete IL-22, including both those of the innate and adaptive immune system. In humans, these cells include activated CD4</w:t>
      </w:r>
      <w:r w:rsidRPr="00AE514D">
        <w:rPr>
          <w:rFonts w:asciiTheme="majorBidi" w:hAnsiTheme="majorBidi" w:cstheme="majorBidi"/>
          <w:vertAlign w:val="superscript"/>
        </w:rPr>
        <w:t xml:space="preserve">+ </w:t>
      </w:r>
      <w:r w:rsidRPr="00AE514D">
        <w:rPr>
          <w:rFonts w:asciiTheme="majorBidi" w:hAnsiTheme="majorBidi" w:cstheme="majorBidi"/>
        </w:rPr>
        <w:t>T cells, CD8</w:t>
      </w:r>
      <w:r w:rsidRPr="00AE514D">
        <w:rPr>
          <w:rFonts w:asciiTheme="majorBidi" w:hAnsiTheme="majorBidi" w:cstheme="majorBidi"/>
          <w:vertAlign w:val="superscript"/>
        </w:rPr>
        <w:t xml:space="preserve">+ </w:t>
      </w:r>
      <w:r w:rsidRPr="00AE514D">
        <w:rPr>
          <w:rFonts w:asciiTheme="majorBidi" w:hAnsiTheme="majorBidi" w:cstheme="majorBidi"/>
        </w:rPr>
        <w:t xml:space="preserve">T cells </w:t>
      </w:r>
      <w:r w:rsidRPr="00AE514D">
        <w:rPr>
          <w:rFonts w:asciiTheme="majorBidi" w:hAnsiTheme="majorBidi" w:cstheme="majorBidi"/>
          <w:vertAlign w:val="superscript"/>
        </w:rPr>
        <w:t>7</w:t>
      </w:r>
      <w:r>
        <w:rPr>
          <w:rFonts w:asciiTheme="majorBidi" w:hAnsiTheme="majorBidi" w:cstheme="majorBidi"/>
          <w:vertAlign w:val="superscript"/>
        </w:rPr>
        <w:t>-</w:t>
      </w:r>
      <w:r w:rsidRPr="00AE514D">
        <w:rPr>
          <w:rFonts w:asciiTheme="majorBidi" w:hAnsiTheme="majorBidi" w:cstheme="majorBidi"/>
          <w:vertAlign w:val="superscript"/>
        </w:rPr>
        <w:t>9</w:t>
      </w:r>
      <w:r w:rsidRPr="00AE514D">
        <w:rPr>
          <w:rFonts w:asciiTheme="majorBidi" w:hAnsiTheme="majorBidi" w:cstheme="majorBidi"/>
        </w:rPr>
        <w:t xml:space="preserve"> and γδ T cells </w:t>
      </w:r>
      <w:r w:rsidRPr="00AE514D">
        <w:rPr>
          <w:rFonts w:asciiTheme="majorBidi" w:eastAsia="Calibri" w:hAnsiTheme="majorBidi" w:cstheme="majorBidi"/>
          <w:vertAlign w:val="superscript"/>
        </w:rPr>
        <w:t>10</w:t>
      </w:r>
      <w:r w:rsidRPr="00AE514D">
        <w:rPr>
          <w:rFonts w:asciiTheme="majorBidi" w:hAnsiTheme="majorBidi" w:cstheme="majorBidi"/>
        </w:rPr>
        <w:t xml:space="preserve"> as well as various innate lymphoid cells such as Natural killer (</w:t>
      </w:r>
      <w:commentRangeEnd w:id="10"/>
      <w:r w:rsidR="0076780C">
        <w:rPr>
          <w:rStyle w:val="CommentReference"/>
        </w:rPr>
        <w:commentReference w:id="10"/>
      </w:r>
      <w:r w:rsidRPr="00AE514D">
        <w:rPr>
          <w:rFonts w:asciiTheme="majorBidi" w:hAnsiTheme="majorBidi" w:cstheme="majorBidi"/>
        </w:rPr>
        <w:t>NK) cells, NKT cells</w:t>
      </w:r>
      <w:r>
        <w:rPr>
          <w:rFonts w:asciiTheme="majorBidi" w:hAnsiTheme="majorBidi" w:cstheme="majorBidi"/>
        </w:rPr>
        <w:t>,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eastAsia="Calibri" w:hAnsiTheme="majorBidi" w:cstheme="majorBidi"/>
          <w:vertAlign w:val="superscript"/>
        </w:rPr>
        <w:t>11</w:t>
      </w:r>
      <w:r>
        <w:rPr>
          <w:rFonts w:asciiTheme="majorBidi" w:eastAsia="Calibri" w:hAnsiTheme="majorBidi" w:cstheme="majorBidi"/>
          <w:vertAlign w:val="superscript"/>
        </w:rPr>
        <w:t>-</w:t>
      </w:r>
      <w:r w:rsidRPr="00AE514D">
        <w:rPr>
          <w:rFonts w:asciiTheme="majorBidi" w:eastAsia="Calibri" w:hAnsiTheme="majorBidi" w:cstheme="majorBidi"/>
          <w:vertAlign w:val="superscript"/>
        </w:rPr>
        <w:t>13</w:t>
      </w:r>
      <w:r w:rsidRPr="00AE514D">
        <w:rPr>
          <w:rFonts w:asciiTheme="majorBidi" w:hAnsiTheme="majorBidi" w:cstheme="majorBidi"/>
        </w:rPr>
        <w:t xml:space="preserve"> lymphoid tissue inducer </w:t>
      </w:r>
      <w:r w:rsidRPr="00AE514D">
        <w:rPr>
          <w:rFonts w:asciiTheme="majorBidi" w:hAnsiTheme="majorBidi" w:cstheme="majorBidi"/>
        </w:rPr>
        <w:lastRenderedPageBreak/>
        <w:t>(LTi) and LTi-like cells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14</w:t>
      </w:r>
      <w:r w:rsidRPr="00AE514D">
        <w:rPr>
          <w:rFonts w:asciiTheme="majorBidi" w:hAnsiTheme="majorBidi" w:cstheme="majorBidi"/>
        </w:rPr>
        <w:t xml:space="preserve"> Several studies have shown that IL-22 has a major role in both defense against certain microbes and the development and maintenance of chronic inflammatory diseases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15, 16</w:t>
      </w:r>
      <w:r w:rsidRPr="00AE514D">
        <w:rPr>
          <w:rFonts w:asciiTheme="majorBidi" w:hAnsiTheme="majorBidi" w:cstheme="majorBidi"/>
        </w:rPr>
        <w:t xml:space="preserve"> In addition, it plays an important role in mucosal tissue protection and wound healing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16 , 17</w:t>
      </w:r>
      <w:r w:rsidRPr="00AE514D">
        <w:rPr>
          <w:rFonts w:asciiTheme="majorBidi" w:hAnsiTheme="majorBidi" w:cstheme="majorBidi"/>
        </w:rPr>
        <w:t xml:space="preserve"> Moreover, it induces proliferative and anti-apoptotic pathways in responsive cells allowing for tissue preservation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18</w:t>
      </w:r>
    </w:p>
    <w:p w:rsidR="00CC0CA8" w:rsidRPr="00AE514D" w:rsidRDefault="00CC0CA8" w:rsidP="002168AB">
      <w:pPr>
        <w:bidi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commentRangeStart w:id="11"/>
      <w:r w:rsidRPr="00AE514D">
        <w:rPr>
          <w:rFonts w:asciiTheme="majorBidi" w:hAnsiTheme="majorBidi" w:cstheme="majorBidi"/>
        </w:rPr>
        <w:t>The IL-22 receptor complex is composed of IL-22R1 and IL-10R2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19</w:t>
      </w:r>
      <w:r>
        <w:rPr>
          <w:rFonts w:asciiTheme="majorBidi" w:hAnsiTheme="majorBidi" w:cstheme="majorBidi"/>
          <w:vertAlign w:val="superscript"/>
        </w:rPr>
        <w:t>-</w:t>
      </w:r>
      <w:r w:rsidRPr="00AE514D">
        <w:rPr>
          <w:rFonts w:asciiTheme="majorBidi" w:hAnsiTheme="majorBidi" w:cstheme="majorBidi"/>
          <w:vertAlign w:val="superscript"/>
        </w:rPr>
        <w:t>21</w:t>
      </w:r>
      <w:r w:rsidRPr="00AE514D">
        <w:rPr>
          <w:rFonts w:asciiTheme="majorBidi" w:hAnsiTheme="majorBidi" w:cstheme="majorBidi"/>
        </w:rPr>
        <w:t xml:space="preserve"> IL-22R1 subunit is restricted to cell lineages of a non-haematopoitic origin, in particular, pancreas, kidney </w:t>
      </w:r>
      <w:commentRangeStart w:id="12"/>
      <w:r w:rsidRPr="00AE514D">
        <w:rPr>
          <w:rFonts w:asciiTheme="majorBidi" w:hAnsiTheme="majorBidi" w:cstheme="majorBidi"/>
        </w:rPr>
        <w:t>&amp;</w:t>
      </w:r>
      <w:commentRangeEnd w:id="12"/>
      <w:r w:rsidR="00225778">
        <w:rPr>
          <w:rStyle w:val="CommentReference"/>
        </w:rPr>
        <w:commentReference w:id="12"/>
      </w:r>
      <w:r w:rsidRPr="00AE514D">
        <w:rPr>
          <w:rFonts w:asciiTheme="majorBidi" w:hAnsiTheme="majorBidi" w:cstheme="majorBidi"/>
        </w:rPr>
        <w:t xml:space="preserve"> liver as well as barrier surfaces such as the skin, intestine &amp; lung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22, 23</w:t>
      </w:r>
      <w:r w:rsidRPr="00AE514D">
        <w:rPr>
          <w:rFonts w:asciiTheme="majorBidi" w:hAnsiTheme="majorBidi" w:cstheme="majorBidi"/>
        </w:rPr>
        <w:t xml:space="preserve"> It is important to note that the </w:t>
      </w:r>
      <w:r>
        <w:rPr>
          <w:rFonts w:asciiTheme="majorBidi" w:hAnsiTheme="majorBidi" w:cstheme="majorBidi"/>
        </w:rPr>
        <w:t>bone marrow</w:t>
      </w:r>
      <w:r w:rsidRPr="00AE514D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peripheral blood mononuclear cell</w:t>
      </w:r>
      <w:r w:rsidRPr="00AE514D">
        <w:rPr>
          <w:rFonts w:asciiTheme="majorBidi" w:hAnsiTheme="majorBidi" w:cstheme="majorBidi"/>
        </w:rPr>
        <w:t>, spleen, thymus do not express IL-22R</w:t>
      </w:r>
      <w:r>
        <w:rPr>
          <w:rFonts w:asciiTheme="majorBidi" w:hAnsiTheme="majorBidi" w:cstheme="majorBidi"/>
        </w:rPr>
        <w:t>,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5, 24</w:t>
      </w:r>
      <w:r w:rsidRPr="00AE514D">
        <w:rPr>
          <w:rFonts w:asciiTheme="majorBidi" w:hAnsiTheme="majorBidi" w:cstheme="majorBidi"/>
        </w:rPr>
        <w:t xml:space="preserve"> and therefore immune cells are not targets of IL-22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23</w:t>
      </w:r>
      <w:r w:rsidRPr="00AE514D">
        <w:rPr>
          <w:rFonts w:asciiTheme="majorBidi" w:hAnsiTheme="majorBidi" w:cstheme="majorBidi"/>
        </w:rPr>
        <w:t xml:space="preserve"> In humans, Th22, a subset of CD4</w:t>
      </w:r>
      <w:r w:rsidRPr="00AE514D">
        <w:rPr>
          <w:rFonts w:asciiTheme="majorBidi" w:hAnsiTheme="majorBidi" w:cstheme="majorBidi"/>
          <w:vertAlign w:val="superscript"/>
        </w:rPr>
        <w:t xml:space="preserve">+ </w:t>
      </w:r>
      <w:r w:rsidRPr="00AE514D">
        <w:rPr>
          <w:rFonts w:asciiTheme="majorBidi" w:hAnsiTheme="majorBidi" w:cstheme="majorBidi"/>
        </w:rPr>
        <w:t>T cells that specifically express IL-22 is mainly found in tissue</w:t>
      </w:r>
      <w:r w:rsidRPr="00D15ADF">
        <w:rPr>
          <w:rFonts w:asciiTheme="majorBidi" w:hAnsiTheme="majorBidi" w:cstheme="majorBidi"/>
        </w:rPr>
        <w:t>s.</w:t>
      </w:r>
      <w:r w:rsidRPr="00C83D22">
        <w:rPr>
          <w:rFonts w:asciiTheme="majorBidi" w:hAnsiTheme="majorBidi" w:cstheme="majorBidi"/>
          <w:color w:val="FF0000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25</w:t>
      </w:r>
      <w:r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</w:rPr>
        <w:t xml:space="preserve">Animal models as well as human studies have identified both inflammatory </w:t>
      </w:r>
      <w:r w:rsidRPr="00AE514D">
        <w:rPr>
          <w:rFonts w:asciiTheme="majorBidi" w:hAnsiTheme="majorBidi" w:cstheme="majorBidi"/>
          <w:vertAlign w:val="superscript"/>
        </w:rPr>
        <w:t>23 , 26</w:t>
      </w:r>
      <w:r w:rsidRPr="00AE514D">
        <w:rPr>
          <w:rFonts w:asciiTheme="majorBidi" w:hAnsiTheme="majorBidi" w:cstheme="majorBidi"/>
        </w:rPr>
        <w:t xml:space="preserve"> and protective roles </w:t>
      </w:r>
      <w:r w:rsidRPr="00AE514D">
        <w:rPr>
          <w:rFonts w:asciiTheme="majorBidi" w:hAnsiTheme="majorBidi" w:cstheme="majorBidi"/>
          <w:vertAlign w:val="superscript"/>
        </w:rPr>
        <w:t>18</w:t>
      </w:r>
      <w:r w:rsidRPr="00AE514D">
        <w:rPr>
          <w:rFonts w:asciiTheme="majorBidi" w:hAnsiTheme="majorBidi" w:cstheme="majorBidi"/>
        </w:rPr>
        <w:t xml:space="preserve"> for IL-22 in autoimmune diseases. In RA, IL-22 is assumed to play a pathogenetic role. However, the mechanism by which IL-22 contributes to RA pathogenesis are not completely clear.</w:t>
      </w:r>
      <w:r w:rsidRPr="00AE514D">
        <w:rPr>
          <w:rFonts w:asciiTheme="majorBidi" w:hAnsiTheme="majorBidi" w:cstheme="majorBidi"/>
          <w:lang w:bidi="ar-YE"/>
        </w:rPr>
        <w:t xml:space="preserve"> The assumption was mainly based on the observed minimally reduced susceptibility of the IL-22</w:t>
      </w:r>
      <w:r w:rsidRPr="00AE514D">
        <w:rPr>
          <w:rFonts w:asciiTheme="majorBidi" w:hAnsiTheme="majorBidi" w:cstheme="majorBidi"/>
          <w:vertAlign w:val="superscript"/>
          <w:lang w:bidi="ar-YE"/>
        </w:rPr>
        <w:t xml:space="preserve">-/- </w:t>
      </w:r>
      <w:r w:rsidRPr="00AE514D">
        <w:rPr>
          <w:rFonts w:asciiTheme="majorBidi" w:hAnsiTheme="majorBidi" w:cstheme="majorBidi"/>
          <w:lang w:bidi="ar-YE"/>
        </w:rPr>
        <w:t xml:space="preserve">mice to collagen-induced arthritis </w:t>
      </w:r>
      <w:r>
        <w:rPr>
          <w:rFonts w:asciiTheme="majorBidi" w:hAnsiTheme="majorBidi" w:cstheme="majorBidi"/>
          <w:lang w:bidi="ar-YE"/>
        </w:rPr>
        <w:t xml:space="preserve">(CIA) </w:t>
      </w:r>
      <w:r w:rsidRPr="00AE514D">
        <w:rPr>
          <w:rFonts w:asciiTheme="majorBidi" w:hAnsiTheme="majorBidi" w:cstheme="majorBidi"/>
          <w:lang w:bidi="ar-YE"/>
        </w:rPr>
        <w:t xml:space="preserve">and </w:t>
      </w:r>
      <w:r w:rsidRPr="00AE514D">
        <w:rPr>
          <w:rFonts w:asciiTheme="majorBidi" w:hAnsiTheme="majorBidi" w:cstheme="majorBidi"/>
        </w:rPr>
        <w:t>decreased incidence of pannus information</w:t>
      </w:r>
      <w:r w:rsidRPr="00AE514D">
        <w:rPr>
          <w:rFonts w:asciiTheme="majorBidi" w:hAnsiTheme="majorBidi" w:cstheme="majorBidi"/>
          <w:lang w:bidi="ar-YE"/>
        </w:rPr>
        <w:t xml:space="preserve">. In this model of inflammatory arthritis, IL-22 was found to promote osteoclastogenesis </w:t>
      </w:r>
      <w:commentRangeEnd w:id="11"/>
      <w:r w:rsidR="0076780C">
        <w:rPr>
          <w:rStyle w:val="CommentReference"/>
        </w:rPr>
        <w:commentReference w:id="11"/>
      </w:r>
      <w:r w:rsidRPr="00AE514D">
        <w:rPr>
          <w:rFonts w:asciiTheme="majorBidi" w:hAnsiTheme="majorBidi" w:cstheme="majorBidi"/>
          <w:lang w:bidi="ar-YE"/>
        </w:rPr>
        <w:t>and this effect may be associated with the reduced severe arthritis in IL-22-deficient mice</w:t>
      </w:r>
      <w:r>
        <w:rPr>
          <w:rFonts w:asciiTheme="majorBidi" w:hAnsiTheme="majorBidi" w:cstheme="majorBidi"/>
          <w:lang w:bidi="ar-YE"/>
        </w:rPr>
        <w:t>.</w:t>
      </w:r>
      <w:r w:rsidRPr="00AE514D">
        <w:rPr>
          <w:rFonts w:asciiTheme="majorBidi" w:hAnsiTheme="majorBidi" w:cstheme="majorBidi"/>
          <w:lang w:bidi="ar-YE"/>
        </w:rPr>
        <w:t xml:space="preserve"> </w:t>
      </w:r>
      <w:r w:rsidRPr="00AE514D">
        <w:rPr>
          <w:rFonts w:asciiTheme="majorBidi" w:hAnsiTheme="majorBidi" w:cstheme="majorBidi"/>
          <w:vertAlign w:val="superscript"/>
          <w:lang w:bidi="ar-YE"/>
        </w:rPr>
        <w:t>27</w:t>
      </w:r>
      <w:r w:rsidRPr="00AE514D">
        <w:rPr>
          <w:rFonts w:asciiTheme="majorBidi" w:hAnsiTheme="majorBidi" w:cstheme="majorBidi"/>
          <w:lang w:bidi="ar-YE"/>
        </w:rPr>
        <w:t xml:space="preserve"> </w:t>
      </w:r>
      <w:r w:rsidRPr="00AE514D">
        <w:rPr>
          <w:rFonts w:asciiTheme="majorBidi" w:hAnsiTheme="majorBidi" w:cstheme="majorBidi"/>
        </w:rPr>
        <w:t xml:space="preserve">Previous studies suggest that IL-22, through the STAT3, ERKV2, </w:t>
      </w:r>
      <w:commentRangeStart w:id="13"/>
      <w:r w:rsidRPr="00AE514D">
        <w:rPr>
          <w:rFonts w:asciiTheme="majorBidi" w:hAnsiTheme="majorBidi" w:cstheme="majorBidi"/>
        </w:rPr>
        <w:t>&amp;</w:t>
      </w:r>
      <w:commentRangeEnd w:id="13"/>
      <w:r w:rsidR="00225778">
        <w:rPr>
          <w:rStyle w:val="CommentReference"/>
        </w:rPr>
        <w:commentReference w:id="13"/>
      </w:r>
      <w:r w:rsidRPr="00AE514D">
        <w:rPr>
          <w:rFonts w:asciiTheme="majorBidi" w:hAnsiTheme="majorBidi" w:cstheme="majorBidi"/>
        </w:rPr>
        <w:t xml:space="preserve"> p38 MAKP pathways stimulate synovial fibroblas</w:t>
      </w:r>
      <w:r w:rsidRPr="00D15ADF">
        <w:rPr>
          <w:rFonts w:asciiTheme="majorBidi" w:hAnsiTheme="majorBidi" w:cstheme="majorBidi"/>
        </w:rPr>
        <w:t>ts</w:t>
      </w:r>
      <w:r w:rsidRPr="00AE514D">
        <w:rPr>
          <w:rFonts w:asciiTheme="majorBidi" w:hAnsiTheme="majorBidi" w:cstheme="majorBidi"/>
        </w:rPr>
        <w:t xml:space="preserve"> proliferation &amp; monocyte chemoattractants protein (MCP)-1production, leading to inflammation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  <w:vertAlign w:val="superscript"/>
        </w:rPr>
        <w:t xml:space="preserve"> 6,</w:t>
      </w:r>
      <w:r>
        <w:rPr>
          <w:rFonts w:asciiTheme="majorBidi" w:hAnsiTheme="majorBidi" w:cstheme="majorBidi"/>
          <w:vertAlign w:val="superscript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28</w:t>
      </w:r>
      <w:r w:rsidRPr="00AE514D">
        <w:rPr>
          <w:rFonts w:asciiTheme="majorBidi" w:hAnsiTheme="majorBidi" w:cstheme="majorBidi"/>
          <w:lang w:bidi="ar-YE"/>
        </w:rPr>
        <w:t xml:space="preserve"> Recently, Sakar</w:t>
      </w:r>
      <w:r>
        <w:rPr>
          <w:rFonts w:asciiTheme="majorBidi" w:hAnsiTheme="majorBidi" w:cstheme="majorBidi"/>
          <w:lang w:bidi="ar-YE"/>
        </w:rPr>
        <w:t xml:space="preserve"> </w:t>
      </w:r>
      <w:r w:rsidRPr="00AE514D">
        <w:rPr>
          <w:rFonts w:asciiTheme="majorBidi" w:hAnsiTheme="majorBidi" w:cstheme="majorBidi"/>
          <w:i/>
          <w:iCs/>
          <w:lang w:bidi="ar-YE"/>
        </w:rPr>
        <w:t>et</w:t>
      </w:r>
      <w:r>
        <w:rPr>
          <w:rFonts w:asciiTheme="majorBidi" w:hAnsiTheme="majorBidi" w:cstheme="majorBidi"/>
          <w:i/>
          <w:iCs/>
          <w:lang w:bidi="ar-YE"/>
        </w:rPr>
        <w:t xml:space="preserve"> </w:t>
      </w:r>
      <w:r w:rsidRPr="00AE514D">
        <w:rPr>
          <w:rFonts w:asciiTheme="majorBidi" w:hAnsiTheme="majorBidi" w:cstheme="majorBidi"/>
          <w:i/>
          <w:iCs/>
          <w:lang w:bidi="ar-YE"/>
        </w:rPr>
        <w:t>al.</w:t>
      </w:r>
      <w:r>
        <w:rPr>
          <w:rFonts w:asciiTheme="majorBidi" w:hAnsiTheme="majorBidi" w:cstheme="majorBidi"/>
          <w:i/>
          <w:iCs/>
          <w:lang w:bidi="ar-YE"/>
        </w:rPr>
        <w:t xml:space="preserve"> </w:t>
      </w:r>
      <w:r w:rsidRPr="00AE514D">
        <w:rPr>
          <w:rFonts w:asciiTheme="majorBidi" w:hAnsiTheme="majorBidi" w:cstheme="majorBidi"/>
          <w:lang w:bidi="ar-YE"/>
        </w:rPr>
        <w:t xml:space="preserve">reported that IL-22 reduces the severity of </w:t>
      </w:r>
      <w:r w:rsidRPr="002532E9">
        <w:rPr>
          <w:rFonts w:asciiTheme="majorBidi" w:hAnsiTheme="majorBidi" w:cstheme="majorBidi"/>
          <w:lang w:bidi="ar-YE"/>
        </w:rPr>
        <w:t>CIA,</w:t>
      </w:r>
      <w:r w:rsidRPr="00AE514D">
        <w:rPr>
          <w:rFonts w:asciiTheme="majorBidi" w:hAnsiTheme="majorBidi" w:cstheme="majorBidi"/>
          <w:lang w:bidi="ar-YE"/>
        </w:rPr>
        <w:t xml:space="preserve"> when administered prior to the onset of the disease and showed that the mechanism of which is associated with increased with levels of IL-10</w:t>
      </w:r>
      <w:r>
        <w:rPr>
          <w:rFonts w:asciiTheme="majorBidi" w:hAnsiTheme="majorBidi" w:cstheme="majorBidi"/>
          <w:lang w:bidi="ar-YE"/>
        </w:rPr>
        <w:t>.</w:t>
      </w:r>
      <w:r w:rsidRPr="00AE514D">
        <w:rPr>
          <w:rFonts w:asciiTheme="majorBidi" w:hAnsiTheme="majorBidi" w:cstheme="majorBidi"/>
          <w:lang w:bidi="ar-YE"/>
        </w:rPr>
        <w:t xml:space="preserve"> </w:t>
      </w:r>
      <w:r w:rsidRPr="00AE514D">
        <w:rPr>
          <w:rFonts w:asciiTheme="majorBidi" w:hAnsiTheme="majorBidi" w:cstheme="majorBidi"/>
          <w:vertAlign w:val="superscript"/>
          <w:lang w:bidi="ar-YE"/>
        </w:rPr>
        <w:t>29</w:t>
      </w:r>
      <w:r w:rsidRPr="00AE514D">
        <w:rPr>
          <w:rFonts w:asciiTheme="majorBidi" w:hAnsiTheme="majorBidi" w:cstheme="majorBidi"/>
          <w:lang w:bidi="ar-YE"/>
        </w:rPr>
        <w:t xml:space="preserve"> Other recent study, </w:t>
      </w:r>
      <w:r w:rsidRPr="00AE514D">
        <w:rPr>
          <w:rFonts w:asciiTheme="majorBidi" w:hAnsiTheme="majorBidi" w:cstheme="majorBidi"/>
        </w:rPr>
        <w:t xml:space="preserve">has been shown that IL-22 significantly enhanced fibroblast-like synoviocytes proliferation in RA </w:t>
      </w:r>
      <w:commentRangeStart w:id="14"/>
      <w:r w:rsidRPr="00AE514D">
        <w:rPr>
          <w:rFonts w:asciiTheme="majorBidi" w:hAnsiTheme="majorBidi" w:cstheme="majorBidi"/>
        </w:rPr>
        <w:t>&amp;</w:t>
      </w:r>
      <w:commentRangeEnd w:id="14"/>
      <w:r w:rsidR="00225778">
        <w:rPr>
          <w:rStyle w:val="CommentReference"/>
        </w:rPr>
        <w:commentReference w:id="14"/>
      </w:r>
      <w:r w:rsidRPr="00AE514D">
        <w:rPr>
          <w:rFonts w:asciiTheme="majorBidi" w:hAnsiTheme="majorBidi" w:cstheme="majorBidi"/>
        </w:rPr>
        <w:t xml:space="preserve"> suggest</w:t>
      </w:r>
      <w:r>
        <w:rPr>
          <w:rFonts w:asciiTheme="majorBidi" w:hAnsiTheme="majorBidi" w:cstheme="majorBidi"/>
        </w:rPr>
        <w:t>s</w:t>
      </w:r>
      <w:r w:rsidRPr="00AE514D">
        <w:rPr>
          <w:rFonts w:asciiTheme="majorBidi" w:hAnsiTheme="majorBidi" w:cstheme="majorBidi"/>
        </w:rPr>
        <w:t xml:space="preserve"> that its contribution to the synovium hyperplasia </w:t>
      </w:r>
      <w:commentRangeStart w:id="15"/>
      <w:r w:rsidRPr="00AE514D">
        <w:rPr>
          <w:rFonts w:asciiTheme="majorBidi" w:hAnsiTheme="majorBidi" w:cstheme="majorBidi"/>
        </w:rPr>
        <w:t>&amp;</w:t>
      </w:r>
      <w:commentRangeEnd w:id="15"/>
      <w:r w:rsidR="00225778">
        <w:rPr>
          <w:rStyle w:val="CommentReference"/>
        </w:rPr>
        <w:commentReference w:id="15"/>
      </w:r>
      <w:r w:rsidRPr="00AE514D">
        <w:rPr>
          <w:rFonts w:asciiTheme="majorBidi" w:hAnsiTheme="majorBidi" w:cstheme="majorBidi"/>
        </w:rPr>
        <w:t xml:space="preserve"> joint destruction. This study showed that potential stimulus present in the rheumatoid joint, such as TNF-α &amp;</w:t>
      </w:r>
      <w:r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</w:rPr>
        <w:t>lipo-polysaccharides are able to induce IL-22 expression</w:t>
      </w:r>
      <w:r>
        <w:rPr>
          <w:rFonts w:asciiTheme="majorBidi" w:hAnsiTheme="majorBidi" w:cstheme="majorBidi"/>
        </w:rPr>
        <w:t>.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vertAlign w:val="superscript"/>
        </w:rPr>
        <w:t>30</w:t>
      </w:r>
      <w:r w:rsidRPr="00AE514D"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  <w:lang w:bidi="ar-YE"/>
        </w:rPr>
        <w:t>A more recent study, reported that IL-22 promoted osteoclastogenesis in RA by induction of receptor activator of nuclear factorkappa-B ligand (RANKL) in human synovial fibroblast</w:t>
      </w:r>
      <w:r>
        <w:rPr>
          <w:rFonts w:asciiTheme="majorBidi" w:hAnsiTheme="majorBidi" w:cstheme="majorBidi"/>
          <w:lang w:bidi="ar-YE"/>
        </w:rPr>
        <w:t>.</w:t>
      </w:r>
      <w:r w:rsidRPr="00AE514D">
        <w:rPr>
          <w:rFonts w:asciiTheme="majorBidi" w:hAnsiTheme="majorBidi" w:cstheme="majorBidi"/>
          <w:lang w:bidi="ar-YE"/>
        </w:rPr>
        <w:t xml:space="preserve"> </w:t>
      </w:r>
      <w:commentRangeStart w:id="16"/>
      <w:r w:rsidRPr="00AE514D">
        <w:rPr>
          <w:rFonts w:asciiTheme="majorBidi" w:hAnsiTheme="majorBidi" w:cstheme="majorBidi"/>
          <w:vertAlign w:val="superscript"/>
          <w:lang w:bidi="ar-YE"/>
        </w:rPr>
        <w:t>31</w:t>
      </w:r>
      <w:commentRangeEnd w:id="16"/>
      <w:r w:rsidR="0076780C">
        <w:rPr>
          <w:rStyle w:val="CommentReference"/>
        </w:rPr>
        <w:commentReference w:id="16"/>
      </w:r>
    </w:p>
    <w:p w:rsidR="00CC0CA8" w:rsidRPr="00AE514D" w:rsidRDefault="00CC0CA8" w:rsidP="002168AB">
      <w:pPr>
        <w:bidi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AE514D">
        <w:rPr>
          <w:rFonts w:asciiTheme="majorBidi" w:hAnsiTheme="majorBidi" w:cstheme="majorBidi"/>
          <w:lang w:bidi="ar-YE"/>
        </w:rPr>
        <w:t xml:space="preserve">This study was conducted to </w:t>
      </w:r>
      <w:r w:rsidRPr="00AE514D">
        <w:rPr>
          <w:rFonts w:asciiTheme="majorBidi" w:hAnsiTheme="majorBidi" w:cstheme="majorBidi"/>
        </w:rPr>
        <w:t>investigate the presence of IL-22 in the sera of patients with RA and healthy controls and to determine the association between the level of IL-22 and the blood parameters including C-Reactive Protein (CR</w:t>
      </w:r>
      <w:r>
        <w:rPr>
          <w:rFonts w:asciiTheme="majorBidi" w:hAnsiTheme="majorBidi" w:cstheme="majorBidi"/>
        </w:rPr>
        <w:t>P), rheumatoid factor (RF), and a</w:t>
      </w:r>
      <w:r w:rsidRPr="00AE514D">
        <w:rPr>
          <w:rFonts w:asciiTheme="majorBidi" w:hAnsiTheme="majorBidi" w:cstheme="majorBidi"/>
        </w:rPr>
        <w:t>nti-citrullinated-peptide (ACCP) antibodies, as well as its association to demographic and clinical data in RA cases.</w:t>
      </w:r>
    </w:p>
    <w:p w:rsidR="00CC0CA8" w:rsidRPr="00AE514D" w:rsidRDefault="00CC0CA8" w:rsidP="002168A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lang w:bidi="ar-YE"/>
        </w:rPr>
      </w:pPr>
      <w:r w:rsidRPr="00AE514D">
        <w:rPr>
          <w:rFonts w:asciiTheme="majorBidi" w:hAnsiTheme="majorBidi" w:cstheme="majorBidi"/>
          <w:b/>
          <w:bCs/>
          <w:lang w:bidi="ar-YE"/>
        </w:rPr>
        <w:t>Subjects and Methods</w:t>
      </w:r>
    </w:p>
    <w:p w:rsidR="00CC0CA8" w:rsidRPr="00AE514D" w:rsidRDefault="00CC0CA8" w:rsidP="002168AB">
      <w:pPr>
        <w:bidi w:val="0"/>
        <w:spacing w:line="276" w:lineRule="auto"/>
        <w:ind w:firstLine="720"/>
        <w:jc w:val="both"/>
        <w:rPr>
          <w:rFonts w:asciiTheme="majorBidi" w:hAnsiTheme="majorBidi" w:cstheme="majorBidi"/>
          <w:color w:val="FF0000"/>
        </w:rPr>
      </w:pPr>
      <w:commentRangeStart w:id="17"/>
      <w:r w:rsidRPr="00AE514D">
        <w:rPr>
          <w:rFonts w:asciiTheme="majorBidi" w:hAnsiTheme="majorBidi" w:cstheme="majorBidi"/>
          <w:lang w:bidi="ar-YE"/>
        </w:rPr>
        <w:t>This case-control study was conducted at Al-Thawra Modern General Hospital and University of Science and Technology Hospital, Sana'a city, Yemen during a period of one year</w:t>
      </w:r>
      <w:r w:rsidR="00A27A9A">
        <w:rPr>
          <w:rFonts w:asciiTheme="majorBidi" w:hAnsiTheme="majorBidi" w:cstheme="majorBidi"/>
          <w:lang w:bidi="ar-YE"/>
        </w:rPr>
        <w:t xml:space="preserve"> </w:t>
      </w:r>
      <w:r w:rsidR="00A27A9A" w:rsidRPr="009308CB">
        <w:rPr>
          <w:rFonts w:asciiTheme="majorBidi" w:hAnsiTheme="majorBidi" w:cstheme="majorBidi"/>
          <w:lang w:bidi="ar-YE"/>
        </w:rPr>
        <w:t>starting in April 201</w:t>
      </w:r>
      <w:r w:rsidR="00A27A9A">
        <w:rPr>
          <w:rFonts w:asciiTheme="majorBidi" w:hAnsiTheme="majorBidi" w:cstheme="majorBidi"/>
          <w:lang w:bidi="ar-YE"/>
        </w:rPr>
        <w:t>5</w:t>
      </w:r>
      <w:r w:rsidR="00A27A9A" w:rsidRPr="009308CB">
        <w:rPr>
          <w:rFonts w:asciiTheme="majorBidi" w:hAnsiTheme="majorBidi" w:cstheme="majorBidi"/>
          <w:lang w:bidi="ar-YE"/>
        </w:rPr>
        <w:t xml:space="preserve"> and ending in April 201</w:t>
      </w:r>
      <w:r w:rsidR="00A27A9A">
        <w:rPr>
          <w:rFonts w:asciiTheme="majorBidi" w:hAnsiTheme="majorBidi" w:cstheme="majorBidi"/>
          <w:lang w:bidi="ar-YE"/>
        </w:rPr>
        <w:t>6</w:t>
      </w:r>
      <w:r w:rsidRPr="00AE514D">
        <w:rPr>
          <w:rFonts w:asciiTheme="majorBidi" w:hAnsiTheme="majorBidi" w:cstheme="majorBidi"/>
          <w:lang w:bidi="ar-YE"/>
        </w:rPr>
        <w:t xml:space="preserve">. </w:t>
      </w:r>
      <w:r w:rsidRPr="00AE514D">
        <w:rPr>
          <w:rFonts w:asciiTheme="majorBidi" w:eastAsia="Calibri" w:hAnsiTheme="majorBidi" w:cstheme="majorBidi"/>
          <w:lang w:bidi="ar-YE"/>
        </w:rPr>
        <w:t xml:space="preserve">The study group; 45 patients with </w:t>
      </w:r>
      <w:r w:rsidRPr="00AE514D">
        <w:rPr>
          <w:rFonts w:asciiTheme="majorBidi" w:hAnsiTheme="majorBidi" w:cstheme="majorBidi"/>
        </w:rPr>
        <w:t xml:space="preserve">new onset RA were </w:t>
      </w:r>
      <w:r w:rsidRPr="00AE514D">
        <w:rPr>
          <w:rFonts w:asciiTheme="majorBidi" w:eastAsia="Calibri" w:hAnsiTheme="majorBidi" w:cstheme="majorBidi"/>
          <w:lang w:bidi="ar-YE"/>
        </w:rPr>
        <w:t xml:space="preserve">recruited and </w:t>
      </w:r>
      <w:r w:rsidRPr="00AE514D">
        <w:rPr>
          <w:rFonts w:asciiTheme="majorBidi" w:hAnsiTheme="majorBidi" w:cstheme="majorBidi"/>
        </w:rPr>
        <w:t xml:space="preserve">diagnosed, according  to the revised criteria for classification of RA by the American College of Rheumatology </w:t>
      </w:r>
      <w:r w:rsidRPr="00AE514D">
        <w:rPr>
          <w:rFonts w:asciiTheme="majorBidi" w:eastAsia="Calibri" w:hAnsiTheme="majorBidi" w:cstheme="majorBidi"/>
          <w:lang w:bidi="ar-YE"/>
        </w:rPr>
        <w:t>(ACR) criteria</w:t>
      </w:r>
      <w:r>
        <w:rPr>
          <w:rFonts w:asciiTheme="majorBidi" w:eastAsia="Calibri" w:hAnsiTheme="majorBidi" w:cstheme="majorBidi"/>
          <w:lang w:bidi="ar-YE"/>
        </w:rPr>
        <w:t>.</w:t>
      </w:r>
      <w:r w:rsidRPr="00AE514D">
        <w:rPr>
          <w:rFonts w:asciiTheme="majorBidi" w:eastAsia="Calibri" w:hAnsiTheme="majorBidi" w:cstheme="majorBidi"/>
          <w:lang w:bidi="ar-YE"/>
        </w:rPr>
        <w:t xml:space="preserve"> </w:t>
      </w:r>
      <w:r w:rsidRPr="00AE514D">
        <w:rPr>
          <w:rFonts w:asciiTheme="majorBidi" w:eastAsia="Calibri" w:hAnsiTheme="majorBidi" w:cstheme="majorBidi"/>
          <w:vertAlign w:val="superscript"/>
          <w:lang w:bidi="ar-YE"/>
        </w:rPr>
        <w:t>32</w:t>
      </w:r>
      <w:r w:rsidRPr="00AE514D">
        <w:rPr>
          <w:rFonts w:asciiTheme="majorBidi" w:eastAsia="Calibri" w:hAnsiTheme="majorBidi" w:cstheme="majorBidi"/>
          <w:lang w:bidi="ar-YE"/>
        </w:rPr>
        <w:t xml:space="preserve"> </w:t>
      </w:r>
      <w:r w:rsidRPr="00AE514D">
        <w:rPr>
          <w:rFonts w:asciiTheme="majorBidi" w:hAnsiTheme="majorBidi" w:cstheme="majorBidi"/>
        </w:rPr>
        <w:t xml:space="preserve">These patients had never been treated with immunosuppressive drugs. </w:t>
      </w:r>
      <w:r w:rsidRPr="00AE514D">
        <w:rPr>
          <w:rFonts w:asciiTheme="majorBidi" w:eastAsia="Calibri" w:hAnsiTheme="majorBidi" w:cstheme="majorBidi"/>
          <w:lang w:bidi="ar-YE"/>
        </w:rPr>
        <w:t xml:space="preserve">The control group is 45 healthy subjects without RA were used as healthy controls. The personal and clinical information of patients and control are shown in </w:t>
      </w:r>
      <w:commentRangeStart w:id="18"/>
      <w:r w:rsidRPr="00AE514D">
        <w:rPr>
          <w:rFonts w:asciiTheme="majorBidi" w:eastAsia="Calibri" w:hAnsiTheme="majorBidi" w:cstheme="majorBidi"/>
          <w:lang w:bidi="ar-YE"/>
        </w:rPr>
        <w:t>tabl</w:t>
      </w:r>
      <w:commentRangeEnd w:id="18"/>
      <w:r w:rsidR="0065164D">
        <w:rPr>
          <w:rStyle w:val="CommentReference"/>
        </w:rPr>
        <w:commentReference w:id="18"/>
      </w:r>
      <w:r w:rsidRPr="00AE514D">
        <w:rPr>
          <w:rFonts w:asciiTheme="majorBidi" w:eastAsia="Calibri" w:hAnsiTheme="majorBidi" w:cstheme="majorBidi"/>
          <w:lang w:bidi="ar-YE"/>
        </w:rPr>
        <w:t>e 1.</w:t>
      </w:r>
      <w:r>
        <w:rPr>
          <w:rFonts w:asciiTheme="majorBidi" w:eastAsia="Calibri" w:hAnsiTheme="majorBidi" w:cstheme="majorBidi"/>
          <w:lang w:bidi="ar-YE"/>
        </w:rPr>
        <w:t xml:space="preserve"> </w:t>
      </w:r>
      <w:commentRangeStart w:id="19"/>
      <w:r w:rsidRPr="00AE514D">
        <w:rPr>
          <w:rFonts w:asciiTheme="majorBidi" w:eastAsia="Calibri" w:hAnsiTheme="majorBidi" w:cstheme="majorBidi"/>
          <w:lang w:bidi="ar-YE"/>
        </w:rPr>
        <w:t>We</w:t>
      </w:r>
      <w:commentRangeEnd w:id="19"/>
      <w:r w:rsidR="0065164D">
        <w:rPr>
          <w:rStyle w:val="CommentReference"/>
        </w:rPr>
        <w:commentReference w:id="19"/>
      </w:r>
      <w:r w:rsidRPr="00AE514D">
        <w:rPr>
          <w:rFonts w:asciiTheme="majorBidi" w:eastAsia="Calibri" w:hAnsiTheme="majorBidi" w:cstheme="majorBidi"/>
          <w:lang w:bidi="ar-YE"/>
        </w:rPr>
        <w:t xml:space="preserve"> conducted the study in accordance with ethical </w:t>
      </w:r>
      <w:r w:rsidRPr="00AE514D">
        <w:rPr>
          <w:rFonts w:asciiTheme="majorBidi" w:eastAsia="Calibri" w:hAnsiTheme="majorBidi" w:cstheme="majorBidi"/>
        </w:rPr>
        <w:t xml:space="preserve">standards, and verbal informed consents were </w:t>
      </w:r>
      <w:r w:rsidRPr="00AE514D">
        <w:rPr>
          <w:rFonts w:asciiTheme="majorBidi" w:eastAsia="Calibri" w:hAnsiTheme="majorBidi" w:cstheme="majorBidi"/>
          <w:lang w:bidi="ar-YE"/>
        </w:rPr>
        <w:t>obtained  from all participants before their enrollment.</w:t>
      </w:r>
      <w:r w:rsidRPr="00AE514D">
        <w:rPr>
          <w:rFonts w:asciiTheme="majorBidi" w:hAnsiTheme="majorBidi" w:cstheme="majorBidi"/>
        </w:rPr>
        <w:t xml:space="preserve"> Patients were excluded if they had any other autoimmune diseases or infection or he/she had received immunosuppressive </w:t>
      </w:r>
      <w:commentRangeEnd w:id="17"/>
      <w:r w:rsidR="0076780C">
        <w:rPr>
          <w:rStyle w:val="CommentReference"/>
        </w:rPr>
        <w:commentReference w:id="17"/>
      </w:r>
      <w:r w:rsidRPr="00AE514D">
        <w:rPr>
          <w:rFonts w:asciiTheme="majorBidi" w:hAnsiTheme="majorBidi" w:cstheme="majorBidi"/>
        </w:rPr>
        <w:t xml:space="preserve">or glucocorticoid therapies within the past 6 months. </w:t>
      </w:r>
    </w:p>
    <w:p w:rsidR="00CC0CA8" w:rsidRDefault="00CC0CA8" w:rsidP="002168AB">
      <w:pPr>
        <w:bidi w:val="0"/>
        <w:spacing w:line="276" w:lineRule="auto"/>
        <w:ind w:firstLine="720"/>
        <w:jc w:val="both"/>
        <w:rPr>
          <w:rFonts w:asciiTheme="majorBidi" w:hAnsiTheme="majorBidi" w:cstheme="majorBidi"/>
          <w:lang w:bidi="ar-YE"/>
        </w:rPr>
      </w:pPr>
      <w:r w:rsidRPr="00AE514D">
        <w:rPr>
          <w:rFonts w:asciiTheme="majorBidi" w:hAnsiTheme="majorBidi" w:cstheme="majorBidi"/>
        </w:rPr>
        <w:t>Five ml of venous blood</w:t>
      </w:r>
      <w:r>
        <w:rPr>
          <w:rFonts w:asciiTheme="majorBidi" w:hAnsiTheme="majorBidi" w:cstheme="majorBidi"/>
        </w:rPr>
        <w:t xml:space="preserve"> </w:t>
      </w:r>
      <w:r w:rsidRPr="00AE514D">
        <w:rPr>
          <w:rFonts w:asciiTheme="majorBidi" w:hAnsiTheme="majorBidi" w:cstheme="majorBidi"/>
        </w:rPr>
        <w:t xml:space="preserve">was collected from each subject. The specimens were allowed to clot at room temperature and centrifuged at 3500 rpm for five minutes. Serum was </w:t>
      </w:r>
      <w:r w:rsidRPr="00AE514D">
        <w:rPr>
          <w:rFonts w:asciiTheme="majorBidi" w:hAnsiTheme="majorBidi" w:cstheme="majorBidi"/>
        </w:rPr>
        <w:lastRenderedPageBreak/>
        <w:t xml:space="preserve">separated from each sample into three ependroff tubes; one tube for IL-22 test, second for RF test and CRP test and the third for </w:t>
      </w:r>
      <w:r>
        <w:rPr>
          <w:rFonts w:asciiTheme="majorBidi" w:hAnsiTheme="majorBidi" w:cstheme="majorBidi"/>
        </w:rPr>
        <w:t>A</w:t>
      </w:r>
      <w:r w:rsidRPr="00AE514D">
        <w:rPr>
          <w:rFonts w:asciiTheme="majorBidi" w:hAnsiTheme="majorBidi" w:cstheme="majorBidi"/>
        </w:rPr>
        <w:t>CCP test. They stored at -20</w:t>
      </w:r>
      <w:r w:rsidRPr="00AE514D">
        <w:rPr>
          <w:rFonts w:asciiTheme="majorBidi" w:eastAsia="Times New Roman+FPEF" w:hAnsiTheme="majorBidi" w:cstheme="majorBidi"/>
        </w:rPr>
        <w:t>°C</w:t>
      </w:r>
      <w:r>
        <w:rPr>
          <w:rFonts w:asciiTheme="majorBidi" w:eastAsia="Times New Roman+FPEF" w:hAnsiTheme="majorBidi" w:cstheme="majorBidi"/>
        </w:rPr>
        <w:t xml:space="preserve"> </w:t>
      </w:r>
      <w:r w:rsidRPr="00AE514D">
        <w:rPr>
          <w:rFonts w:asciiTheme="majorBidi" w:hAnsiTheme="majorBidi" w:cstheme="majorBidi"/>
        </w:rPr>
        <w:t>till tested.</w:t>
      </w:r>
      <w:r w:rsidRPr="00AE514D">
        <w:rPr>
          <w:rFonts w:asciiTheme="majorBidi" w:hAnsiTheme="majorBidi" w:cstheme="majorBidi"/>
          <w:color w:val="000000"/>
        </w:rPr>
        <w:t xml:space="preserve"> The sera of the selected subjects were tested to determine the IL-22 by acommercially available manual enzyme linked immunosorbent assay (ELISA), Glory Science Co., Ltd,USA]. </w:t>
      </w:r>
      <w:r w:rsidRPr="00AE514D">
        <w:rPr>
          <w:rFonts w:asciiTheme="majorBidi" w:hAnsiTheme="majorBidi" w:cstheme="majorBidi"/>
          <w:spacing w:val="-3"/>
          <w:lang w:eastAsia="en-GB"/>
        </w:rPr>
        <w:t>ACCP  antibodies were determined by a manual ELISA kit manufactured by (INOVA Diagnostics Kits, San Diego, CA-USA).</w:t>
      </w:r>
      <w:r>
        <w:rPr>
          <w:rFonts w:asciiTheme="majorBidi" w:eastAsia="Calibri" w:hAnsiTheme="majorBidi" w:cstheme="majorBidi"/>
        </w:rPr>
        <w:t xml:space="preserve"> </w:t>
      </w:r>
      <w:r w:rsidRPr="00AE514D">
        <w:rPr>
          <w:rFonts w:asciiTheme="majorBidi" w:eastAsia="Calibri" w:hAnsiTheme="majorBidi" w:cstheme="majorBidi"/>
        </w:rPr>
        <w:t xml:space="preserve">The levels of serum CRP, and RF were analyzed by </w:t>
      </w:r>
      <w:r>
        <w:rPr>
          <w:rFonts w:asciiTheme="majorBidi" w:hAnsiTheme="majorBidi" w:cstheme="majorBidi"/>
          <w:lang w:bidi="ar-YE"/>
        </w:rPr>
        <w:t>latex tests</w:t>
      </w:r>
      <w:r w:rsidRPr="00AE514D">
        <w:rPr>
          <w:rFonts w:asciiTheme="majorBidi" w:hAnsiTheme="majorBidi" w:cstheme="majorBidi"/>
          <w:lang w:bidi="ar-YE"/>
        </w:rPr>
        <w:t xml:space="preserve"> (</w:t>
      </w:r>
      <w:r w:rsidRPr="00AE514D">
        <w:rPr>
          <w:rFonts w:asciiTheme="majorBidi" w:hAnsiTheme="majorBidi" w:cstheme="majorBidi"/>
          <w:spacing w:val="-3"/>
          <w:lang w:eastAsia="en-GB"/>
        </w:rPr>
        <w:t>Vitro Science Co, Egypt</w:t>
      </w:r>
      <w:r w:rsidRPr="00AE514D">
        <w:rPr>
          <w:rFonts w:asciiTheme="majorBidi" w:hAnsiTheme="majorBidi" w:cstheme="majorBidi"/>
          <w:lang w:bidi="ar-YE"/>
        </w:rPr>
        <w:t>).</w:t>
      </w:r>
    </w:p>
    <w:p w:rsidR="002168AB" w:rsidRDefault="002168AB" w:rsidP="002168A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lang w:bidi="ar-YE"/>
        </w:rPr>
      </w:pPr>
    </w:p>
    <w:p w:rsidR="00EC70B0" w:rsidRPr="00EC70B0" w:rsidRDefault="00EC70B0" w:rsidP="002168A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color w:val="FF0000"/>
          <w:lang w:bidi="ar-YE"/>
        </w:rPr>
      </w:pPr>
      <w:r w:rsidRPr="00EC70B0">
        <w:rPr>
          <w:rFonts w:asciiTheme="majorBidi" w:hAnsiTheme="majorBidi" w:cstheme="majorBidi"/>
          <w:b/>
          <w:bCs/>
          <w:lang w:bidi="ar-YE"/>
        </w:rPr>
        <w:t>Data analysis</w:t>
      </w:r>
    </w:p>
    <w:p w:rsidR="00066ED5" w:rsidRDefault="00CC0CA8" w:rsidP="002168AB">
      <w:pPr>
        <w:bidi w:val="0"/>
        <w:spacing w:line="276" w:lineRule="auto"/>
        <w:ind w:firstLine="720"/>
        <w:jc w:val="both"/>
        <w:rPr>
          <w:rFonts w:asciiTheme="majorBidi" w:eastAsia="Calibri" w:hAnsiTheme="majorBidi" w:cstheme="majorBidi"/>
        </w:rPr>
      </w:pPr>
      <w:commentRangeStart w:id="20"/>
      <w:r w:rsidRPr="00AE514D">
        <w:rPr>
          <w:rFonts w:asciiTheme="majorBidi" w:hAnsiTheme="majorBidi" w:cstheme="majorBidi"/>
          <w:lang w:bidi="ar-YE"/>
        </w:rPr>
        <w:t>According to data distribution, the quantitative data were expressed as median and range</w:t>
      </w:r>
      <w:r>
        <w:rPr>
          <w:rFonts w:asciiTheme="majorBidi" w:hAnsiTheme="majorBidi" w:cstheme="majorBidi"/>
          <w:lang w:bidi="ar-YE"/>
        </w:rPr>
        <w:t>.</w:t>
      </w:r>
      <w:r w:rsidRPr="00AE514D">
        <w:rPr>
          <w:rFonts w:asciiTheme="majorBidi" w:hAnsiTheme="majorBidi" w:cstheme="majorBidi"/>
          <w:lang w:bidi="ar-YE"/>
        </w:rPr>
        <w:t xml:space="preserve"> </w:t>
      </w:r>
      <w:r w:rsidRPr="00AE514D">
        <w:rPr>
          <w:rFonts w:asciiTheme="majorBidi" w:hAnsiTheme="majorBidi" w:cstheme="majorBidi"/>
          <w:vertAlign w:val="superscript"/>
          <w:lang w:bidi="ar-YE"/>
        </w:rPr>
        <w:t>33</w:t>
      </w:r>
      <w:r w:rsidRPr="00AE514D">
        <w:rPr>
          <w:rFonts w:asciiTheme="majorBidi" w:hAnsiTheme="majorBidi" w:cstheme="majorBidi"/>
          <w:lang w:bidi="ar-YE"/>
        </w:rPr>
        <w:t xml:space="preserve"> The demographic </w:t>
      </w:r>
      <w:commentRangeStart w:id="21"/>
      <w:r w:rsidRPr="00AE514D">
        <w:rPr>
          <w:rFonts w:asciiTheme="majorBidi" w:hAnsiTheme="majorBidi" w:cstheme="majorBidi"/>
          <w:lang w:bidi="ar-YE"/>
        </w:rPr>
        <w:t>&amp;</w:t>
      </w:r>
      <w:commentRangeEnd w:id="21"/>
      <w:r w:rsidR="00225778">
        <w:rPr>
          <w:rStyle w:val="CommentReference"/>
        </w:rPr>
        <w:commentReference w:id="21"/>
      </w:r>
      <w:r w:rsidRPr="00AE514D">
        <w:rPr>
          <w:rFonts w:asciiTheme="majorBidi" w:hAnsiTheme="majorBidi" w:cstheme="majorBidi"/>
          <w:lang w:bidi="ar-YE"/>
        </w:rPr>
        <w:t xml:space="preserve"> clinical data were expressed as number &amp; percentage. Independent sample T test was used for comparison between the patients &amp; control groups. The potential correlation between variables was analyzed by the spearman rank correlation test.  All statistical tests were performed </w:t>
      </w:r>
      <w:r w:rsidRPr="00AE514D">
        <w:rPr>
          <w:rFonts w:asciiTheme="majorBidi" w:hAnsiTheme="majorBidi" w:cstheme="majorBidi"/>
        </w:rPr>
        <w:t xml:space="preserve">by using the SPSS version 20 for windows (SPSS, Inc., Chicago, IL, USA) with 95% confidence interval. A two sided p-value of≤ 0.05 was considered statistically </w:t>
      </w:r>
      <w:commentRangeEnd w:id="20"/>
      <w:r w:rsidR="0076780C">
        <w:rPr>
          <w:rStyle w:val="CommentReference"/>
        </w:rPr>
        <w:commentReference w:id="20"/>
      </w:r>
      <w:r w:rsidRPr="00AE514D">
        <w:rPr>
          <w:rFonts w:asciiTheme="majorBidi" w:hAnsiTheme="majorBidi" w:cstheme="majorBidi"/>
        </w:rPr>
        <w:t>significant.</w:t>
      </w:r>
    </w:p>
    <w:p w:rsidR="002168AB" w:rsidRPr="002168AB" w:rsidRDefault="002168AB" w:rsidP="002168AB">
      <w:pPr>
        <w:bidi w:val="0"/>
        <w:spacing w:line="276" w:lineRule="auto"/>
        <w:jc w:val="both"/>
        <w:rPr>
          <w:rFonts w:asciiTheme="majorBidi" w:eastAsia="Calibri" w:hAnsiTheme="majorBidi" w:cstheme="majorBidi"/>
        </w:rPr>
        <w:sectPr w:rsidR="002168AB" w:rsidRPr="002168AB" w:rsidSect="002168AB">
          <w:type w:val="continuous"/>
          <w:pgSz w:w="11906" w:h="16838" w:code="9"/>
          <w:pgMar w:top="358" w:right="1418" w:bottom="270" w:left="1418" w:header="270" w:footer="0" w:gutter="0"/>
          <w:cols w:space="708"/>
          <w:rtlGutter/>
          <w:docGrid w:linePitch="360"/>
        </w:sectPr>
      </w:pPr>
    </w:p>
    <w:p w:rsidR="00577825" w:rsidRDefault="00577825" w:rsidP="002168AB">
      <w:pPr>
        <w:bidi w:val="0"/>
        <w:spacing w:line="276" w:lineRule="auto"/>
        <w:rPr>
          <w:lang w:bidi="ar-YE"/>
        </w:rPr>
      </w:pPr>
    </w:p>
    <w:p w:rsidR="00AE7AD8" w:rsidRPr="00AE7AD8" w:rsidRDefault="00AE7AD8" w:rsidP="002168AB">
      <w:pPr>
        <w:bidi w:val="0"/>
        <w:spacing w:line="276" w:lineRule="auto"/>
        <w:jc w:val="both"/>
        <w:rPr>
          <w:b/>
          <w:bCs/>
        </w:rPr>
      </w:pPr>
      <w:r w:rsidRPr="00AE7AD8">
        <w:rPr>
          <w:b/>
          <w:bCs/>
        </w:rPr>
        <w:t>R</w:t>
      </w:r>
      <w:r>
        <w:rPr>
          <w:b/>
          <w:bCs/>
        </w:rPr>
        <w:t>e</w:t>
      </w:r>
      <w:r w:rsidRPr="00AE7AD8">
        <w:rPr>
          <w:b/>
          <w:bCs/>
        </w:rPr>
        <w:t>sults</w:t>
      </w:r>
    </w:p>
    <w:p w:rsidR="002D1BB4" w:rsidRPr="00577825" w:rsidRDefault="002D1BB4" w:rsidP="002168AB">
      <w:pPr>
        <w:bidi w:val="0"/>
        <w:spacing w:line="276" w:lineRule="auto"/>
        <w:jc w:val="both"/>
        <w:rPr>
          <w:b/>
          <w:bCs/>
        </w:rPr>
      </w:pPr>
      <w:r w:rsidRPr="002D1BB4">
        <w:t xml:space="preserve">The demographic </w:t>
      </w:r>
      <w:r w:rsidR="00C83D22">
        <w:t xml:space="preserve">data of healthy </w:t>
      </w:r>
      <w:r w:rsidRPr="002D1BB4">
        <w:t xml:space="preserve">control </w:t>
      </w:r>
      <w:r w:rsidR="00C83D22">
        <w:t xml:space="preserve">and patients </w:t>
      </w:r>
      <w:r w:rsidRPr="002D1BB4">
        <w:t>showed in Table 1.</w:t>
      </w:r>
    </w:p>
    <w:p w:rsidR="006B72BC" w:rsidRDefault="006B72BC" w:rsidP="002168AB">
      <w:pPr>
        <w:bidi w:val="0"/>
        <w:spacing w:line="276" w:lineRule="auto"/>
        <w:jc w:val="both"/>
        <w:sectPr w:rsidR="006B72BC" w:rsidSect="002168AB">
          <w:headerReference w:type="even" r:id="rId20"/>
          <w:headerReference w:type="default" r:id="rId21"/>
          <w:footerReference w:type="default" r:id="rId22"/>
          <w:headerReference w:type="first" r:id="rId23"/>
          <w:type w:val="continuous"/>
          <w:pgSz w:w="11906" w:h="16838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2D1BB4" w:rsidRPr="003F2528" w:rsidRDefault="002D1BB4" w:rsidP="002168AB">
      <w:pPr>
        <w:bidi w:val="0"/>
        <w:spacing w:line="276" w:lineRule="auto"/>
        <w:rPr>
          <w:b/>
          <w:bCs/>
        </w:rPr>
      </w:pPr>
      <w:r w:rsidRPr="003F2528">
        <w:rPr>
          <w:b/>
          <w:bCs/>
        </w:rPr>
        <w:lastRenderedPageBreak/>
        <w:t>Table 1:</w:t>
      </w:r>
      <w:r w:rsidRPr="003F2528">
        <w:rPr>
          <w:rFonts w:ascii="Advpsgior" w:eastAsia="Calibri" w:hAnsi="Advpsgior" w:cs="Advpsgior"/>
          <w:b/>
          <w:bCs/>
        </w:rPr>
        <w:t xml:space="preserve"> Demographic data of control and cases of RA</w:t>
      </w:r>
      <w:r w:rsidRPr="003F2528">
        <w:rPr>
          <w:b/>
          <w:bCs/>
        </w:rPr>
        <w:t>.</w:t>
      </w:r>
    </w:p>
    <w:tbl>
      <w:tblPr>
        <w:tblStyle w:val="1"/>
        <w:tblW w:w="0" w:type="auto"/>
        <w:tblLayout w:type="fixed"/>
        <w:tblLook w:val="04A0"/>
      </w:tblPr>
      <w:tblGrid>
        <w:gridCol w:w="1368"/>
        <w:gridCol w:w="1170"/>
        <w:gridCol w:w="1620"/>
        <w:gridCol w:w="1530"/>
        <w:gridCol w:w="900"/>
      </w:tblGrid>
      <w:tr w:rsidR="002D1BB4" w:rsidRPr="000B182C" w:rsidTr="003F2528">
        <w:tc>
          <w:tcPr>
            <w:tcW w:w="2538" w:type="dxa"/>
            <w:gridSpan w:val="2"/>
            <w:vAlign w:val="center"/>
          </w:tcPr>
          <w:p w:rsidR="003C0D3B" w:rsidRPr="00C02536" w:rsidRDefault="003C0D3B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Demographic data</w:t>
            </w:r>
          </w:p>
        </w:tc>
        <w:tc>
          <w:tcPr>
            <w:tcW w:w="1620" w:type="dxa"/>
            <w:vAlign w:val="center"/>
          </w:tcPr>
          <w:p w:rsidR="003C0D3B" w:rsidRPr="00C02536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Healthy controls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(N=45)</w:t>
            </w:r>
          </w:p>
        </w:tc>
        <w:tc>
          <w:tcPr>
            <w:tcW w:w="1530" w:type="dxa"/>
            <w:vAlign w:val="center"/>
          </w:tcPr>
          <w:p w:rsidR="003C0D3B" w:rsidRPr="00C02536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C02536">
              <w:rPr>
                <w:b/>
                <w:bCs/>
                <w:sz w:val="20"/>
                <w:szCs w:val="20"/>
              </w:rPr>
              <w:t>Patients with RA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C02536">
              <w:rPr>
                <w:b/>
                <w:bCs/>
                <w:sz w:val="20"/>
                <w:szCs w:val="20"/>
              </w:rPr>
              <w:t>(N=45)</w:t>
            </w:r>
          </w:p>
        </w:tc>
        <w:tc>
          <w:tcPr>
            <w:tcW w:w="900" w:type="dxa"/>
            <w:vAlign w:val="center"/>
          </w:tcPr>
          <w:p w:rsidR="003C0D3B" w:rsidRPr="00C02536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D1BB4" w:rsidRPr="00C02536" w:rsidRDefault="003F2528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Y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2D1BB4" w:rsidRPr="000B182C" w:rsidTr="003F2528">
        <w:trPr>
          <w:trHeight w:val="953"/>
        </w:trPr>
        <w:tc>
          <w:tcPr>
            <w:tcW w:w="1368" w:type="dxa"/>
            <w:vAlign w:val="center"/>
          </w:tcPr>
          <w:p w:rsidR="002D1BB4" w:rsidRPr="00C02536" w:rsidRDefault="00C02536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2D1BB4" w:rsidRPr="00C02536">
              <w:rPr>
                <w:b/>
                <w:bCs/>
                <w:sz w:val="20"/>
                <w:szCs w:val="20"/>
              </w:rPr>
              <w:t>Age (years)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942EC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 xml:space="preserve">Median </w:t>
            </w:r>
          </w:p>
          <w:p w:rsidR="002D1BB4" w:rsidRPr="00C02536" w:rsidRDefault="00D942EC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Range</w:t>
            </w:r>
            <w:r w:rsidR="002D1BB4" w:rsidRPr="00C02536">
              <w:rPr>
                <w:b/>
                <w:bCs/>
                <w:sz w:val="20"/>
                <w:szCs w:val="20"/>
              </w:rPr>
              <w:t xml:space="preserve">                    Min-Max</w:t>
            </w:r>
          </w:p>
        </w:tc>
        <w:tc>
          <w:tcPr>
            <w:tcW w:w="162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40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80</w:t>
            </w:r>
          </w:p>
          <w:p w:rsidR="00D942EC" w:rsidRPr="00C02536" w:rsidRDefault="00D942EC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(10-90)</w:t>
            </w:r>
          </w:p>
        </w:tc>
        <w:tc>
          <w:tcPr>
            <w:tcW w:w="153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40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50</w:t>
            </w:r>
          </w:p>
          <w:p w:rsidR="00D942EC" w:rsidRPr="00C02536" w:rsidRDefault="00D942EC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(10-60)</w:t>
            </w:r>
          </w:p>
        </w:tc>
        <w:tc>
          <w:tcPr>
            <w:tcW w:w="90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.734</w:t>
            </w:r>
          </w:p>
        </w:tc>
      </w:tr>
      <w:tr w:rsidR="002D1BB4" w:rsidRPr="000B182C" w:rsidTr="003F2528">
        <w:trPr>
          <w:trHeight w:val="521"/>
        </w:trPr>
        <w:tc>
          <w:tcPr>
            <w:tcW w:w="1368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17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Female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62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36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3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39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.402</w:t>
            </w:r>
          </w:p>
        </w:tc>
      </w:tr>
      <w:tr w:rsidR="002D1BB4" w:rsidRPr="000B182C" w:rsidTr="003F2528">
        <w:tc>
          <w:tcPr>
            <w:tcW w:w="1368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Residence</w:t>
            </w:r>
          </w:p>
        </w:tc>
        <w:tc>
          <w:tcPr>
            <w:tcW w:w="117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R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62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10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3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19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.043</w:t>
            </w:r>
          </w:p>
        </w:tc>
      </w:tr>
      <w:tr w:rsidR="002D1BB4" w:rsidRPr="000B182C" w:rsidTr="003F2528">
        <w:tc>
          <w:tcPr>
            <w:tcW w:w="1368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Smoking  habit</w:t>
            </w:r>
          </w:p>
        </w:tc>
        <w:tc>
          <w:tcPr>
            <w:tcW w:w="117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No                       Yes</w:t>
            </w:r>
          </w:p>
        </w:tc>
        <w:tc>
          <w:tcPr>
            <w:tcW w:w="162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41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38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.340</w:t>
            </w:r>
          </w:p>
        </w:tc>
      </w:tr>
      <w:tr w:rsidR="002D1BB4" w:rsidRPr="000B182C" w:rsidTr="003F2528">
        <w:trPr>
          <w:trHeight w:val="495"/>
        </w:trPr>
        <w:tc>
          <w:tcPr>
            <w:tcW w:w="1368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Qat chewing</w:t>
            </w:r>
          </w:p>
        </w:tc>
        <w:tc>
          <w:tcPr>
            <w:tcW w:w="117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No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30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3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32</w:t>
            </w:r>
          </w:p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2D1BB4" w:rsidRPr="00C02536" w:rsidRDefault="002D1BB4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02536">
              <w:rPr>
                <w:b/>
                <w:bCs/>
                <w:sz w:val="20"/>
                <w:szCs w:val="20"/>
              </w:rPr>
              <w:t>.653</w:t>
            </w:r>
          </w:p>
        </w:tc>
      </w:tr>
    </w:tbl>
    <w:p w:rsidR="002D1BB4" w:rsidRPr="00C83D22" w:rsidRDefault="002D1BB4" w:rsidP="002168AB">
      <w:pPr>
        <w:bidi w:val="0"/>
        <w:spacing w:line="276" w:lineRule="auto"/>
        <w:rPr>
          <w:b/>
          <w:bCs/>
          <w:sz w:val="18"/>
          <w:szCs w:val="18"/>
          <w:rtl/>
          <w:lang w:bidi="ar-YE"/>
        </w:rPr>
      </w:pPr>
      <w:r w:rsidRPr="00C83D22">
        <w:rPr>
          <w:b/>
          <w:bCs/>
          <w:sz w:val="18"/>
          <w:szCs w:val="18"/>
        </w:rPr>
        <w:t>R/U:Rural/ Urban; Probability value (</w:t>
      </w:r>
      <w:r w:rsidRPr="00C83D22">
        <w:rPr>
          <w:b/>
          <w:bCs/>
          <w:i/>
          <w:iCs/>
          <w:sz w:val="18"/>
          <w:szCs w:val="18"/>
        </w:rPr>
        <w:t xml:space="preserve">p </w:t>
      </w:r>
      <w:r w:rsidRPr="00C83D22">
        <w:rPr>
          <w:b/>
          <w:bCs/>
          <w:sz w:val="18"/>
          <w:szCs w:val="18"/>
        </w:rPr>
        <w:t>)≤0.05 (</w:t>
      </w:r>
      <w:r w:rsidRPr="00C83D22">
        <w:rPr>
          <w:b/>
          <w:bCs/>
          <w:sz w:val="18"/>
          <w:szCs w:val="18"/>
          <w:vertAlign w:val="superscript"/>
        </w:rPr>
        <w:t>*</w:t>
      </w:r>
      <w:r w:rsidRPr="00C83D22">
        <w:rPr>
          <w:b/>
          <w:bCs/>
          <w:sz w:val="18"/>
          <w:szCs w:val="18"/>
        </w:rPr>
        <w:t>: significant)</w:t>
      </w:r>
    </w:p>
    <w:p w:rsidR="002D1BB4" w:rsidRPr="00C83D22" w:rsidRDefault="002D1BB4" w:rsidP="002168AB">
      <w:pPr>
        <w:bidi w:val="0"/>
        <w:spacing w:line="276" w:lineRule="auto"/>
        <w:rPr>
          <w:b/>
          <w:bCs/>
          <w:sz w:val="18"/>
          <w:szCs w:val="18"/>
          <w:lang w:bidi="ar-YE"/>
        </w:rPr>
      </w:pPr>
    </w:p>
    <w:p w:rsidR="002D1BB4" w:rsidRDefault="002D1BB4" w:rsidP="002168AB">
      <w:pPr>
        <w:bidi w:val="0"/>
        <w:spacing w:line="276" w:lineRule="auto"/>
        <w:rPr>
          <w:sz w:val="18"/>
          <w:szCs w:val="18"/>
        </w:rPr>
      </w:pPr>
    </w:p>
    <w:p w:rsidR="00CC0CA8" w:rsidRDefault="00CC0CA8" w:rsidP="002168AB">
      <w:pPr>
        <w:bidi w:val="0"/>
        <w:spacing w:line="276" w:lineRule="auto"/>
        <w:rPr>
          <w:sz w:val="18"/>
          <w:szCs w:val="18"/>
        </w:rPr>
      </w:pPr>
    </w:p>
    <w:p w:rsidR="00066ED5" w:rsidRDefault="00066ED5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lang w:bidi="ar-YE"/>
        </w:rPr>
        <w:sectPr w:rsidR="00066ED5" w:rsidSect="002168AB">
          <w:type w:val="continuous"/>
          <w:pgSz w:w="11906" w:h="16838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066ED5" w:rsidRPr="003C0D3B" w:rsidRDefault="0086448D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lang w:bidi="ar-YE"/>
        </w:rPr>
      </w:pPr>
      <w:r w:rsidRPr="003C0D3B">
        <w:rPr>
          <w:rFonts w:asciiTheme="majorBidi" w:hAnsiTheme="majorBidi" w:cstheme="majorBidi"/>
          <w:lang w:bidi="ar-YE"/>
        </w:rPr>
        <w:lastRenderedPageBreak/>
        <w:t xml:space="preserve">At presentation, </w:t>
      </w:r>
      <w:r w:rsidRPr="003C0D3B">
        <w:t xml:space="preserve">most of patients (97.8%) had joint pain and morning stiffness (93.3%), while 86.7% had swollen joints </w:t>
      </w:r>
      <w:commentRangeStart w:id="22"/>
      <w:r w:rsidRPr="003C0D3B">
        <w:t>&amp;</w:t>
      </w:r>
      <w:commentRangeEnd w:id="22"/>
      <w:r w:rsidR="00225778">
        <w:rPr>
          <w:rStyle w:val="CommentReference"/>
        </w:rPr>
        <w:commentReference w:id="22"/>
      </w:r>
      <w:r w:rsidRPr="003C0D3B">
        <w:t xml:space="preserve"> 80% had fatigue.Twenty seven patients (60%) had symmetric arthritis, 19 (42.2%) had fever and only 8 patients (17.8%) had family</w:t>
      </w:r>
      <w:r w:rsidRPr="003C0D3B">
        <w:rPr>
          <w:rFonts w:asciiTheme="majorBidi" w:hAnsiTheme="majorBidi" w:cstheme="majorBidi"/>
          <w:lang w:bidi="ar-YE"/>
        </w:rPr>
        <w:t xml:space="preserve"> history (</w:t>
      </w:r>
      <w:commentRangeStart w:id="23"/>
      <w:r w:rsidRPr="003C0D3B">
        <w:rPr>
          <w:rFonts w:asciiTheme="majorBidi" w:hAnsiTheme="majorBidi" w:cstheme="majorBidi"/>
          <w:lang w:bidi="ar-YE"/>
        </w:rPr>
        <w:t>table</w:t>
      </w:r>
      <w:commentRangeEnd w:id="23"/>
      <w:r w:rsidR="0076780C">
        <w:rPr>
          <w:rStyle w:val="CommentReference"/>
        </w:rPr>
        <w:commentReference w:id="23"/>
      </w:r>
      <w:r w:rsidRPr="003C0D3B">
        <w:rPr>
          <w:rFonts w:asciiTheme="majorBidi" w:hAnsiTheme="majorBidi" w:cstheme="majorBidi"/>
          <w:lang w:bidi="ar-YE"/>
        </w:rPr>
        <w:t xml:space="preserve"> 2). </w:t>
      </w:r>
    </w:p>
    <w:p w:rsidR="00066ED5" w:rsidRDefault="00066ED5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lang w:bidi="ar-YE"/>
        </w:rPr>
        <w:sectPr w:rsidR="00066ED5" w:rsidSect="002168AB">
          <w:type w:val="continuous"/>
          <w:pgSz w:w="11906" w:h="16838"/>
          <w:pgMar w:top="1701" w:right="1701" w:bottom="1701" w:left="1701" w:header="709" w:footer="709" w:gutter="0"/>
          <w:cols w:space="708"/>
          <w:rtlGutter/>
          <w:docGrid w:linePitch="360"/>
        </w:sectPr>
      </w:pPr>
    </w:p>
    <w:p w:rsidR="002168AB" w:rsidRDefault="002168AB" w:rsidP="002168AB">
      <w:pPr>
        <w:bidi w:val="0"/>
        <w:spacing w:line="276" w:lineRule="auto"/>
        <w:rPr>
          <w:b/>
          <w:bCs/>
          <w:sz w:val="22"/>
          <w:szCs w:val="22"/>
        </w:rPr>
      </w:pPr>
    </w:p>
    <w:p w:rsidR="002168AB" w:rsidRDefault="002168AB" w:rsidP="002168AB">
      <w:pPr>
        <w:bidi w:val="0"/>
        <w:spacing w:line="276" w:lineRule="auto"/>
        <w:rPr>
          <w:b/>
          <w:bCs/>
          <w:sz w:val="22"/>
          <w:szCs w:val="22"/>
        </w:rPr>
      </w:pPr>
    </w:p>
    <w:p w:rsidR="002168AB" w:rsidRDefault="002168AB" w:rsidP="002168AB">
      <w:pPr>
        <w:bidi w:val="0"/>
        <w:spacing w:line="276" w:lineRule="auto"/>
        <w:rPr>
          <w:b/>
          <w:bCs/>
          <w:sz w:val="22"/>
          <w:szCs w:val="22"/>
        </w:rPr>
      </w:pPr>
    </w:p>
    <w:p w:rsidR="00E902B0" w:rsidRPr="002168AB" w:rsidRDefault="00E902B0" w:rsidP="002168AB">
      <w:pPr>
        <w:bidi w:val="0"/>
        <w:spacing w:line="276" w:lineRule="auto"/>
        <w:rPr>
          <w:rFonts w:ascii="Advpsgior" w:eastAsia="Calibri" w:hAnsi="Advpsgior" w:cs="Advpsgior"/>
          <w:b/>
          <w:bCs/>
          <w:sz w:val="22"/>
          <w:szCs w:val="22"/>
        </w:rPr>
      </w:pPr>
      <w:r w:rsidRPr="003508FB">
        <w:rPr>
          <w:b/>
          <w:bCs/>
          <w:sz w:val="22"/>
          <w:szCs w:val="22"/>
        </w:rPr>
        <w:t>Table 2:</w:t>
      </w:r>
      <w:r w:rsidRPr="003508FB">
        <w:rPr>
          <w:rFonts w:ascii="Advpsgior" w:eastAsia="Calibri" w:hAnsi="Advpsgior" w:cs="Advpsgior"/>
          <w:b/>
          <w:bCs/>
          <w:sz w:val="22"/>
          <w:szCs w:val="22"/>
        </w:rPr>
        <w:t xml:space="preserve">The distribution of clinical </w:t>
      </w:r>
      <w:r w:rsidR="003508FB" w:rsidRPr="003508FB">
        <w:rPr>
          <w:rFonts w:ascii="Advpsgior" w:eastAsia="Calibri" w:hAnsi="Advpsgior" w:cs="Advpsgior"/>
          <w:b/>
          <w:bCs/>
          <w:sz w:val="22"/>
          <w:szCs w:val="22"/>
        </w:rPr>
        <w:t>D</w:t>
      </w:r>
      <w:r w:rsidRPr="003508FB">
        <w:rPr>
          <w:rFonts w:ascii="Advpsgior" w:eastAsia="Calibri" w:hAnsi="Advpsgior" w:cs="Advpsgior"/>
          <w:b/>
          <w:bCs/>
          <w:sz w:val="22"/>
          <w:szCs w:val="22"/>
        </w:rPr>
        <w:t>ata</w:t>
      </w:r>
      <w:r w:rsidR="003508FB">
        <w:rPr>
          <w:rFonts w:ascii="Advpsgior" w:eastAsia="Calibri" w:hAnsi="Advpsgior" w:cs="Advpsgior"/>
          <w:b/>
          <w:bCs/>
          <w:sz w:val="22"/>
          <w:szCs w:val="22"/>
        </w:rPr>
        <w:t xml:space="preserve"> </w:t>
      </w:r>
      <w:r w:rsidRPr="003508FB">
        <w:rPr>
          <w:rFonts w:ascii="Advpsgior" w:eastAsia="Calibri" w:hAnsi="Advpsgior" w:cs="Advpsgior"/>
          <w:b/>
          <w:bCs/>
          <w:sz w:val="22"/>
          <w:szCs w:val="22"/>
        </w:rPr>
        <w:t>among cases of RA</w:t>
      </w:r>
      <w:r w:rsidRPr="003508FB">
        <w:rPr>
          <w:b/>
          <w:bCs/>
          <w:sz w:val="22"/>
          <w:szCs w:val="22"/>
        </w:rPr>
        <w:t>.</w:t>
      </w:r>
    </w:p>
    <w:tbl>
      <w:tblPr>
        <w:tblStyle w:val="1"/>
        <w:tblW w:w="0" w:type="auto"/>
        <w:tblLook w:val="04A0"/>
      </w:tblPr>
      <w:tblGrid>
        <w:gridCol w:w="1008"/>
        <w:gridCol w:w="1350"/>
        <w:gridCol w:w="1170"/>
      </w:tblGrid>
      <w:tr w:rsidR="00E902B0" w:rsidRPr="000B182C" w:rsidTr="00AA502D">
        <w:trPr>
          <w:trHeight w:val="512"/>
        </w:trPr>
        <w:tc>
          <w:tcPr>
            <w:tcW w:w="2358" w:type="dxa"/>
            <w:gridSpan w:val="2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Clinical data</w:t>
            </w:r>
          </w:p>
        </w:tc>
        <w:tc>
          <w:tcPr>
            <w:tcW w:w="1170" w:type="dxa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E902B0" w:rsidRPr="000B182C" w:rsidTr="00AA502D">
        <w:trPr>
          <w:trHeight w:val="707"/>
        </w:trPr>
        <w:tc>
          <w:tcPr>
            <w:tcW w:w="1008" w:type="dxa"/>
            <w:vAlign w:val="center"/>
          </w:tcPr>
          <w:p w:rsidR="003C0D3B" w:rsidRPr="00AA502D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Duration (years)</w:t>
            </w: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C6377" w:rsidRPr="00AA502D" w:rsidRDefault="00EC6377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C6377" w:rsidRPr="00AA502D" w:rsidRDefault="00EC6377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Median</w:t>
            </w: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Min-Max</w:t>
            </w:r>
          </w:p>
          <w:p w:rsidR="00EC6377" w:rsidRPr="00AA502D" w:rsidRDefault="00EC6377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Range</w:t>
            </w:r>
          </w:p>
          <w:p w:rsidR="00EC6377" w:rsidRPr="00AA502D" w:rsidRDefault="00EC6377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lastRenderedPageBreak/>
              <w:t>2.0</w:t>
            </w: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(0.16-10)</w:t>
            </w: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9.840</w:t>
            </w:r>
          </w:p>
        </w:tc>
      </w:tr>
      <w:tr w:rsidR="00E902B0" w:rsidRPr="000B182C" w:rsidTr="00AA502D">
        <w:trPr>
          <w:trHeight w:val="557"/>
        </w:trPr>
        <w:tc>
          <w:tcPr>
            <w:tcW w:w="2358" w:type="dxa"/>
            <w:gridSpan w:val="2"/>
            <w:vAlign w:val="center"/>
          </w:tcPr>
          <w:p w:rsidR="003C0D3B" w:rsidRPr="00AA502D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Family history</w:t>
            </w:r>
            <w:r w:rsidR="00577825" w:rsidRPr="00AA502D">
              <w:rPr>
                <w:b/>
                <w:bCs/>
                <w:sz w:val="20"/>
                <w:szCs w:val="20"/>
              </w:rPr>
              <w:t xml:space="preserve"> </w:t>
            </w:r>
            <w:r w:rsidRPr="00AA502D">
              <w:rPr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170" w:type="dxa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8 (17.8)</w:t>
            </w:r>
          </w:p>
        </w:tc>
      </w:tr>
      <w:tr w:rsidR="00E902B0" w:rsidRPr="000B182C" w:rsidTr="00AA502D">
        <w:tc>
          <w:tcPr>
            <w:tcW w:w="2358" w:type="dxa"/>
            <w:gridSpan w:val="2"/>
            <w:vAlign w:val="center"/>
          </w:tcPr>
          <w:p w:rsidR="003C0D3B" w:rsidRPr="00AA502D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Fever</w:t>
            </w:r>
            <w:r w:rsidR="00577825" w:rsidRPr="00AA502D">
              <w:rPr>
                <w:b/>
                <w:bCs/>
                <w:sz w:val="20"/>
                <w:szCs w:val="20"/>
              </w:rPr>
              <w:t xml:space="preserve"> </w:t>
            </w:r>
            <w:r w:rsidRPr="00AA502D">
              <w:rPr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170" w:type="dxa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19 (42.2)</w:t>
            </w:r>
          </w:p>
        </w:tc>
      </w:tr>
      <w:tr w:rsidR="00E902B0" w:rsidRPr="000B182C" w:rsidTr="00AA502D">
        <w:trPr>
          <w:trHeight w:val="207"/>
        </w:trPr>
        <w:tc>
          <w:tcPr>
            <w:tcW w:w="2358" w:type="dxa"/>
            <w:gridSpan w:val="2"/>
            <w:vAlign w:val="center"/>
          </w:tcPr>
          <w:p w:rsidR="003C0D3B" w:rsidRPr="00AA502D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Joint pain N (%)</w:t>
            </w:r>
          </w:p>
        </w:tc>
        <w:tc>
          <w:tcPr>
            <w:tcW w:w="1170" w:type="dxa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44 (97.8)</w:t>
            </w:r>
          </w:p>
        </w:tc>
      </w:tr>
      <w:tr w:rsidR="00E902B0" w:rsidRPr="000B182C" w:rsidTr="00AA502D">
        <w:trPr>
          <w:trHeight w:val="313"/>
        </w:trPr>
        <w:tc>
          <w:tcPr>
            <w:tcW w:w="2358" w:type="dxa"/>
            <w:gridSpan w:val="2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Morning stiffness</w:t>
            </w:r>
            <w:r w:rsidR="00577825" w:rsidRPr="00AA502D">
              <w:rPr>
                <w:b/>
                <w:bCs/>
                <w:sz w:val="20"/>
                <w:szCs w:val="20"/>
              </w:rPr>
              <w:t xml:space="preserve"> </w:t>
            </w:r>
            <w:r w:rsidRPr="00AA502D">
              <w:rPr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170" w:type="dxa"/>
            <w:vAlign w:val="center"/>
          </w:tcPr>
          <w:p w:rsidR="003C0D3B" w:rsidRPr="00AA502D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42 (93.3)</w:t>
            </w:r>
          </w:p>
        </w:tc>
      </w:tr>
      <w:tr w:rsidR="00E902B0" w:rsidRPr="000B182C" w:rsidTr="00AA502D">
        <w:tc>
          <w:tcPr>
            <w:tcW w:w="2358" w:type="dxa"/>
            <w:gridSpan w:val="2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Swollen</w:t>
            </w:r>
            <w:r w:rsidR="00EC6377" w:rsidRPr="00AA502D">
              <w:rPr>
                <w:b/>
                <w:bCs/>
                <w:sz w:val="20"/>
                <w:szCs w:val="20"/>
              </w:rPr>
              <w:t xml:space="preserve"> </w:t>
            </w:r>
            <w:r w:rsidRPr="00AA502D">
              <w:rPr>
                <w:b/>
                <w:bCs/>
                <w:sz w:val="20"/>
                <w:szCs w:val="20"/>
              </w:rPr>
              <w:t>joints</w:t>
            </w:r>
            <w:r w:rsidR="00577825" w:rsidRPr="00AA502D">
              <w:rPr>
                <w:b/>
                <w:bCs/>
                <w:sz w:val="20"/>
                <w:szCs w:val="20"/>
              </w:rPr>
              <w:t xml:space="preserve"> </w:t>
            </w:r>
            <w:r w:rsidRPr="00AA502D">
              <w:rPr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170" w:type="dxa"/>
            <w:vAlign w:val="center"/>
          </w:tcPr>
          <w:p w:rsidR="003C0D3B" w:rsidRPr="00AA502D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39 (86.7)</w:t>
            </w:r>
          </w:p>
        </w:tc>
      </w:tr>
      <w:tr w:rsidR="00E902B0" w:rsidRPr="000B182C" w:rsidTr="00AA502D">
        <w:tc>
          <w:tcPr>
            <w:tcW w:w="2358" w:type="dxa"/>
            <w:gridSpan w:val="2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Fatigue N (%)</w:t>
            </w:r>
          </w:p>
        </w:tc>
        <w:tc>
          <w:tcPr>
            <w:tcW w:w="1170" w:type="dxa"/>
            <w:vAlign w:val="center"/>
          </w:tcPr>
          <w:p w:rsidR="003C0D3B" w:rsidRPr="00AA502D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36 (80)</w:t>
            </w:r>
          </w:p>
        </w:tc>
      </w:tr>
      <w:tr w:rsidR="00E902B0" w:rsidRPr="000B182C" w:rsidTr="00AA502D">
        <w:tc>
          <w:tcPr>
            <w:tcW w:w="2358" w:type="dxa"/>
            <w:gridSpan w:val="2"/>
            <w:vAlign w:val="center"/>
          </w:tcPr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Symmetric arthritis</w:t>
            </w:r>
            <w:r w:rsidR="00AA502D">
              <w:rPr>
                <w:b/>
                <w:bCs/>
                <w:sz w:val="20"/>
                <w:szCs w:val="20"/>
              </w:rPr>
              <w:t xml:space="preserve"> </w:t>
            </w:r>
            <w:r w:rsidRPr="00AA502D">
              <w:rPr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1170" w:type="dxa"/>
            <w:vAlign w:val="center"/>
          </w:tcPr>
          <w:p w:rsidR="003C0D3B" w:rsidRPr="00AA502D" w:rsidRDefault="003C0D3B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E902B0" w:rsidRPr="00AA502D" w:rsidRDefault="00E902B0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27 (60)</w:t>
            </w:r>
          </w:p>
        </w:tc>
      </w:tr>
    </w:tbl>
    <w:p w:rsidR="00E902B0" w:rsidRDefault="00E902B0" w:rsidP="002168AB">
      <w:pPr>
        <w:autoSpaceDE w:val="0"/>
        <w:autoSpaceDN w:val="0"/>
        <w:bidi w:val="0"/>
        <w:adjustRightInd w:val="0"/>
        <w:spacing w:line="276" w:lineRule="auto"/>
        <w:ind w:firstLine="720"/>
        <w:rPr>
          <w:rFonts w:asciiTheme="majorBidi" w:hAnsiTheme="majorBidi" w:cstheme="majorBidi"/>
        </w:rPr>
      </w:pPr>
    </w:p>
    <w:p w:rsidR="00E902B0" w:rsidRDefault="00E902B0" w:rsidP="002168AB">
      <w:pPr>
        <w:autoSpaceDE w:val="0"/>
        <w:autoSpaceDN w:val="0"/>
        <w:bidi w:val="0"/>
        <w:adjustRightInd w:val="0"/>
        <w:spacing w:line="276" w:lineRule="auto"/>
        <w:rPr>
          <w:rFonts w:asciiTheme="majorBidi" w:hAnsiTheme="majorBidi" w:cstheme="majorBidi"/>
        </w:rPr>
        <w:sectPr w:rsidR="00E902B0" w:rsidSect="002168AB">
          <w:type w:val="continuous"/>
          <w:pgSz w:w="11906" w:h="16838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D36810" w:rsidRPr="005B7093" w:rsidRDefault="0086448D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</w:rPr>
        <w:sectPr w:rsidR="00D36810" w:rsidRPr="005B7093" w:rsidSect="002168AB">
          <w:type w:val="continuous"/>
          <w:pgSz w:w="11906" w:h="16838" w:code="9"/>
          <w:pgMar w:top="1699" w:right="1699" w:bottom="1699" w:left="1699" w:header="706" w:footer="706" w:gutter="0"/>
          <w:cols w:space="708"/>
          <w:docGrid w:linePitch="360"/>
        </w:sectPr>
      </w:pPr>
      <w:r w:rsidRPr="003C0D3B">
        <w:lastRenderedPageBreak/>
        <w:t>IL-22 levels in serum of RA patients were significantly higher compared to that in the healthy control</w:t>
      </w:r>
      <w:r w:rsidR="00EC6377">
        <w:t xml:space="preserve"> </w:t>
      </w:r>
      <w:r w:rsidRPr="003C0D3B">
        <w:t xml:space="preserve">(p= .022). As </w:t>
      </w:r>
      <w:commentRangeStart w:id="24"/>
      <w:r w:rsidRPr="003C0D3B">
        <w:t xml:space="preserve">we </w:t>
      </w:r>
      <w:commentRangeEnd w:id="24"/>
      <w:r w:rsidR="0065164D">
        <w:rPr>
          <w:rStyle w:val="CommentReference"/>
        </w:rPr>
        <w:commentReference w:id="24"/>
      </w:r>
      <w:r w:rsidRPr="003C0D3B">
        <w:t xml:space="preserve">expected, there were significant differences between patients and healthy control in the levels of CRP, RF, and </w:t>
      </w:r>
      <w:r w:rsidR="00982884">
        <w:t xml:space="preserve"> A</w:t>
      </w:r>
      <w:r w:rsidRPr="003C0D3B">
        <w:t>CCP (p=0.000) Table 3</w:t>
      </w:r>
      <w:r w:rsidRPr="003C0D3B">
        <w:rPr>
          <w:rFonts w:asciiTheme="majorBidi" w:hAnsiTheme="majorBidi" w:cstheme="majorBidi"/>
        </w:rPr>
        <w:t>.</w:t>
      </w:r>
    </w:p>
    <w:p w:rsidR="0086448D" w:rsidRPr="002168AB" w:rsidRDefault="0086448D" w:rsidP="002168AB">
      <w:pPr>
        <w:bidi w:val="0"/>
        <w:spacing w:line="276" w:lineRule="auto"/>
        <w:rPr>
          <w:rFonts w:ascii="Advpsgior" w:eastAsia="Calibri" w:hAnsi="Advpsgior" w:cs="Advpsgior"/>
          <w:b/>
          <w:bCs/>
        </w:rPr>
      </w:pPr>
      <w:r w:rsidRPr="00EC6377">
        <w:rPr>
          <w:b/>
          <w:bCs/>
        </w:rPr>
        <w:lastRenderedPageBreak/>
        <w:t>Table 3:</w:t>
      </w:r>
      <w:r w:rsidRPr="00EC6377">
        <w:rPr>
          <w:rFonts w:ascii="Advpsgior" w:eastAsia="Calibri" w:hAnsi="Advpsgior" w:cs="Advpsgior"/>
          <w:b/>
          <w:bCs/>
        </w:rPr>
        <w:t xml:space="preserve">The levels of Il-22 </w:t>
      </w:r>
      <w:commentRangeStart w:id="25"/>
      <w:r w:rsidRPr="00EC6377">
        <w:rPr>
          <w:rFonts w:ascii="Advpsgior" w:eastAsia="Calibri" w:hAnsi="Advpsgior" w:cs="Advpsgior"/>
          <w:b/>
          <w:bCs/>
        </w:rPr>
        <w:t>&amp;</w:t>
      </w:r>
      <w:commentRangeEnd w:id="25"/>
      <w:r w:rsidR="00225778">
        <w:rPr>
          <w:rStyle w:val="CommentReference"/>
        </w:rPr>
        <w:commentReference w:id="25"/>
      </w:r>
      <w:r w:rsidRPr="00EC6377">
        <w:rPr>
          <w:rFonts w:ascii="Advpsgior" w:eastAsia="Calibri" w:hAnsi="Advpsgior" w:cs="Advpsgior"/>
          <w:b/>
          <w:bCs/>
        </w:rPr>
        <w:t xml:space="preserve"> serologic markers</w:t>
      </w:r>
      <w:r w:rsidR="002168AB">
        <w:rPr>
          <w:rFonts w:ascii="Advpsgior" w:eastAsia="Calibri" w:hAnsi="Advpsgior" w:cs="Advpsgior"/>
          <w:b/>
          <w:bCs/>
        </w:rPr>
        <w:t xml:space="preserve"> </w:t>
      </w:r>
      <w:r w:rsidRPr="00EC6377">
        <w:rPr>
          <w:rFonts w:ascii="Advpsgior" w:eastAsia="Calibri" w:hAnsi="Advpsgior" w:cs="Advpsgior"/>
          <w:b/>
          <w:bCs/>
        </w:rPr>
        <w:t>of RA in control and cases</w:t>
      </w:r>
      <w:r w:rsidRPr="00EC6377">
        <w:rPr>
          <w:b/>
          <w:bCs/>
        </w:rPr>
        <w:t>.</w:t>
      </w:r>
    </w:p>
    <w:tbl>
      <w:tblPr>
        <w:tblStyle w:val="1"/>
        <w:tblW w:w="0" w:type="auto"/>
        <w:tblLayout w:type="fixed"/>
        <w:tblLook w:val="04A0"/>
      </w:tblPr>
      <w:tblGrid>
        <w:gridCol w:w="1008"/>
        <w:gridCol w:w="1080"/>
        <w:gridCol w:w="1080"/>
        <w:gridCol w:w="990"/>
        <w:gridCol w:w="720"/>
      </w:tblGrid>
      <w:tr w:rsidR="0086448D" w:rsidRPr="00E07C18" w:rsidTr="00AA502D">
        <w:tc>
          <w:tcPr>
            <w:tcW w:w="2088" w:type="dxa"/>
            <w:gridSpan w:val="2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1080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Healthy controls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(N=45)</w:t>
            </w:r>
          </w:p>
        </w:tc>
        <w:tc>
          <w:tcPr>
            <w:tcW w:w="990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  <w:lang w:bidi="ar-YE"/>
              </w:rPr>
            </w:pPr>
            <w:r w:rsidRPr="00AA502D">
              <w:rPr>
                <w:b/>
                <w:bCs/>
                <w:sz w:val="20"/>
                <w:szCs w:val="20"/>
              </w:rPr>
              <w:t>Patients with RA</w:t>
            </w:r>
          </w:p>
          <w:p w:rsidR="0086448D" w:rsidRPr="00AA502D" w:rsidRDefault="00AA502D" w:rsidP="002168AB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(N=45)</w:t>
            </w:r>
          </w:p>
        </w:tc>
        <w:tc>
          <w:tcPr>
            <w:tcW w:w="720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b/>
                <w:bCs/>
                <w:sz w:val="20"/>
                <w:szCs w:val="20"/>
                <w:rtl/>
                <w:lang w:bidi="ar-YE"/>
              </w:rPr>
            </w:pPr>
            <w:r w:rsidRPr="00AA502D">
              <w:rPr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AA502D" w:rsidRPr="00E07C18" w:rsidTr="00AA502D">
        <w:trPr>
          <w:trHeight w:val="613"/>
        </w:trPr>
        <w:tc>
          <w:tcPr>
            <w:tcW w:w="1008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IL-22 (ng/mL)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B1453" w:rsidRPr="00AA502D" w:rsidRDefault="006B1453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Median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Range              Min-Max</w:t>
            </w:r>
          </w:p>
        </w:tc>
        <w:tc>
          <w:tcPr>
            <w:tcW w:w="1080" w:type="dxa"/>
            <w:vAlign w:val="center"/>
          </w:tcPr>
          <w:p w:rsidR="006B1453" w:rsidRPr="00AA502D" w:rsidRDefault="006B1453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75.36</w:t>
            </w:r>
          </w:p>
          <w:p w:rsidR="006B1453" w:rsidRPr="00AA502D" w:rsidRDefault="006B1453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459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(55-514)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B1453" w:rsidRPr="00AA502D" w:rsidRDefault="006B1453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86.89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825</w:t>
            </w:r>
          </w:p>
          <w:p w:rsidR="006B1453" w:rsidRPr="00AA502D" w:rsidRDefault="006B1453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(56-881)</w:t>
            </w:r>
          </w:p>
          <w:p w:rsidR="006B1453" w:rsidRPr="00AA502D" w:rsidRDefault="006B1453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0.022</w:t>
            </w:r>
            <w:r w:rsidRPr="00AA502D">
              <w:rPr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</w:tr>
      <w:tr w:rsidR="00AA502D" w:rsidRPr="00E07C18" w:rsidTr="00AA502D">
        <w:tc>
          <w:tcPr>
            <w:tcW w:w="1008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CRP (mg/mL)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Median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Range                        Min-Max</w:t>
            </w:r>
          </w:p>
        </w:tc>
        <w:tc>
          <w:tcPr>
            <w:tcW w:w="1080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.00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24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(0-24)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24.0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48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(0-48)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0.000</w:t>
            </w:r>
            <w:r w:rsidRPr="00AA502D">
              <w:rPr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</w:tr>
      <w:tr w:rsidR="00AA502D" w:rsidRPr="00E07C18" w:rsidTr="00AA502D">
        <w:tc>
          <w:tcPr>
            <w:tcW w:w="1008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RF (IU/mL)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Median</w:t>
            </w:r>
          </w:p>
          <w:p w:rsidR="00E07C18" w:rsidRPr="00AA502D" w:rsidRDefault="00D942EC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Range                        Min-Max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.00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32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(0-320)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32.0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64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(0-64)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0.000</w:t>
            </w:r>
            <w:r w:rsidRPr="00AA502D">
              <w:rPr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</w:tr>
      <w:tr w:rsidR="00AA502D" w:rsidRPr="00E07C18" w:rsidTr="00AA502D">
        <w:tc>
          <w:tcPr>
            <w:tcW w:w="1008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ACCP (U/mL)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Median</w:t>
            </w:r>
          </w:p>
          <w:p w:rsidR="0086448D" w:rsidRPr="00AA502D" w:rsidRDefault="00D942EC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Range                        Min-Max</w:t>
            </w:r>
          </w:p>
        </w:tc>
        <w:tc>
          <w:tcPr>
            <w:tcW w:w="1080" w:type="dxa"/>
            <w:vAlign w:val="center"/>
          </w:tcPr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.00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32</w:t>
            </w:r>
            <w:r w:rsidR="008075F7" w:rsidRPr="00AA502D">
              <w:rPr>
                <w:b/>
                <w:bCs/>
                <w:sz w:val="20"/>
                <w:szCs w:val="20"/>
              </w:rPr>
              <w:t>0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(0-320)</w:t>
            </w:r>
          </w:p>
        </w:tc>
        <w:tc>
          <w:tcPr>
            <w:tcW w:w="990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221.0</w:t>
            </w: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517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(0-517)</w:t>
            </w:r>
          </w:p>
          <w:p w:rsidR="00D942EC" w:rsidRPr="00AA502D" w:rsidRDefault="00D942EC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07C18" w:rsidRPr="00AA502D" w:rsidRDefault="00E07C18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86448D" w:rsidRPr="00AA502D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A502D">
              <w:rPr>
                <w:b/>
                <w:bCs/>
                <w:sz w:val="20"/>
                <w:szCs w:val="20"/>
              </w:rPr>
              <w:t>0.000</w:t>
            </w:r>
            <w:r w:rsidRPr="00AA502D">
              <w:rPr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</w:tr>
    </w:tbl>
    <w:p w:rsidR="00C45BF2" w:rsidRDefault="0086448D" w:rsidP="002168AB">
      <w:pPr>
        <w:bidi w:val="0"/>
        <w:spacing w:line="276" w:lineRule="auto"/>
        <w:jc w:val="both"/>
        <w:rPr>
          <w:rFonts w:ascii="Advpsgior" w:eastAsia="Calibri" w:hAnsi="Advpsgior" w:cs="Advpsgior"/>
          <w:b/>
          <w:bCs/>
          <w:sz w:val="16"/>
          <w:szCs w:val="16"/>
        </w:rPr>
      </w:pPr>
      <w:r w:rsidRPr="00C45BF2">
        <w:rPr>
          <w:rFonts w:ascii="Advpsgior" w:eastAsia="Calibri" w:hAnsi="Advpsgior" w:cs="Advpsgior"/>
          <w:b/>
          <w:bCs/>
          <w:sz w:val="16"/>
          <w:szCs w:val="16"/>
        </w:rPr>
        <w:t xml:space="preserve">CRP: C-reactive protein; RF: rheumatoid factor; ACCP: anti-cyclic </w:t>
      </w:r>
    </w:p>
    <w:p w:rsidR="00C45BF2" w:rsidRDefault="0086448D" w:rsidP="002168AB">
      <w:pPr>
        <w:bidi w:val="0"/>
        <w:spacing w:line="276" w:lineRule="auto"/>
        <w:jc w:val="both"/>
        <w:rPr>
          <w:rFonts w:ascii="Advpsgior" w:eastAsia="Calibri" w:hAnsi="Advpsgior" w:cs="Advpsgior"/>
          <w:b/>
          <w:bCs/>
          <w:sz w:val="16"/>
          <w:szCs w:val="16"/>
        </w:rPr>
      </w:pPr>
      <w:r w:rsidRPr="00C45BF2">
        <w:rPr>
          <w:rFonts w:ascii="Advpsgior" w:eastAsia="Calibri" w:hAnsi="Advpsgior" w:cs="Advpsgior"/>
          <w:b/>
          <w:bCs/>
          <w:sz w:val="16"/>
          <w:szCs w:val="16"/>
        </w:rPr>
        <w:t xml:space="preserve">citrullinated peptide. The normal ranges of CRP, RF </w:t>
      </w:r>
      <w:commentRangeStart w:id="26"/>
      <w:r w:rsidRPr="00C45BF2">
        <w:rPr>
          <w:rFonts w:ascii="Advpsgior" w:eastAsia="Calibri" w:hAnsi="Advpsgior" w:cs="Advpsgior"/>
          <w:b/>
          <w:bCs/>
          <w:sz w:val="16"/>
          <w:szCs w:val="16"/>
        </w:rPr>
        <w:t>&amp;</w:t>
      </w:r>
      <w:commentRangeEnd w:id="26"/>
      <w:r w:rsidR="00225778">
        <w:rPr>
          <w:rStyle w:val="CommentReference"/>
        </w:rPr>
        <w:commentReference w:id="26"/>
      </w:r>
      <w:r w:rsidRPr="00C45BF2">
        <w:rPr>
          <w:rFonts w:ascii="Advpsgior" w:eastAsia="Calibri" w:hAnsi="Advpsgior" w:cs="Advpsgior"/>
          <w:b/>
          <w:bCs/>
          <w:sz w:val="16"/>
          <w:szCs w:val="16"/>
        </w:rPr>
        <w:t xml:space="preserve"> CCP, &amp;</w:t>
      </w:r>
      <w:r w:rsidR="00C45BF2">
        <w:rPr>
          <w:rFonts w:ascii="Advpsgior" w:eastAsia="Calibri" w:hAnsi="Advpsgior" w:cs="Advpsgior"/>
          <w:b/>
          <w:bCs/>
          <w:sz w:val="16"/>
          <w:szCs w:val="16"/>
        </w:rPr>
        <w:t xml:space="preserve"> </w:t>
      </w:r>
      <w:r w:rsidRPr="00C45BF2">
        <w:rPr>
          <w:rFonts w:ascii="Advpsgior" w:eastAsia="Calibri" w:hAnsi="Advpsgior" w:cs="Advpsgior"/>
          <w:b/>
          <w:bCs/>
          <w:sz w:val="16"/>
          <w:szCs w:val="16"/>
        </w:rPr>
        <w:t>are</w:t>
      </w:r>
    </w:p>
    <w:p w:rsidR="00C45BF2" w:rsidRDefault="0086448D" w:rsidP="002168AB">
      <w:pPr>
        <w:bidi w:val="0"/>
        <w:spacing w:line="276" w:lineRule="auto"/>
        <w:jc w:val="both"/>
        <w:rPr>
          <w:b/>
          <w:bCs/>
          <w:sz w:val="16"/>
          <w:szCs w:val="16"/>
        </w:rPr>
      </w:pPr>
      <w:r w:rsidRPr="00C45BF2">
        <w:rPr>
          <w:rFonts w:ascii="Advpsgior" w:eastAsia="Calibri" w:hAnsi="Advpsgior" w:cs="Advpsgior"/>
          <w:b/>
          <w:bCs/>
          <w:sz w:val="16"/>
          <w:szCs w:val="16"/>
        </w:rPr>
        <w:t>0</w:t>
      </w:r>
      <w:r w:rsidRPr="00C45BF2">
        <w:rPr>
          <w:rFonts w:ascii="AdvTT3713a231+20" w:eastAsia="Calibri" w:hAnsi="AdvTT3713a231+20" w:cs="AdvTT3713a231+20"/>
          <w:b/>
          <w:bCs/>
          <w:sz w:val="16"/>
          <w:szCs w:val="16"/>
        </w:rPr>
        <w:t>–</w:t>
      </w:r>
      <w:r w:rsidRPr="00C45BF2">
        <w:rPr>
          <w:rFonts w:ascii="Advpsgior" w:eastAsia="Calibri" w:hAnsi="Advpsgior" w:cs="Advpsgior"/>
          <w:b/>
          <w:bCs/>
          <w:sz w:val="16"/>
          <w:szCs w:val="16"/>
        </w:rPr>
        <w:t>25 U/mL, 0</w:t>
      </w:r>
      <w:r w:rsidRPr="00C45BF2">
        <w:rPr>
          <w:rFonts w:ascii="AdvTT3713a231+20" w:eastAsia="Calibri" w:hAnsi="AdvTT3713a231+20" w:cs="AdvTT3713a231+20"/>
          <w:b/>
          <w:bCs/>
          <w:sz w:val="16"/>
          <w:szCs w:val="16"/>
        </w:rPr>
        <w:t>–</w:t>
      </w:r>
      <w:r w:rsidRPr="00C45BF2">
        <w:rPr>
          <w:rFonts w:ascii="Advpsgior" w:eastAsia="Calibri" w:hAnsi="Advpsgior" w:cs="Advpsgior"/>
          <w:b/>
          <w:bCs/>
          <w:sz w:val="16"/>
          <w:szCs w:val="16"/>
        </w:rPr>
        <w:t>15 mg/L&amp; 0</w:t>
      </w:r>
      <w:r w:rsidRPr="00C45BF2">
        <w:rPr>
          <w:rFonts w:ascii="AdvTT3713a231+20" w:eastAsia="Calibri" w:hAnsi="AdvTT3713a231+20" w:cs="AdvTT3713a231+20"/>
          <w:b/>
          <w:bCs/>
          <w:sz w:val="16"/>
          <w:szCs w:val="16"/>
        </w:rPr>
        <w:t>–</w:t>
      </w:r>
      <w:r w:rsidRPr="00C45BF2">
        <w:rPr>
          <w:rFonts w:ascii="Advpsgior" w:eastAsia="Calibri" w:hAnsi="Advpsgior" w:cs="Advpsgior"/>
          <w:b/>
          <w:bCs/>
          <w:sz w:val="16"/>
          <w:szCs w:val="16"/>
        </w:rPr>
        <w:t>15 IU/mL, respectively.</w:t>
      </w:r>
      <w:r w:rsidRPr="00C45BF2">
        <w:rPr>
          <w:b/>
          <w:bCs/>
          <w:sz w:val="16"/>
          <w:szCs w:val="16"/>
        </w:rPr>
        <w:t xml:space="preserve"> Probability value</w:t>
      </w:r>
    </w:p>
    <w:p w:rsidR="0086448D" w:rsidRPr="00C45BF2" w:rsidRDefault="0086448D" w:rsidP="002168AB">
      <w:pPr>
        <w:bidi w:val="0"/>
        <w:spacing w:line="276" w:lineRule="auto"/>
        <w:jc w:val="both"/>
        <w:rPr>
          <w:b/>
          <w:bCs/>
          <w:sz w:val="16"/>
          <w:szCs w:val="16"/>
        </w:rPr>
      </w:pPr>
      <w:r w:rsidRPr="00C45BF2">
        <w:rPr>
          <w:b/>
          <w:bCs/>
          <w:sz w:val="16"/>
          <w:szCs w:val="16"/>
        </w:rPr>
        <w:t>(</w:t>
      </w:r>
      <w:r w:rsidRPr="00C45BF2">
        <w:rPr>
          <w:b/>
          <w:bCs/>
          <w:i/>
          <w:iCs/>
          <w:sz w:val="16"/>
          <w:szCs w:val="16"/>
        </w:rPr>
        <w:t>p</w:t>
      </w:r>
      <w:r w:rsidRPr="00C45BF2">
        <w:rPr>
          <w:b/>
          <w:bCs/>
          <w:sz w:val="16"/>
          <w:szCs w:val="16"/>
        </w:rPr>
        <w:t>)≤0.05 (</w:t>
      </w:r>
      <w:r w:rsidRPr="00C45BF2">
        <w:rPr>
          <w:b/>
          <w:bCs/>
          <w:sz w:val="16"/>
          <w:szCs w:val="16"/>
          <w:vertAlign w:val="superscript"/>
        </w:rPr>
        <w:t>*</w:t>
      </w:r>
      <w:r w:rsidRPr="00C45BF2">
        <w:rPr>
          <w:b/>
          <w:bCs/>
          <w:sz w:val="16"/>
          <w:szCs w:val="16"/>
        </w:rPr>
        <w:t>: significant)</w:t>
      </w:r>
    </w:p>
    <w:p w:rsidR="0086448D" w:rsidRPr="00C45BF2" w:rsidRDefault="0086448D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sz w:val="16"/>
          <w:szCs w:val="16"/>
          <w:lang w:bidi="ar-YE"/>
        </w:rPr>
      </w:pPr>
    </w:p>
    <w:p w:rsidR="00066ED5" w:rsidRDefault="00066ED5" w:rsidP="002168AB">
      <w:pPr>
        <w:bidi w:val="0"/>
        <w:spacing w:line="276" w:lineRule="auto"/>
        <w:jc w:val="both"/>
        <w:rPr>
          <w:rFonts w:asciiTheme="majorBidi" w:hAnsiTheme="majorBidi" w:cstheme="majorBidi"/>
          <w:lang w:bidi="ar-YE"/>
        </w:rPr>
        <w:sectPr w:rsidR="00066ED5" w:rsidSect="002168AB">
          <w:type w:val="continuous"/>
          <w:pgSz w:w="11906" w:h="16838"/>
          <w:pgMar w:top="1701" w:right="1701" w:bottom="1701" w:left="1701" w:header="709" w:footer="709" w:gutter="0"/>
          <w:cols w:space="708"/>
          <w:bidi/>
          <w:rtlGutter/>
          <w:docGrid w:linePitch="360"/>
        </w:sectPr>
      </w:pPr>
    </w:p>
    <w:p w:rsidR="00066ED5" w:rsidRPr="003C0D3B" w:rsidRDefault="0086448D" w:rsidP="002168AB">
      <w:pPr>
        <w:bidi w:val="0"/>
        <w:spacing w:line="276" w:lineRule="auto"/>
        <w:jc w:val="both"/>
        <w:rPr>
          <w:rFonts w:asciiTheme="majorBidi" w:hAnsiTheme="majorBidi" w:cstheme="majorBidi"/>
          <w:lang w:bidi="ar-YE"/>
        </w:rPr>
      </w:pPr>
      <w:r w:rsidRPr="003C0D3B">
        <w:rPr>
          <w:rFonts w:ascii="Advpsgior" w:eastAsia="Calibri" w:hAnsi="Advpsgior" w:cs="Advpsgior"/>
        </w:rPr>
        <w:lastRenderedPageBreak/>
        <w:t>Correlational analysis between the serum levels of IL-22 in the patient and personal</w:t>
      </w:r>
      <w:r w:rsidR="00EC6377">
        <w:rPr>
          <w:rFonts w:ascii="Advpsgior" w:eastAsia="Calibri" w:hAnsi="Advpsgior" w:cs="Advpsgior"/>
        </w:rPr>
        <w:t xml:space="preserve"> </w:t>
      </w:r>
      <w:commentRangeStart w:id="27"/>
      <w:r w:rsidRPr="003C0D3B">
        <w:rPr>
          <w:rFonts w:ascii="Advpsgior" w:eastAsia="Calibri" w:hAnsi="Advpsgior" w:cs="Advpsgior"/>
        </w:rPr>
        <w:t>&amp;</w:t>
      </w:r>
      <w:commentRangeEnd w:id="27"/>
      <w:r w:rsidR="00225778">
        <w:rPr>
          <w:rStyle w:val="CommentReference"/>
        </w:rPr>
        <w:commentReference w:id="27"/>
      </w:r>
      <w:r w:rsidRPr="003C0D3B">
        <w:rPr>
          <w:rFonts w:ascii="Advpsgior" w:eastAsia="Calibri" w:hAnsi="Advpsgior" w:cs="Advpsgior"/>
        </w:rPr>
        <w:t xml:space="preserve"> clinical data show no significant difference.  As regard serologic parameters, a significant positive correlation was found between the levels of serum IL-22 and CRP &amp;ACCP (rho=.416 p=.004, rho=.559 p=.000, respectively), however, there was no significant correlation between levels of IL-22 and RF in RA patients (</w:t>
      </w:r>
      <w:commentRangeStart w:id="28"/>
      <w:r w:rsidRPr="003C0D3B">
        <w:rPr>
          <w:rFonts w:ascii="Advpsgior" w:eastAsia="Calibri" w:hAnsi="Advpsgior" w:cs="Advpsgior"/>
        </w:rPr>
        <w:t>table</w:t>
      </w:r>
      <w:commentRangeEnd w:id="28"/>
      <w:r w:rsidR="00225778">
        <w:rPr>
          <w:rStyle w:val="CommentReference"/>
        </w:rPr>
        <w:commentReference w:id="28"/>
      </w:r>
      <w:r w:rsidRPr="003C0D3B">
        <w:rPr>
          <w:rFonts w:ascii="Advpsgior" w:eastAsia="Calibri" w:hAnsi="Advpsgior" w:cs="Advpsgior"/>
        </w:rPr>
        <w:t xml:space="preserve"> 4 </w:t>
      </w:r>
      <w:commentRangeStart w:id="29"/>
      <w:r w:rsidRPr="003C0D3B">
        <w:rPr>
          <w:rFonts w:ascii="Advpsgior" w:eastAsia="Calibri" w:hAnsi="Advpsgior" w:cs="Advpsgior"/>
        </w:rPr>
        <w:t>&amp;</w:t>
      </w:r>
      <w:commentRangeEnd w:id="29"/>
      <w:r w:rsidR="00225778">
        <w:rPr>
          <w:rStyle w:val="CommentReference"/>
        </w:rPr>
        <w:commentReference w:id="29"/>
      </w:r>
      <w:r w:rsidRPr="003C0D3B">
        <w:rPr>
          <w:rFonts w:ascii="Advpsgior" w:eastAsia="Calibri" w:hAnsi="Advpsgior" w:cs="Advpsgior"/>
        </w:rPr>
        <w:t xml:space="preserve"> </w:t>
      </w:r>
      <w:commentRangeStart w:id="30"/>
      <w:r w:rsidRPr="003C0D3B">
        <w:rPr>
          <w:rFonts w:ascii="Advpsgior" w:eastAsia="Calibri" w:hAnsi="Advpsgior" w:cs="Advpsgior"/>
        </w:rPr>
        <w:t>fig</w:t>
      </w:r>
      <w:commentRangeEnd w:id="30"/>
      <w:r w:rsidR="00225778">
        <w:rPr>
          <w:rStyle w:val="CommentReference"/>
        </w:rPr>
        <w:commentReference w:id="30"/>
      </w:r>
      <w:r w:rsidRPr="003C0D3B">
        <w:rPr>
          <w:rFonts w:ascii="Advpsgior" w:eastAsia="Calibri" w:hAnsi="Advpsgior" w:cs="Advpsgior"/>
        </w:rPr>
        <w:t xml:space="preserve">. 1 </w:t>
      </w:r>
      <w:commentRangeStart w:id="31"/>
      <w:r w:rsidRPr="003C0D3B">
        <w:rPr>
          <w:rFonts w:ascii="Advpsgior" w:eastAsia="Calibri" w:hAnsi="Advpsgior" w:cs="Advpsgior"/>
        </w:rPr>
        <w:t>&amp;</w:t>
      </w:r>
      <w:commentRangeEnd w:id="31"/>
      <w:r w:rsidR="00225778">
        <w:rPr>
          <w:rStyle w:val="CommentReference"/>
        </w:rPr>
        <w:commentReference w:id="31"/>
      </w:r>
      <w:r w:rsidRPr="003C0D3B">
        <w:rPr>
          <w:rFonts w:ascii="Advpsgior" w:eastAsia="Calibri" w:hAnsi="Advpsgior" w:cs="Advpsgior"/>
        </w:rPr>
        <w:t xml:space="preserve"> 2, respectively)</w:t>
      </w:r>
      <w:r w:rsidRPr="003C0D3B">
        <w:rPr>
          <w:rFonts w:asciiTheme="majorBidi" w:hAnsiTheme="majorBidi" w:cstheme="majorBidi"/>
          <w:lang w:bidi="ar-YE"/>
        </w:rPr>
        <w:t xml:space="preserve">. </w:t>
      </w:r>
      <w:r w:rsidR="00066ED5" w:rsidRPr="003C0D3B">
        <w:rPr>
          <w:rFonts w:asciiTheme="majorBidi" w:hAnsiTheme="majorBidi" w:cstheme="majorBidi"/>
          <w:lang w:bidi="ar-YE"/>
        </w:rPr>
        <w:t xml:space="preserve"> (Table </w:t>
      </w:r>
      <w:r w:rsidR="004D0F4D" w:rsidRPr="003C0D3B">
        <w:rPr>
          <w:rFonts w:asciiTheme="majorBidi" w:hAnsiTheme="majorBidi" w:cstheme="majorBidi"/>
          <w:lang w:bidi="ar-YE"/>
        </w:rPr>
        <w:t>4</w:t>
      </w:r>
      <w:r w:rsidR="00066ED5" w:rsidRPr="003C0D3B">
        <w:rPr>
          <w:rFonts w:asciiTheme="majorBidi" w:hAnsiTheme="majorBidi" w:cstheme="majorBidi"/>
          <w:lang w:bidi="ar-YE"/>
        </w:rPr>
        <w:t>).</w:t>
      </w:r>
    </w:p>
    <w:p w:rsidR="00066ED5" w:rsidRDefault="00066ED5" w:rsidP="002168A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lang w:bidi="ar-YE"/>
        </w:rPr>
        <w:sectPr w:rsidR="00066ED5" w:rsidSect="002168AB">
          <w:type w:val="continuous"/>
          <w:pgSz w:w="11906" w:h="16838"/>
          <w:pgMar w:top="1701" w:right="1701" w:bottom="1701" w:left="1701" w:header="709" w:footer="709" w:gutter="0"/>
          <w:cols w:space="708"/>
          <w:rtlGutter/>
          <w:docGrid w:linePitch="360"/>
        </w:sectPr>
      </w:pPr>
    </w:p>
    <w:p w:rsidR="00E07C18" w:rsidRDefault="00E07C18" w:rsidP="002168AB">
      <w:pPr>
        <w:bidi w:val="0"/>
        <w:spacing w:line="276" w:lineRule="auto"/>
        <w:rPr>
          <w:b/>
          <w:bCs/>
          <w:color w:val="000000"/>
        </w:rPr>
      </w:pPr>
    </w:p>
    <w:p w:rsidR="003F2528" w:rsidRDefault="0086448D" w:rsidP="002168AB">
      <w:pPr>
        <w:bidi w:val="0"/>
        <w:spacing w:line="276" w:lineRule="auto"/>
        <w:rPr>
          <w:b/>
          <w:bCs/>
          <w:color w:val="000000"/>
        </w:rPr>
      </w:pPr>
      <w:r w:rsidRPr="00E07C18">
        <w:rPr>
          <w:b/>
          <w:bCs/>
          <w:color w:val="000000"/>
        </w:rPr>
        <w:t xml:space="preserve">Table4: correlation between the levels of IL-22 </w:t>
      </w:r>
    </w:p>
    <w:p w:rsidR="0086448D" w:rsidRPr="00E07C18" w:rsidRDefault="003F2528" w:rsidP="002168AB">
      <w:pPr>
        <w:bidi w:val="0"/>
        <w:spacing w:line="276" w:lineRule="auto"/>
        <w:rPr>
          <w:b/>
          <w:bCs/>
          <w:color w:val="000000"/>
        </w:rPr>
      </w:pPr>
      <w:commentRangeStart w:id="32"/>
      <w:r>
        <w:rPr>
          <w:b/>
          <w:bCs/>
          <w:color w:val="000000"/>
        </w:rPr>
        <w:t>&amp;</w:t>
      </w:r>
      <w:commentRangeEnd w:id="32"/>
      <w:r w:rsidR="00225778">
        <w:rPr>
          <w:rStyle w:val="CommentReference"/>
        </w:rPr>
        <w:commentReference w:id="32"/>
      </w:r>
      <w:r>
        <w:rPr>
          <w:b/>
          <w:bCs/>
          <w:color w:val="000000"/>
        </w:rPr>
        <w:t xml:space="preserve"> </w:t>
      </w:r>
      <w:r w:rsidR="0086448D" w:rsidRPr="00E07C18">
        <w:rPr>
          <w:b/>
          <w:bCs/>
          <w:color w:val="000000"/>
        </w:rPr>
        <w:t>different variables in patients with RA</w:t>
      </w:r>
    </w:p>
    <w:tbl>
      <w:tblPr>
        <w:tblStyle w:val="1"/>
        <w:tblW w:w="0" w:type="auto"/>
        <w:tblLook w:val="04A0"/>
      </w:tblPr>
      <w:tblGrid>
        <w:gridCol w:w="2358"/>
        <w:gridCol w:w="1980"/>
      </w:tblGrid>
      <w:tr w:rsidR="0086448D" w:rsidRPr="00AA502D" w:rsidTr="00144AD5">
        <w:trPr>
          <w:trHeight w:val="432"/>
        </w:trPr>
        <w:tc>
          <w:tcPr>
            <w:tcW w:w="2358" w:type="dxa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IL-22 (ng/ml)</w:t>
            </w:r>
          </w:p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jc w:val="center"/>
              <w:rPr>
                <w:b/>
                <w:bCs/>
                <w:sz w:val="18"/>
                <w:szCs w:val="18"/>
                <w:rtl/>
                <w:lang w:bidi="ar-YE"/>
              </w:rPr>
            </w:pPr>
            <w:r w:rsidRPr="00C45BF2">
              <w:rPr>
                <w:b/>
                <w:bCs/>
                <w:sz w:val="18"/>
                <w:szCs w:val="18"/>
              </w:rPr>
              <w:t>(N=45)</w:t>
            </w:r>
          </w:p>
        </w:tc>
      </w:tr>
      <w:tr w:rsidR="0086448D" w:rsidRPr="00AA502D" w:rsidTr="00144AD5">
        <w:trPr>
          <w:trHeight w:val="382"/>
        </w:trPr>
        <w:tc>
          <w:tcPr>
            <w:tcW w:w="4338" w:type="dxa"/>
            <w:gridSpan w:val="2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  <w:lang w:bidi="ar-YE"/>
              </w:rPr>
            </w:pPr>
            <w:r w:rsidRPr="00C45BF2">
              <w:rPr>
                <w:b/>
                <w:bCs/>
                <w:sz w:val="18"/>
                <w:szCs w:val="18"/>
              </w:rPr>
              <w:t>Demographic data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Age (years)</w:t>
            </w:r>
          </w:p>
        </w:tc>
        <w:tc>
          <w:tcPr>
            <w:tcW w:w="1980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</w:t>
            </w:r>
            <w:r w:rsidR="00EC6377" w:rsidRPr="00C45BF2">
              <w:rPr>
                <w:b/>
                <w:bCs/>
                <w:sz w:val="18"/>
                <w:szCs w:val="18"/>
              </w:rPr>
              <w:t>ho</w:t>
            </w:r>
            <w:r w:rsidRPr="00C45BF2">
              <w:rPr>
                <w:b/>
                <w:bCs/>
                <w:sz w:val="18"/>
                <w:szCs w:val="18"/>
              </w:rPr>
              <w:t>=.272, p= .071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Gender (Female/Male)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 xml:space="preserve"> rho</w:t>
            </w:r>
            <w:r w:rsidR="0086448D" w:rsidRPr="00C45BF2">
              <w:rPr>
                <w:b/>
                <w:bCs/>
                <w:sz w:val="18"/>
                <w:szCs w:val="18"/>
              </w:rPr>
              <w:t>=.015, p= .922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Residence (R/U)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=.121, p= .428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Smoking habit (%)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=.012, p= .939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Qat chewing (%)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=.098, p= .521</w:t>
            </w:r>
          </w:p>
        </w:tc>
      </w:tr>
      <w:tr w:rsidR="0086448D" w:rsidRPr="00AA502D" w:rsidTr="00144AD5">
        <w:tc>
          <w:tcPr>
            <w:tcW w:w="4338" w:type="dxa"/>
            <w:gridSpan w:val="2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Clinical data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Family History(%)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=.219-, p= .148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Joints pain (%)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=.128-, p= .403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Morning stiffness (%)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=.144-, p= .0345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Swelling joints (%)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=.078-, p= .610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Fever (%)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=.097, p= .526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Fatigue (%)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=.017, p= .911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 xml:space="preserve">Symmetric arthritis </w:t>
            </w:r>
            <w:r w:rsidR="00144AD5" w:rsidRPr="00C45BF2">
              <w:rPr>
                <w:b/>
                <w:bCs/>
                <w:sz w:val="18"/>
                <w:szCs w:val="18"/>
              </w:rPr>
              <w:t>(</w:t>
            </w:r>
            <w:r w:rsidRPr="00C45BF2">
              <w:rPr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=.070-, p= .648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Duration (years)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=.280, p= .062</w:t>
            </w:r>
          </w:p>
        </w:tc>
      </w:tr>
      <w:tr w:rsidR="0086448D" w:rsidRPr="00AA502D" w:rsidTr="00144AD5">
        <w:trPr>
          <w:trHeight w:val="319"/>
        </w:trPr>
        <w:tc>
          <w:tcPr>
            <w:tcW w:w="4338" w:type="dxa"/>
            <w:gridSpan w:val="2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Serologic parameters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CRP (mg/mL)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=.416</w:t>
            </w:r>
            <w:r w:rsidR="0086448D" w:rsidRPr="00C45BF2">
              <w:rPr>
                <w:b/>
                <w:bCs/>
                <w:sz w:val="18"/>
                <w:szCs w:val="18"/>
                <w:vertAlign w:val="superscript"/>
              </w:rPr>
              <w:t>**</w:t>
            </w:r>
            <w:r w:rsidR="0086448D" w:rsidRPr="00C45BF2">
              <w:rPr>
                <w:b/>
                <w:bCs/>
                <w:sz w:val="18"/>
                <w:szCs w:val="18"/>
              </w:rPr>
              <w:t>, p= .004</w:t>
            </w:r>
          </w:p>
        </w:tc>
      </w:tr>
      <w:tr w:rsidR="0086448D" w:rsidRPr="00AA502D" w:rsidTr="00144AD5">
        <w:trPr>
          <w:trHeight w:val="375"/>
        </w:trPr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RF (IU/mL)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=.291, p= .053</w:t>
            </w:r>
          </w:p>
        </w:tc>
      </w:tr>
      <w:tr w:rsidR="0086448D" w:rsidRPr="00AA502D" w:rsidTr="00144AD5">
        <w:tc>
          <w:tcPr>
            <w:tcW w:w="2358" w:type="dxa"/>
            <w:vAlign w:val="center"/>
          </w:tcPr>
          <w:p w:rsidR="0086448D" w:rsidRPr="00C45BF2" w:rsidRDefault="0086448D" w:rsidP="002168AB">
            <w:pPr>
              <w:tabs>
                <w:tab w:val="center" w:pos="4153"/>
                <w:tab w:val="right" w:pos="8306"/>
              </w:tabs>
              <w:bidi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ACCP (U/mL)</w:t>
            </w:r>
          </w:p>
        </w:tc>
        <w:tc>
          <w:tcPr>
            <w:tcW w:w="1980" w:type="dxa"/>
            <w:vAlign w:val="center"/>
          </w:tcPr>
          <w:p w:rsidR="0086448D" w:rsidRPr="00C45BF2" w:rsidRDefault="00EC6377" w:rsidP="002168AB">
            <w:pPr>
              <w:tabs>
                <w:tab w:val="center" w:pos="4153"/>
                <w:tab w:val="right" w:pos="8306"/>
              </w:tabs>
              <w:autoSpaceDE w:val="0"/>
              <w:autoSpaceDN w:val="0"/>
              <w:bidi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 w:rsidRPr="00C45BF2">
              <w:rPr>
                <w:b/>
                <w:bCs/>
                <w:sz w:val="18"/>
                <w:szCs w:val="18"/>
              </w:rPr>
              <w:t>rho</w:t>
            </w:r>
            <w:r w:rsidR="0086448D" w:rsidRPr="00C45BF2">
              <w:rPr>
                <w:b/>
                <w:bCs/>
                <w:sz w:val="18"/>
                <w:szCs w:val="18"/>
              </w:rPr>
              <w:t>=.559</w:t>
            </w:r>
            <w:r w:rsidR="0086448D" w:rsidRPr="00C45BF2">
              <w:rPr>
                <w:b/>
                <w:bCs/>
                <w:sz w:val="18"/>
                <w:szCs w:val="18"/>
                <w:vertAlign w:val="superscript"/>
              </w:rPr>
              <w:t>**</w:t>
            </w:r>
            <w:r w:rsidR="0086448D" w:rsidRPr="00C45BF2">
              <w:rPr>
                <w:b/>
                <w:bCs/>
                <w:sz w:val="18"/>
                <w:szCs w:val="18"/>
              </w:rPr>
              <w:t>, p= .000</w:t>
            </w:r>
          </w:p>
        </w:tc>
      </w:tr>
    </w:tbl>
    <w:p w:rsidR="00066ED5" w:rsidRPr="00AA502D" w:rsidRDefault="00066ED5" w:rsidP="002168A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ar-YE"/>
        </w:rPr>
      </w:pPr>
    </w:p>
    <w:p w:rsidR="00066ED5" w:rsidRDefault="00066ED5" w:rsidP="002168AB">
      <w:pPr>
        <w:bidi w:val="0"/>
        <w:spacing w:line="276" w:lineRule="auto"/>
        <w:ind w:firstLine="720"/>
        <w:jc w:val="both"/>
        <w:rPr>
          <w:rFonts w:asciiTheme="majorBidi" w:hAnsiTheme="majorBidi" w:cstheme="majorBidi"/>
        </w:rPr>
        <w:sectPr w:rsidR="00066ED5" w:rsidSect="002168AB">
          <w:type w:val="continuous"/>
          <w:pgSz w:w="11906" w:h="16838" w:code="9"/>
          <w:pgMar w:top="1701" w:right="1701" w:bottom="1701" w:left="1701" w:header="709" w:footer="0" w:gutter="0"/>
          <w:cols w:space="708"/>
          <w:bidi/>
          <w:rtlGutter/>
          <w:docGrid w:linePitch="360"/>
        </w:sectPr>
      </w:pPr>
    </w:p>
    <w:p w:rsidR="00E902B0" w:rsidRPr="000B182C" w:rsidRDefault="00E902B0" w:rsidP="002168AB">
      <w:pPr>
        <w:bidi w:val="0"/>
        <w:spacing w:line="276" w:lineRule="auto"/>
        <w:rPr>
          <w:rFonts w:ascii="Advpsgior" w:eastAsia="Calibri" w:hAnsi="Advpsgior" w:cs="Advpsgior"/>
        </w:rPr>
      </w:pPr>
      <w:commentRangeStart w:id="33"/>
      <w:r w:rsidRPr="003508FB">
        <w:rPr>
          <w:rFonts w:ascii="Advpsgior" w:eastAsia="Calibri" w:hAnsi="Advpsgior" w:cs="Advpsgior"/>
          <w:b/>
          <w:bCs/>
          <w:sz w:val="22"/>
          <w:szCs w:val="22"/>
        </w:rPr>
        <w:lastRenderedPageBreak/>
        <w:t>Fig.</w:t>
      </w:r>
      <w:commentRangeEnd w:id="33"/>
      <w:r w:rsidR="00225778">
        <w:rPr>
          <w:rStyle w:val="CommentReference"/>
        </w:rPr>
        <w:commentReference w:id="33"/>
      </w:r>
      <w:r w:rsidRPr="003508FB">
        <w:rPr>
          <w:rFonts w:ascii="Advpsgior" w:eastAsia="Calibri" w:hAnsi="Advpsgior" w:cs="Advpsgior"/>
          <w:b/>
          <w:bCs/>
          <w:sz w:val="22"/>
          <w:szCs w:val="22"/>
        </w:rPr>
        <w:t xml:space="preserve"> 1: The correlation between serum levels of IL-22 and CRP in RA patients.</w:t>
      </w:r>
    </w:p>
    <w:p w:rsidR="00D15ADF" w:rsidRPr="002168AB" w:rsidRDefault="00E902B0" w:rsidP="002168AB">
      <w:pPr>
        <w:autoSpaceDE w:val="0"/>
        <w:autoSpaceDN w:val="0"/>
        <w:bidi w:val="0"/>
        <w:adjustRightInd w:val="0"/>
        <w:spacing w:line="276" w:lineRule="auto"/>
        <w:ind w:firstLine="567"/>
        <w:jc w:val="both"/>
        <w:rPr>
          <w:color w:val="FF0000"/>
        </w:rPr>
      </w:pPr>
      <w:r w:rsidRPr="000B182C">
        <w:rPr>
          <w:noProof/>
          <w:color w:val="FF0000"/>
        </w:rPr>
        <w:drawing>
          <wp:inline distT="0" distB="0" distL="0" distR="0">
            <wp:extent cx="2511184" cy="2224216"/>
            <wp:effectExtent l="0" t="0" r="3810" b="508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15ADF" w:rsidRDefault="00D15ADF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Advpsgior" w:eastAsia="Calibri" w:hAnsi="Advpsgior" w:cs="Advpsgior"/>
          <w:b/>
          <w:bCs/>
          <w:sz w:val="22"/>
          <w:szCs w:val="22"/>
        </w:rPr>
      </w:pPr>
    </w:p>
    <w:p w:rsidR="00E902B0" w:rsidRPr="003508FB" w:rsidRDefault="00E902B0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b/>
          <w:bCs/>
          <w:color w:val="FF0000"/>
          <w:sz w:val="22"/>
          <w:szCs w:val="22"/>
        </w:rPr>
      </w:pPr>
      <w:commentRangeStart w:id="34"/>
      <w:r w:rsidRPr="003508FB">
        <w:rPr>
          <w:rFonts w:ascii="Advpsgior" w:eastAsia="Calibri" w:hAnsi="Advpsgior" w:cs="Advpsgior"/>
          <w:b/>
          <w:bCs/>
          <w:sz w:val="22"/>
          <w:szCs w:val="22"/>
        </w:rPr>
        <w:t>Fig</w:t>
      </w:r>
      <w:commentRangeEnd w:id="34"/>
      <w:r w:rsidR="00225778">
        <w:rPr>
          <w:rStyle w:val="CommentReference"/>
        </w:rPr>
        <w:commentReference w:id="34"/>
      </w:r>
      <w:r w:rsidRPr="003508FB">
        <w:rPr>
          <w:rFonts w:ascii="Advpsgior" w:eastAsia="Calibri" w:hAnsi="Advpsgior" w:cs="Advpsgior"/>
          <w:b/>
          <w:bCs/>
          <w:sz w:val="22"/>
          <w:szCs w:val="22"/>
        </w:rPr>
        <w:t>. 2: The correlation between serum levels of IL-22 and ACCP in RA patients.</w:t>
      </w:r>
    </w:p>
    <w:p w:rsidR="002168AB" w:rsidRDefault="00E902B0" w:rsidP="002168AB">
      <w:pPr>
        <w:autoSpaceDE w:val="0"/>
        <w:autoSpaceDN w:val="0"/>
        <w:bidi w:val="0"/>
        <w:adjustRightInd w:val="0"/>
        <w:spacing w:line="276" w:lineRule="auto"/>
        <w:ind w:firstLine="567"/>
        <w:jc w:val="both"/>
        <w:rPr>
          <w:color w:val="FF0000"/>
        </w:rPr>
      </w:pPr>
      <w:r w:rsidRPr="000B182C">
        <w:rPr>
          <w:noProof/>
          <w:color w:val="FF0000"/>
        </w:rPr>
        <w:lastRenderedPageBreak/>
        <w:drawing>
          <wp:inline distT="0" distB="0" distL="0" distR="0">
            <wp:extent cx="1928697" cy="2044390"/>
            <wp:effectExtent l="19050" t="0" r="14403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C0CA8" w:rsidRPr="002168AB" w:rsidRDefault="00CC0CA8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color w:val="FF0000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Discussion</w:t>
      </w:r>
    </w:p>
    <w:p w:rsidR="00CC0CA8" w:rsidRPr="00DC02AB" w:rsidRDefault="00CC0CA8" w:rsidP="002168AB">
      <w:pPr>
        <w:bidi w:val="0"/>
        <w:spacing w:line="276" w:lineRule="auto"/>
        <w:jc w:val="both"/>
      </w:pPr>
      <w:commentRangeStart w:id="35"/>
      <w:r w:rsidRPr="00DC02AB">
        <w:t xml:space="preserve">IL-22 has been recently suggested to be involved in the pathogenesis of autoimmune arthritis. In </w:t>
      </w:r>
      <w:commentRangeStart w:id="36"/>
      <w:r w:rsidRPr="00DC02AB">
        <w:t xml:space="preserve">our </w:t>
      </w:r>
      <w:commentRangeEnd w:id="36"/>
      <w:r w:rsidR="0065164D">
        <w:rPr>
          <w:rStyle w:val="CommentReference"/>
        </w:rPr>
        <w:commentReference w:id="36"/>
      </w:r>
      <w:r w:rsidRPr="00DC02AB">
        <w:t xml:space="preserve">study, we observed significantly elevated levels of IL-22 in serum of RA patients compared to healthy controls (p=.022). Our data are in accordance with previous reports that found elevation of IL-22 in serum </w:t>
      </w:r>
      <w:commentRangeStart w:id="37"/>
      <w:r w:rsidRPr="00DC02AB">
        <w:t>&amp;</w:t>
      </w:r>
      <w:commentRangeEnd w:id="37"/>
      <w:r w:rsidR="00225778">
        <w:rPr>
          <w:rStyle w:val="CommentReference"/>
        </w:rPr>
        <w:commentReference w:id="37"/>
      </w:r>
      <w:r w:rsidRPr="00DC02AB">
        <w:t xml:space="preserve"> plasma of patients with RA</w:t>
      </w:r>
      <w:r>
        <w:t>.</w:t>
      </w:r>
      <w:r w:rsidRPr="00DC02AB">
        <w:t xml:space="preserve"> </w:t>
      </w:r>
      <w:r w:rsidRPr="00667569">
        <w:rPr>
          <w:vertAlign w:val="superscript"/>
        </w:rPr>
        <w:t>34</w:t>
      </w:r>
      <w:r>
        <w:rPr>
          <w:vertAlign w:val="superscript"/>
        </w:rPr>
        <w:t>-</w:t>
      </w:r>
      <w:r w:rsidRPr="00667569">
        <w:rPr>
          <w:vertAlign w:val="superscript"/>
        </w:rPr>
        <w:t>37</w:t>
      </w:r>
      <w:r>
        <w:t xml:space="preserve"> </w:t>
      </w:r>
      <w:r w:rsidRPr="00DC02AB">
        <w:t>In consistent with our study, IL-22 m RNA was detected in synovial tissue directly as well as in synovial fluid mononuc</w:t>
      </w:r>
      <w:r>
        <w:t xml:space="preserve">lear cells in patients with RA. </w:t>
      </w:r>
      <w:r w:rsidRPr="00667569">
        <w:rPr>
          <w:vertAlign w:val="superscript"/>
        </w:rPr>
        <w:t>6, 37, 38</w:t>
      </w:r>
      <w:r w:rsidRPr="00DC02AB">
        <w:t xml:space="preserve"> As regard to the sources of IL-22 in humans, many studies reported that the higher frequency of peripheral IL-22</w:t>
      </w:r>
      <w:r w:rsidRPr="00667569">
        <w:rPr>
          <w:vertAlign w:val="superscript"/>
        </w:rPr>
        <w:t>+</w:t>
      </w:r>
      <w:r w:rsidRPr="00DC02AB">
        <w:t>CD4</w:t>
      </w:r>
      <w:r w:rsidRPr="00667569">
        <w:rPr>
          <w:vertAlign w:val="superscript"/>
        </w:rPr>
        <w:t>+</w:t>
      </w:r>
      <w:r w:rsidRPr="00DC02AB">
        <w:t>T cells in RA patients than those in the controls</w:t>
      </w:r>
      <w:r>
        <w:t>.</w:t>
      </w:r>
      <w:r w:rsidRPr="00667569">
        <w:rPr>
          <w:vertAlign w:val="superscript"/>
        </w:rPr>
        <w:t xml:space="preserve"> 36, 39</w:t>
      </w:r>
      <w:r w:rsidRPr="00DC02AB">
        <w:t xml:space="preserve"> Moreover, Zhoa</w:t>
      </w:r>
      <w:r>
        <w:t xml:space="preserve"> </w:t>
      </w:r>
      <w:r w:rsidRPr="00667569">
        <w:rPr>
          <w:i/>
          <w:iCs/>
        </w:rPr>
        <w:t>et al</w:t>
      </w:r>
      <w:r w:rsidRPr="00DC02AB">
        <w:t>. showed that IL-22+CD4</w:t>
      </w:r>
      <w:r w:rsidRPr="00667569">
        <w:rPr>
          <w:vertAlign w:val="superscript"/>
        </w:rPr>
        <w:t>+</w:t>
      </w:r>
      <w:r w:rsidRPr="00DC02AB">
        <w:t>T cells were correlated positively with the disease activity in RA patients and the percentage of these cells were correlated positively with the levels of plasma IL-22 in these patients</w:t>
      </w:r>
      <w:r>
        <w:t>.</w:t>
      </w:r>
      <w:r w:rsidRPr="00DC02AB">
        <w:t xml:space="preserve"> </w:t>
      </w:r>
      <w:r>
        <w:rPr>
          <w:vertAlign w:val="superscript"/>
        </w:rPr>
        <w:t>36</w:t>
      </w:r>
      <w:r w:rsidRPr="00DC02AB">
        <w:t xml:space="preserve"> Another recent study has been shown that the synovium in RA patients is infiltrated by T lymphocytes especially Th17 which is also a source of IL-22</w:t>
      </w:r>
      <w:r>
        <w:t>.</w:t>
      </w:r>
      <w:r w:rsidRPr="00DC02AB">
        <w:t xml:space="preserve"> </w:t>
      </w:r>
      <w:commentRangeEnd w:id="35"/>
      <w:r w:rsidR="0076780C">
        <w:rPr>
          <w:rStyle w:val="CommentReference"/>
        </w:rPr>
        <w:commentReference w:id="35"/>
      </w:r>
      <w:commentRangeStart w:id="38"/>
      <w:r w:rsidRPr="00667569">
        <w:rPr>
          <w:vertAlign w:val="superscript"/>
        </w:rPr>
        <w:t>40</w:t>
      </w:r>
      <w:commentRangeEnd w:id="38"/>
      <w:r w:rsidR="0076780C">
        <w:rPr>
          <w:rStyle w:val="CommentReference"/>
        </w:rPr>
        <w:commentReference w:id="38"/>
      </w:r>
    </w:p>
    <w:p w:rsidR="00CC0CA8" w:rsidRPr="00DC02AB" w:rsidRDefault="00CC0CA8" w:rsidP="002168AB">
      <w:pPr>
        <w:bidi w:val="0"/>
        <w:spacing w:line="276" w:lineRule="auto"/>
        <w:ind w:firstLine="720"/>
        <w:jc w:val="both"/>
      </w:pPr>
      <w:commentRangeStart w:id="39"/>
      <w:r w:rsidRPr="00DC02AB">
        <w:t xml:space="preserve">Correlation analysis revealed that a significant positive correlations between levels of serum IL-22 and CRP </w:t>
      </w:r>
      <w:commentRangeStart w:id="40"/>
      <w:r w:rsidRPr="00DC02AB">
        <w:t>&amp;</w:t>
      </w:r>
      <w:commentRangeEnd w:id="40"/>
      <w:r w:rsidR="00225778">
        <w:rPr>
          <w:rStyle w:val="CommentReference"/>
        </w:rPr>
        <w:commentReference w:id="40"/>
      </w:r>
      <w:r w:rsidRPr="00DC02AB">
        <w:t xml:space="preserve"> ACCP antibodies (rho= =.04</w:t>
      </w:r>
      <w:r>
        <w:t>16</w:t>
      </w:r>
      <w:r w:rsidRPr="00DC02AB">
        <w:t>, p=.00</w:t>
      </w:r>
      <w:r>
        <w:t>4</w:t>
      </w:r>
      <w:r w:rsidRPr="00DC02AB">
        <w:t xml:space="preserve"> &amp; rho=.</w:t>
      </w:r>
      <w:r>
        <w:t>559</w:t>
      </w:r>
      <w:r w:rsidRPr="00DC02AB">
        <w:t>,</w:t>
      </w:r>
      <w:r>
        <w:t xml:space="preserve"> </w:t>
      </w:r>
      <w:r w:rsidRPr="00DC02AB">
        <w:t>p=.</w:t>
      </w:r>
      <w:r>
        <w:t>000</w:t>
      </w:r>
      <w:r w:rsidRPr="00DC02AB">
        <w:t xml:space="preserve">, respectively). In line with </w:t>
      </w:r>
      <w:commentRangeStart w:id="41"/>
      <w:r w:rsidRPr="00DC02AB">
        <w:t>our</w:t>
      </w:r>
      <w:commentRangeEnd w:id="41"/>
      <w:r w:rsidR="0065164D">
        <w:rPr>
          <w:rStyle w:val="CommentReference"/>
        </w:rPr>
        <w:commentReference w:id="41"/>
      </w:r>
      <w:r w:rsidRPr="00DC02AB">
        <w:t xml:space="preserve"> result, kim</w:t>
      </w:r>
      <w:r>
        <w:t xml:space="preserve"> </w:t>
      </w:r>
      <w:r w:rsidRPr="00667569">
        <w:rPr>
          <w:i/>
          <w:iCs/>
        </w:rPr>
        <w:t>et al</w:t>
      </w:r>
      <w:r w:rsidRPr="00DC02AB">
        <w:t xml:space="preserve"> 2011 found a significant association between serum IL-22 and ACCP antibodies</w:t>
      </w:r>
      <w:r>
        <w:t>.</w:t>
      </w:r>
      <w:r w:rsidRPr="00DC02AB">
        <w:t xml:space="preserve"> </w:t>
      </w:r>
      <w:r w:rsidRPr="00667569">
        <w:rPr>
          <w:vertAlign w:val="superscript"/>
        </w:rPr>
        <w:t>37</w:t>
      </w:r>
      <w:r w:rsidRPr="00DC02AB">
        <w:t xml:space="preserve"> Of potential implication, the strong association of elevated serum IL-22 with the more specific serologic marker,</w:t>
      </w:r>
      <w:r>
        <w:t xml:space="preserve"> </w:t>
      </w:r>
      <w:r w:rsidRPr="00DC02AB">
        <w:t>ACCP antibodies.</w:t>
      </w:r>
      <w:r>
        <w:t xml:space="preserve"> I</w:t>
      </w:r>
      <w:r w:rsidRPr="00DC02AB">
        <w:t>n addition, many recent studies reported that IL-22 has been involved in joint destruction in RA</w:t>
      </w:r>
      <w:r>
        <w:t>,</w:t>
      </w:r>
      <w:r w:rsidRPr="00DC02AB">
        <w:t xml:space="preserve"> </w:t>
      </w:r>
      <w:r w:rsidRPr="003C0D3B">
        <w:rPr>
          <w:vertAlign w:val="superscript"/>
        </w:rPr>
        <w:t>27, 34, 35</w:t>
      </w:r>
      <w:r w:rsidRPr="00DC02AB">
        <w:t xml:space="preserve"> thus, determination of ACCP antibodies &amp; IL-22 levels may provide a novel means for predicting aggressive disease in these patients. Regarding to the correlation between IL-22 levels and RF in RA patients, </w:t>
      </w:r>
      <w:commentRangeStart w:id="42"/>
      <w:r w:rsidRPr="00DC02AB">
        <w:t>our</w:t>
      </w:r>
      <w:commentRangeEnd w:id="42"/>
      <w:r w:rsidR="0065164D">
        <w:rPr>
          <w:rStyle w:val="CommentReference"/>
        </w:rPr>
        <w:commentReference w:id="42"/>
      </w:r>
      <w:r w:rsidRPr="00DC02AB">
        <w:t xml:space="preserve"> study showed no significant association between them, however, some previous studiesdemonstrated a positive correlation between them</w:t>
      </w:r>
      <w:r>
        <w:t>.</w:t>
      </w:r>
      <w:r w:rsidRPr="00DC02AB">
        <w:t xml:space="preserve"> </w:t>
      </w:r>
      <w:r w:rsidRPr="003C0D3B">
        <w:rPr>
          <w:vertAlign w:val="superscript"/>
        </w:rPr>
        <w:t>36, 37</w:t>
      </w:r>
      <w:r w:rsidRPr="00DC02AB">
        <w:t xml:space="preserve"> While we did not find any previous study about the correlation between IL-22 and </w:t>
      </w:r>
      <w:commentRangeEnd w:id="39"/>
      <w:r w:rsidR="0076780C">
        <w:rPr>
          <w:rStyle w:val="CommentReference"/>
        </w:rPr>
        <w:commentReference w:id="39"/>
      </w:r>
      <w:r w:rsidRPr="00DC02AB">
        <w:t>CRP.</w:t>
      </w:r>
    </w:p>
    <w:p w:rsidR="00CC0CA8" w:rsidRPr="00DC02AB" w:rsidRDefault="00CC0CA8" w:rsidP="002168AB">
      <w:pPr>
        <w:bidi w:val="0"/>
        <w:spacing w:line="276" w:lineRule="auto"/>
        <w:ind w:firstLine="720"/>
        <w:jc w:val="both"/>
      </w:pPr>
      <w:r w:rsidRPr="00DC02AB">
        <w:t>To our knowledge, there is no report available on the correlation between IL-22 and the individual nor clinical data in RA. In our study, there is no correlations between serum IL-22 and demographic nor clinical data of our patients. In line with our observation, disease activity in IL-22 knockout mice of collagen-induced arthritis did not differ from that of their wild-type littermates</w:t>
      </w:r>
      <w:r>
        <w:t>.</w:t>
      </w:r>
      <w:r w:rsidRPr="00DC02AB">
        <w:t xml:space="preserve"> </w:t>
      </w:r>
      <w:r w:rsidRPr="003C0D3B">
        <w:rPr>
          <w:vertAlign w:val="superscript"/>
        </w:rPr>
        <w:t>27</w:t>
      </w:r>
      <w:r w:rsidRPr="00DC02AB">
        <w:t xml:space="preserve"> In addition, recent study between high and normal levels of serum IL-22 in early untreated RA patients showed no differences in the clinical inflammatory parameters of the two groups of patients, although these studies showed an association between serum IL-22 levels &amp; bone erosin</w:t>
      </w:r>
      <w:r>
        <w:t>.</w:t>
      </w:r>
      <w:r>
        <w:rPr>
          <w:vertAlign w:val="superscript"/>
        </w:rPr>
        <w:t xml:space="preserve"> </w:t>
      </w:r>
      <w:r w:rsidRPr="003C0D3B">
        <w:rPr>
          <w:vertAlign w:val="superscript"/>
        </w:rPr>
        <w:t>34, 27</w:t>
      </w:r>
      <w:r w:rsidRPr="00DC02AB">
        <w:t xml:space="preserve"> On the other hand, previous study on patients with RA have been a correlation between levels of Il-22 and disease activity or severity</w:t>
      </w:r>
      <w:r>
        <w:t>.</w:t>
      </w:r>
      <w:r w:rsidRPr="00DC02AB">
        <w:t xml:space="preserve"> </w:t>
      </w:r>
      <w:commentRangeStart w:id="43"/>
      <w:r w:rsidRPr="003C0D3B">
        <w:rPr>
          <w:vertAlign w:val="superscript"/>
        </w:rPr>
        <w:t>35</w:t>
      </w:r>
      <w:commentRangeEnd w:id="43"/>
      <w:r w:rsidR="0076780C">
        <w:rPr>
          <w:rStyle w:val="CommentReference"/>
        </w:rPr>
        <w:commentReference w:id="43"/>
      </w:r>
      <w:r w:rsidRPr="00DC02AB">
        <w:t xml:space="preserve"> However, recent an experimental study has been shown that synovial inflammation was not </w:t>
      </w:r>
      <w:r>
        <w:t>a</w:t>
      </w:r>
      <w:r w:rsidRPr="00DC02AB">
        <w:t xml:space="preserve">ffected in </w:t>
      </w:r>
      <w:r w:rsidRPr="00DC02AB">
        <w:lastRenderedPageBreak/>
        <w:t>IL-22-/- mice and this study conclude</w:t>
      </w:r>
      <w:r>
        <w:t>s</w:t>
      </w:r>
      <w:r w:rsidRPr="00DC02AB">
        <w:t xml:space="preserve"> that the local IL-22 produced by adaptive or innate immune cell have no direct contribution to the induction of T cell-mediated synovial inflammation</w:t>
      </w:r>
      <w:r>
        <w:t>.</w:t>
      </w:r>
      <w:r w:rsidRPr="00DC02AB">
        <w:t xml:space="preserve"> </w:t>
      </w:r>
      <w:commentRangeStart w:id="44"/>
      <w:r w:rsidRPr="003C0D3B">
        <w:rPr>
          <w:vertAlign w:val="superscript"/>
        </w:rPr>
        <w:t>29</w:t>
      </w:r>
      <w:commentRangeEnd w:id="44"/>
      <w:r w:rsidR="0076780C">
        <w:rPr>
          <w:rStyle w:val="CommentReference"/>
        </w:rPr>
        <w:commentReference w:id="44"/>
      </w:r>
      <w:r w:rsidRPr="00DC02AB">
        <w:t xml:space="preserve"> Many studies suggest that the possible explanation for these differences is depending on different phases of the disease development</w:t>
      </w:r>
      <w:r>
        <w:t>.</w:t>
      </w:r>
      <w:r w:rsidRPr="00DC02AB">
        <w:t xml:space="preserve"> </w:t>
      </w:r>
      <w:r w:rsidRPr="003C0D3B">
        <w:rPr>
          <w:vertAlign w:val="superscript"/>
        </w:rPr>
        <w:t>29, 30, 4</w:t>
      </w:r>
      <w:r>
        <w:rPr>
          <w:vertAlign w:val="superscript"/>
        </w:rPr>
        <w:t>1</w:t>
      </w:r>
    </w:p>
    <w:p w:rsidR="00CC0CA8" w:rsidRPr="00EC70B0" w:rsidRDefault="00EC70B0" w:rsidP="002168AB">
      <w:pPr>
        <w:bidi w:val="0"/>
        <w:spacing w:line="276" w:lineRule="auto"/>
        <w:jc w:val="both"/>
        <w:rPr>
          <w:b/>
          <w:bCs/>
        </w:rPr>
      </w:pPr>
      <w:r>
        <w:rPr>
          <w:b/>
          <w:bCs/>
        </w:rPr>
        <w:t>Conclusion</w:t>
      </w:r>
    </w:p>
    <w:p w:rsidR="002168AB" w:rsidRDefault="00CC0CA8" w:rsidP="002168AB">
      <w:pPr>
        <w:bidi w:val="0"/>
        <w:spacing w:line="276" w:lineRule="auto"/>
        <w:jc w:val="both"/>
      </w:pPr>
      <w:commentRangeStart w:id="45"/>
      <w:r w:rsidRPr="00DC02AB">
        <w:t xml:space="preserve">In conclusion, </w:t>
      </w:r>
      <w:commentRangeStart w:id="46"/>
      <w:r w:rsidRPr="00DC02AB">
        <w:t>our</w:t>
      </w:r>
      <w:commentRangeEnd w:id="46"/>
      <w:r w:rsidR="0065164D">
        <w:rPr>
          <w:rStyle w:val="CommentReference"/>
        </w:rPr>
        <w:commentReference w:id="46"/>
      </w:r>
      <w:r w:rsidRPr="00DC02AB">
        <w:t xml:space="preserve"> data indicated high levels of IL-22 in RA patients </w:t>
      </w:r>
      <w:commentRangeStart w:id="47"/>
      <w:r w:rsidRPr="00DC02AB">
        <w:t>&amp;</w:t>
      </w:r>
      <w:commentRangeEnd w:id="47"/>
      <w:r w:rsidR="00225778">
        <w:rPr>
          <w:rStyle w:val="CommentReference"/>
        </w:rPr>
        <w:commentReference w:id="47"/>
      </w:r>
      <w:r w:rsidRPr="00DC02AB">
        <w:t xml:space="preserve"> that the strong association with ACCP antibodies suggest the potential of IL-22 </w:t>
      </w:r>
      <w:commentRangeStart w:id="48"/>
      <w:r w:rsidRPr="00DC02AB">
        <w:t xml:space="preserve">&amp; </w:t>
      </w:r>
      <w:commentRangeEnd w:id="48"/>
      <w:r w:rsidR="00225778">
        <w:rPr>
          <w:rStyle w:val="CommentReference"/>
        </w:rPr>
        <w:commentReference w:id="48"/>
      </w:r>
      <w:r w:rsidRPr="00DC02AB">
        <w:t xml:space="preserve">ACCP antibodies levels as predictive markers in this disease. It is also of  interest that as immune cells do not express IL-22, targeting </w:t>
      </w:r>
      <w:commentRangeEnd w:id="45"/>
      <w:r w:rsidR="0076780C">
        <w:rPr>
          <w:rStyle w:val="CommentReference"/>
        </w:rPr>
        <w:commentReference w:id="45"/>
      </w:r>
      <w:r w:rsidRPr="00DC02AB">
        <w:t xml:space="preserve">IL-22 </w:t>
      </w:r>
      <w:commentRangeStart w:id="49"/>
      <w:r w:rsidRPr="00DC02AB">
        <w:t xml:space="preserve">&amp; </w:t>
      </w:r>
      <w:commentRangeEnd w:id="49"/>
      <w:r w:rsidR="00225778">
        <w:rPr>
          <w:rStyle w:val="CommentReference"/>
        </w:rPr>
        <w:commentReference w:id="49"/>
      </w:r>
      <w:r w:rsidRPr="00DC02AB">
        <w:t>related signaling may be an effective therapeuticapproach for treating autoimmune RA</w:t>
      </w:r>
      <w:r>
        <w:t>.</w:t>
      </w:r>
      <w:r w:rsidR="00225778">
        <w:t xml:space="preserve"> </w:t>
      </w:r>
    </w:p>
    <w:p w:rsidR="0076780C" w:rsidRPr="00423039" w:rsidRDefault="0076780C" w:rsidP="0076780C">
      <w:pPr>
        <w:rPr>
          <w:rFonts w:ascii="Bookman Old Style" w:hAnsi="Bookman Old Style"/>
          <w:b/>
        </w:rPr>
      </w:pPr>
      <w:commentRangeStart w:id="50"/>
      <w:r w:rsidRPr="00423039">
        <w:rPr>
          <w:rFonts w:ascii="Bookman Old Style" w:hAnsi="Bookman Old Style"/>
          <w:b/>
          <w:highlight w:val="yellow"/>
        </w:rPr>
        <w:t>Conflict of i</w:t>
      </w:r>
      <w:commentRangeEnd w:id="50"/>
      <w:r>
        <w:rPr>
          <w:rStyle w:val="CommentReference"/>
        </w:rPr>
        <w:commentReference w:id="50"/>
      </w:r>
      <w:r w:rsidRPr="00423039">
        <w:rPr>
          <w:rFonts w:ascii="Bookman Old Style" w:hAnsi="Bookman Old Style"/>
          <w:b/>
          <w:highlight w:val="yellow"/>
        </w:rPr>
        <w:t>nterest</w:t>
      </w:r>
    </w:p>
    <w:p w:rsidR="0076780C" w:rsidRPr="002168AB" w:rsidRDefault="0076780C" w:rsidP="0076780C">
      <w:pPr>
        <w:bidi w:val="0"/>
        <w:spacing w:line="276" w:lineRule="auto"/>
        <w:jc w:val="both"/>
      </w:pPr>
    </w:p>
    <w:p w:rsidR="00EC70B0" w:rsidRDefault="00DC02AB" w:rsidP="002168AB">
      <w:pPr>
        <w:bidi w:val="0"/>
        <w:spacing w:line="276" w:lineRule="auto"/>
        <w:rPr>
          <w:b/>
          <w:bCs/>
        </w:rPr>
      </w:pPr>
      <w:commentRangeStart w:id="51"/>
      <w:r>
        <w:rPr>
          <w:b/>
          <w:bCs/>
        </w:rPr>
        <w:t>Refer</w:t>
      </w:r>
      <w:r w:rsidR="00E07C18">
        <w:rPr>
          <w:b/>
          <w:bCs/>
        </w:rPr>
        <w:t>e</w:t>
      </w:r>
      <w:r>
        <w:rPr>
          <w:b/>
          <w:bCs/>
        </w:rPr>
        <w:t>nce</w:t>
      </w:r>
      <w:r w:rsidR="003C0D3B">
        <w:rPr>
          <w:b/>
          <w:bCs/>
        </w:rPr>
        <w:t>s</w:t>
      </w:r>
      <w:commentRangeEnd w:id="51"/>
      <w:r w:rsidR="00225778">
        <w:rPr>
          <w:rStyle w:val="CommentReference"/>
        </w:rPr>
        <w:commentReference w:id="51"/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McInnes IB Shett G. Mechanisms of Diseases: The pathogenesis of Rheumatoid Arthritis. E New England and Journal of Medicine 2011; 365:2205-19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Christodoulou C, Choy EH: Joint inflammation and cytokine inhibition in rheumatoid arthritis. ClinExp Med 2006; 6: 13-9.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Wolk K, Sabat R. Interleukin-22: A novel T- and NK-cell derived cytokine that regulates the biology of tissue cells. Cytokine Growth Factor Rev 2006;7:367-80.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Zenewicz LA, Flavell RA. Recent advances in IL-22 biology. IntImmunol 2011; 23: 159-63.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Wolk K, Witte E, Witte K, Warszawska K, Sabat R: Biology of interleukin-22. SeminImmunopathol 2010; 32: 17-31.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 xml:space="preserve">Ikeuchi H, Kuroiwa T, Hiramatsu N, Kaneko Y, Hiromura K, Ueki K, </w:t>
      </w:r>
      <w:r w:rsidRPr="0060458F">
        <w:rPr>
          <w:rFonts w:asciiTheme="majorBidi" w:hAnsiTheme="majorBidi" w:cstheme="majorBidi"/>
          <w:i/>
          <w:iCs/>
          <w:sz w:val="22"/>
          <w:szCs w:val="22"/>
        </w:rPr>
        <w:t>et al</w:t>
      </w:r>
      <w:r w:rsidRPr="0060458F">
        <w:rPr>
          <w:rFonts w:asciiTheme="majorBidi" w:hAnsiTheme="majorBidi" w:cstheme="majorBidi"/>
          <w:sz w:val="22"/>
          <w:szCs w:val="22"/>
        </w:rPr>
        <w:t>. Expression of IL-22 in RA: Potential role as a proinflammatory cytokine. Arthritis Rheum 2005;52:1037-46.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Wolk K, Kunz S, Asadullah K, Sabat R. Cutting edge: immune cells as sources and targets of the IL-10 family members? J. Immunol. 2002; 5168: 97.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eastAsiaTheme="minorHAns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Kondo T, Takata H, Matsuki F, Takiguchi M. Cutting edge: phenotypic characterization and differentiation of human CD8</w:t>
      </w:r>
      <w:r w:rsidRPr="0060458F">
        <w:rPr>
          <w:rFonts w:asciiTheme="majorBidi" w:eastAsiaTheme="minorHAnsi" w:hAnsiTheme="majorBidi" w:cstheme="majorBidi"/>
          <w:sz w:val="22"/>
          <w:szCs w:val="22"/>
          <w:vertAlign w:val="superscript"/>
        </w:rPr>
        <w:t>+</w:t>
      </w:r>
      <w:r w:rsidRPr="0060458F">
        <w:rPr>
          <w:rFonts w:asciiTheme="majorBidi" w:eastAsiaTheme="minorHAnsi" w:hAnsiTheme="majorBidi" w:cstheme="majorBidi"/>
          <w:sz w:val="22"/>
          <w:szCs w:val="22"/>
        </w:rPr>
        <w:t xml:space="preserve"> T cells producing IL-17. J Immunol2009; 182:1794-8.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  <w:rtl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Ortega C, Fernandez AS, Carrillo JM, Romero P, Molina IJ, Moreno JC, Santamaria M. IL-17-producing CD8+ T lymphocytes from psoriasis skin plaques are cytotoxic effector cells that secrete Th17-related cytokines. J LeukoBiolo2009; 86:435-43.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Ness-Schwickerath KJ, Jin C, Morita CT. Cytokine requirements for the differentiation and expansion of IL-17A- and IL-22-producing human Vγδ2Vδ2 T cells. J Immunol2010; 184:7268-80.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eastAsiaTheme="minorHAns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Nograles KE, Zaba LC, Shemer A, Fuentes-Duculan J, Cardinale I, Kikuchi T, et al. IL-22-producing “T22” T cells account for upregulated IL-22 in atopic dermatitis despite reduced IL-17-producing TH17 T cells. J Allergy ClinImmunol 2009;123(6):1244–52.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Hughes T, Becknell B, Freud AG, McClory S, Briercheck E, Yu J, Mao C, Giovenzana C, Nuovo G, Wei L et al. Interleukin-1beta selectively expands and sustains interleukin-22+ immature human natural killer cells in secondary lymphoid tissue. Immunity 2010; 32:803-14.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Crellin NK, Trifari S, Kaplan CD, Cupedo T, Spits H. Human NKp44+IL-22+ cells and LTi-like cells constitute a stable RORC+ lineage distinct from conventional natural killer cells. J Exp Med 2010; 207:281-90.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eastAsiaTheme="minorHAns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Cupedo, T., Crellin, N. K., Papazian, N. et al. Human fetal lymphoid tissue-inducer cells are interleukin 17-producing precursors to RORC+ CD127+ natural killer-like cells. Nat. Immunol2009;10:66.</w:t>
      </w:r>
    </w:p>
    <w:p w:rsidR="00FE29DF" w:rsidRPr="0060458F" w:rsidRDefault="00FE29DF" w:rsidP="002168AB">
      <w:pPr>
        <w:pStyle w:val="Style1"/>
        <w:numPr>
          <w:ilvl w:val="0"/>
          <w:numId w:val="4"/>
        </w:numPr>
        <w:spacing w:line="276" w:lineRule="auto"/>
        <w:ind w:left="90"/>
      </w:pPr>
      <w:r w:rsidRPr="0060458F">
        <w:t>Wolk K, Kunz S, Witte E, Friedrich M, Asadullah K, Sabat R. IL-22 increases the innate immunity of tissues. Immunity 2004; 21: 241-54.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eastAsiaTheme="minorHAns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Pickert G, Neufert C, LeppkesM</w:t>
      </w:r>
      <w:r w:rsidRPr="0060458F">
        <w:rPr>
          <w:rFonts w:asciiTheme="majorBidi" w:eastAsiaTheme="minorHAnsi" w:hAnsiTheme="majorBidi" w:cstheme="majorBidi"/>
          <w:i/>
          <w:iCs/>
          <w:sz w:val="22"/>
          <w:szCs w:val="22"/>
        </w:rPr>
        <w:t>et al</w:t>
      </w:r>
      <w:r w:rsidRPr="0060458F">
        <w:rPr>
          <w:rFonts w:asciiTheme="majorBidi" w:eastAsiaTheme="minorHAnsi" w:hAnsiTheme="majorBidi" w:cstheme="majorBidi"/>
          <w:sz w:val="22"/>
          <w:szCs w:val="22"/>
        </w:rPr>
        <w:t>. STAT3 links IL-22 signaling in intestinal epithelial cells to mucosal wound healing. J. Exp. Med. 2009; 206:1465.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eastAsiaTheme="minorHAns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lastRenderedPageBreak/>
        <w:t>Eyerich S, Wagener J, Wenzel V, Scarponi C, Pennino D, Albanesi C, Schaller M, Behrendt H, Ring J, Schmidt-Weber CB, Cavani A, Mempel M, Traidl-Hoffmann C, Eyerich K: IL-22 and TNF-α represent a key cytokine combination for epidermal integrity during infection with candida albicans. Eur J Immunol 2011, 41:1894-901.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Radaeva S, Sun R, Pan HN, Hong F, Gao B. IL-22 plays a protective role in T cell-mediated murine hepatitis: IL-22 is a survival factor for hepatocytes via STAT3 activation. Hepatology 2004; 39: 1332.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 xml:space="preserve">Xie HM, AggarwalS, HO WH, Foster G, Zhaing Z, Stinson G, Wood WA, Goderd AD, Jurney AL. IL-22 a novel human cytokines that signals through the interferon receptor-related proteins CRF2-4 and IL-22R, J BiolChem 2000;275:31335-39 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Dumoutier L, Van Roost E, Colau D, Renauld JC (2000) Human interleukin-10-related T cell-derived inducible factor: molecular cloning and functional characterization as an hepatocyte-stimulating factor. ProcNatlAcadSci USA 97:10144–10149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Kotenko SV, Izotova LS, Mirochnitchenko OV, Esterova E, Dickensheets H, Donnelly RP, Pestka S (2001) Identification of the functional interleukin-22 (IL-22) receptor complex: the IL-10R2 chain (IL-10Rbeta) is a common chain of both the IL-10 and IL-22 (IL-10-related T cell-derived inducible factor, IL-TIF) receptor complexes. J BiolChem 276:2725–2732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Kunz S, Wolk K, Witte E, Witte K, Doecke WD, Volk HD, Sterry W, Asadullah K, Sabat R. Interleukin (IL)-19, IL-20 and IL-24 are produced by and act on keratinocytes and are distinct from classical ILs. ExpDermatol2006;15:991–100.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Wolk K, Kunz S, Witte E, Friedrich M, Asadullah K, Sabat R (2004) IL-22 increases the innate immunity of tissues. Immunity 21:241–254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 xml:space="preserve">Takatori H, kanno WT </w:t>
      </w:r>
      <w:r w:rsidRPr="0060458F">
        <w:rPr>
          <w:rFonts w:asciiTheme="majorBidi" w:hAnsiTheme="majorBidi" w:cstheme="majorBidi"/>
          <w:i/>
          <w:iCs/>
          <w:sz w:val="22"/>
          <w:szCs w:val="22"/>
        </w:rPr>
        <w:t>et al.</w:t>
      </w:r>
      <w:r w:rsidRPr="0060458F">
        <w:rPr>
          <w:rFonts w:asciiTheme="majorBidi" w:hAnsiTheme="majorBidi" w:cstheme="majorBidi"/>
          <w:sz w:val="22"/>
          <w:szCs w:val="22"/>
        </w:rPr>
        <w:t xml:space="preserve"> Lymphoid inducer-like cells are an innate source of IL-17 and IL-22.  JExpMed 2009;206:35.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eastAsiaTheme="minorHAns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TrifariS,KaplanCD, Tran EH, CrellinNK, SpitsH. Identification of a human helper T cell population that has abundant production of IL-22 and is distinct from T(H)-17, T(H)1 and T(H)2 cells. Nat Immunol 2009;10(8):864–71.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 xml:space="preserve">Ratsep R, Kingo K, Karelson M,  </w:t>
      </w:r>
      <w:r w:rsidRPr="0060458F">
        <w:rPr>
          <w:rFonts w:asciiTheme="majorBidi" w:hAnsiTheme="majorBidi" w:cstheme="majorBidi"/>
          <w:i/>
          <w:iCs/>
          <w:sz w:val="22"/>
          <w:szCs w:val="22"/>
        </w:rPr>
        <w:t>et al</w:t>
      </w:r>
      <w:r w:rsidRPr="0060458F">
        <w:rPr>
          <w:rFonts w:asciiTheme="majorBidi" w:hAnsiTheme="majorBidi" w:cstheme="majorBidi"/>
          <w:sz w:val="22"/>
          <w:szCs w:val="22"/>
        </w:rPr>
        <w:t>. Gene expression study of IL10 family genes in vitiligo skin biopsies, peripheral blood mononuclear cells and sera. Br J Dermatol 2008; 159: 1275-81.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 xml:space="preserve">Geboes L, Dumoutier L, Kelchtermans H, Schurgers E, Mitera T, Renauld JC, </w:t>
      </w:r>
      <w:r w:rsidRPr="0060458F">
        <w:rPr>
          <w:rFonts w:asciiTheme="majorBidi" w:hAnsiTheme="majorBidi" w:cstheme="majorBidi"/>
          <w:i/>
          <w:iCs/>
          <w:sz w:val="22"/>
          <w:szCs w:val="22"/>
        </w:rPr>
        <w:t>et al.</w:t>
      </w:r>
      <w:r w:rsidRPr="0060458F">
        <w:rPr>
          <w:rFonts w:asciiTheme="majorBidi" w:hAnsiTheme="majorBidi" w:cstheme="majorBidi"/>
          <w:sz w:val="22"/>
          <w:szCs w:val="22"/>
        </w:rPr>
        <w:t>Proinflammatory role of the Th17 cytokine IL-22 in collagen-induced arthritis in C57BL/6 mice. Arthritis Rheum 2009;60:390-5.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Lejeune D, Dumoutier L,  Constantinescu S, Kruijer W,  Schuringa JJ,  Renauld JC. IL-22 activates the JAK/STAT, ERK, JNK, and p38 MAP kinase pathways in a rat hepatoma cell line. Pathways that are shared with and distinct from IL-10. J. Biol. Chem. 2002; 33277: 33676.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outlineLvl w:val="1"/>
        <w:rPr>
          <w:rFonts w:asciiTheme="majorBidi" w:eastAsiaTheme="minorHAns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 xml:space="preserve">SarkarS, Zhou X, Justa S </w:t>
      </w:r>
      <w:r w:rsidRPr="0060458F">
        <w:rPr>
          <w:rFonts w:asciiTheme="majorBidi" w:hAnsiTheme="majorBidi" w:cstheme="majorBidi"/>
          <w:i/>
          <w:iCs/>
          <w:sz w:val="22"/>
          <w:szCs w:val="22"/>
        </w:rPr>
        <w:t xml:space="preserve">et al. </w:t>
      </w:r>
      <w:r w:rsidRPr="0060458F">
        <w:rPr>
          <w:rFonts w:asciiTheme="majorBidi" w:hAnsiTheme="majorBidi" w:cstheme="majorBidi"/>
          <w:sz w:val="22"/>
          <w:szCs w:val="22"/>
        </w:rPr>
        <w:t>Interleukin-22 reduces the severity of collagen-induced arthritis in association with increased levels of IL-10. Arthritis Rheum 2013; 66: 950-71.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Carrion M, Juarranz Y, Martinez C, Gonzalez-A´lvaro I, PablosJ,Gutie´rrez-Can˜asI,  and Gomariz RP. IL-22/IL-22R1 axis and S100A8/A9 alarmins in human osteoarthritic and rheumatoid arthritis synovial Fibroblasts. Rheumatology 2013; 52:2177-2186</w:t>
      </w:r>
      <w:r w:rsidRPr="0060458F">
        <w:rPr>
          <w:rFonts w:asciiTheme="majorBidi" w:hAnsiTheme="majorBidi" w:cstheme="majorBidi"/>
          <w:sz w:val="22"/>
          <w:szCs w:val="22"/>
        </w:rPr>
        <w:t xml:space="preserve">. 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Kim KW, Kim HR, Park JY et al. IL-22 promotes osteoclastogenesis in rheumatoid arthritis through induction of RANKL in human synovial fibroblasts. Arthritis Rheum 2012;64:1015-23.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 xml:space="preserve">Arnett FC, Edworthy SM, Bloch DA, McShane DJ, Fries JF, Cooper NS, </w:t>
      </w:r>
      <w:r w:rsidRPr="0060458F">
        <w:rPr>
          <w:rFonts w:asciiTheme="majorBidi" w:hAnsiTheme="majorBidi" w:cstheme="majorBidi"/>
          <w:i/>
          <w:iCs/>
          <w:sz w:val="22"/>
          <w:szCs w:val="22"/>
        </w:rPr>
        <w:t>et al.</w:t>
      </w:r>
      <w:r w:rsidRPr="0060458F">
        <w:rPr>
          <w:rFonts w:asciiTheme="majorBidi" w:hAnsiTheme="majorBidi" w:cstheme="majorBidi"/>
          <w:sz w:val="22"/>
          <w:szCs w:val="22"/>
        </w:rPr>
        <w:t xml:space="preserve"> The American Rheumatism Association 1987 revised criteria for the classification of rheumatoid arthritis. Arthritis Rheum. 1988; 31: 315–24.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Fagerland MW, Sandvik L. Performance of two-sample location tests for skewed distributions with unequal variances. ContempClin Trials 2009;30: 490–496.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 xml:space="preserve">Leipe J, Schramm MA, Grunke M, Baeuerle M, Dechant C, Nigg AP, </w:t>
      </w:r>
      <w:r w:rsidRPr="0060458F">
        <w:rPr>
          <w:rFonts w:asciiTheme="majorBidi" w:hAnsiTheme="majorBidi" w:cstheme="majorBidi"/>
          <w:i/>
          <w:iCs/>
          <w:sz w:val="22"/>
          <w:szCs w:val="22"/>
        </w:rPr>
        <w:t>et al</w:t>
      </w:r>
      <w:r w:rsidRPr="0060458F">
        <w:rPr>
          <w:rFonts w:asciiTheme="majorBidi" w:hAnsiTheme="majorBidi" w:cstheme="majorBidi"/>
          <w:sz w:val="22"/>
          <w:szCs w:val="22"/>
        </w:rPr>
        <w:t xml:space="preserve">. IL 22 serum levels are associated with radiographic progression in rheumatoid arthritis. Annals of the Rheumatic Diseases </w:t>
      </w:r>
      <w:bookmarkStart w:id="52" w:name="_GoBack"/>
      <w:bookmarkEnd w:id="52"/>
      <w:r w:rsidRPr="0060458F">
        <w:rPr>
          <w:rFonts w:asciiTheme="majorBidi" w:hAnsiTheme="majorBidi" w:cstheme="majorBidi"/>
          <w:sz w:val="22"/>
          <w:szCs w:val="22"/>
        </w:rPr>
        <w:t xml:space="preserve">2011; 70: 1453–1457. 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bidi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lastRenderedPageBreak/>
        <w:t xml:space="preserve">da Rocha Jr LF, Duarte AL, Dantas AT, Mariz HA, Pitta ID, Galdino SL, </w:t>
      </w:r>
      <w:r w:rsidRPr="0060458F">
        <w:rPr>
          <w:rFonts w:asciiTheme="majorBidi" w:hAnsiTheme="majorBidi" w:cstheme="majorBidi"/>
          <w:i/>
          <w:iCs/>
          <w:sz w:val="22"/>
          <w:szCs w:val="22"/>
        </w:rPr>
        <w:t>et al.</w:t>
      </w:r>
      <w:r w:rsidRPr="0060458F">
        <w:rPr>
          <w:rFonts w:asciiTheme="majorBidi" w:hAnsiTheme="majorBidi" w:cstheme="majorBidi"/>
          <w:sz w:val="22"/>
          <w:szCs w:val="22"/>
        </w:rPr>
        <w:t xml:space="preserve"> Increased serum IL-22 in patients with RA and correlation with disease activity. Journal of Rheumatology 2012; 39(7): 1320-5.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eastAsiaTheme="minorHAnsi" w:hAnsiTheme="majorBidi" w:cstheme="majorBidi"/>
          <w:sz w:val="22"/>
          <w:szCs w:val="22"/>
        </w:rPr>
        <w:t>Zhoa L, Jiang Z, Jiang Y, Ning MA, Zhang Y, Feng L and Wang K.IL-22+CD4+ T cells in patients with RA. International Journal of Rheumatic Diseases 2013; 16: 518-26.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Kim S, Han S, Withers DR, Gaspal F, Bae J, Baik S, Shin HC, Kim KS, Bekiaris V, Anderson G et al (2011) CD117 CD3 CD56 OX40Lhigh cells express IL-22 and display an LTi phenotype in human secondary lymphoid tissues. Eur J Immunol 41:1563–1572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 xml:space="preserve">CascaoR, Moura RA, Perpetuo I </w:t>
      </w:r>
      <w:r w:rsidRPr="0060458F">
        <w:rPr>
          <w:rFonts w:asciiTheme="majorBidi" w:hAnsiTheme="majorBidi" w:cstheme="majorBidi"/>
          <w:i/>
          <w:iCs/>
          <w:sz w:val="22"/>
          <w:szCs w:val="22"/>
        </w:rPr>
        <w:t xml:space="preserve"> et al. </w:t>
      </w:r>
      <w:r w:rsidRPr="0060458F">
        <w:rPr>
          <w:rFonts w:asciiTheme="majorBidi" w:hAnsiTheme="majorBidi" w:cstheme="majorBidi"/>
          <w:sz w:val="22"/>
          <w:szCs w:val="22"/>
        </w:rPr>
        <w:t xml:space="preserve"> Identification of a cytokine network sustaining neutrophil and Th17 activation in untreated early RA  Artheritis Res Ther 2010; 12 R196. </w:t>
      </w:r>
    </w:p>
    <w:p w:rsidR="00FE29DF" w:rsidRPr="0060458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sz w:val="22"/>
          <w:szCs w:val="22"/>
        </w:rPr>
      </w:pPr>
      <w:r w:rsidRPr="0060458F">
        <w:rPr>
          <w:rFonts w:asciiTheme="majorBidi" w:hAnsiTheme="majorBidi" w:cstheme="majorBidi"/>
          <w:sz w:val="22"/>
          <w:szCs w:val="22"/>
        </w:rPr>
        <w:t>Shen H, Goodall JC, Hill Gaston JS. Frequency and phenotype of peripheral blood Th17 cells in ankylosingspondylitis and rheumatoid arthritis. Arthritis Rheum 2009; 60: 1647-1656.</w:t>
      </w:r>
    </w:p>
    <w:p w:rsidR="00FE29DF" w:rsidRDefault="00FE29DF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E29DF">
        <w:rPr>
          <w:rFonts w:asciiTheme="majorBidi" w:eastAsiaTheme="minorHAnsi" w:hAnsiTheme="majorBidi" w:cstheme="majorBidi"/>
          <w:sz w:val="22"/>
          <w:szCs w:val="22"/>
        </w:rPr>
        <w:t>Lubberts E. Th17 cytokines in arthritis. SeminImmunopathol 2010;32:43-53.</w:t>
      </w:r>
    </w:p>
    <w:p w:rsidR="001C1DE5" w:rsidRPr="001C1DE5" w:rsidRDefault="001C1DE5" w:rsidP="002168A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200" w:line="276" w:lineRule="auto"/>
        <w:ind w:left="9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1C1DE5">
        <w:rPr>
          <w:rFonts w:asciiTheme="majorBidi" w:hAnsiTheme="majorBidi" w:cstheme="majorBidi"/>
          <w:color w:val="000000" w:themeColor="text1"/>
          <w:sz w:val="22"/>
          <w:szCs w:val="22"/>
        </w:rPr>
        <w:t>Yang X, Zheng SG. Interleukin-22: Alikely tar</w:t>
      </w:r>
      <w:r w:rsidR="00114C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get for treatment of autoimmune </w:t>
      </w:r>
      <w:r w:rsidRPr="001C1DE5">
        <w:rPr>
          <w:rFonts w:asciiTheme="majorBidi" w:hAnsiTheme="majorBidi" w:cstheme="majorBidi"/>
          <w:color w:val="000000" w:themeColor="text1"/>
          <w:sz w:val="22"/>
          <w:szCs w:val="22"/>
        </w:rPr>
        <w:t>diseases.</w:t>
      </w:r>
      <w:r w:rsidR="00114C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1C1DE5">
        <w:rPr>
          <w:rFonts w:asciiTheme="majorBidi" w:hAnsiTheme="majorBidi" w:cstheme="majorBidi"/>
          <w:color w:val="000000" w:themeColor="text1"/>
          <w:sz w:val="22"/>
          <w:szCs w:val="22"/>
        </w:rPr>
        <w:t>Autoimmunity Reiew  2014;</w:t>
      </w:r>
      <w:r w:rsidR="00114C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1C1DE5">
        <w:rPr>
          <w:rFonts w:asciiTheme="majorBidi" w:hAnsiTheme="majorBidi" w:cstheme="majorBidi"/>
          <w:color w:val="000000" w:themeColor="text1"/>
          <w:sz w:val="22"/>
          <w:szCs w:val="22"/>
        </w:rPr>
        <w:t>13:</w:t>
      </w:r>
      <w:r w:rsidR="00114C4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1C1DE5">
        <w:rPr>
          <w:rFonts w:asciiTheme="majorBidi" w:hAnsiTheme="majorBidi" w:cstheme="majorBidi"/>
          <w:color w:val="000000" w:themeColor="text1"/>
          <w:sz w:val="22"/>
          <w:szCs w:val="22"/>
        </w:rPr>
        <w:t>615-620.</w:t>
      </w:r>
    </w:p>
    <w:p w:rsidR="00FE29DF" w:rsidRPr="001C1DE5" w:rsidRDefault="00FE29DF" w:rsidP="002168AB">
      <w:pPr>
        <w:autoSpaceDE w:val="0"/>
        <w:autoSpaceDN w:val="0"/>
        <w:bidi w:val="0"/>
        <w:adjustRightInd w:val="0"/>
        <w:spacing w:line="276" w:lineRule="auto"/>
        <w:ind w:left="360"/>
        <w:jc w:val="both"/>
        <w:rPr>
          <w:b/>
          <w:bCs/>
          <w:sz w:val="22"/>
          <w:szCs w:val="22"/>
        </w:rPr>
      </w:pPr>
    </w:p>
    <w:p w:rsidR="001C1DE5" w:rsidRDefault="001C1DE5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b/>
          <w:bCs/>
        </w:rPr>
      </w:pPr>
    </w:p>
    <w:p w:rsidR="00A97365" w:rsidRPr="002D1BB4" w:rsidRDefault="00A97365" w:rsidP="002168AB">
      <w:pPr>
        <w:tabs>
          <w:tab w:val="left" w:pos="0"/>
        </w:tabs>
        <w:bidi w:val="0"/>
        <w:spacing w:line="276" w:lineRule="auto"/>
        <w:jc w:val="both"/>
        <w:rPr>
          <w:i/>
          <w:iCs/>
          <w:sz w:val="22"/>
          <w:szCs w:val="22"/>
        </w:rPr>
      </w:pPr>
    </w:p>
    <w:p w:rsidR="00A97365" w:rsidRPr="00A97365" w:rsidRDefault="00A97365" w:rsidP="002168AB">
      <w:pPr>
        <w:autoSpaceDE w:val="0"/>
        <w:autoSpaceDN w:val="0"/>
        <w:bidi w:val="0"/>
        <w:adjustRightInd w:val="0"/>
        <w:spacing w:line="276" w:lineRule="auto"/>
        <w:jc w:val="both"/>
        <w:rPr>
          <w:b/>
          <w:bCs/>
        </w:rPr>
      </w:pPr>
    </w:p>
    <w:sectPr w:rsidR="00A97365" w:rsidRPr="00A97365" w:rsidSect="002168AB">
      <w:headerReference w:type="even" r:id="rId26"/>
      <w:headerReference w:type="default" r:id="rId27"/>
      <w:footerReference w:type="default" r:id="rId28"/>
      <w:headerReference w:type="first" r:id="rId29"/>
      <w:type w:val="continuous"/>
      <w:pgSz w:w="11906" w:h="16838"/>
      <w:pgMar w:top="360" w:right="1701" w:bottom="270" w:left="1701" w:header="709" w:footer="0" w:gutter="0"/>
      <w:cols w:space="708"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4-05T21:56:00Z" w:initials="K">
    <w:p w:rsidR="0023269D" w:rsidRDefault="0023269D" w:rsidP="0023269D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  <w:noProof/>
        </w:rPr>
        <w:drawing>
          <wp:inline distT="0" distB="0" distL="0" distR="0">
            <wp:extent cx="895350" cy="28753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9D" w:rsidRPr="00B07E1A" w:rsidRDefault="0023269D" w:rsidP="0023269D">
      <w:pPr>
        <w:rPr>
          <w:rFonts w:ascii="Bookman Old Style" w:hAnsi="Bookman Old Style"/>
        </w:rPr>
      </w:pPr>
      <w:r w:rsidRPr="00B07E1A">
        <w:rPr>
          <w:rFonts w:ascii="Bookman Old Style" w:hAnsi="Bookman Old Style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/>
          </w:rPr>
          <w:t>Turnitin</w:t>
        </w:r>
      </w:hyperlink>
      <w:r w:rsidRPr="00502FAD">
        <w:rPr>
          <w:rFonts w:ascii="Bookman Old Style" w:hAnsi="Bookman Old Style"/>
          <w:highlight w:val="green"/>
        </w:rPr>
        <w:t>=</w:t>
      </w:r>
      <w:r w:rsidRPr="00B07E1A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  <w:highlight w:val="green"/>
        </w:rPr>
        <w:t>48</w:t>
      </w:r>
      <w:r w:rsidRPr="00502FAD">
        <w:rPr>
          <w:rFonts w:ascii="Bookman Old Style" w:hAnsi="Bookman Old Style"/>
          <w:highlight w:val="green"/>
        </w:rPr>
        <w:t>%</w:t>
      </w:r>
      <w:r w:rsidRPr="00B07E1A">
        <w:rPr>
          <w:rFonts w:ascii="Bookman Old Style" w:hAnsi="Bookman Old Style"/>
        </w:rPr>
        <w:t xml:space="preserve"> </w:t>
      </w:r>
    </w:p>
    <w:p w:rsidR="0023269D" w:rsidRPr="00E41274" w:rsidRDefault="0023269D" w:rsidP="0023269D">
      <w:pPr>
        <w:rPr>
          <w:rFonts w:ascii="Bookman Old Style" w:hAnsi="Bookman Old Style"/>
        </w:rPr>
      </w:pPr>
      <w:r w:rsidRPr="00E41274">
        <w:rPr>
          <w:rFonts w:ascii="Bookman Old Style" w:hAnsi="Bookman Old Style"/>
        </w:rPr>
        <w:t xml:space="preserve">Please revise your article according to the </w:t>
      </w:r>
      <w:r w:rsidRPr="00E41274">
        <w:rPr>
          <w:rFonts w:ascii="Bookman Old Style" w:hAnsi="Bookman Old Style"/>
          <w:highlight w:val="green"/>
        </w:rPr>
        <w:t>Turnitin</w:t>
      </w:r>
      <w:r w:rsidRPr="00E41274">
        <w:rPr>
          <w:rFonts w:ascii="Bookman Old Style" w:hAnsi="Bookman Old Style"/>
        </w:rPr>
        <w:t xml:space="preserve"> report</w:t>
      </w:r>
    </w:p>
    <w:p w:rsidR="0023269D" w:rsidRDefault="0023269D">
      <w:pPr>
        <w:pStyle w:val="CommentText"/>
      </w:pPr>
    </w:p>
  </w:comment>
  <w:comment w:id="1" w:author="kapil chauhan" w:date="2019-10-11T23:32:00Z" w:initials="kc">
    <w:p w:rsidR="00225778" w:rsidRDefault="00225778" w:rsidP="00225778">
      <w:pPr>
        <w:pStyle w:val="CommentText"/>
        <w:rPr>
          <w:rFonts w:cs="B Titr"/>
          <w:bCs/>
          <w:sz w:val="24"/>
        </w:rPr>
      </w:pPr>
      <w:r>
        <w:rPr>
          <w:rStyle w:val="CommentReference"/>
        </w:rPr>
        <w:annotationRef/>
      </w:r>
    </w:p>
    <w:p w:rsidR="00225778" w:rsidRDefault="00225778" w:rsidP="00225778">
      <w:pPr>
        <w:pStyle w:val="CommentText"/>
      </w:pPr>
      <w:r w:rsidRPr="005E10D1">
        <w:rPr>
          <w:rFonts w:cs="B Titr"/>
          <w:bCs/>
          <w:sz w:val="24"/>
        </w:rPr>
        <w:t xml:space="preserve">Article </w:t>
      </w:r>
      <w:r>
        <w:rPr>
          <w:rFonts w:cs="B Titr"/>
          <w:bCs/>
          <w:sz w:val="24"/>
        </w:rPr>
        <w:t xml:space="preserve">is suitable for publication </w:t>
      </w:r>
      <w:r w:rsidRPr="005E10D1">
        <w:rPr>
          <w:rFonts w:cs="B Titr"/>
          <w:bCs/>
          <w:sz w:val="24"/>
        </w:rPr>
        <w:t>after some minor changes</w:t>
      </w:r>
    </w:p>
    <w:p w:rsidR="00225778" w:rsidRDefault="00225778">
      <w:pPr>
        <w:pStyle w:val="CommentText"/>
      </w:pPr>
    </w:p>
  </w:comment>
  <w:comment w:id="2" w:author="kapil chauhan" w:date="2019-10-11T23:32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?Italics</w:t>
      </w:r>
    </w:p>
  </w:comment>
  <w:comment w:id="4" w:author="kapil chauhan" w:date="2019-10-11T23:37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5" w:author="Kapil" w:date="2021-04-06T22:27:00Z" w:initials="K">
    <w:p w:rsidR="0065164D" w:rsidRDefault="0065164D" w:rsidP="0065164D">
      <w:pPr>
        <w:rPr>
          <w:rFonts w:ascii="Bookman Old Style" w:hAnsi="Bookman Old Style"/>
        </w:rPr>
      </w:pPr>
      <w:r>
        <w:rPr>
          <w:rStyle w:val="CommentReference"/>
        </w:rPr>
        <w:annotationRef/>
      </w:r>
    </w:p>
    <w:p w:rsidR="0065164D" w:rsidRDefault="0065164D" w:rsidP="0065164D">
      <w:pPr>
        <w:rPr>
          <w:rFonts w:ascii="Bookman Old Style" w:hAnsi="Bookman Old Style"/>
          <w:highlight w:val="yellow"/>
        </w:rPr>
      </w:pPr>
      <w:r w:rsidRPr="006B3A13">
        <w:rPr>
          <w:rFonts w:ascii="Bookman Old Style" w:hAnsi="Bookman Old Style"/>
        </w:rPr>
        <w:t>Please use some scientific words, remove words like we, I, our, your</w:t>
      </w:r>
      <w:r>
        <w:rPr>
          <w:rFonts w:ascii="Bookman Old Style" w:hAnsi="Bookman Old Style"/>
        </w:rPr>
        <w:t>,</w:t>
      </w:r>
      <w:r w:rsidRPr="006B3A13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</w:t>
      </w:r>
      <w:r w:rsidRPr="006B3A13">
        <w:rPr>
          <w:rFonts w:ascii="Bookman Old Style" w:hAnsi="Bookman Old Style"/>
          <w:highlight w:val="yellow"/>
        </w:rPr>
        <w:t xml:space="preserve"> </w:t>
      </w:r>
    </w:p>
    <w:p w:rsidR="0065164D" w:rsidRDefault="0065164D">
      <w:pPr>
        <w:pStyle w:val="CommentText"/>
      </w:pPr>
    </w:p>
  </w:comment>
  <w:comment w:id="6" w:author="kapil chauhan" w:date="2019-10-11T23:31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7" w:author="kapil chauhan" w:date="2019-10-11T23:37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8" w:author="kapil chauhan" w:date="2019-10-11T23:37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9" w:author="Kapil" w:date="2021-04-06T22:24:00Z" w:initials="K">
    <w:p w:rsidR="0076780C" w:rsidRPr="00EE2A57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Arrange alphabetically</w:t>
      </w:r>
    </w:p>
    <w:p w:rsidR="0076780C" w:rsidRDefault="0076780C">
      <w:pPr>
        <w:pStyle w:val="CommentText"/>
      </w:pPr>
    </w:p>
  </w:comment>
  <w:comment w:id="3" w:author="Kapil" w:date="2021-04-05T21:59:00Z" w:initials="K">
    <w:p w:rsidR="0031157D" w:rsidRPr="00EE2A57" w:rsidRDefault="0031157D" w:rsidP="0031157D">
      <w:pPr>
        <w:pStyle w:val="CommentText"/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/>
        </w:rPr>
        <w:t>Please divide the abstract in below</w:t>
      </w:r>
      <w:r>
        <w:rPr>
          <w:rFonts w:ascii="Bookman Old Style" w:hAnsi="Bookman Old Style"/>
        </w:rPr>
        <w:t xml:space="preserve"> sections</w:t>
      </w:r>
      <w:r w:rsidRPr="00EE2A57">
        <w:rPr>
          <w:rFonts w:ascii="Bookman Old Style" w:hAnsi="Bookman Old Style"/>
        </w:rPr>
        <w:t xml:space="preserve"> </w:t>
      </w:r>
    </w:p>
    <w:p w:rsidR="0031157D" w:rsidRPr="00E41274" w:rsidRDefault="0031157D" w:rsidP="0031157D">
      <w:pPr>
        <w:pStyle w:val="CommentText"/>
        <w:rPr>
          <w:rFonts w:ascii="Bookman Old Style" w:hAnsi="Bookman Old Style"/>
          <w:b/>
          <w:highlight w:val="yellow"/>
        </w:rPr>
      </w:pPr>
      <w:r w:rsidRPr="00E41274">
        <w:rPr>
          <w:rFonts w:ascii="Bookman Old Style" w:hAnsi="Bookman Old Style"/>
          <w:b/>
          <w:highlight w:val="yellow"/>
        </w:rPr>
        <w:t>Aim and objective</w:t>
      </w:r>
    </w:p>
    <w:p w:rsidR="0031157D" w:rsidRPr="00E41274" w:rsidRDefault="0031157D" w:rsidP="0031157D">
      <w:pPr>
        <w:pStyle w:val="CommentText"/>
        <w:rPr>
          <w:rFonts w:ascii="Bookman Old Style" w:hAnsi="Bookman Old Style"/>
          <w:b/>
          <w:highlight w:val="yellow"/>
        </w:rPr>
      </w:pPr>
      <w:r w:rsidRPr="00E41274">
        <w:rPr>
          <w:rFonts w:ascii="Bookman Old Style" w:hAnsi="Bookman Old Style"/>
          <w:b/>
          <w:highlight w:val="yellow"/>
        </w:rPr>
        <w:t>Methods</w:t>
      </w:r>
    </w:p>
    <w:p w:rsidR="0031157D" w:rsidRPr="00E41274" w:rsidRDefault="0031157D" w:rsidP="0031157D">
      <w:pPr>
        <w:pStyle w:val="CommentText"/>
        <w:rPr>
          <w:rFonts w:ascii="Bookman Old Style" w:hAnsi="Bookman Old Style"/>
          <w:b/>
          <w:highlight w:val="yellow"/>
        </w:rPr>
      </w:pPr>
      <w:r w:rsidRPr="00E41274">
        <w:rPr>
          <w:rFonts w:ascii="Bookman Old Style" w:hAnsi="Bookman Old Style"/>
          <w:b/>
          <w:highlight w:val="yellow"/>
        </w:rPr>
        <w:t>Results</w:t>
      </w:r>
    </w:p>
    <w:p w:rsidR="0031157D" w:rsidRPr="00E41274" w:rsidRDefault="0031157D" w:rsidP="0031157D">
      <w:pPr>
        <w:pStyle w:val="CommentText"/>
        <w:rPr>
          <w:rFonts w:ascii="Bookman Old Style" w:hAnsi="Bookman Old Style"/>
          <w:b/>
          <w:highlight w:val="yellow"/>
        </w:rPr>
      </w:pPr>
      <w:r w:rsidRPr="00E41274">
        <w:rPr>
          <w:rFonts w:ascii="Bookman Old Style" w:hAnsi="Bookman Old Style"/>
          <w:b/>
          <w:highlight w:val="yellow"/>
        </w:rPr>
        <w:t>Conclusion</w:t>
      </w:r>
    </w:p>
    <w:p w:rsidR="0031157D" w:rsidRPr="00EE2A57" w:rsidRDefault="0031157D" w:rsidP="0031157D">
      <w:pPr>
        <w:pStyle w:val="CommentText"/>
        <w:rPr>
          <w:rFonts w:ascii="Bookman Old Style" w:hAnsi="Bookman Old Style"/>
        </w:rPr>
      </w:pPr>
      <w:r w:rsidRPr="00E41274">
        <w:rPr>
          <w:rFonts w:ascii="Bookman Old Style" w:hAnsi="Bookman Old Style"/>
          <w:b/>
          <w:highlight w:val="yellow"/>
        </w:rPr>
        <w:t>Keywords</w:t>
      </w:r>
    </w:p>
    <w:p w:rsidR="0031157D" w:rsidRDefault="0031157D">
      <w:pPr>
        <w:pStyle w:val="CommentText"/>
      </w:pPr>
    </w:p>
  </w:comment>
  <w:comment w:id="10" w:author="Kapil" w:date="2021-04-06T22:23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  <w:r>
        <w:rPr>
          <w:rFonts w:ascii="Bookman Old Style" w:hAnsi="Bookman Old Style"/>
        </w:rPr>
        <w:t>.</w:t>
      </w:r>
    </w:p>
    <w:p w:rsidR="0076780C" w:rsidRDefault="0076780C">
      <w:pPr>
        <w:pStyle w:val="CommentText"/>
      </w:pPr>
    </w:p>
  </w:comment>
  <w:comment w:id="12" w:author="kapil chauhan" w:date="2019-10-11T23:37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11" w:author="Kapil" w:date="2021-04-06T22:23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  <w:r>
        <w:rPr>
          <w:rFonts w:ascii="Bookman Old Style" w:hAnsi="Bookman Old Style"/>
        </w:rPr>
        <w:t>.</w:t>
      </w:r>
    </w:p>
    <w:p w:rsidR="0076780C" w:rsidRDefault="0076780C">
      <w:pPr>
        <w:pStyle w:val="CommentText"/>
      </w:pPr>
    </w:p>
  </w:comment>
  <w:comment w:id="13" w:author="kapil chauhan" w:date="2019-10-11T23:37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14" w:author="kapil chauhan" w:date="2019-10-11T23:37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15" w:author="kapil chauhan" w:date="2019-10-11T23:37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16" w:author="Kapil" w:date="2021-04-06T22:25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Please cross check this reference.</w:t>
      </w:r>
    </w:p>
    <w:p w:rsidR="0076780C" w:rsidRDefault="0076780C">
      <w:pPr>
        <w:pStyle w:val="CommentText"/>
      </w:pPr>
    </w:p>
  </w:comment>
  <w:comment w:id="18" w:author="Kapil" w:date="2021-04-06T22:28:00Z" w:initials="K">
    <w:p w:rsidR="0065164D" w:rsidRDefault="0065164D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Table</w:t>
      </w:r>
    </w:p>
  </w:comment>
  <w:comment w:id="19" w:author="Kapil" w:date="2021-04-06T22:28:00Z" w:initials="K">
    <w:p w:rsidR="0065164D" w:rsidRDefault="0065164D" w:rsidP="0065164D">
      <w:pPr>
        <w:rPr>
          <w:rFonts w:ascii="Bookman Old Style" w:hAnsi="Bookman Old Style"/>
          <w:highlight w:val="yellow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Please use some scientific words, remove words like we, I, our, your</w:t>
      </w:r>
      <w:r>
        <w:rPr>
          <w:rFonts w:ascii="Bookman Old Style" w:hAnsi="Bookman Old Style"/>
        </w:rPr>
        <w:t>,</w:t>
      </w:r>
      <w:r w:rsidRPr="006B3A13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</w:t>
      </w:r>
      <w:r w:rsidRPr="006B3A13">
        <w:rPr>
          <w:rFonts w:ascii="Bookman Old Style" w:hAnsi="Bookman Old Style"/>
          <w:highlight w:val="yellow"/>
        </w:rPr>
        <w:t xml:space="preserve"> </w:t>
      </w:r>
    </w:p>
    <w:p w:rsidR="0065164D" w:rsidRDefault="0065164D">
      <w:pPr>
        <w:pStyle w:val="CommentText"/>
      </w:pPr>
    </w:p>
  </w:comment>
  <w:comment w:id="17" w:author="Kapil" w:date="2021-04-06T22:25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824327">
        <w:rPr>
          <w:rFonts w:ascii="Bookman Old Style" w:hAnsi="Bookman Old Style"/>
        </w:rPr>
        <w:t>Write inclusion criteria and exclusion criteria to be more organized</w:t>
      </w:r>
    </w:p>
    <w:p w:rsidR="0076780C" w:rsidRDefault="0076780C">
      <w:pPr>
        <w:pStyle w:val="CommentText"/>
      </w:pPr>
    </w:p>
  </w:comment>
  <w:comment w:id="21" w:author="kapil chauhan" w:date="2019-10-11T23:38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20" w:author="Kapil" w:date="2021-04-06T22:23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  <w:r>
        <w:rPr>
          <w:rFonts w:ascii="Bookman Old Style" w:hAnsi="Bookman Old Style"/>
        </w:rPr>
        <w:t>.</w:t>
      </w:r>
    </w:p>
    <w:p w:rsidR="0076780C" w:rsidRDefault="0076780C">
      <w:pPr>
        <w:pStyle w:val="CommentText"/>
      </w:pPr>
    </w:p>
  </w:comment>
  <w:comment w:id="22" w:author="kapil chauhan" w:date="2019-10-11T23:38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23" w:author="Kapil" w:date="2021-04-06T22:25:00Z" w:initials="K">
    <w:p w:rsidR="0076780C" w:rsidRDefault="0076780C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Table</w:t>
      </w:r>
    </w:p>
  </w:comment>
  <w:comment w:id="24" w:author="Kapil" w:date="2021-04-06T22:28:00Z" w:initials="K">
    <w:p w:rsidR="0065164D" w:rsidRDefault="0065164D" w:rsidP="0065164D">
      <w:pPr>
        <w:rPr>
          <w:rFonts w:ascii="Bookman Old Style" w:hAnsi="Bookman Old Style"/>
          <w:highlight w:val="yellow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Please use some scientific words, remove words like we, I, our, your</w:t>
      </w:r>
      <w:r>
        <w:rPr>
          <w:rFonts w:ascii="Bookman Old Style" w:hAnsi="Bookman Old Style"/>
        </w:rPr>
        <w:t>,</w:t>
      </w:r>
      <w:r w:rsidRPr="006B3A13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</w:t>
      </w:r>
      <w:r w:rsidRPr="006B3A13">
        <w:rPr>
          <w:rFonts w:ascii="Bookman Old Style" w:hAnsi="Bookman Old Style"/>
          <w:highlight w:val="yellow"/>
        </w:rPr>
        <w:t xml:space="preserve"> </w:t>
      </w:r>
    </w:p>
    <w:p w:rsidR="0065164D" w:rsidRDefault="0065164D">
      <w:pPr>
        <w:pStyle w:val="CommentText"/>
      </w:pPr>
    </w:p>
  </w:comment>
  <w:comment w:id="25" w:author="kapil chauhan" w:date="2019-10-11T23:38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26" w:author="kapil chauhan" w:date="2019-10-11T23:38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27" w:author="kapil chauhan" w:date="2019-10-11T23:38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28" w:author="kapil chauhan" w:date="2019-10-11T23:33:00Z" w:initials="kc">
    <w:p w:rsidR="00225778" w:rsidRDefault="00225778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225778" w:rsidRDefault="00225778">
      <w:pPr>
        <w:pStyle w:val="CommentText"/>
      </w:pPr>
      <w:r>
        <w:rPr>
          <w:rtl/>
        </w:rPr>
        <w:t>Table</w:t>
      </w:r>
    </w:p>
  </w:comment>
  <w:comment w:id="29" w:author="kapil chauhan" w:date="2019-10-11T23:33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30" w:author="kapil chauhan" w:date="2019-10-11T23:33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Figure</w:t>
      </w:r>
    </w:p>
  </w:comment>
  <w:comment w:id="31" w:author="kapil chauhan" w:date="2019-10-11T23:33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32" w:author="kapil chauhan" w:date="2019-10-11T23:34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33" w:author="kapil chauhan" w:date="2019-10-11T23:34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Figure</w:t>
      </w:r>
    </w:p>
  </w:comment>
  <w:comment w:id="34" w:author="kapil chauhan" w:date="2019-10-11T23:34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Figure</w:t>
      </w:r>
    </w:p>
  </w:comment>
  <w:comment w:id="36" w:author="Kapil" w:date="2021-04-06T22:27:00Z" w:initials="K">
    <w:p w:rsidR="0065164D" w:rsidRDefault="0065164D" w:rsidP="0065164D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current</w:t>
      </w:r>
    </w:p>
    <w:p w:rsidR="0065164D" w:rsidRDefault="0065164D" w:rsidP="0065164D">
      <w:pPr>
        <w:rPr>
          <w:rFonts w:ascii="Bookman Old Style" w:hAnsi="Bookman Old Style"/>
          <w:highlight w:val="yellow"/>
        </w:rPr>
      </w:pPr>
      <w:r w:rsidRPr="006B3A13">
        <w:rPr>
          <w:rFonts w:ascii="Bookman Old Style" w:hAnsi="Bookman Old Style"/>
        </w:rPr>
        <w:t>Please use some scientific words, remove words like we, I, our, your</w:t>
      </w:r>
      <w:r>
        <w:rPr>
          <w:rFonts w:ascii="Bookman Old Style" w:hAnsi="Bookman Old Style"/>
        </w:rPr>
        <w:t>,</w:t>
      </w:r>
      <w:r w:rsidRPr="006B3A13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</w:t>
      </w:r>
      <w:r w:rsidRPr="006B3A13">
        <w:rPr>
          <w:rFonts w:ascii="Bookman Old Style" w:hAnsi="Bookman Old Style"/>
          <w:highlight w:val="yellow"/>
        </w:rPr>
        <w:t xml:space="preserve"> </w:t>
      </w:r>
    </w:p>
    <w:p w:rsidR="0065164D" w:rsidRDefault="0065164D">
      <w:pPr>
        <w:pStyle w:val="CommentText"/>
      </w:pPr>
    </w:p>
  </w:comment>
  <w:comment w:id="37" w:author="kapil chauhan" w:date="2019-10-11T23:34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35" w:author="Kapil" w:date="2021-04-06T22:23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  <w:r>
        <w:rPr>
          <w:rFonts w:ascii="Bookman Old Style" w:hAnsi="Bookman Old Style"/>
        </w:rPr>
        <w:t>.</w:t>
      </w:r>
    </w:p>
    <w:p w:rsidR="0076780C" w:rsidRDefault="0076780C">
      <w:pPr>
        <w:pStyle w:val="CommentText"/>
      </w:pPr>
    </w:p>
  </w:comment>
  <w:comment w:id="38" w:author="Kapil" w:date="2021-04-06T22:26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Please cross check this reference.</w:t>
      </w:r>
    </w:p>
    <w:p w:rsidR="0076780C" w:rsidRDefault="0076780C">
      <w:pPr>
        <w:pStyle w:val="CommentText"/>
      </w:pPr>
    </w:p>
  </w:comment>
  <w:comment w:id="40" w:author="kapil chauhan" w:date="2019-10-11T23:34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41" w:author="Kapil" w:date="2021-04-06T22:27:00Z" w:initials="K">
    <w:p w:rsidR="0065164D" w:rsidRDefault="0065164D" w:rsidP="0065164D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current</w:t>
      </w:r>
    </w:p>
    <w:p w:rsidR="0065164D" w:rsidRDefault="0065164D" w:rsidP="0065164D">
      <w:pPr>
        <w:rPr>
          <w:rFonts w:ascii="Bookman Old Style" w:hAnsi="Bookman Old Style"/>
          <w:highlight w:val="yellow"/>
        </w:rPr>
      </w:pPr>
      <w:r w:rsidRPr="006B3A13">
        <w:rPr>
          <w:rFonts w:ascii="Bookman Old Style" w:hAnsi="Bookman Old Style"/>
        </w:rPr>
        <w:t>Please use some scientific words, remove words like we, I, our, your</w:t>
      </w:r>
      <w:r>
        <w:rPr>
          <w:rFonts w:ascii="Bookman Old Style" w:hAnsi="Bookman Old Style"/>
        </w:rPr>
        <w:t>,</w:t>
      </w:r>
      <w:r w:rsidRPr="006B3A13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</w:t>
      </w:r>
      <w:r w:rsidRPr="006B3A13">
        <w:rPr>
          <w:rFonts w:ascii="Bookman Old Style" w:hAnsi="Bookman Old Style"/>
          <w:highlight w:val="yellow"/>
        </w:rPr>
        <w:t xml:space="preserve"> </w:t>
      </w:r>
    </w:p>
    <w:p w:rsidR="0065164D" w:rsidRDefault="0065164D">
      <w:pPr>
        <w:pStyle w:val="CommentText"/>
      </w:pPr>
    </w:p>
  </w:comment>
  <w:comment w:id="42" w:author="Kapil" w:date="2021-04-06T22:27:00Z" w:initials="K">
    <w:p w:rsidR="0065164D" w:rsidRDefault="0065164D" w:rsidP="0065164D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current</w:t>
      </w:r>
    </w:p>
    <w:p w:rsidR="0065164D" w:rsidRDefault="0065164D" w:rsidP="0065164D">
      <w:pPr>
        <w:rPr>
          <w:rFonts w:ascii="Bookman Old Style" w:hAnsi="Bookman Old Style"/>
          <w:highlight w:val="yellow"/>
        </w:rPr>
      </w:pPr>
      <w:r w:rsidRPr="006B3A13">
        <w:rPr>
          <w:rFonts w:ascii="Bookman Old Style" w:hAnsi="Bookman Old Style"/>
        </w:rPr>
        <w:t>Please use some scientific words, remove words like we, I, our, your</w:t>
      </w:r>
      <w:r>
        <w:rPr>
          <w:rFonts w:ascii="Bookman Old Style" w:hAnsi="Bookman Old Style"/>
        </w:rPr>
        <w:t>,</w:t>
      </w:r>
      <w:r w:rsidRPr="006B3A13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</w:t>
      </w:r>
      <w:r w:rsidRPr="006B3A13">
        <w:rPr>
          <w:rFonts w:ascii="Bookman Old Style" w:hAnsi="Bookman Old Style"/>
          <w:highlight w:val="yellow"/>
        </w:rPr>
        <w:t xml:space="preserve"> </w:t>
      </w:r>
    </w:p>
    <w:p w:rsidR="0065164D" w:rsidRDefault="0065164D">
      <w:pPr>
        <w:pStyle w:val="CommentText"/>
      </w:pPr>
    </w:p>
  </w:comment>
  <w:comment w:id="39" w:author="Kapil" w:date="2021-04-06T22:23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/>
        </w:rPr>
        <w:t>Well designed and adequate</w:t>
      </w:r>
      <w:r>
        <w:rPr>
          <w:rFonts w:ascii="Bookman Old Style" w:hAnsi="Bookman Old Style"/>
        </w:rPr>
        <w:t>.</w:t>
      </w:r>
    </w:p>
    <w:p w:rsidR="0076780C" w:rsidRDefault="0076780C">
      <w:pPr>
        <w:pStyle w:val="CommentText"/>
      </w:pPr>
    </w:p>
  </w:comment>
  <w:comment w:id="43" w:author="Kapil" w:date="2021-04-06T22:26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Please cross check this reference.</w:t>
      </w:r>
    </w:p>
    <w:p w:rsidR="0076780C" w:rsidRDefault="0076780C">
      <w:pPr>
        <w:pStyle w:val="CommentText"/>
      </w:pPr>
    </w:p>
  </w:comment>
  <w:comment w:id="44" w:author="Kapil" w:date="2021-04-06T22:26:00Z" w:initials="K">
    <w:p w:rsidR="0076780C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Please cross check this reference.</w:t>
      </w:r>
    </w:p>
    <w:p w:rsidR="0076780C" w:rsidRDefault="0076780C">
      <w:pPr>
        <w:pStyle w:val="CommentText"/>
      </w:pPr>
    </w:p>
  </w:comment>
  <w:comment w:id="46" w:author="Kapil" w:date="2021-04-06T22:27:00Z" w:initials="K">
    <w:p w:rsidR="0065164D" w:rsidRDefault="0065164D" w:rsidP="0065164D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current</w:t>
      </w:r>
    </w:p>
    <w:p w:rsidR="0065164D" w:rsidRDefault="0065164D" w:rsidP="0065164D">
      <w:pPr>
        <w:rPr>
          <w:rFonts w:ascii="Bookman Old Style" w:hAnsi="Bookman Old Style"/>
          <w:highlight w:val="yellow"/>
        </w:rPr>
      </w:pPr>
      <w:r w:rsidRPr="006B3A13">
        <w:rPr>
          <w:rFonts w:ascii="Bookman Old Style" w:hAnsi="Bookman Old Style"/>
        </w:rPr>
        <w:t>Please use some scientific words, remove words like we, I, our, your</w:t>
      </w:r>
      <w:r>
        <w:rPr>
          <w:rFonts w:ascii="Bookman Old Style" w:hAnsi="Bookman Old Style"/>
        </w:rPr>
        <w:t>,</w:t>
      </w:r>
      <w:r w:rsidRPr="006B3A13">
        <w:rPr>
          <w:rFonts w:ascii="Bookman Old Style" w:hAnsi="Bookman Old Style"/>
        </w:rPr>
        <w:t xml:space="preserve"> etc</w:t>
      </w:r>
      <w:r>
        <w:rPr>
          <w:rFonts w:ascii="Bookman Old Style" w:hAnsi="Bookman Old Style"/>
        </w:rPr>
        <w:t>.</w:t>
      </w:r>
      <w:r w:rsidRPr="006B3A13">
        <w:rPr>
          <w:rFonts w:ascii="Bookman Old Style" w:hAnsi="Bookman Old Style"/>
          <w:highlight w:val="yellow"/>
        </w:rPr>
        <w:t xml:space="preserve"> </w:t>
      </w:r>
    </w:p>
    <w:p w:rsidR="0065164D" w:rsidRDefault="0065164D">
      <w:pPr>
        <w:pStyle w:val="CommentText"/>
      </w:pPr>
    </w:p>
  </w:comment>
  <w:comment w:id="47" w:author="kapil chauhan" w:date="2019-10-11T23:36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48" w:author="kapil chauhan" w:date="2019-10-11T23:36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and</w:t>
      </w:r>
    </w:p>
  </w:comment>
  <w:comment w:id="45" w:author="Kapil" w:date="2021-04-06T22:26:00Z" w:initials="K">
    <w:p w:rsidR="0076780C" w:rsidRPr="00EE2A57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>
        <w:rPr>
          <w:rFonts w:ascii="Bookman Old Style" w:hAnsi="Bookman Old Style"/>
        </w:rPr>
        <w:t>Scanty. It can be made impressive by adding some more content</w:t>
      </w:r>
    </w:p>
    <w:p w:rsidR="0076780C" w:rsidRDefault="0076780C">
      <w:pPr>
        <w:pStyle w:val="CommentText"/>
      </w:pPr>
    </w:p>
  </w:comment>
  <w:comment w:id="49" w:author="kapil chauhan" w:date="2019-10-11T23:36:00Z" w:initials="kc">
    <w:p w:rsidR="00225778" w:rsidRDefault="00225778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dan</w:t>
      </w:r>
    </w:p>
  </w:comment>
  <w:comment w:id="50" w:author="Kapil" w:date="2021-04-06T22:24:00Z" w:initials="K">
    <w:p w:rsidR="0076780C" w:rsidRPr="008E2CB3" w:rsidRDefault="0076780C" w:rsidP="0076780C">
      <w:pPr>
        <w:rPr>
          <w:rFonts w:ascii="Bookman Old Style" w:hAnsi="Bookman Old Style"/>
        </w:rPr>
      </w:pPr>
      <w:r>
        <w:rPr>
          <w:rStyle w:val="CommentReference"/>
        </w:rPr>
        <w:annotationRef/>
      </w:r>
      <w:r w:rsidRPr="008E2CB3">
        <w:rPr>
          <w:rFonts w:ascii="Bookman Old Style" w:hAnsi="Bookman Old Style"/>
        </w:rPr>
        <w:t>Please add this section</w:t>
      </w:r>
    </w:p>
    <w:p w:rsidR="0076780C" w:rsidRDefault="0076780C">
      <w:pPr>
        <w:pStyle w:val="CommentText"/>
      </w:pPr>
    </w:p>
  </w:comment>
  <w:comment w:id="51" w:author="kapil chauhan" w:date="2021-04-05T22:00:00Z" w:initials="kc">
    <w:p w:rsidR="00225778" w:rsidRDefault="00225778" w:rsidP="00225778">
      <w:pPr>
        <w:spacing w:line="360" w:lineRule="auto"/>
        <w:jc w:val="both"/>
        <w:rPr>
          <w:rFonts w:cs="B Lotus"/>
          <w:color w:val="000000"/>
        </w:rPr>
      </w:pPr>
      <w:r>
        <w:rPr>
          <w:rStyle w:val="CommentReference"/>
        </w:rPr>
        <w:annotationRef/>
      </w:r>
    </w:p>
    <w:p w:rsidR="0031157D" w:rsidRPr="00186B8E" w:rsidRDefault="0031157D" w:rsidP="0031157D">
      <w:pPr>
        <w:jc w:val="both"/>
        <w:rPr>
          <w:rFonts w:ascii="Bookman Old Style" w:hAnsi="Bookman Old Style"/>
        </w:rPr>
      </w:pPr>
      <w:r w:rsidRPr="00186B8E">
        <w:rPr>
          <w:rFonts w:ascii="Bookman Old Style" w:hAnsi="Bookman Old Style"/>
        </w:rPr>
        <w:t>Please follow the journal specifications for references</w:t>
      </w:r>
      <w:r>
        <w:rPr>
          <w:rFonts w:ascii="Bookman Old Style" w:hAnsi="Bookman Old Style"/>
        </w:rPr>
        <w:t>.</w:t>
      </w:r>
      <w:r w:rsidRPr="00047897">
        <w:rPr>
          <w:rFonts w:ascii="Bookman Old Style" w:hAnsi="Bookman Old Style"/>
        </w:rPr>
        <w:t xml:space="preserve"> </w:t>
      </w:r>
      <w:r w:rsidRPr="00186B8E">
        <w:rPr>
          <w:rFonts w:ascii="Bookman Old Style" w:hAnsi="Bookman Old Style"/>
        </w:rPr>
        <w:t>Please add DOI to articles if available</w:t>
      </w:r>
      <w:r>
        <w:rPr>
          <w:rFonts w:ascii="Bookman Old Style" w:hAnsi="Bookman Old Style"/>
        </w:rPr>
        <w:t xml:space="preserve">. </w:t>
      </w:r>
      <w:r w:rsidRPr="00351C84">
        <w:rPr>
          <w:rFonts w:ascii="Bookman Old Style" w:hAnsi="Bookman Old Style"/>
        </w:rPr>
        <w:t>For example</w:t>
      </w:r>
    </w:p>
    <w:p w:rsidR="0031157D" w:rsidRDefault="0031157D" w:rsidP="0031157D">
      <w:pPr>
        <w:jc w:val="both"/>
        <w:rPr>
          <w:rFonts w:ascii="Bookman Old Style" w:hAnsi="Bookman Old Style"/>
        </w:rPr>
      </w:pPr>
      <w:r w:rsidRPr="00186B8E">
        <w:rPr>
          <w:rFonts w:ascii="Bookman Old Style" w:hAnsi="Bookman Old Style"/>
        </w:rPr>
        <w:t xml:space="preserve">Chioma ED. </w:t>
      </w:r>
      <w:r>
        <w:rPr>
          <w:rFonts w:ascii="Bookman Old Style" w:hAnsi="Bookman Old Style"/>
        </w:rPr>
        <w:t xml:space="preserve"> </w:t>
      </w:r>
      <w:r w:rsidRPr="00186B8E">
        <w:rPr>
          <w:rFonts w:ascii="Bookman Old Style" w:hAnsi="Bookman Old Style"/>
        </w:rPr>
        <w:t>Formulation and evaluation of etodolac niosomes by modified ether injection technique. Universal J Pharm Res 2016; 1(1): 1-4.</w:t>
      </w:r>
    </w:p>
    <w:p w:rsidR="0031157D" w:rsidRDefault="00A274B0" w:rsidP="0031157D">
      <w:pPr>
        <w:jc w:val="both"/>
        <w:rPr>
          <w:rFonts w:ascii="Bookman Old Style" w:hAnsi="Bookman Old Style"/>
        </w:rPr>
      </w:pPr>
      <w:hyperlink r:id="rId3" w:history="1">
        <w:r w:rsidR="0031157D" w:rsidRPr="006504E1">
          <w:rPr>
            <w:rStyle w:val="Hyperlink"/>
            <w:rFonts w:ascii="Bookman Old Style" w:hAnsi="Bookman Old Style"/>
          </w:rPr>
          <w:t>http://doi.org/10.22270/ujpr.v1i1.R1</w:t>
        </w:r>
      </w:hyperlink>
    </w:p>
    <w:p w:rsidR="00225778" w:rsidRDefault="00225778">
      <w:pPr>
        <w:pStyle w:val="CommentText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C11" w:rsidRDefault="000D6C11" w:rsidP="00150E0B">
      <w:r>
        <w:separator/>
      </w:r>
    </w:p>
  </w:endnote>
  <w:endnote w:type="continuationSeparator" w:id="1">
    <w:p w:rsidR="000D6C11" w:rsidRDefault="000D6C11" w:rsidP="0015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psgio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713a231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78" w:rsidRDefault="002257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B4" w:rsidRDefault="002D1BB4">
    <w:pPr>
      <w:pStyle w:val="Footer"/>
      <w:jc w:val="center"/>
    </w:pPr>
  </w:p>
  <w:p w:rsidR="002D1BB4" w:rsidRDefault="002D1B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778" w:rsidRDefault="0022577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7E" w:rsidRDefault="00BA397E">
    <w:pPr>
      <w:pStyle w:val="Footer"/>
      <w:jc w:val="center"/>
    </w:pPr>
  </w:p>
  <w:p w:rsidR="00BA397E" w:rsidRDefault="00BA397E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DF" w:rsidRDefault="00FE29DF">
    <w:pPr>
      <w:pStyle w:val="Footer"/>
    </w:pPr>
  </w:p>
  <w:p w:rsidR="00FE29DF" w:rsidRDefault="00FE29DF">
    <w:pPr>
      <w:pStyle w:val="Footer"/>
      <w:rPr>
        <w:rtl/>
        <w:lang w:bidi="ar-Y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C11" w:rsidRDefault="000D6C11" w:rsidP="00150E0B">
      <w:r>
        <w:separator/>
      </w:r>
    </w:p>
  </w:footnote>
  <w:footnote w:type="continuationSeparator" w:id="1">
    <w:p w:rsidR="000D6C11" w:rsidRDefault="000D6C11" w:rsidP="00150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B" w:rsidRDefault="00A274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338" o:spid="_x0000_s3074" type="#_x0000_t136" style="position:absolute;left:0;text-align:left;margin-left:0;margin-top:0;width:433.5pt;height:58.5pt;rotation:315;z-index:-25165414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B" w:rsidRDefault="00A274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339" o:spid="_x0000_s3075" type="#_x0000_t136" style="position:absolute;left:0;text-align:left;margin-left:0;margin-top:0;width:433.5pt;height:58.5pt;rotation:315;z-index:-25165209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B" w:rsidRDefault="00A274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337" o:spid="_x0000_s3073" type="#_x0000_t136" style="position:absolute;left:0;text-align:left;margin-left:0;margin-top:0;width:433.5pt;height:58.5pt;rotation:315;z-index:-25165619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B" w:rsidRDefault="00A274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341" o:spid="_x0000_s3077" type="#_x0000_t136" style="position:absolute;left:0;text-align:left;margin-left:0;margin-top:0;width:433.5pt;height:58.5pt;rotation:315;z-index:-251648000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B" w:rsidRDefault="00A274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342" o:spid="_x0000_s3078" type="#_x0000_t136" style="position:absolute;left:0;text-align:left;margin-left:0;margin-top:0;width:433.5pt;height:58.5pt;rotation:315;z-index:-251645952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B" w:rsidRDefault="00A274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340" o:spid="_x0000_s3076" type="#_x0000_t136" style="position:absolute;left:0;text-align:left;margin-left:0;margin-top:0;width:433.5pt;height:58.5pt;rotation:315;z-index:-25165004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B" w:rsidRDefault="00A274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344" o:spid="_x0000_s3080" type="#_x0000_t136" style="position:absolute;left:0;text-align:left;margin-left:0;margin-top:0;width:433.5pt;height:58.5pt;rotation:315;z-index:-251641856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9DF" w:rsidRDefault="00A274B0">
    <w:pPr>
      <w:pStyle w:val="Header"/>
      <w:rPr>
        <w:lang w:bidi="ar-Y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345" o:spid="_x0000_s3081" type="#_x0000_t136" style="position:absolute;left:0;text-align:left;margin-left:0;margin-top:0;width:433.5pt;height:58.5pt;rotation:315;z-index:-251639808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AB" w:rsidRDefault="00A274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343" o:spid="_x0000_s3079" type="#_x0000_t136" style="position:absolute;left:0;text-align:left;margin-left:0;margin-top:0;width:433.5pt;height:58.5pt;rotation:315;z-index:-251643904;mso-position-horizontal:center;mso-position-horizontal-relative:margin;mso-position-vertical:center;mso-position-vertical-relative:margin" o:allowincell="f" fillcolor="#002060" stroked="f">
          <v:fill opacity=".5"/>
          <v:textpath style="font-family:&quot;Calibri&quot;;font-size:48pt" string="Reviewer's Com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747"/>
    <w:multiLevelType w:val="hybridMultilevel"/>
    <w:tmpl w:val="8450707A"/>
    <w:lvl w:ilvl="0" w:tplc="579447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2642"/>
    <w:multiLevelType w:val="hybridMultilevel"/>
    <w:tmpl w:val="F036F512"/>
    <w:lvl w:ilvl="0" w:tplc="0CDEE1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436B"/>
    <w:multiLevelType w:val="hybridMultilevel"/>
    <w:tmpl w:val="509CF7EA"/>
    <w:lvl w:ilvl="0" w:tplc="0CDEE1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87876"/>
    <w:multiLevelType w:val="multilevel"/>
    <w:tmpl w:val="0E3C556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1080" w:hanging="1080"/>
      </w:pPr>
    </w:lvl>
    <w:lvl w:ilvl="3">
      <w:start w:val="1"/>
      <w:numFmt w:val="decimal"/>
      <w:lvlText w:val="%1.%2-%3.%4."/>
      <w:lvlJc w:val="left"/>
      <w:pPr>
        <w:ind w:left="1080" w:hanging="1080"/>
      </w:pPr>
    </w:lvl>
    <w:lvl w:ilvl="4">
      <w:start w:val="1"/>
      <w:numFmt w:val="decimal"/>
      <w:lvlText w:val="%1.%2-%3.%4.%5."/>
      <w:lvlJc w:val="left"/>
      <w:pPr>
        <w:ind w:left="1440" w:hanging="1440"/>
      </w:pPr>
    </w:lvl>
    <w:lvl w:ilvl="5">
      <w:start w:val="1"/>
      <w:numFmt w:val="decimal"/>
      <w:lvlText w:val="%1.%2-%3.%4.%5.%6."/>
      <w:lvlJc w:val="left"/>
      <w:pPr>
        <w:ind w:left="1800" w:hanging="1800"/>
      </w:pPr>
    </w:lvl>
    <w:lvl w:ilvl="6">
      <w:start w:val="1"/>
      <w:numFmt w:val="decimal"/>
      <w:lvlText w:val="%1.%2-%3.%4.%5.%6.%7."/>
      <w:lvlJc w:val="left"/>
      <w:pPr>
        <w:ind w:left="1800" w:hanging="1800"/>
      </w:pPr>
    </w:lvl>
    <w:lvl w:ilvl="7">
      <w:start w:val="1"/>
      <w:numFmt w:val="decimal"/>
      <w:lvlText w:val="%1.%2-%3.%4.%5.%6.%7.%8."/>
      <w:lvlJc w:val="left"/>
      <w:pPr>
        <w:ind w:left="2160" w:hanging="2160"/>
      </w:pPr>
    </w:lvl>
    <w:lvl w:ilvl="8">
      <w:start w:val="1"/>
      <w:numFmt w:val="decimal"/>
      <w:lvlText w:val="%1.%2-%3.%4.%5.%6.%7.%8.%9."/>
      <w:lvlJc w:val="left"/>
      <w:pPr>
        <w:ind w:left="2520" w:hanging="25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hideSpellingErrors/>
  <w:hideGrammaticalErrors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714B0"/>
    <w:rsid w:val="0000096E"/>
    <w:rsid w:val="0000102B"/>
    <w:rsid w:val="00004B61"/>
    <w:rsid w:val="000052FA"/>
    <w:rsid w:val="00005BE2"/>
    <w:rsid w:val="00012AEB"/>
    <w:rsid w:val="00022F95"/>
    <w:rsid w:val="000259D5"/>
    <w:rsid w:val="000328DF"/>
    <w:rsid w:val="0003366D"/>
    <w:rsid w:val="00036986"/>
    <w:rsid w:val="0004208D"/>
    <w:rsid w:val="000469A3"/>
    <w:rsid w:val="00057F4D"/>
    <w:rsid w:val="000609D5"/>
    <w:rsid w:val="000655AD"/>
    <w:rsid w:val="00066ED5"/>
    <w:rsid w:val="00072C40"/>
    <w:rsid w:val="000731DA"/>
    <w:rsid w:val="0007766D"/>
    <w:rsid w:val="000779C3"/>
    <w:rsid w:val="00080214"/>
    <w:rsid w:val="000808E6"/>
    <w:rsid w:val="00084C9D"/>
    <w:rsid w:val="000850C2"/>
    <w:rsid w:val="000868B7"/>
    <w:rsid w:val="00090C82"/>
    <w:rsid w:val="0009258D"/>
    <w:rsid w:val="000953D4"/>
    <w:rsid w:val="000974B7"/>
    <w:rsid w:val="000A3930"/>
    <w:rsid w:val="000A3C31"/>
    <w:rsid w:val="000A4ABC"/>
    <w:rsid w:val="000A5500"/>
    <w:rsid w:val="000A657A"/>
    <w:rsid w:val="000B2D20"/>
    <w:rsid w:val="000B5DC3"/>
    <w:rsid w:val="000B7D9E"/>
    <w:rsid w:val="000C1266"/>
    <w:rsid w:val="000C2547"/>
    <w:rsid w:val="000C5990"/>
    <w:rsid w:val="000C7E64"/>
    <w:rsid w:val="000D0C28"/>
    <w:rsid w:val="000D6C11"/>
    <w:rsid w:val="000E5D84"/>
    <w:rsid w:val="000F08B1"/>
    <w:rsid w:val="000F1311"/>
    <w:rsid w:val="000F2791"/>
    <w:rsid w:val="000F2CF6"/>
    <w:rsid w:val="000F4012"/>
    <w:rsid w:val="000F5445"/>
    <w:rsid w:val="000F5CD5"/>
    <w:rsid w:val="0010105A"/>
    <w:rsid w:val="00102FC7"/>
    <w:rsid w:val="00104C4F"/>
    <w:rsid w:val="00114C45"/>
    <w:rsid w:val="00114E40"/>
    <w:rsid w:val="00116E8C"/>
    <w:rsid w:val="001222FD"/>
    <w:rsid w:val="00125B61"/>
    <w:rsid w:val="0012765D"/>
    <w:rsid w:val="001325DA"/>
    <w:rsid w:val="00133D6A"/>
    <w:rsid w:val="00144AD5"/>
    <w:rsid w:val="00150E0B"/>
    <w:rsid w:val="00154D8E"/>
    <w:rsid w:val="001633E7"/>
    <w:rsid w:val="001640FE"/>
    <w:rsid w:val="0016534E"/>
    <w:rsid w:val="001707F6"/>
    <w:rsid w:val="00170FB8"/>
    <w:rsid w:val="0017429D"/>
    <w:rsid w:val="00175FEF"/>
    <w:rsid w:val="00180EF3"/>
    <w:rsid w:val="00192D3C"/>
    <w:rsid w:val="00193B31"/>
    <w:rsid w:val="00194E12"/>
    <w:rsid w:val="001969B5"/>
    <w:rsid w:val="001A0AEC"/>
    <w:rsid w:val="001A1D66"/>
    <w:rsid w:val="001A4C3D"/>
    <w:rsid w:val="001A5059"/>
    <w:rsid w:val="001B1728"/>
    <w:rsid w:val="001C1DE5"/>
    <w:rsid w:val="001C2534"/>
    <w:rsid w:val="001D1401"/>
    <w:rsid w:val="001E0BEE"/>
    <w:rsid w:val="001E1712"/>
    <w:rsid w:val="001E2DD5"/>
    <w:rsid w:val="001E3B63"/>
    <w:rsid w:val="001E50F2"/>
    <w:rsid w:val="001F7020"/>
    <w:rsid w:val="0020105C"/>
    <w:rsid w:val="00201D74"/>
    <w:rsid w:val="00206676"/>
    <w:rsid w:val="002168AB"/>
    <w:rsid w:val="00216AA3"/>
    <w:rsid w:val="0021734D"/>
    <w:rsid w:val="002248E8"/>
    <w:rsid w:val="00225778"/>
    <w:rsid w:val="00227D16"/>
    <w:rsid w:val="002319EE"/>
    <w:rsid w:val="0023269D"/>
    <w:rsid w:val="00240C0A"/>
    <w:rsid w:val="00240E99"/>
    <w:rsid w:val="00243649"/>
    <w:rsid w:val="00244BA5"/>
    <w:rsid w:val="00247219"/>
    <w:rsid w:val="002524F5"/>
    <w:rsid w:val="002532E9"/>
    <w:rsid w:val="0027359D"/>
    <w:rsid w:val="00275FEF"/>
    <w:rsid w:val="002778E2"/>
    <w:rsid w:val="002819E7"/>
    <w:rsid w:val="00290137"/>
    <w:rsid w:val="00290CF3"/>
    <w:rsid w:val="00297490"/>
    <w:rsid w:val="002A3970"/>
    <w:rsid w:val="002A3CC6"/>
    <w:rsid w:val="002A75E6"/>
    <w:rsid w:val="002C486E"/>
    <w:rsid w:val="002C67AD"/>
    <w:rsid w:val="002D1BB4"/>
    <w:rsid w:val="002D2CED"/>
    <w:rsid w:val="002D4554"/>
    <w:rsid w:val="002E047D"/>
    <w:rsid w:val="002E50EF"/>
    <w:rsid w:val="002E5E48"/>
    <w:rsid w:val="002F0607"/>
    <w:rsid w:val="002F2FD1"/>
    <w:rsid w:val="002F5B63"/>
    <w:rsid w:val="002F6F7E"/>
    <w:rsid w:val="003017E6"/>
    <w:rsid w:val="0030240A"/>
    <w:rsid w:val="003038A9"/>
    <w:rsid w:val="0031157D"/>
    <w:rsid w:val="0031786C"/>
    <w:rsid w:val="003234FD"/>
    <w:rsid w:val="00324166"/>
    <w:rsid w:val="00332376"/>
    <w:rsid w:val="00333E2A"/>
    <w:rsid w:val="003363E0"/>
    <w:rsid w:val="0033718E"/>
    <w:rsid w:val="003462D4"/>
    <w:rsid w:val="003508FB"/>
    <w:rsid w:val="00354F3A"/>
    <w:rsid w:val="00361270"/>
    <w:rsid w:val="0036345F"/>
    <w:rsid w:val="003654EC"/>
    <w:rsid w:val="003714B0"/>
    <w:rsid w:val="0037754E"/>
    <w:rsid w:val="00381C0E"/>
    <w:rsid w:val="00392721"/>
    <w:rsid w:val="003B48EA"/>
    <w:rsid w:val="003B6606"/>
    <w:rsid w:val="003B74C0"/>
    <w:rsid w:val="003B7F29"/>
    <w:rsid w:val="003C0D3B"/>
    <w:rsid w:val="003C2288"/>
    <w:rsid w:val="003C35DD"/>
    <w:rsid w:val="003C5ABD"/>
    <w:rsid w:val="003C5DF9"/>
    <w:rsid w:val="003C64CC"/>
    <w:rsid w:val="003C751E"/>
    <w:rsid w:val="003C7BEC"/>
    <w:rsid w:val="003D175C"/>
    <w:rsid w:val="003D4173"/>
    <w:rsid w:val="003E341D"/>
    <w:rsid w:val="003E38CE"/>
    <w:rsid w:val="003F026A"/>
    <w:rsid w:val="003F2528"/>
    <w:rsid w:val="003F7FAD"/>
    <w:rsid w:val="00400E83"/>
    <w:rsid w:val="00401206"/>
    <w:rsid w:val="004079D1"/>
    <w:rsid w:val="00414858"/>
    <w:rsid w:val="00420D2C"/>
    <w:rsid w:val="00420EBB"/>
    <w:rsid w:val="00422F3A"/>
    <w:rsid w:val="00426B78"/>
    <w:rsid w:val="0043010E"/>
    <w:rsid w:val="00430FD7"/>
    <w:rsid w:val="00432F40"/>
    <w:rsid w:val="00440916"/>
    <w:rsid w:val="00445C7E"/>
    <w:rsid w:val="00447DEF"/>
    <w:rsid w:val="0045565B"/>
    <w:rsid w:val="00462921"/>
    <w:rsid w:val="0046403C"/>
    <w:rsid w:val="004642FA"/>
    <w:rsid w:val="00473B27"/>
    <w:rsid w:val="004770F3"/>
    <w:rsid w:val="00481A1F"/>
    <w:rsid w:val="004835FD"/>
    <w:rsid w:val="004847EF"/>
    <w:rsid w:val="00491C1B"/>
    <w:rsid w:val="00494732"/>
    <w:rsid w:val="004A10E6"/>
    <w:rsid w:val="004A3FE1"/>
    <w:rsid w:val="004B0236"/>
    <w:rsid w:val="004B30EC"/>
    <w:rsid w:val="004C2F19"/>
    <w:rsid w:val="004C3296"/>
    <w:rsid w:val="004C348B"/>
    <w:rsid w:val="004C4C52"/>
    <w:rsid w:val="004C4DBD"/>
    <w:rsid w:val="004C51CA"/>
    <w:rsid w:val="004C70E8"/>
    <w:rsid w:val="004D0F4D"/>
    <w:rsid w:val="004E3CEB"/>
    <w:rsid w:val="004E632A"/>
    <w:rsid w:val="004F6AB3"/>
    <w:rsid w:val="00502576"/>
    <w:rsid w:val="00503ECC"/>
    <w:rsid w:val="005101DF"/>
    <w:rsid w:val="00511B95"/>
    <w:rsid w:val="00516E7C"/>
    <w:rsid w:val="0052115E"/>
    <w:rsid w:val="00524746"/>
    <w:rsid w:val="00524ABC"/>
    <w:rsid w:val="00526C02"/>
    <w:rsid w:val="00534E5F"/>
    <w:rsid w:val="00536AE0"/>
    <w:rsid w:val="0054015E"/>
    <w:rsid w:val="00540A96"/>
    <w:rsid w:val="00542455"/>
    <w:rsid w:val="005437EF"/>
    <w:rsid w:val="00547BF3"/>
    <w:rsid w:val="00555B98"/>
    <w:rsid w:val="00563786"/>
    <w:rsid w:val="00563FFD"/>
    <w:rsid w:val="005662C0"/>
    <w:rsid w:val="005712B7"/>
    <w:rsid w:val="00577825"/>
    <w:rsid w:val="00580E2B"/>
    <w:rsid w:val="00584284"/>
    <w:rsid w:val="00590291"/>
    <w:rsid w:val="005917BE"/>
    <w:rsid w:val="00592327"/>
    <w:rsid w:val="005A07B9"/>
    <w:rsid w:val="005A290C"/>
    <w:rsid w:val="005A4AA6"/>
    <w:rsid w:val="005B2E7E"/>
    <w:rsid w:val="005B7093"/>
    <w:rsid w:val="005C1C37"/>
    <w:rsid w:val="005C3DE5"/>
    <w:rsid w:val="005C4425"/>
    <w:rsid w:val="005D16AB"/>
    <w:rsid w:val="005D39C6"/>
    <w:rsid w:val="005D567C"/>
    <w:rsid w:val="005E4CDD"/>
    <w:rsid w:val="005F1721"/>
    <w:rsid w:val="005F2C5C"/>
    <w:rsid w:val="005F3360"/>
    <w:rsid w:val="0060005A"/>
    <w:rsid w:val="00602665"/>
    <w:rsid w:val="00603CC7"/>
    <w:rsid w:val="006112D7"/>
    <w:rsid w:val="00611C73"/>
    <w:rsid w:val="00612D84"/>
    <w:rsid w:val="00612FFB"/>
    <w:rsid w:val="00613C81"/>
    <w:rsid w:val="00614A11"/>
    <w:rsid w:val="00631E41"/>
    <w:rsid w:val="0063259F"/>
    <w:rsid w:val="00636A38"/>
    <w:rsid w:val="0063700A"/>
    <w:rsid w:val="00641BD0"/>
    <w:rsid w:val="0064219C"/>
    <w:rsid w:val="00646779"/>
    <w:rsid w:val="00647239"/>
    <w:rsid w:val="0065164D"/>
    <w:rsid w:val="00651EE4"/>
    <w:rsid w:val="006522E7"/>
    <w:rsid w:val="00652EA8"/>
    <w:rsid w:val="00666FF1"/>
    <w:rsid w:val="00667569"/>
    <w:rsid w:val="00681F15"/>
    <w:rsid w:val="0069131E"/>
    <w:rsid w:val="006B0261"/>
    <w:rsid w:val="006B0E0A"/>
    <w:rsid w:val="006B1453"/>
    <w:rsid w:val="006B305D"/>
    <w:rsid w:val="006B72BC"/>
    <w:rsid w:val="006C0A43"/>
    <w:rsid w:val="006D0B17"/>
    <w:rsid w:val="006D66B7"/>
    <w:rsid w:val="006D6977"/>
    <w:rsid w:val="006D6F47"/>
    <w:rsid w:val="006E0C3C"/>
    <w:rsid w:val="006F4FBC"/>
    <w:rsid w:val="00707809"/>
    <w:rsid w:val="00715118"/>
    <w:rsid w:val="00715EFB"/>
    <w:rsid w:val="00717EF9"/>
    <w:rsid w:val="007217C5"/>
    <w:rsid w:val="00723AB0"/>
    <w:rsid w:val="00724ABE"/>
    <w:rsid w:val="007260DC"/>
    <w:rsid w:val="00727AFF"/>
    <w:rsid w:val="00727FEB"/>
    <w:rsid w:val="007321B9"/>
    <w:rsid w:val="007370DC"/>
    <w:rsid w:val="007408AE"/>
    <w:rsid w:val="00745A6D"/>
    <w:rsid w:val="00745B19"/>
    <w:rsid w:val="00746163"/>
    <w:rsid w:val="00750A0A"/>
    <w:rsid w:val="007530ED"/>
    <w:rsid w:val="007543FF"/>
    <w:rsid w:val="00755B21"/>
    <w:rsid w:val="007616A3"/>
    <w:rsid w:val="00764ADA"/>
    <w:rsid w:val="00766770"/>
    <w:rsid w:val="0076780C"/>
    <w:rsid w:val="007729DE"/>
    <w:rsid w:val="007838DC"/>
    <w:rsid w:val="00787F01"/>
    <w:rsid w:val="00790251"/>
    <w:rsid w:val="00793E07"/>
    <w:rsid w:val="00794610"/>
    <w:rsid w:val="00796656"/>
    <w:rsid w:val="0079760D"/>
    <w:rsid w:val="007A1EBB"/>
    <w:rsid w:val="007A430A"/>
    <w:rsid w:val="007A4922"/>
    <w:rsid w:val="007A4C2B"/>
    <w:rsid w:val="007A584E"/>
    <w:rsid w:val="007B0498"/>
    <w:rsid w:val="007B1B24"/>
    <w:rsid w:val="007B416A"/>
    <w:rsid w:val="007B44DE"/>
    <w:rsid w:val="007B7F0B"/>
    <w:rsid w:val="007C149A"/>
    <w:rsid w:val="007C2674"/>
    <w:rsid w:val="007C6876"/>
    <w:rsid w:val="007D421F"/>
    <w:rsid w:val="007E3657"/>
    <w:rsid w:val="007E4173"/>
    <w:rsid w:val="007E7F9D"/>
    <w:rsid w:val="007F2515"/>
    <w:rsid w:val="007F2696"/>
    <w:rsid w:val="007F2DE6"/>
    <w:rsid w:val="007F36F4"/>
    <w:rsid w:val="007F37B1"/>
    <w:rsid w:val="008046B4"/>
    <w:rsid w:val="008075F7"/>
    <w:rsid w:val="008149CE"/>
    <w:rsid w:val="00820ADC"/>
    <w:rsid w:val="008253D2"/>
    <w:rsid w:val="00827EF1"/>
    <w:rsid w:val="00830D3E"/>
    <w:rsid w:val="00845E74"/>
    <w:rsid w:val="008551EE"/>
    <w:rsid w:val="00857007"/>
    <w:rsid w:val="008622F3"/>
    <w:rsid w:val="0086448D"/>
    <w:rsid w:val="00864B1F"/>
    <w:rsid w:val="0086511F"/>
    <w:rsid w:val="00870249"/>
    <w:rsid w:val="00871AD9"/>
    <w:rsid w:val="00873792"/>
    <w:rsid w:val="00875BA0"/>
    <w:rsid w:val="008760EB"/>
    <w:rsid w:val="00881DA2"/>
    <w:rsid w:val="008841BD"/>
    <w:rsid w:val="00885D1B"/>
    <w:rsid w:val="008912E1"/>
    <w:rsid w:val="00894688"/>
    <w:rsid w:val="008953B3"/>
    <w:rsid w:val="008956D8"/>
    <w:rsid w:val="008A1719"/>
    <w:rsid w:val="008A430E"/>
    <w:rsid w:val="008A7D95"/>
    <w:rsid w:val="008B432F"/>
    <w:rsid w:val="008C35C7"/>
    <w:rsid w:val="008C7F2E"/>
    <w:rsid w:val="008D5B2E"/>
    <w:rsid w:val="008D5B7D"/>
    <w:rsid w:val="008D6BEA"/>
    <w:rsid w:val="008E0B2E"/>
    <w:rsid w:val="008E58A6"/>
    <w:rsid w:val="008F6170"/>
    <w:rsid w:val="00915D15"/>
    <w:rsid w:val="00916A8D"/>
    <w:rsid w:val="0093333F"/>
    <w:rsid w:val="00933A20"/>
    <w:rsid w:val="00936576"/>
    <w:rsid w:val="00936736"/>
    <w:rsid w:val="0094099E"/>
    <w:rsid w:val="00946E78"/>
    <w:rsid w:val="009576FE"/>
    <w:rsid w:val="00960009"/>
    <w:rsid w:val="009607BD"/>
    <w:rsid w:val="00962CC4"/>
    <w:rsid w:val="00972BA4"/>
    <w:rsid w:val="00974B4B"/>
    <w:rsid w:val="0097765A"/>
    <w:rsid w:val="00982884"/>
    <w:rsid w:val="00983824"/>
    <w:rsid w:val="009901A4"/>
    <w:rsid w:val="00992145"/>
    <w:rsid w:val="00993C9D"/>
    <w:rsid w:val="00994495"/>
    <w:rsid w:val="00996427"/>
    <w:rsid w:val="00996802"/>
    <w:rsid w:val="00997BB6"/>
    <w:rsid w:val="009A17C0"/>
    <w:rsid w:val="009A47A0"/>
    <w:rsid w:val="009A5A43"/>
    <w:rsid w:val="009A5D89"/>
    <w:rsid w:val="009B2124"/>
    <w:rsid w:val="009B4131"/>
    <w:rsid w:val="009C4847"/>
    <w:rsid w:val="009C52A8"/>
    <w:rsid w:val="009C73FE"/>
    <w:rsid w:val="009D2D18"/>
    <w:rsid w:val="009D5962"/>
    <w:rsid w:val="009D5B83"/>
    <w:rsid w:val="009E12DC"/>
    <w:rsid w:val="009E193C"/>
    <w:rsid w:val="009E500E"/>
    <w:rsid w:val="009E55B6"/>
    <w:rsid w:val="009E5B01"/>
    <w:rsid w:val="009F0A41"/>
    <w:rsid w:val="009F102C"/>
    <w:rsid w:val="009F2831"/>
    <w:rsid w:val="009F74B7"/>
    <w:rsid w:val="009F7C34"/>
    <w:rsid w:val="009F7D8E"/>
    <w:rsid w:val="00A03C95"/>
    <w:rsid w:val="00A16508"/>
    <w:rsid w:val="00A17682"/>
    <w:rsid w:val="00A23966"/>
    <w:rsid w:val="00A274B0"/>
    <w:rsid w:val="00A27A9A"/>
    <w:rsid w:val="00A27F88"/>
    <w:rsid w:val="00A3725C"/>
    <w:rsid w:val="00A4755E"/>
    <w:rsid w:val="00A60F65"/>
    <w:rsid w:val="00A6310A"/>
    <w:rsid w:val="00A643DB"/>
    <w:rsid w:val="00A6519B"/>
    <w:rsid w:val="00A70350"/>
    <w:rsid w:val="00A74B74"/>
    <w:rsid w:val="00A776C0"/>
    <w:rsid w:val="00A80036"/>
    <w:rsid w:val="00A81B9F"/>
    <w:rsid w:val="00A825F2"/>
    <w:rsid w:val="00A87ABA"/>
    <w:rsid w:val="00A91A7D"/>
    <w:rsid w:val="00A96627"/>
    <w:rsid w:val="00A9665D"/>
    <w:rsid w:val="00A97365"/>
    <w:rsid w:val="00AA0B6B"/>
    <w:rsid w:val="00AA3062"/>
    <w:rsid w:val="00AA502D"/>
    <w:rsid w:val="00AC33AF"/>
    <w:rsid w:val="00AC6CB0"/>
    <w:rsid w:val="00AD1147"/>
    <w:rsid w:val="00AD6FB6"/>
    <w:rsid w:val="00AE1C1C"/>
    <w:rsid w:val="00AE514D"/>
    <w:rsid w:val="00AE65C2"/>
    <w:rsid w:val="00AE7AD8"/>
    <w:rsid w:val="00AF2F13"/>
    <w:rsid w:val="00AF5083"/>
    <w:rsid w:val="00AF6329"/>
    <w:rsid w:val="00B02BAC"/>
    <w:rsid w:val="00B031AB"/>
    <w:rsid w:val="00B0375C"/>
    <w:rsid w:val="00B10775"/>
    <w:rsid w:val="00B10FB9"/>
    <w:rsid w:val="00B166CF"/>
    <w:rsid w:val="00B248F2"/>
    <w:rsid w:val="00B3123A"/>
    <w:rsid w:val="00B31E95"/>
    <w:rsid w:val="00B34358"/>
    <w:rsid w:val="00B3537B"/>
    <w:rsid w:val="00B360FE"/>
    <w:rsid w:val="00B36923"/>
    <w:rsid w:val="00B45673"/>
    <w:rsid w:val="00B52711"/>
    <w:rsid w:val="00B527E5"/>
    <w:rsid w:val="00B52A7A"/>
    <w:rsid w:val="00B614C9"/>
    <w:rsid w:val="00B72D12"/>
    <w:rsid w:val="00B7723D"/>
    <w:rsid w:val="00B8017C"/>
    <w:rsid w:val="00B804C0"/>
    <w:rsid w:val="00B81DB2"/>
    <w:rsid w:val="00B87D63"/>
    <w:rsid w:val="00B90704"/>
    <w:rsid w:val="00B94618"/>
    <w:rsid w:val="00B95478"/>
    <w:rsid w:val="00B95766"/>
    <w:rsid w:val="00B96791"/>
    <w:rsid w:val="00B970F0"/>
    <w:rsid w:val="00BA0052"/>
    <w:rsid w:val="00BA397E"/>
    <w:rsid w:val="00BC4904"/>
    <w:rsid w:val="00BC4AFF"/>
    <w:rsid w:val="00BC4CF0"/>
    <w:rsid w:val="00BD253D"/>
    <w:rsid w:val="00BD3946"/>
    <w:rsid w:val="00BD4DF0"/>
    <w:rsid w:val="00BE246E"/>
    <w:rsid w:val="00BE26DF"/>
    <w:rsid w:val="00BE2B23"/>
    <w:rsid w:val="00BE321D"/>
    <w:rsid w:val="00BE4568"/>
    <w:rsid w:val="00BE7CE3"/>
    <w:rsid w:val="00C0026F"/>
    <w:rsid w:val="00C0124B"/>
    <w:rsid w:val="00C02536"/>
    <w:rsid w:val="00C0281E"/>
    <w:rsid w:val="00C055F0"/>
    <w:rsid w:val="00C10515"/>
    <w:rsid w:val="00C13BE2"/>
    <w:rsid w:val="00C31EEF"/>
    <w:rsid w:val="00C345E4"/>
    <w:rsid w:val="00C404C8"/>
    <w:rsid w:val="00C406C0"/>
    <w:rsid w:val="00C44A79"/>
    <w:rsid w:val="00C44B47"/>
    <w:rsid w:val="00C45885"/>
    <w:rsid w:val="00C45BF2"/>
    <w:rsid w:val="00C45CCC"/>
    <w:rsid w:val="00C47952"/>
    <w:rsid w:val="00C53174"/>
    <w:rsid w:val="00C53CC1"/>
    <w:rsid w:val="00C5483F"/>
    <w:rsid w:val="00C57D2A"/>
    <w:rsid w:val="00C635AC"/>
    <w:rsid w:val="00C63C22"/>
    <w:rsid w:val="00C70374"/>
    <w:rsid w:val="00C73B71"/>
    <w:rsid w:val="00C73E7B"/>
    <w:rsid w:val="00C83D22"/>
    <w:rsid w:val="00C84F64"/>
    <w:rsid w:val="00C85C0A"/>
    <w:rsid w:val="00C92564"/>
    <w:rsid w:val="00C978BE"/>
    <w:rsid w:val="00C97DFF"/>
    <w:rsid w:val="00CA4DAB"/>
    <w:rsid w:val="00CB169A"/>
    <w:rsid w:val="00CC0CA8"/>
    <w:rsid w:val="00CC44DA"/>
    <w:rsid w:val="00CD0FD9"/>
    <w:rsid w:val="00CE0403"/>
    <w:rsid w:val="00CE1F5C"/>
    <w:rsid w:val="00CE20ED"/>
    <w:rsid w:val="00CE568F"/>
    <w:rsid w:val="00CE58E4"/>
    <w:rsid w:val="00CF0562"/>
    <w:rsid w:val="00CF3AB9"/>
    <w:rsid w:val="00CF6019"/>
    <w:rsid w:val="00CF7A7F"/>
    <w:rsid w:val="00D05452"/>
    <w:rsid w:val="00D075D0"/>
    <w:rsid w:val="00D12E18"/>
    <w:rsid w:val="00D15ADF"/>
    <w:rsid w:val="00D215A7"/>
    <w:rsid w:val="00D24436"/>
    <w:rsid w:val="00D32981"/>
    <w:rsid w:val="00D35C3A"/>
    <w:rsid w:val="00D36810"/>
    <w:rsid w:val="00D41905"/>
    <w:rsid w:val="00D4244D"/>
    <w:rsid w:val="00D45DBD"/>
    <w:rsid w:val="00D47AB6"/>
    <w:rsid w:val="00D516F4"/>
    <w:rsid w:val="00D51795"/>
    <w:rsid w:val="00D6737F"/>
    <w:rsid w:val="00D77A31"/>
    <w:rsid w:val="00D809E7"/>
    <w:rsid w:val="00D831DE"/>
    <w:rsid w:val="00D912E2"/>
    <w:rsid w:val="00D942EC"/>
    <w:rsid w:val="00DA6DDD"/>
    <w:rsid w:val="00DB1352"/>
    <w:rsid w:val="00DB1783"/>
    <w:rsid w:val="00DB17EA"/>
    <w:rsid w:val="00DB519C"/>
    <w:rsid w:val="00DB55E0"/>
    <w:rsid w:val="00DC02AB"/>
    <w:rsid w:val="00DC4668"/>
    <w:rsid w:val="00DD1CB6"/>
    <w:rsid w:val="00DD24FC"/>
    <w:rsid w:val="00DD31EC"/>
    <w:rsid w:val="00DE1A65"/>
    <w:rsid w:val="00DE27F4"/>
    <w:rsid w:val="00DE3107"/>
    <w:rsid w:val="00DE3552"/>
    <w:rsid w:val="00DE7DD9"/>
    <w:rsid w:val="00E04DE4"/>
    <w:rsid w:val="00E06FBD"/>
    <w:rsid w:val="00E07942"/>
    <w:rsid w:val="00E07C18"/>
    <w:rsid w:val="00E16BD9"/>
    <w:rsid w:val="00E17943"/>
    <w:rsid w:val="00E22A64"/>
    <w:rsid w:val="00E26FFC"/>
    <w:rsid w:val="00E32317"/>
    <w:rsid w:val="00E36838"/>
    <w:rsid w:val="00E37B20"/>
    <w:rsid w:val="00E40462"/>
    <w:rsid w:val="00E41AE2"/>
    <w:rsid w:val="00E42CF4"/>
    <w:rsid w:val="00E45C63"/>
    <w:rsid w:val="00E51C57"/>
    <w:rsid w:val="00E61796"/>
    <w:rsid w:val="00E626C3"/>
    <w:rsid w:val="00E629FE"/>
    <w:rsid w:val="00E661C7"/>
    <w:rsid w:val="00E66976"/>
    <w:rsid w:val="00E74DCC"/>
    <w:rsid w:val="00E75269"/>
    <w:rsid w:val="00E7556F"/>
    <w:rsid w:val="00E76A09"/>
    <w:rsid w:val="00E76A45"/>
    <w:rsid w:val="00E87D79"/>
    <w:rsid w:val="00E900C0"/>
    <w:rsid w:val="00E902B0"/>
    <w:rsid w:val="00E9060E"/>
    <w:rsid w:val="00E9271B"/>
    <w:rsid w:val="00E95701"/>
    <w:rsid w:val="00E95CF0"/>
    <w:rsid w:val="00EA1844"/>
    <w:rsid w:val="00EA2FAB"/>
    <w:rsid w:val="00EB050B"/>
    <w:rsid w:val="00EB0635"/>
    <w:rsid w:val="00EB1C32"/>
    <w:rsid w:val="00EB235A"/>
    <w:rsid w:val="00EC0F10"/>
    <w:rsid w:val="00EC6377"/>
    <w:rsid w:val="00EC70B0"/>
    <w:rsid w:val="00ED0459"/>
    <w:rsid w:val="00ED27FC"/>
    <w:rsid w:val="00ED6686"/>
    <w:rsid w:val="00ED73E9"/>
    <w:rsid w:val="00EF4E31"/>
    <w:rsid w:val="00EF7221"/>
    <w:rsid w:val="00EF739D"/>
    <w:rsid w:val="00F03BA7"/>
    <w:rsid w:val="00F10D0C"/>
    <w:rsid w:val="00F1392E"/>
    <w:rsid w:val="00F15DC5"/>
    <w:rsid w:val="00F168CA"/>
    <w:rsid w:val="00F20874"/>
    <w:rsid w:val="00F214D0"/>
    <w:rsid w:val="00F260C0"/>
    <w:rsid w:val="00F26956"/>
    <w:rsid w:val="00F27369"/>
    <w:rsid w:val="00F31FC6"/>
    <w:rsid w:val="00F35DA6"/>
    <w:rsid w:val="00F50042"/>
    <w:rsid w:val="00F62FD2"/>
    <w:rsid w:val="00F66E84"/>
    <w:rsid w:val="00F67B41"/>
    <w:rsid w:val="00F70716"/>
    <w:rsid w:val="00F7784A"/>
    <w:rsid w:val="00F81582"/>
    <w:rsid w:val="00F83315"/>
    <w:rsid w:val="00F85798"/>
    <w:rsid w:val="00F95F1E"/>
    <w:rsid w:val="00F960AB"/>
    <w:rsid w:val="00FA5AF5"/>
    <w:rsid w:val="00FA6247"/>
    <w:rsid w:val="00FB3A03"/>
    <w:rsid w:val="00FB4812"/>
    <w:rsid w:val="00FC3C10"/>
    <w:rsid w:val="00FD030F"/>
    <w:rsid w:val="00FD0E28"/>
    <w:rsid w:val="00FD1148"/>
    <w:rsid w:val="00FD2B66"/>
    <w:rsid w:val="00FD5572"/>
    <w:rsid w:val="00FD6965"/>
    <w:rsid w:val="00FE1063"/>
    <w:rsid w:val="00FE10FE"/>
    <w:rsid w:val="00FE29DF"/>
    <w:rsid w:val="00FF2B47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A5D89"/>
    <w:pPr>
      <w:ind w:left="720"/>
      <w:contextualSpacing/>
    </w:pPr>
  </w:style>
  <w:style w:type="character" w:customStyle="1" w:styleId="highlight">
    <w:name w:val="highlight"/>
    <w:basedOn w:val="DefaultParagraphFont"/>
    <w:rsid w:val="00170FB8"/>
  </w:style>
  <w:style w:type="paragraph" w:customStyle="1" w:styleId="Default">
    <w:name w:val="Default"/>
    <w:rsid w:val="00432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2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E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766770"/>
  </w:style>
  <w:style w:type="character" w:styleId="Hyperlink">
    <w:name w:val="Hyperlink"/>
    <w:basedOn w:val="DefaultParagraphFont"/>
    <w:uiPriority w:val="99"/>
    <w:unhideWhenUsed/>
    <w:rsid w:val="00766770"/>
    <w:rPr>
      <w:color w:val="0000FF"/>
      <w:u w:val="single"/>
    </w:rPr>
  </w:style>
  <w:style w:type="character" w:customStyle="1" w:styleId="citation">
    <w:name w:val="citation"/>
    <w:basedOn w:val="DefaultParagraphFont"/>
    <w:rsid w:val="00766770"/>
  </w:style>
  <w:style w:type="paragraph" w:styleId="NormalWeb">
    <w:name w:val="Normal (Web)"/>
    <w:basedOn w:val="Normal"/>
    <w:uiPriority w:val="99"/>
    <w:unhideWhenUsed/>
    <w:rsid w:val="00766770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766770"/>
    <w:rPr>
      <w:i/>
      <w:iCs/>
    </w:rPr>
  </w:style>
  <w:style w:type="character" w:styleId="Strong">
    <w:name w:val="Strong"/>
    <w:basedOn w:val="DefaultParagraphFont"/>
    <w:qFormat/>
    <w:rsid w:val="00766770"/>
    <w:rPr>
      <w:b/>
      <w:bCs/>
    </w:rPr>
  </w:style>
  <w:style w:type="character" w:customStyle="1" w:styleId="reference-accessdate">
    <w:name w:val="reference-accessdate"/>
    <w:basedOn w:val="DefaultParagraphFont"/>
    <w:rsid w:val="00766770"/>
  </w:style>
  <w:style w:type="paragraph" w:styleId="Header">
    <w:name w:val="header"/>
    <w:basedOn w:val="Normal"/>
    <w:link w:val="HeaderChar"/>
    <w:uiPriority w:val="99"/>
    <w:unhideWhenUsed/>
    <w:rsid w:val="00150E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0E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E0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2D1B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ListParagraph"/>
    <w:link w:val="Style1Char"/>
    <w:qFormat/>
    <w:rsid w:val="00FE29DF"/>
    <w:pPr>
      <w:autoSpaceDE w:val="0"/>
      <w:autoSpaceDN w:val="0"/>
      <w:bidi w:val="0"/>
      <w:adjustRightInd w:val="0"/>
      <w:spacing w:after="200" w:line="360" w:lineRule="auto"/>
      <w:ind w:hanging="360"/>
      <w:jc w:val="both"/>
    </w:pPr>
    <w:rPr>
      <w:rFonts w:asciiTheme="majorBidi" w:hAnsiTheme="majorBidi" w:cstheme="maj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29DF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FE29DF"/>
    <w:rPr>
      <w:rFonts w:asciiTheme="majorBidi" w:eastAsia="Times New Roman" w:hAnsiTheme="majorBidi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5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7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file:///E:\Interleukin_22.htm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en.wikipedia.org/wiki/Interleukin_10" TargetMode="Externa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Cytokine" TargetMode="Externa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hart" Target="charts/chart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://en.wikipedia.org/wiki/Interleukin_1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ekra%20Ali\Desktop\updated%2016sep2017\IL-22correlationcurve13sep2017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kra%20Ali\Desktop\updated%2016sep2017\IL-22correlationcurve13sep20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ar-SA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0" u="none" strike="noStrike" baseline="0">
                <a:cs typeface="+mj-cs"/>
              </a:rPr>
              <a:t>Fig. 1</a:t>
            </a:r>
          </a:p>
          <a:p>
            <a:pPr>
              <a:defRPr lang="ar-SA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0" u="none" strike="noStrike" baseline="0">
                <a:cs typeface="+mj-cs"/>
              </a:rPr>
              <a:t>r=.416</a:t>
            </a:r>
            <a:r>
              <a:rPr lang="en-US" sz="1000" b="1" i="0" u="none" strike="noStrike" baseline="30000">
                <a:cs typeface="+mj-cs"/>
              </a:rPr>
              <a:t>**</a:t>
            </a:r>
            <a:r>
              <a:rPr lang="en-US" sz="1000" b="1" i="0" u="none" strike="noStrike" baseline="0">
                <a:cs typeface="+mj-cs"/>
              </a:rPr>
              <a:t>, p=.004</a:t>
            </a:r>
            <a:endParaRPr lang="en-US" sz="1000">
              <a:cs typeface="+mj-cs"/>
            </a:endParaRPr>
          </a:p>
        </c:rich>
      </c:tx>
      <c:layout>
        <c:manualLayout>
          <c:xMode val="edge"/>
          <c:yMode val="edge"/>
          <c:x val="0.37635604752320823"/>
          <c:y val="5.2383115160290886E-2"/>
        </c:manualLayout>
      </c:layout>
      <c:spPr>
        <a:noFill/>
        <a:ln w="25400">
          <a:noFill/>
        </a:ln>
      </c:spPr>
    </c:title>
    <c:plotArea>
      <c:layout/>
      <c:scatterChart>
        <c:scatterStyle val="lineMarker"/>
        <c:ser>
          <c:idx val="0"/>
          <c:order val="0"/>
          <c:tx>
            <c:strRef>
              <c:f>Sheet5!$P$1</c:f>
              <c:strCache>
                <c:ptCount val="1"/>
                <c:pt idx="0">
                  <c:v>CRP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5400" cap="flat" cmpd="sng" algn="ctr">
                <a:solidFill>
                  <a:schemeClr val="dk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rendlineType val="linear"/>
          </c:trendline>
          <c:xVal>
            <c:numRef>
              <c:f>Sheet5!$O$2:$O$46</c:f>
              <c:numCache>
                <c:formatCode>General</c:formatCode>
                <c:ptCount val="45"/>
                <c:pt idx="0">
                  <c:v>95</c:v>
                </c:pt>
                <c:pt idx="1">
                  <c:v>428</c:v>
                </c:pt>
                <c:pt idx="2">
                  <c:v>88</c:v>
                </c:pt>
                <c:pt idx="3">
                  <c:v>87</c:v>
                </c:pt>
                <c:pt idx="4">
                  <c:v>84</c:v>
                </c:pt>
                <c:pt idx="5">
                  <c:v>214</c:v>
                </c:pt>
                <c:pt idx="6">
                  <c:v>172</c:v>
                </c:pt>
                <c:pt idx="7">
                  <c:v>79</c:v>
                </c:pt>
                <c:pt idx="8">
                  <c:v>385</c:v>
                </c:pt>
                <c:pt idx="9">
                  <c:v>85</c:v>
                </c:pt>
                <c:pt idx="10">
                  <c:v>78</c:v>
                </c:pt>
                <c:pt idx="11">
                  <c:v>88</c:v>
                </c:pt>
                <c:pt idx="12">
                  <c:v>111</c:v>
                </c:pt>
                <c:pt idx="13">
                  <c:v>75</c:v>
                </c:pt>
                <c:pt idx="14">
                  <c:v>800</c:v>
                </c:pt>
                <c:pt idx="15">
                  <c:v>82</c:v>
                </c:pt>
                <c:pt idx="16">
                  <c:v>81</c:v>
                </c:pt>
                <c:pt idx="17">
                  <c:v>75</c:v>
                </c:pt>
                <c:pt idx="18">
                  <c:v>83</c:v>
                </c:pt>
                <c:pt idx="19">
                  <c:v>410</c:v>
                </c:pt>
                <c:pt idx="20">
                  <c:v>110</c:v>
                </c:pt>
                <c:pt idx="21">
                  <c:v>112</c:v>
                </c:pt>
                <c:pt idx="22">
                  <c:v>387</c:v>
                </c:pt>
                <c:pt idx="23">
                  <c:v>110</c:v>
                </c:pt>
                <c:pt idx="24">
                  <c:v>60</c:v>
                </c:pt>
                <c:pt idx="25">
                  <c:v>139</c:v>
                </c:pt>
                <c:pt idx="26">
                  <c:v>141</c:v>
                </c:pt>
                <c:pt idx="27">
                  <c:v>79</c:v>
                </c:pt>
                <c:pt idx="28">
                  <c:v>82</c:v>
                </c:pt>
                <c:pt idx="29">
                  <c:v>81</c:v>
                </c:pt>
                <c:pt idx="30">
                  <c:v>115</c:v>
                </c:pt>
                <c:pt idx="31">
                  <c:v>80</c:v>
                </c:pt>
                <c:pt idx="32">
                  <c:v>93</c:v>
                </c:pt>
                <c:pt idx="33">
                  <c:v>111</c:v>
                </c:pt>
                <c:pt idx="34">
                  <c:v>79</c:v>
                </c:pt>
                <c:pt idx="35">
                  <c:v>76</c:v>
                </c:pt>
                <c:pt idx="36">
                  <c:v>70</c:v>
                </c:pt>
                <c:pt idx="37">
                  <c:v>82</c:v>
                </c:pt>
                <c:pt idx="38">
                  <c:v>85</c:v>
                </c:pt>
                <c:pt idx="39">
                  <c:v>105</c:v>
                </c:pt>
                <c:pt idx="40">
                  <c:v>76</c:v>
                </c:pt>
                <c:pt idx="41">
                  <c:v>881</c:v>
                </c:pt>
                <c:pt idx="42">
                  <c:v>56</c:v>
                </c:pt>
                <c:pt idx="43">
                  <c:v>85</c:v>
                </c:pt>
                <c:pt idx="44">
                  <c:v>514</c:v>
                </c:pt>
              </c:numCache>
            </c:numRef>
          </c:xVal>
          <c:yVal>
            <c:numRef>
              <c:f>Sheet5!$P$2:$P$46</c:f>
              <c:numCache>
                <c:formatCode>General</c:formatCode>
                <c:ptCount val="45"/>
                <c:pt idx="0">
                  <c:v>24</c:v>
                </c:pt>
                <c:pt idx="1">
                  <c:v>48</c:v>
                </c:pt>
                <c:pt idx="2">
                  <c:v>24</c:v>
                </c:pt>
                <c:pt idx="3">
                  <c:v>24</c:v>
                </c:pt>
                <c:pt idx="4">
                  <c:v>0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24</c:v>
                </c:pt>
                <c:pt idx="9">
                  <c:v>0</c:v>
                </c:pt>
                <c:pt idx="10">
                  <c:v>0</c:v>
                </c:pt>
                <c:pt idx="11">
                  <c:v>6</c:v>
                </c:pt>
                <c:pt idx="12">
                  <c:v>24</c:v>
                </c:pt>
                <c:pt idx="13">
                  <c:v>12</c:v>
                </c:pt>
                <c:pt idx="14">
                  <c:v>12</c:v>
                </c:pt>
                <c:pt idx="15">
                  <c:v>24</c:v>
                </c:pt>
                <c:pt idx="16">
                  <c:v>12</c:v>
                </c:pt>
                <c:pt idx="17">
                  <c:v>12</c:v>
                </c:pt>
                <c:pt idx="18">
                  <c:v>24</c:v>
                </c:pt>
                <c:pt idx="19">
                  <c:v>48</c:v>
                </c:pt>
                <c:pt idx="20">
                  <c:v>24</c:v>
                </c:pt>
                <c:pt idx="21">
                  <c:v>0</c:v>
                </c:pt>
                <c:pt idx="22">
                  <c:v>48</c:v>
                </c:pt>
                <c:pt idx="23">
                  <c:v>48</c:v>
                </c:pt>
                <c:pt idx="24">
                  <c:v>0</c:v>
                </c:pt>
                <c:pt idx="25">
                  <c:v>0</c:v>
                </c:pt>
                <c:pt idx="26">
                  <c:v>48</c:v>
                </c:pt>
                <c:pt idx="27">
                  <c:v>48</c:v>
                </c:pt>
                <c:pt idx="28">
                  <c:v>0</c:v>
                </c:pt>
                <c:pt idx="29">
                  <c:v>0</c:v>
                </c:pt>
                <c:pt idx="30">
                  <c:v>24</c:v>
                </c:pt>
                <c:pt idx="31">
                  <c:v>24</c:v>
                </c:pt>
                <c:pt idx="32">
                  <c:v>12</c:v>
                </c:pt>
                <c:pt idx="33">
                  <c:v>24</c:v>
                </c:pt>
                <c:pt idx="34">
                  <c:v>24</c:v>
                </c:pt>
                <c:pt idx="35">
                  <c:v>0</c:v>
                </c:pt>
                <c:pt idx="36">
                  <c:v>12</c:v>
                </c:pt>
                <c:pt idx="37">
                  <c:v>0</c:v>
                </c:pt>
                <c:pt idx="38">
                  <c:v>24</c:v>
                </c:pt>
                <c:pt idx="39">
                  <c:v>48</c:v>
                </c:pt>
                <c:pt idx="40">
                  <c:v>24</c:v>
                </c:pt>
                <c:pt idx="41">
                  <c:v>24</c:v>
                </c:pt>
                <c:pt idx="42">
                  <c:v>12</c:v>
                </c:pt>
                <c:pt idx="43">
                  <c:v>24</c:v>
                </c:pt>
                <c:pt idx="44">
                  <c:v>48</c:v>
                </c:pt>
              </c:numCache>
            </c:numRef>
          </c:yVal>
        </c:ser>
        <c:axId val="72972928"/>
        <c:axId val="74631424"/>
      </c:scatterChart>
      <c:valAx>
        <c:axId val="7297292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ar-SA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IL-22 (ng/ml)</a:t>
                </a:r>
                <a:endParaRPr lang="en-US" b="1"/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noFill/>
          <a:ln w="25400" cap="flat" cmpd="sng" algn="ctr">
            <a:solidFill>
              <a:schemeClr val="dk1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 rot="0" vert="horz"/>
          <a:lstStyle/>
          <a:p>
            <a:pPr>
              <a:defRPr lang="ar-SA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74631424"/>
        <c:crosses val="autoZero"/>
        <c:crossBetween val="midCat"/>
      </c:valAx>
      <c:valAx>
        <c:axId val="7463142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ar-SA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CRP (U/ml)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noFill/>
          <a:ln w="25400" cap="flat" cmpd="sng" algn="ctr">
            <a:solidFill>
              <a:schemeClr val="dk1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lang="ar-SA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972928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lang="ar-SA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0" u="none" strike="noStrike" baseline="0"/>
              <a:t>Fig.2</a:t>
            </a:r>
          </a:p>
          <a:p>
            <a:pPr>
              <a:defRPr lang="ar-SA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 i="0" u="none" strike="noStrike" baseline="0"/>
              <a:t>r=.559</a:t>
            </a:r>
            <a:r>
              <a:rPr lang="en-US" sz="1000" b="1" i="0" u="none" strike="noStrike" baseline="30000"/>
              <a:t>**</a:t>
            </a:r>
            <a:r>
              <a:rPr lang="en-US" sz="1000" b="1" i="0" u="none" strike="noStrike" baseline="0"/>
              <a:t>, p=.000</a:t>
            </a:r>
            <a:endParaRPr lang="en-US" sz="1000"/>
          </a:p>
        </c:rich>
      </c:tx>
      <c:layout>
        <c:manualLayout>
          <c:xMode val="edge"/>
          <c:yMode val="edge"/>
          <c:x val="0.38385767089877354"/>
          <c:y val="7.0031999424729513E-2"/>
        </c:manualLayout>
      </c:layout>
      <c:spPr>
        <a:noFill/>
        <a:ln w="25400">
          <a:noFill/>
        </a:ln>
      </c:spPr>
    </c:title>
    <c:plotArea>
      <c:layout/>
      <c:scatterChart>
        <c:scatterStyle val="lineMarker"/>
        <c:ser>
          <c:idx val="0"/>
          <c:order val="0"/>
          <c:tx>
            <c:strRef>
              <c:f>Sheet5!$AH$1</c:f>
              <c:strCache>
                <c:ptCount val="1"/>
                <c:pt idx="0">
                  <c:v>CCP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25400" cap="flat" cmpd="sng" algn="ctr">
                <a:solidFill>
                  <a:schemeClr val="dk1"/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rendlineType val="linear"/>
          </c:trendline>
          <c:xVal>
            <c:numRef>
              <c:f>Sheet5!$AG$2:$AG$46</c:f>
              <c:numCache>
                <c:formatCode>General</c:formatCode>
                <c:ptCount val="45"/>
                <c:pt idx="0">
                  <c:v>95</c:v>
                </c:pt>
                <c:pt idx="1">
                  <c:v>428</c:v>
                </c:pt>
                <c:pt idx="2">
                  <c:v>88</c:v>
                </c:pt>
                <c:pt idx="3">
                  <c:v>87</c:v>
                </c:pt>
                <c:pt idx="4">
                  <c:v>84</c:v>
                </c:pt>
                <c:pt idx="5">
                  <c:v>214</c:v>
                </c:pt>
                <c:pt idx="6">
                  <c:v>172</c:v>
                </c:pt>
                <c:pt idx="7">
                  <c:v>79</c:v>
                </c:pt>
                <c:pt idx="8">
                  <c:v>385</c:v>
                </c:pt>
                <c:pt idx="9">
                  <c:v>85</c:v>
                </c:pt>
                <c:pt idx="10">
                  <c:v>78</c:v>
                </c:pt>
                <c:pt idx="11">
                  <c:v>88</c:v>
                </c:pt>
                <c:pt idx="12">
                  <c:v>111</c:v>
                </c:pt>
                <c:pt idx="13">
                  <c:v>75</c:v>
                </c:pt>
                <c:pt idx="14">
                  <c:v>800</c:v>
                </c:pt>
                <c:pt idx="15">
                  <c:v>82</c:v>
                </c:pt>
                <c:pt idx="16">
                  <c:v>81</c:v>
                </c:pt>
                <c:pt idx="17">
                  <c:v>75</c:v>
                </c:pt>
                <c:pt idx="18">
                  <c:v>83</c:v>
                </c:pt>
                <c:pt idx="19">
                  <c:v>410</c:v>
                </c:pt>
                <c:pt idx="20">
                  <c:v>110</c:v>
                </c:pt>
                <c:pt idx="21">
                  <c:v>112</c:v>
                </c:pt>
                <c:pt idx="22">
                  <c:v>387</c:v>
                </c:pt>
                <c:pt idx="23">
                  <c:v>110</c:v>
                </c:pt>
                <c:pt idx="24">
                  <c:v>60</c:v>
                </c:pt>
                <c:pt idx="25">
                  <c:v>139</c:v>
                </c:pt>
                <c:pt idx="26">
                  <c:v>141</c:v>
                </c:pt>
                <c:pt idx="27">
                  <c:v>79</c:v>
                </c:pt>
                <c:pt idx="28">
                  <c:v>82</c:v>
                </c:pt>
                <c:pt idx="29">
                  <c:v>81</c:v>
                </c:pt>
                <c:pt idx="30">
                  <c:v>115</c:v>
                </c:pt>
                <c:pt idx="31">
                  <c:v>80</c:v>
                </c:pt>
                <c:pt idx="32">
                  <c:v>93</c:v>
                </c:pt>
                <c:pt idx="33">
                  <c:v>111</c:v>
                </c:pt>
                <c:pt idx="34">
                  <c:v>79</c:v>
                </c:pt>
                <c:pt idx="35">
                  <c:v>76</c:v>
                </c:pt>
                <c:pt idx="36">
                  <c:v>70</c:v>
                </c:pt>
                <c:pt idx="37">
                  <c:v>82</c:v>
                </c:pt>
                <c:pt idx="38">
                  <c:v>85</c:v>
                </c:pt>
                <c:pt idx="39">
                  <c:v>105</c:v>
                </c:pt>
                <c:pt idx="40">
                  <c:v>76</c:v>
                </c:pt>
                <c:pt idx="41">
                  <c:v>881</c:v>
                </c:pt>
                <c:pt idx="42">
                  <c:v>56</c:v>
                </c:pt>
                <c:pt idx="43">
                  <c:v>85</c:v>
                </c:pt>
                <c:pt idx="44">
                  <c:v>514</c:v>
                </c:pt>
              </c:numCache>
            </c:numRef>
          </c:xVal>
          <c:yVal>
            <c:numRef>
              <c:f>Sheet5!$AH$2:$AH$46</c:f>
              <c:numCache>
                <c:formatCode>General</c:formatCode>
                <c:ptCount val="45"/>
                <c:pt idx="0">
                  <c:v>517</c:v>
                </c:pt>
                <c:pt idx="1">
                  <c:v>365</c:v>
                </c:pt>
                <c:pt idx="2">
                  <c:v>516</c:v>
                </c:pt>
                <c:pt idx="3">
                  <c:v>513</c:v>
                </c:pt>
                <c:pt idx="4">
                  <c:v>82</c:v>
                </c:pt>
                <c:pt idx="5">
                  <c:v>397</c:v>
                </c:pt>
                <c:pt idx="6">
                  <c:v>506</c:v>
                </c:pt>
                <c:pt idx="7">
                  <c:v>510</c:v>
                </c:pt>
                <c:pt idx="8">
                  <c:v>513</c:v>
                </c:pt>
                <c:pt idx="9">
                  <c:v>510</c:v>
                </c:pt>
                <c:pt idx="10">
                  <c:v>504</c:v>
                </c:pt>
                <c:pt idx="11">
                  <c:v>47</c:v>
                </c:pt>
                <c:pt idx="12">
                  <c:v>502</c:v>
                </c:pt>
                <c:pt idx="13">
                  <c:v>212</c:v>
                </c:pt>
                <c:pt idx="14">
                  <c:v>496</c:v>
                </c:pt>
                <c:pt idx="15">
                  <c:v>67</c:v>
                </c:pt>
                <c:pt idx="16">
                  <c:v>149</c:v>
                </c:pt>
                <c:pt idx="17">
                  <c:v>188</c:v>
                </c:pt>
                <c:pt idx="18">
                  <c:v>407</c:v>
                </c:pt>
                <c:pt idx="19">
                  <c:v>500</c:v>
                </c:pt>
                <c:pt idx="20">
                  <c:v>510</c:v>
                </c:pt>
                <c:pt idx="21">
                  <c:v>220</c:v>
                </c:pt>
                <c:pt idx="22">
                  <c:v>500</c:v>
                </c:pt>
                <c:pt idx="23">
                  <c:v>386</c:v>
                </c:pt>
                <c:pt idx="24">
                  <c:v>180</c:v>
                </c:pt>
                <c:pt idx="25">
                  <c:v>200</c:v>
                </c:pt>
                <c:pt idx="26">
                  <c:v>157</c:v>
                </c:pt>
                <c:pt idx="27">
                  <c:v>89</c:v>
                </c:pt>
                <c:pt idx="28">
                  <c:v>39</c:v>
                </c:pt>
                <c:pt idx="29">
                  <c:v>33</c:v>
                </c:pt>
                <c:pt idx="30">
                  <c:v>221</c:v>
                </c:pt>
                <c:pt idx="31">
                  <c:v>0</c:v>
                </c:pt>
                <c:pt idx="32">
                  <c:v>52</c:v>
                </c:pt>
                <c:pt idx="33">
                  <c:v>262</c:v>
                </c:pt>
                <c:pt idx="34">
                  <c:v>226</c:v>
                </c:pt>
                <c:pt idx="35">
                  <c:v>0</c:v>
                </c:pt>
                <c:pt idx="36">
                  <c:v>0</c:v>
                </c:pt>
                <c:pt idx="37">
                  <c:v>178</c:v>
                </c:pt>
                <c:pt idx="38">
                  <c:v>189</c:v>
                </c:pt>
                <c:pt idx="39">
                  <c:v>420</c:v>
                </c:pt>
                <c:pt idx="40">
                  <c:v>0</c:v>
                </c:pt>
                <c:pt idx="41">
                  <c:v>510</c:v>
                </c:pt>
                <c:pt idx="42">
                  <c:v>0</c:v>
                </c:pt>
                <c:pt idx="43">
                  <c:v>0</c:v>
                </c:pt>
                <c:pt idx="44">
                  <c:v>512</c:v>
                </c:pt>
              </c:numCache>
            </c:numRef>
          </c:yVal>
        </c:ser>
        <c:axId val="81586816"/>
        <c:axId val="81593856"/>
      </c:scatterChart>
      <c:valAx>
        <c:axId val="8158681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ar-SA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1" i="0" u="none" strike="noStrike" baseline="0">
                    <a:effectLst/>
                  </a:rPr>
                  <a:t>IL-22 (ng/ml)</a:t>
                </a:r>
                <a:endParaRPr lang="en-US"/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noFill/>
          <a:ln w="25400" cap="flat" cmpd="sng" algn="ctr">
            <a:solidFill>
              <a:schemeClr val="dk1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 rot="0" vert="horz"/>
          <a:lstStyle/>
          <a:p>
            <a:pPr>
              <a:defRPr lang="ar-SA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81593856"/>
        <c:crosses val="autoZero"/>
        <c:crossBetween val="midCat"/>
      </c:valAx>
      <c:valAx>
        <c:axId val="81593856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ar-SA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ACCP (IU/ml)</a:t>
                </a:r>
              </a:p>
            </c:rich>
          </c:tx>
          <c:spPr>
            <a:noFill/>
            <a:ln w="25400">
              <a:noFill/>
            </a:ln>
          </c:spPr>
        </c:title>
        <c:numFmt formatCode="General" sourceLinked="1"/>
        <c:majorTickMark val="none"/>
        <c:tickLblPos val="nextTo"/>
        <c:spPr>
          <a:noFill/>
          <a:ln w="25400" cap="flat" cmpd="sng" algn="ctr">
            <a:solidFill>
              <a:schemeClr val="dk1"/>
            </a:solidFill>
            <a:prstDash val="solid"/>
          </a:ln>
          <a:effectLst>
            <a:outerShdw blurRad="40000" dist="20000" dir="5400000" rotWithShape="0">
              <a:srgbClr val="000000">
                <a:alpha val="38000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lang="ar-SA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586816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D83C-3317-49FF-98F4-BEE509EA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3530</Words>
  <Characters>20127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Dekra Ali</dc:creator>
  <cp:lastModifiedBy>Kapil</cp:lastModifiedBy>
  <cp:revision>44</cp:revision>
  <cp:lastPrinted>2018-03-30T09:09:00Z</cp:lastPrinted>
  <dcterms:created xsi:type="dcterms:W3CDTF">2017-11-05T05:41:00Z</dcterms:created>
  <dcterms:modified xsi:type="dcterms:W3CDTF">2021-04-07T05:29:00Z</dcterms:modified>
</cp:coreProperties>
</file>