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90" w:rsidRPr="006C1E68" w:rsidRDefault="00B34990" w:rsidP="00B34990">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6D4092" w:rsidRDefault="006D4092" w:rsidP="000861A8">
      <w:pPr>
        <w:bidi w:val="0"/>
        <w:jc w:val="center"/>
        <w:rPr>
          <w:rFonts w:asciiTheme="majorBidi" w:hAnsiTheme="majorBidi" w:cstheme="majorBidi"/>
          <w:b/>
          <w:bCs/>
          <w:sz w:val="28"/>
          <w:szCs w:val="28"/>
          <w:lang w:bidi="ar-EG"/>
        </w:rPr>
      </w:pPr>
      <w:commentRangeStart w:id="0"/>
      <w:r>
        <w:rPr>
          <w:rFonts w:asciiTheme="majorBidi" w:hAnsiTheme="majorBidi" w:cstheme="majorBidi"/>
          <w:b/>
          <w:bCs/>
          <w:noProof/>
          <w:sz w:val="28"/>
          <w:szCs w:val="28"/>
        </w:rPr>
        <w:drawing>
          <wp:inline distT="0" distB="0" distL="0" distR="0">
            <wp:extent cx="5191125" cy="1762602"/>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91551" cy="1762747"/>
                    </a:xfrm>
                    <a:prstGeom prst="rect">
                      <a:avLst/>
                    </a:prstGeom>
                    <a:noFill/>
                    <a:ln w="9525">
                      <a:noFill/>
                      <a:miter lim="800000"/>
                      <a:headEnd/>
                      <a:tailEnd/>
                    </a:ln>
                  </pic:spPr>
                </pic:pic>
              </a:graphicData>
            </a:graphic>
          </wp:inline>
        </w:drawing>
      </w:r>
      <w:commentRangeEnd w:id="0"/>
      <w:r w:rsidR="00B34990">
        <w:rPr>
          <w:rStyle w:val="CommentReference"/>
        </w:rPr>
        <w:commentReference w:id="0"/>
      </w:r>
    </w:p>
    <w:p w:rsidR="00DE3499" w:rsidRPr="00B71FFC" w:rsidRDefault="00DE3499" w:rsidP="006D4092">
      <w:pPr>
        <w:bidi w:val="0"/>
        <w:jc w:val="center"/>
        <w:rPr>
          <w:rFonts w:asciiTheme="majorBidi" w:hAnsiTheme="majorBidi" w:cstheme="majorBidi"/>
          <w:b/>
          <w:bCs/>
          <w:sz w:val="28"/>
          <w:szCs w:val="28"/>
          <w:lang w:bidi="ar-EG"/>
        </w:rPr>
      </w:pPr>
      <w:r w:rsidRPr="00B71FFC">
        <w:rPr>
          <w:rFonts w:asciiTheme="majorBidi" w:hAnsiTheme="majorBidi" w:cstheme="majorBidi"/>
          <w:b/>
          <w:bCs/>
          <w:sz w:val="28"/>
          <w:szCs w:val="28"/>
          <w:lang w:bidi="ar-EG"/>
        </w:rPr>
        <w:t xml:space="preserve">Prevalence of </w:t>
      </w:r>
      <w:commentRangeStart w:id="1"/>
      <w:r w:rsidRPr="00B71FFC">
        <w:rPr>
          <w:rFonts w:asciiTheme="majorBidi" w:hAnsiTheme="majorBidi" w:cstheme="majorBidi"/>
          <w:b/>
          <w:bCs/>
          <w:sz w:val="28"/>
          <w:szCs w:val="28"/>
          <w:lang w:bidi="ar-EG"/>
        </w:rPr>
        <w:t xml:space="preserve">Methicillin Resistant Staphylococcus Aureus (MRSA) and Antimicrobial </w:t>
      </w:r>
      <w:commentRangeEnd w:id="1"/>
      <w:r w:rsidR="00C46482">
        <w:rPr>
          <w:rStyle w:val="CommentReference"/>
        </w:rPr>
        <w:commentReference w:id="1"/>
      </w:r>
      <w:r w:rsidRPr="00B71FFC">
        <w:rPr>
          <w:rFonts w:asciiTheme="majorBidi" w:hAnsiTheme="majorBidi" w:cstheme="majorBidi"/>
          <w:b/>
          <w:bCs/>
          <w:sz w:val="28"/>
          <w:szCs w:val="28"/>
          <w:lang w:bidi="ar-EG"/>
        </w:rPr>
        <w:t>Susceptibility Pattern</w:t>
      </w:r>
      <w:r w:rsidR="00B71FFC">
        <w:rPr>
          <w:rFonts w:asciiTheme="majorBidi" w:hAnsiTheme="majorBidi" w:cstheme="majorBidi"/>
          <w:b/>
          <w:bCs/>
          <w:sz w:val="28"/>
          <w:szCs w:val="28"/>
          <w:lang w:bidi="ar-EG"/>
        </w:rPr>
        <w:t>s</w:t>
      </w:r>
      <w:r w:rsidRPr="00B71FFC">
        <w:rPr>
          <w:rFonts w:asciiTheme="majorBidi" w:hAnsiTheme="majorBidi" w:cstheme="majorBidi"/>
          <w:b/>
          <w:bCs/>
          <w:sz w:val="28"/>
          <w:szCs w:val="28"/>
          <w:lang w:bidi="ar-EG"/>
        </w:rPr>
        <w:t xml:space="preserve"> at a Private Hospital in Sana'a, Yemen</w:t>
      </w:r>
      <w:r w:rsidR="00B71FFC">
        <w:rPr>
          <w:rFonts w:asciiTheme="majorBidi" w:hAnsiTheme="majorBidi" w:cstheme="majorBidi"/>
          <w:b/>
          <w:bCs/>
          <w:sz w:val="28"/>
          <w:szCs w:val="28"/>
          <w:lang w:bidi="ar-EG"/>
        </w:rPr>
        <w:t>.</w:t>
      </w:r>
    </w:p>
    <w:p w:rsidR="001355D1" w:rsidRDefault="000861A8" w:rsidP="001355D1">
      <w:pPr>
        <w:autoSpaceDE w:val="0"/>
        <w:autoSpaceDN w:val="0"/>
        <w:bidi w:val="0"/>
        <w:adjustRightInd w:val="0"/>
        <w:spacing w:after="0"/>
        <w:jc w:val="both"/>
        <w:rPr>
          <w:rFonts w:ascii="Times New Roman" w:eastAsia="Calibri" w:hAnsi="Times New Roman" w:cs="Times New Roman"/>
          <w:b/>
          <w:bCs/>
          <w:sz w:val="24"/>
          <w:szCs w:val="24"/>
        </w:rPr>
      </w:pPr>
      <w:commentRangeStart w:id="2"/>
      <w:r>
        <w:rPr>
          <w:rFonts w:ascii="Times New Roman" w:eastAsia="Calibri" w:hAnsi="Times New Roman" w:cs="Times New Roman"/>
          <w:b/>
          <w:bCs/>
          <w:sz w:val="24"/>
          <w:szCs w:val="24"/>
        </w:rPr>
        <w:t>Abstract</w:t>
      </w:r>
      <w:commentRangeEnd w:id="2"/>
      <w:r>
        <w:rPr>
          <w:rStyle w:val="CommentReference"/>
        </w:rPr>
        <w:commentReference w:id="2"/>
      </w:r>
    </w:p>
    <w:p w:rsidR="002628B9" w:rsidRPr="005155A0" w:rsidRDefault="002628B9" w:rsidP="00CD16CE">
      <w:pPr>
        <w:bidi w:val="0"/>
        <w:spacing w:after="0" w:line="360" w:lineRule="auto"/>
        <w:jc w:val="both"/>
        <w:rPr>
          <w:rFonts w:ascii="Times New Roman" w:hAnsi="Times New Roman" w:cs="Times New Roman"/>
          <w:sz w:val="24"/>
          <w:szCs w:val="24"/>
        </w:rPr>
      </w:pPr>
      <w:r w:rsidRPr="005155A0">
        <w:rPr>
          <w:rFonts w:ascii="Times New Roman" w:eastAsia="Calibri" w:hAnsi="Times New Roman" w:cs="Times New Roman"/>
          <w:b/>
          <w:bCs/>
          <w:sz w:val="24"/>
          <w:szCs w:val="24"/>
        </w:rPr>
        <w:t>Background:</w:t>
      </w:r>
      <w:commentRangeStart w:id="3"/>
      <w:r w:rsidR="007E4588" w:rsidRPr="005155A0">
        <w:rPr>
          <w:rFonts w:ascii="Times New Roman" w:hAnsi="Times New Roman" w:cs="Times New Roman"/>
          <w:sz w:val="24"/>
          <w:szCs w:val="24"/>
        </w:rPr>
        <w:t xml:space="preserve">Methicillin Resistant </w:t>
      </w:r>
      <w:commentRangeStart w:id="4"/>
      <w:r w:rsidR="007E4588" w:rsidRPr="005155A0">
        <w:rPr>
          <w:rFonts w:ascii="Times New Roman" w:hAnsi="Times New Roman" w:cs="Times New Roman"/>
          <w:sz w:val="24"/>
          <w:szCs w:val="24"/>
        </w:rPr>
        <w:t xml:space="preserve">Staphylococcus Aureus </w:t>
      </w:r>
      <w:commentRangeEnd w:id="4"/>
      <w:r w:rsidR="000861A8">
        <w:rPr>
          <w:rStyle w:val="CommentReference"/>
        </w:rPr>
        <w:commentReference w:id="4"/>
      </w:r>
      <w:r w:rsidR="007E4588" w:rsidRPr="005155A0">
        <w:rPr>
          <w:rFonts w:ascii="Times New Roman" w:hAnsi="Times New Roman" w:cs="Times New Roman"/>
          <w:sz w:val="24"/>
          <w:szCs w:val="24"/>
        </w:rPr>
        <w:t>(MRSA</w:t>
      </w:r>
      <w:r w:rsidR="005155A0">
        <w:rPr>
          <w:rFonts w:ascii="Times New Roman" w:hAnsi="Times New Roman" w:cs="Times New Roman"/>
          <w:sz w:val="24"/>
          <w:szCs w:val="24"/>
        </w:rPr>
        <w:t>)</w:t>
      </w:r>
      <w:r w:rsidR="005155A0" w:rsidRPr="005155A0">
        <w:rPr>
          <w:rFonts w:ascii="Times New Roman" w:hAnsi="Times New Roman" w:cs="Times New Roman"/>
          <w:sz w:val="24"/>
          <w:szCs w:val="24"/>
        </w:rPr>
        <w:t xml:space="preserve"> strains are common causes of n</w:t>
      </w:r>
      <w:commentRangeEnd w:id="3"/>
      <w:r w:rsidR="006D4092">
        <w:rPr>
          <w:rStyle w:val="CommentReference"/>
        </w:rPr>
        <w:commentReference w:id="3"/>
      </w:r>
      <w:r w:rsidR="005155A0" w:rsidRPr="005155A0">
        <w:rPr>
          <w:rFonts w:ascii="Times New Roman" w:hAnsi="Times New Roman" w:cs="Times New Roman"/>
          <w:sz w:val="24"/>
          <w:szCs w:val="24"/>
        </w:rPr>
        <w:t>osocomial infections and are associated with increased morbidity and mortality</w:t>
      </w:r>
      <w:r w:rsidRPr="005155A0">
        <w:rPr>
          <w:rFonts w:ascii="Times New Roman" w:hAnsi="Times New Roman" w:cs="Times New Roman"/>
          <w:sz w:val="24"/>
          <w:szCs w:val="24"/>
        </w:rPr>
        <w:t xml:space="preserve">. </w:t>
      </w:r>
      <w:r w:rsidR="00CD16CE">
        <w:rPr>
          <w:rFonts w:ascii="Times New Roman" w:hAnsi="Times New Roman" w:cs="Times New Roman"/>
          <w:sz w:val="24"/>
          <w:szCs w:val="24"/>
        </w:rPr>
        <w:t>In addition, the a</w:t>
      </w:r>
      <w:r w:rsidRPr="005155A0">
        <w:rPr>
          <w:rFonts w:ascii="Times New Roman" w:hAnsi="Times New Roman" w:cs="Times New Roman"/>
          <w:sz w:val="24"/>
          <w:szCs w:val="24"/>
        </w:rPr>
        <w:t>ntibiotic resistance</w:t>
      </w:r>
      <w:r w:rsidR="00462F74">
        <w:rPr>
          <w:rFonts w:ascii="Times New Roman" w:hAnsi="Times New Roman" w:cs="Times New Roman"/>
          <w:sz w:val="24"/>
          <w:szCs w:val="24"/>
        </w:rPr>
        <w:t xml:space="preserve"> for MRSA</w:t>
      </w:r>
      <w:r w:rsidRPr="005155A0">
        <w:rPr>
          <w:rFonts w:ascii="Times New Roman" w:hAnsi="Times New Roman" w:cs="Times New Roman"/>
          <w:sz w:val="24"/>
          <w:szCs w:val="24"/>
        </w:rPr>
        <w:t xml:space="preserve"> is a major concern in clinical practice. </w:t>
      </w:r>
    </w:p>
    <w:p w:rsidR="002628B9" w:rsidRPr="009C6FE6" w:rsidRDefault="002628B9" w:rsidP="005D7617">
      <w:pPr>
        <w:bidi w:val="0"/>
        <w:spacing w:after="0" w:line="360" w:lineRule="auto"/>
        <w:jc w:val="both"/>
        <w:rPr>
          <w:rFonts w:ascii="Times New Roman" w:eastAsia="Calibri" w:hAnsi="Times New Roman" w:cs="Times New Roman"/>
          <w:sz w:val="24"/>
          <w:szCs w:val="24"/>
        </w:rPr>
      </w:pPr>
      <w:r w:rsidRPr="009C6FE6">
        <w:rPr>
          <w:rFonts w:ascii="Times New Roman" w:eastAsia="Calibri" w:hAnsi="Times New Roman" w:cs="Times New Roman"/>
          <w:b/>
          <w:bCs/>
          <w:sz w:val="24"/>
          <w:szCs w:val="24"/>
        </w:rPr>
        <w:t>Objective:</w:t>
      </w:r>
      <w:r w:rsidRPr="002628B9">
        <w:rPr>
          <w:rFonts w:ascii="Times New Roman" w:eastAsia="Calibri" w:hAnsi="Times New Roman" w:cs="Times New Roman"/>
          <w:sz w:val="24"/>
          <w:szCs w:val="24"/>
        </w:rPr>
        <w:t xml:space="preserve">To study </w:t>
      </w:r>
      <w:r w:rsidR="00462F74">
        <w:rPr>
          <w:rFonts w:ascii="Times New Roman" w:eastAsia="Calibri" w:hAnsi="Times New Roman" w:cs="Times New Roman"/>
          <w:sz w:val="24"/>
          <w:szCs w:val="24"/>
        </w:rPr>
        <w:t xml:space="preserve">the prevalence and </w:t>
      </w:r>
      <w:r w:rsidRPr="002628B9">
        <w:rPr>
          <w:rFonts w:ascii="Times New Roman" w:eastAsia="Calibri" w:hAnsi="Times New Roman" w:cs="Times New Roman"/>
          <w:sz w:val="24"/>
          <w:szCs w:val="24"/>
        </w:rPr>
        <w:t>the antimicrobial susceptibility pattern of MRSA isolates from patie</w:t>
      </w:r>
      <w:r>
        <w:rPr>
          <w:rFonts w:ascii="Times New Roman" w:eastAsia="Calibri" w:hAnsi="Times New Roman" w:cs="Times New Roman"/>
          <w:sz w:val="24"/>
          <w:szCs w:val="24"/>
        </w:rPr>
        <w:t xml:space="preserve">nts in a </w:t>
      </w:r>
      <w:r w:rsidR="005D7617">
        <w:rPr>
          <w:rFonts w:ascii="Times New Roman" w:eastAsia="Calibri" w:hAnsi="Times New Roman" w:cs="Times New Roman"/>
          <w:sz w:val="24"/>
          <w:szCs w:val="24"/>
        </w:rPr>
        <w:t>private</w:t>
      </w:r>
      <w:r>
        <w:rPr>
          <w:rFonts w:ascii="Times New Roman" w:eastAsia="Calibri" w:hAnsi="Times New Roman" w:cs="Times New Roman"/>
          <w:sz w:val="24"/>
          <w:szCs w:val="24"/>
        </w:rPr>
        <w:t xml:space="preserve"> hospital</w:t>
      </w:r>
      <w:r w:rsidRPr="00BB1953">
        <w:rPr>
          <w:rFonts w:ascii="Times New Roman" w:eastAsia="Calibri" w:hAnsi="Times New Roman" w:cs="Times New Roman"/>
          <w:sz w:val="24"/>
          <w:szCs w:val="24"/>
        </w:rPr>
        <w:t>.</w:t>
      </w:r>
    </w:p>
    <w:p w:rsidR="00A1197F" w:rsidRPr="00A1197F" w:rsidRDefault="002628B9" w:rsidP="007D03DD">
      <w:pPr>
        <w:bidi w:val="0"/>
        <w:spacing w:after="0" w:line="360" w:lineRule="auto"/>
        <w:jc w:val="both"/>
        <w:rPr>
          <w:rFonts w:ascii="Times New Roman" w:eastAsia="Calibri" w:hAnsi="Times New Roman" w:cs="Times New Roman"/>
          <w:sz w:val="24"/>
          <w:szCs w:val="24"/>
        </w:rPr>
      </w:pPr>
      <w:r w:rsidRPr="009C6FE6">
        <w:rPr>
          <w:rFonts w:ascii="Times New Roman" w:eastAsia="Calibri" w:hAnsi="Times New Roman" w:cs="Times New Roman"/>
          <w:b/>
          <w:bCs/>
          <w:sz w:val="24"/>
          <w:szCs w:val="24"/>
        </w:rPr>
        <w:t xml:space="preserve">Methods: </w:t>
      </w:r>
      <w:r w:rsidRPr="009C6FE6">
        <w:rPr>
          <w:rFonts w:ascii="Times New Roman" w:eastAsia="Calibri" w:hAnsi="Times New Roman" w:cs="Times New Roman"/>
          <w:sz w:val="24"/>
          <w:szCs w:val="24"/>
        </w:rPr>
        <w:t xml:space="preserve">The </w:t>
      </w:r>
      <w:commentRangeStart w:id="5"/>
      <w:r w:rsidRPr="009C6FE6">
        <w:rPr>
          <w:rFonts w:ascii="Times New Roman" w:eastAsia="Calibri" w:hAnsi="Times New Roman" w:cs="Times New Roman"/>
          <w:sz w:val="24"/>
          <w:szCs w:val="24"/>
        </w:rPr>
        <w:t xml:space="preserve">study was performed </w:t>
      </w:r>
      <w:commentRangeStart w:id="6"/>
      <w:r w:rsidR="00E15AFF">
        <w:rPr>
          <w:rFonts w:ascii="Times New Roman" w:eastAsia="Calibri" w:hAnsi="Times New Roman" w:cs="Times New Roman"/>
          <w:sz w:val="24"/>
          <w:szCs w:val="24"/>
        </w:rPr>
        <w:t>at</w:t>
      </w:r>
      <w:r w:rsidR="00EF61F8">
        <w:rPr>
          <w:rFonts w:ascii="Times New Roman" w:eastAsia="Calibri" w:hAnsi="Times New Roman" w:cs="Times New Roman"/>
          <w:sz w:val="24"/>
          <w:szCs w:val="24"/>
        </w:rPr>
        <w:t>a</w:t>
      </w:r>
      <w:commentRangeEnd w:id="6"/>
      <w:r w:rsidR="000861A8">
        <w:rPr>
          <w:rStyle w:val="CommentReference"/>
        </w:rPr>
        <w:commentReference w:id="6"/>
      </w:r>
      <w:r w:rsidR="00EF61F8">
        <w:rPr>
          <w:rFonts w:ascii="Times New Roman" w:eastAsia="Calibri" w:hAnsi="Times New Roman" w:cs="Times New Roman"/>
          <w:sz w:val="24"/>
          <w:szCs w:val="24"/>
        </w:rPr>
        <w:t xml:space="preserve"> </w:t>
      </w:r>
      <w:r w:rsidR="00E15AFF">
        <w:rPr>
          <w:rFonts w:ascii="Times New Roman" w:eastAsia="Calibri" w:hAnsi="Times New Roman" w:cs="Times New Roman"/>
          <w:sz w:val="24"/>
          <w:szCs w:val="24"/>
        </w:rPr>
        <w:t>private</w:t>
      </w:r>
      <w:r w:rsidRPr="009C6FE6">
        <w:rPr>
          <w:rFonts w:ascii="Times New Roman" w:eastAsia="Calibri" w:hAnsi="Times New Roman" w:cs="Times New Roman"/>
          <w:sz w:val="24"/>
          <w:szCs w:val="24"/>
        </w:rPr>
        <w:t xml:space="preserve"> hospital in Sana’a, Yemen. All the patients' samples from January, 2017 t</w:t>
      </w:r>
      <w:r w:rsidR="00A1197F">
        <w:rPr>
          <w:rFonts w:ascii="Times New Roman" w:eastAsia="Calibri" w:hAnsi="Times New Roman" w:cs="Times New Roman"/>
          <w:sz w:val="24"/>
          <w:szCs w:val="24"/>
        </w:rPr>
        <w:t xml:space="preserve">o December, 2017 were included. </w:t>
      </w:r>
      <w:r w:rsidR="00A1197F" w:rsidRPr="00A1197F">
        <w:rPr>
          <w:rFonts w:ascii="Times New Roman" w:eastAsia="Calibri" w:hAnsi="Times New Roman" w:cs="Times New Roman"/>
          <w:sz w:val="24"/>
          <w:szCs w:val="24"/>
        </w:rPr>
        <w:t>All isolates from inpatients’ clinical specimens (mainly respiratory secreti</w:t>
      </w:r>
      <w:r w:rsidR="00A1197F">
        <w:rPr>
          <w:rFonts w:ascii="Times New Roman" w:eastAsia="Calibri" w:hAnsi="Times New Roman" w:cs="Times New Roman"/>
          <w:sz w:val="24"/>
          <w:szCs w:val="24"/>
        </w:rPr>
        <w:t xml:space="preserve">on, pus, urine, and blood) </w:t>
      </w:r>
      <w:r w:rsidR="007D03DD">
        <w:rPr>
          <w:rFonts w:ascii="Times New Roman" w:eastAsia="Calibri" w:hAnsi="Times New Roman" w:cs="Times New Roman"/>
          <w:sz w:val="24"/>
          <w:szCs w:val="24"/>
        </w:rPr>
        <w:t xml:space="preserve">were collected </w:t>
      </w:r>
      <w:r w:rsidR="00A1197F">
        <w:rPr>
          <w:rFonts w:ascii="Times New Roman" w:eastAsia="Calibri" w:hAnsi="Times New Roman" w:cs="Times New Roman"/>
          <w:sz w:val="24"/>
          <w:szCs w:val="24"/>
        </w:rPr>
        <w:t>and s</w:t>
      </w:r>
      <w:r w:rsidR="00A1197F" w:rsidRPr="00A1197F">
        <w:rPr>
          <w:rFonts w:ascii="Times New Roman" w:eastAsia="Calibri" w:hAnsi="Times New Roman" w:cs="Times New Roman"/>
          <w:sz w:val="24"/>
          <w:szCs w:val="24"/>
        </w:rPr>
        <w:t xml:space="preserve">tandard isolation procedures were applied to all the </w:t>
      </w:r>
      <w:commentRangeStart w:id="7"/>
      <w:r w:rsidR="00A1197F" w:rsidRPr="00A1197F">
        <w:rPr>
          <w:rFonts w:ascii="Times New Roman" w:eastAsia="Calibri" w:hAnsi="Times New Roman" w:cs="Times New Roman"/>
          <w:sz w:val="24"/>
          <w:szCs w:val="24"/>
        </w:rPr>
        <w:t>samples.</w:t>
      </w:r>
      <w:r w:rsidR="007E4588" w:rsidRPr="007E4588">
        <w:rPr>
          <w:rFonts w:ascii="Times New Roman" w:eastAsia="Calibri" w:hAnsi="Times New Roman" w:cs="Times New Roman"/>
          <w:sz w:val="24"/>
          <w:szCs w:val="24"/>
        </w:rPr>
        <w:t xml:space="preserve">The </w:t>
      </w:r>
      <w:commentRangeEnd w:id="7"/>
      <w:r w:rsidR="000861A8">
        <w:rPr>
          <w:rStyle w:val="CommentReference"/>
        </w:rPr>
        <w:commentReference w:id="7"/>
      </w:r>
      <w:r w:rsidR="007E4588" w:rsidRPr="007E4588">
        <w:rPr>
          <w:rFonts w:ascii="Times New Roman" w:eastAsia="Calibri" w:hAnsi="Times New Roman" w:cs="Times New Roman"/>
          <w:sz w:val="24"/>
          <w:szCs w:val="24"/>
        </w:rPr>
        <w:t>records were taken fr</w:t>
      </w:r>
      <w:r w:rsidR="007E4588">
        <w:rPr>
          <w:rFonts w:ascii="Times New Roman" w:eastAsia="Calibri" w:hAnsi="Times New Roman" w:cs="Times New Roman"/>
          <w:sz w:val="24"/>
          <w:szCs w:val="24"/>
        </w:rPr>
        <w:t xml:space="preserve">om the microbiology department. </w:t>
      </w:r>
      <w:r w:rsidR="007E4588" w:rsidRPr="007E4588">
        <w:rPr>
          <w:rFonts w:ascii="Times New Roman" w:eastAsia="Calibri" w:hAnsi="Times New Roman" w:cs="Times New Roman"/>
          <w:sz w:val="24"/>
          <w:szCs w:val="24"/>
        </w:rPr>
        <w:t>Antibiotic susceptibility testing was done by Kirby Bauer's Disc diffusion technique, following the national committee for clini</w:t>
      </w:r>
      <w:r w:rsidR="007E4588">
        <w:rPr>
          <w:rFonts w:ascii="Times New Roman" w:eastAsia="Calibri" w:hAnsi="Times New Roman" w:cs="Times New Roman"/>
          <w:sz w:val="24"/>
          <w:szCs w:val="24"/>
        </w:rPr>
        <w:t>cal laboratory standards</w:t>
      </w:r>
      <w:r w:rsidR="007E4588" w:rsidRPr="007E4588">
        <w:rPr>
          <w:rFonts w:ascii="Times New Roman" w:eastAsia="Calibri" w:hAnsi="Times New Roman" w:cs="Times New Roman"/>
          <w:sz w:val="24"/>
          <w:szCs w:val="24"/>
        </w:rPr>
        <w:t xml:space="preserve">. The antimicrobial susceptibility patterns of all the MRSA strains were </w:t>
      </w:r>
      <w:r w:rsidR="007E4588">
        <w:rPr>
          <w:rFonts w:ascii="Times New Roman" w:eastAsia="Calibri" w:hAnsi="Times New Roman" w:cs="Times New Roman"/>
          <w:sz w:val="24"/>
          <w:szCs w:val="24"/>
        </w:rPr>
        <w:t>studied</w:t>
      </w:r>
      <w:r w:rsidR="007E4588" w:rsidRPr="007E4588">
        <w:rPr>
          <w:rFonts w:ascii="Times New Roman" w:eastAsia="Calibri" w:hAnsi="Times New Roman" w:cs="Times New Roman"/>
          <w:sz w:val="24"/>
          <w:szCs w:val="24"/>
        </w:rPr>
        <w:t xml:space="preserve"> against </w:t>
      </w:r>
      <w:r w:rsidR="007E4588">
        <w:rPr>
          <w:rFonts w:ascii="Times New Roman" w:eastAsia="Calibri" w:hAnsi="Times New Roman" w:cs="Times New Roman"/>
          <w:sz w:val="24"/>
          <w:szCs w:val="24"/>
        </w:rPr>
        <w:t>several</w:t>
      </w:r>
      <w:r w:rsidR="007E4588" w:rsidRPr="007E4588">
        <w:rPr>
          <w:rFonts w:ascii="Times New Roman" w:eastAsia="Calibri" w:hAnsi="Times New Roman" w:cs="Times New Roman"/>
          <w:sz w:val="24"/>
          <w:szCs w:val="24"/>
        </w:rPr>
        <w:t xml:space="preserve"> antibiotics</w:t>
      </w:r>
      <w:r w:rsidR="007E4588">
        <w:rPr>
          <w:rFonts w:ascii="Times New Roman" w:eastAsia="Calibri" w:hAnsi="Times New Roman" w:cs="Times New Roman"/>
          <w:sz w:val="24"/>
          <w:szCs w:val="24"/>
        </w:rPr>
        <w:t>.</w:t>
      </w:r>
    </w:p>
    <w:p w:rsidR="00C42DD4" w:rsidRDefault="002628B9" w:rsidP="00AE2EE7">
      <w:pPr>
        <w:autoSpaceDE w:val="0"/>
        <w:autoSpaceDN w:val="0"/>
        <w:bidi w:val="0"/>
        <w:adjustRightInd w:val="0"/>
        <w:spacing w:after="0" w:line="360" w:lineRule="auto"/>
        <w:jc w:val="both"/>
        <w:rPr>
          <w:rFonts w:ascii="Times New Roman" w:hAnsi="Times New Roman" w:cs="Times New Roman"/>
          <w:color w:val="000000"/>
          <w:sz w:val="24"/>
          <w:szCs w:val="24"/>
        </w:rPr>
      </w:pPr>
      <w:r w:rsidRPr="009C6FE6">
        <w:rPr>
          <w:rFonts w:ascii="Times New Roman" w:eastAsia="Calibri" w:hAnsi="Times New Roman" w:cs="Times New Roman"/>
          <w:b/>
          <w:bCs/>
          <w:color w:val="000000"/>
          <w:sz w:val="24"/>
          <w:szCs w:val="24"/>
        </w:rPr>
        <w:t xml:space="preserve">Results: </w:t>
      </w:r>
      <w:r w:rsidR="00913F9F">
        <w:rPr>
          <w:rFonts w:ascii="Times New Roman" w:eastAsia="Calibri" w:hAnsi="Times New Roman" w:cs="Times New Roman"/>
          <w:sz w:val="24"/>
          <w:szCs w:val="24"/>
        </w:rPr>
        <w:t>A t</w:t>
      </w:r>
      <w:r w:rsidR="00C42DD4" w:rsidRPr="009C6FE6">
        <w:rPr>
          <w:rFonts w:ascii="Times New Roman" w:eastAsia="Calibri" w:hAnsi="Times New Roman" w:cs="Times New Roman"/>
          <w:sz w:val="24"/>
          <w:szCs w:val="24"/>
        </w:rPr>
        <w:t>otal of 207</w:t>
      </w:r>
      <w:r w:rsidR="00AE2EE7">
        <w:rPr>
          <w:rFonts w:ascii="Times New Roman" w:eastAsia="Calibri" w:hAnsi="Times New Roman" w:cs="Times New Roman"/>
          <w:sz w:val="24"/>
          <w:szCs w:val="24"/>
        </w:rPr>
        <w:t>9</w:t>
      </w:r>
      <w:r w:rsidR="00C42DD4" w:rsidRPr="009C6FE6">
        <w:rPr>
          <w:rFonts w:ascii="Times New Roman" w:eastAsia="Calibri" w:hAnsi="Times New Roman" w:cs="Times New Roman"/>
          <w:sz w:val="24"/>
          <w:szCs w:val="24"/>
        </w:rPr>
        <w:t xml:space="preserve"> samples were gathered during the study period. Among them, 19</w:t>
      </w:r>
      <w:r w:rsidR="00C42DD4">
        <w:rPr>
          <w:rFonts w:ascii="Times New Roman" w:eastAsia="Calibri" w:hAnsi="Times New Roman" w:cs="Times New Roman"/>
          <w:sz w:val="24"/>
          <w:szCs w:val="24"/>
        </w:rPr>
        <w:t>9</w:t>
      </w:r>
      <w:r w:rsidR="00C42DD4" w:rsidRPr="009C6FE6">
        <w:rPr>
          <w:rFonts w:ascii="Times New Roman" w:eastAsia="Calibri" w:hAnsi="Times New Roman" w:cs="Times New Roman"/>
          <w:sz w:val="24"/>
          <w:szCs w:val="24"/>
        </w:rPr>
        <w:t xml:space="preserve"> strains of </w:t>
      </w:r>
      <w:r w:rsidR="00C42DD4">
        <w:rPr>
          <w:rFonts w:ascii="Times New Roman" w:eastAsia="Calibri" w:hAnsi="Times New Roman" w:cs="Times New Roman"/>
          <w:i/>
          <w:iCs/>
          <w:sz w:val="24"/>
          <w:szCs w:val="24"/>
        </w:rPr>
        <w:t xml:space="preserve">staphylococcus </w:t>
      </w:r>
      <w:r w:rsidR="00C42DD4" w:rsidRPr="00C42DD4">
        <w:rPr>
          <w:rFonts w:ascii="Times New Roman" w:eastAsia="Calibri" w:hAnsi="Times New Roman" w:cs="Times New Roman"/>
          <w:i/>
          <w:iCs/>
          <w:sz w:val="24"/>
          <w:szCs w:val="24"/>
        </w:rPr>
        <w:t xml:space="preserve">aureus </w:t>
      </w:r>
      <w:r w:rsidR="00C42DD4" w:rsidRPr="009C6FE6">
        <w:rPr>
          <w:rFonts w:ascii="Times New Roman" w:eastAsia="Calibri" w:hAnsi="Times New Roman" w:cs="Times New Roman"/>
          <w:sz w:val="24"/>
          <w:szCs w:val="24"/>
        </w:rPr>
        <w:t xml:space="preserve">were </w:t>
      </w:r>
      <w:commentRangeStart w:id="8"/>
      <w:r w:rsidR="00C42DD4" w:rsidRPr="009C6FE6">
        <w:rPr>
          <w:rFonts w:ascii="Times New Roman" w:eastAsia="Calibri" w:hAnsi="Times New Roman" w:cs="Times New Roman"/>
          <w:sz w:val="24"/>
          <w:szCs w:val="24"/>
        </w:rPr>
        <w:t>isolated.</w:t>
      </w:r>
      <w:r w:rsidR="00EE7229" w:rsidRPr="00EE7229">
        <w:rPr>
          <w:rFonts w:ascii="Times New Roman" w:eastAsia="Calibri" w:hAnsi="Times New Roman" w:cs="Times New Roman"/>
          <w:color w:val="000000"/>
          <w:sz w:val="24"/>
          <w:szCs w:val="24"/>
        </w:rPr>
        <w:t xml:space="preserve">A </w:t>
      </w:r>
      <w:commentRangeEnd w:id="8"/>
      <w:r w:rsidR="000861A8">
        <w:rPr>
          <w:rStyle w:val="CommentReference"/>
        </w:rPr>
        <w:commentReference w:id="8"/>
      </w:r>
      <w:r w:rsidR="00EE7229" w:rsidRPr="00EE7229">
        <w:rPr>
          <w:rFonts w:ascii="Times New Roman" w:eastAsia="Calibri" w:hAnsi="Times New Roman" w:cs="Times New Roman"/>
          <w:color w:val="000000"/>
          <w:sz w:val="24"/>
          <w:szCs w:val="24"/>
        </w:rPr>
        <w:t xml:space="preserve">majority of </w:t>
      </w:r>
      <w:r w:rsidR="00EE7229" w:rsidRPr="00EE7229">
        <w:rPr>
          <w:rFonts w:ascii="Times New Roman" w:eastAsia="Calibri" w:hAnsi="Times New Roman" w:cs="Times New Roman"/>
          <w:i/>
          <w:iCs/>
          <w:color w:val="000000"/>
          <w:sz w:val="24"/>
          <w:szCs w:val="24"/>
        </w:rPr>
        <w:t xml:space="preserve">staphylococcus aureus </w:t>
      </w:r>
      <w:r w:rsidR="00EE7229" w:rsidRPr="00EE7229">
        <w:rPr>
          <w:rFonts w:ascii="Times New Roman" w:eastAsia="Calibri" w:hAnsi="Times New Roman" w:cs="Times New Roman"/>
          <w:color w:val="000000"/>
          <w:sz w:val="24"/>
          <w:szCs w:val="24"/>
        </w:rPr>
        <w:t>isolates were from pus specimen (n=81</w:t>
      </w:r>
      <w:r w:rsidR="00EE7229" w:rsidRPr="00EE7229">
        <w:rPr>
          <w:rFonts w:ascii="Times New Roman" w:eastAsia="Calibri" w:hAnsi="Times New Roman" w:cs="Times New Roman" w:hint="cs"/>
          <w:color w:val="000000"/>
          <w:sz w:val="24"/>
          <w:szCs w:val="24"/>
          <w:rtl/>
          <w:lang w:bidi="ar-EG"/>
        </w:rPr>
        <w:t>/</w:t>
      </w:r>
      <w:r w:rsidR="00EE7229" w:rsidRPr="00EE7229">
        <w:rPr>
          <w:rFonts w:ascii="Times New Roman" w:eastAsia="Calibri" w:hAnsi="Times New Roman" w:cs="Times New Roman"/>
          <w:color w:val="000000"/>
          <w:sz w:val="24"/>
          <w:szCs w:val="24"/>
        </w:rPr>
        <w:t>199; 40.7%)</w:t>
      </w:r>
      <w:r w:rsidR="00EE7229">
        <w:rPr>
          <w:rFonts w:ascii="Times New Roman" w:eastAsia="Calibri" w:hAnsi="Times New Roman" w:cs="Times New Roman"/>
          <w:color w:val="000000"/>
          <w:sz w:val="24"/>
          <w:szCs w:val="24"/>
        </w:rPr>
        <w:t>.</w:t>
      </w:r>
      <w:smartTag w:uri="urn:schemas-microsoft-com:office:smarttags" w:element="stockticker">
        <w:r w:rsidR="00C42DD4" w:rsidRPr="00EE7229">
          <w:rPr>
            <w:rFonts w:ascii="Times New Roman" w:hAnsi="Times New Roman" w:cs="Times New Roman"/>
            <w:color w:val="000000"/>
            <w:sz w:val="24"/>
            <w:szCs w:val="24"/>
          </w:rPr>
          <w:t>MRSA</w:t>
        </w:r>
      </w:smartTag>
      <w:r w:rsidR="00C42DD4" w:rsidRPr="00C42DD4">
        <w:rPr>
          <w:rFonts w:ascii="Times New Roman" w:hAnsi="Times New Roman" w:cs="Times New Roman"/>
          <w:color w:val="000000"/>
          <w:sz w:val="24"/>
          <w:szCs w:val="24"/>
        </w:rPr>
        <w:t xml:space="preserve"> p</w:t>
      </w:r>
      <w:r w:rsidR="00C42DD4">
        <w:rPr>
          <w:rFonts w:ascii="Times New Roman" w:hAnsi="Times New Roman" w:cs="Times New Roman"/>
          <w:color w:val="000000"/>
          <w:sz w:val="24"/>
          <w:szCs w:val="24"/>
        </w:rPr>
        <w:t xml:space="preserve">revalence among the patients </w:t>
      </w:r>
      <w:r w:rsidR="00C42DD4" w:rsidRPr="00C42DD4">
        <w:rPr>
          <w:rFonts w:ascii="Times New Roman" w:hAnsi="Times New Roman" w:cs="Times New Roman"/>
          <w:color w:val="000000"/>
          <w:sz w:val="24"/>
          <w:szCs w:val="24"/>
        </w:rPr>
        <w:t xml:space="preserve">was </w:t>
      </w:r>
      <w:r w:rsidR="007A1253" w:rsidRPr="007A1253">
        <w:rPr>
          <w:rFonts w:ascii="Times New Roman" w:hAnsi="Times New Roman" w:cs="Times New Roman"/>
          <w:color w:val="000000"/>
          <w:sz w:val="24"/>
          <w:szCs w:val="24"/>
        </w:rPr>
        <w:t>17.6 % (n=35</w:t>
      </w:r>
      <w:r w:rsidR="007A1253" w:rsidRPr="007A1253">
        <w:rPr>
          <w:rFonts w:ascii="Times New Roman" w:hAnsi="Times New Roman" w:cs="Times New Roman" w:hint="cs"/>
          <w:color w:val="000000"/>
          <w:sz w:val="24"/>
          <w:szCs w:val="24"/>
          <w:rtl/>
          <w:lang w:bidi="ar-EG"/>
        </w:rPr>
        <w:t>/</w:t>
      </w:r>
      <w:r w:rsidR="007A1253" w:rsidRPr="007A1253">
        <w:rPr>
          <w:rFonts w:ascii="Times New Roman" w:hAnsi="Times New Roman" w:cs="Times New Roman"/>
          <w:color w:val="000000"/>
          <w:sz w:val="24"/>
          <w:szCs w:val="24"/>
        </w:rPr>
        <w:t>199; 17.6)</w:t>
      </w:r>
      <w:r w:rsidR="007A1253">
        <w:rPr>
          <w:rFonts w:ascii="Times New Roman" w:hAnsi="Times New Roman" w:cs="Times New Roman"/>
          <w:color w:val="000000"/>
          <w:sz w:val="24"/>
          <w:szCs w:val="24"/>
        </w:rPr>
        <w:t xml:space="preserve">. </w:t>
      </w:r>
      <w:r w:rsidR="00C42DD4" w:rsidRPr="00C42DD4">
        <w:rPr>
          <w:rFonts w:ascii="Times New Roman" w:hAnsi="Times New Roman" w:cs="Times New Roman"/>
          <w:color w:val="000000"/>
          <w:sz w:val="24"/>
          <w:szCs w:val="24"/>
        </w:rPr>
        <w:t xml:space="preserve">Highest proportion of </w:t>
      </w:r>
      <w:smartTag w:uri="urn:schemas-microsoft-com:office:smarttags" w:element="stockticker">
        <w:r w:rsidR="00C42DD4" w:rsidRPr="00C42DD4">
          <w:rPr>
            <w:rFonts w:ascii="Times New Roman" w:hAnsi="Times New Roman" w:cs="Times New Roman"/>
            <w:color w:val="000000"/>
            <w:sz w:val="24"/>
            <w:szCs w:val="24"/>
          </w:rPr>
          <w:t>MRSA</w:t>
        </w:r>
      </w:smartTag>
      <w:r w:rsidR="00C42DD4" w:rsidRPr="00C42DD4">
        <w:rPr>
          <w:rFonts w:ascii="Times New Roman" w:hAnsi="Times New Roman" w:cs="Times New Roman"/>
          <w:color w:val="000000"/>
          <w:sz w:val="24"/>
          <w:szCs w:val="24"/>
        </w:rPr>
        <w:t xml:space="preserve"> was </w:t>
      </w:r>
      <w:r w:rsidR="00E332B4">
        <w:rPr>
          <w:rFonts w:ascii="Times New Roman" w:hAnsi="Times New Roman" w:cs="Times New Roman"/>
          <w:color w:val="000000"/>
          <w:sz w:val="24"/>
          <w:szCs w:val="24"/>
        </w:rPr>
        <w:t xml:space="preserve">in </w:t>
      </w:r>
      <w:r w:rsidR="00EE7229" w:rsidRPr="00EE7229">
        <w:rPr>
          <w:rFonts w:ascii="Times New Roman" w:hAnsi="Times New Roman" w:cs="Times New Roman"/>
          <w:color w:val="000000"/>
          <w:sz w:val="24"/>
          <w:szCs w:val="24"/>
        </w:rPr>
        <w:t>ICU and surgical departments about 29%</w:t>
      </w:r>
      <w:r w:rsidR="007A1253">
        <w:rPr>
          <w:rFonts w:ascii="Times New Roman" w:hAnsi="Times New Roman" w:cs="Times New Roman"/>
          <w:color w:val="000000"/>
          <w:sz w:val="24"/>
          <w:szCs w:val="24"/>
        </w:rPr>
        <w:t xml:space="preserve"> of all </w:t>
      </w:r>
      <w:smartTag w:uri="urn:schemas-microsoft-com:office:smarttags" w:element="stockticker">
        <w:r w:rsidR="007A1253">
          <w:rPr>
            <w:rFonts w:ascii="Times New Roman" w:hAnsi="Times New Roman" w:cs="Times New Roman"/>
            <w:color w:val="000000"/>
            <w:sz w:val="24"/>
            <w:szCs w:val="24"/>
          </w:rPr>
          <w:t>MRSA</w:t>
        </w:r>
      </w:smartTag>
      <w:r w:rsidR="007A1253">
        <w:rPr>
          <w:rFonts w:ascii="Times New Roman" w:hAnsi="Times New Roman" w:cs="Times New Roman"/>
          <w:color w:val="000000"/>
          <w:sz w:val="24"/>
          <w:szCs w:val="24"/>
        </w:rPr>
        <w:t xml:space="preserve"> isolates</w:t>
      </w:r>
      <w:r w:rsidR="00EE7229">
        <w:rPr>
          <w:rFonts w:ascii="Times New Roman" w:hAnsi="Times New Roman" w:cs="Times New Roman"/>
          <w:color w:val="000000"/>
          <w:sz w:val="24"/>
          <w:szCs w:val="24"/>
        </w:rPr>
        <w:t>.</w:t>
      </w:r>
      <w:r w:rsidR="00EE7229" w:rsidRPr="00EE7229">
        <w:rPr>
          <w:rFonts w:ascii="Times New Roman" w:hAnsi="Times New Roman" w:cs="Times New Roman"/>
          <w:color w:val="000000"/>
          <w:sz w:val="24"/>
          <w:szCs w:val="24"/>
        </w:rPr>
        <w:t xml:space="preserve">A majority of </w:t>
      </w:r>
      <w:commentRangeStart w:id="9"/>
      <w:smartTag w:uri="urn:schemas-microsoft-com:office:smarttags" w:element="stockticker">
        <w:r w:rsidR="00EE7229" w:rsidRPr="00646741">
          <w:rPr>
            <w:rFonts w:ascii="Times New Roman" w:hAnsi="Times New Roman" w:cs="Times New Roman"/>
            <w:color w:val="000000"/>
            <w:sz w:val="24"/>
            <w:szCs w:val="24"/>
          </w:rPr>
          <w:t>MRSA</w:t>
        </w:r>
      </w:smartTag>
      <w:r w:rsidR="00EE7229" w:rsidRPr="00EE7229">
        <w:rPr>
          <w:rFonts w:ascii="Times New Roman" w:hAnsi="Times New Roman" w:cs="Times New Roman"/>
          <w:color w:val="000000"/>
          <w:sz w:val="24"/>
          <w:szCs w:val="24"/>
        </w:rPr>
        <w:t xml:space="preserve">isolates </w:t>
      </w:r>
      <w:commentRangeEnd w:id="9"/>
      <w:r w:rsidR="000861A8">
        <w:rPr>
          <w:rStyle w:val="CommentReference"/>
        </w:rPr>
        <w:commentReference w:id="9"/>
      </w:r>
      <w:r w:rsidR="00EE7229" w:rsidRPr="00EE7229">
        <w:rPr>
          <w:rFonts w:ascii="Times New Roman" w:hAnsi="Times New Roman" w:cs="Times New Roman"/>
          <w:color w:val="000000"/>
          <w:sz w:val="24"/>
          <w:szCs w:val="24"/>
        </w:rPr>
        <w:t xml:space="preserve">were from </w:t>
      </w:r>
      <w:r w:rsidR="00EE7229">
        <w:rPr>
          <w:rFonts w:ascii="Times New Roman" w:hAnsi="Times New Roman" w:cs="Times New Roman"/>
          <w:color w:val="000000"/>
          <w:sz w:val="24"/>
          <w:szCs w:val="24"/>
        </w:rPr>
        <w:t>sputum</w:t>
      </w:r>
      <w:r w:rsidR="00EE7229" w:rsidRPr="00EE7229">
        <w:rPr>
          <w:rFonts w:ascii="Times New Roman" w:hAnsi="Times New Roman" w:cs="Times New Roman"/>
          <w:color w:val="000000"/>
          <w:sz w:val="24"/>
          <w:szCs w:val="24"/>
        </w:rPr>
        <w:t xml:space="preserve"> specimen(</w:t>
      </w:r>
      <w:r w:rsidR="00EE7229">
        <w:rPr>
          <w:rFonts w:ascii="Times New Roman" w:hAnsi="Times New Roman" w:cs="Times New Roman"/>
          <w:color w:val="000000"/>
          <w:sz w:val="24"/>
          <w:szCs w:val="24"/>
        </w:rPr>
        <w:t>n=18</w:t>
      </w:r>
      <w:r w:rsidR="00EE7229">
        <w:rPr>
          <w:rFonts w:ascii="Times New Roman" w:hAnsi="Times New Roman" w:cs="Times New Roman" w:hint="cs"/>
          <w:color w:val="000000"/>
          <w:sz w:val="24"/>
          <w:szCs w:val="24"/>
          <w:rtl/>
          <w:lang w:bidi="ar-EG"/>
        </w:rPr>
        <w:t>/</w:t>
      </w:r>
      <w:r w:rsidR="00EE7229">
        <w:rPr>
          <w:rFonts w:ascii="Times New Roman" w:hAnsi="Times New Roman" w:cs="Times New Roman"/>
          <w:color w:val="000000"/>
          <w:sz w:val="24"/>
          <w:szCs w:val="24"/>
          <w:lang w:bidi="ar-EG"/>
        </w:rPr>
        <w:t xml:space="preserve">35; </w:t>
      </w:r>
      <w:r w:rsidR="00EE7229" w:rsidRPr="00EE7229">
        <w:rPr>
          <w:rFonts w:ascii="Times New Roman" w:hAnsi="Times New Roman" w:cs="Times New Roman"/>
          <w:color w:val="000000"/>
          <w:sz w:val="24"/>
          <w:szCs w:val="24"/>
        </w:rPr>
        <w:t>51.4%)</w:t>
      </w:r>
    </w:p>
    <w:p w:rsidR="002628B9" w:rsidRDefault="00A114C0" w:rsidP="00D66D38">
      <w:pPr>
        <w:autoSpaceDE w:val="0"/>
        <w:autoSpaceDN w:val="0"/>
        <w:bidi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w:t>
      </w:r>
      <w:r w:rsidRPr="00A114C0">
        <w:rPr>
          <w:rFonts w:ascii="Times New Roman" w:hAnsi="Times New Roman" w:cs="Times New Roman"/>
          <w:color w:val="000000"/>
          <w:sz w:val="24"/>
          <w:szCs w:val="24"/>
        </w:rPr>
        <w:t xml:space="preserve"> study </w:t>
      </w:r>
      <w:r>
        <w:rPr>
          <w:rFonts w:ascii="Times New Roman" w:hAnsi="Times New Roman" w:cs="Times New Roman"/>
          <w:color w:val="000000"/>
          <w:sz w:val="24"/>
          <w:szCs w:val="24"/>
        </w:rPr>
        <w:t>findings</w:t>
      </w:r>
      <w:r w:rsidRPr="00A114C0">
        <w:rPr>
          <w:rFonts w:ascii="Times New Roman" w:hAnsi="Times New Roman" w:cs="Times New Roman"/>
          <w:color w:val="000000"/>
          <w:sz w:val="24"/>
          <w:szCs w:val="24"/>
        </w:rPr>
        <w:t xml:space="preserve"> showed that MRSA isolates </w:t>
      </w:r>
      <w:r>
        <w:rPr>
          <w:rFonts w:ascii="Times New Roman" w:hAnsi="Times New Roman" w:cs="Times New Roman"/>
          <w:color w:val="000000"/>
          <w:sz w:val="24"/>
          <w:szCs w:val="24"/>
        </w:rPr>
        <w:t>had the highest frequency of</w:t>
      </w:r>
      <w:r w:rsidRPr="00A114C0">
        <w:rPr>
          <w:rFonts w:ascii="Times New Roman" w:hAnsi="Times New Roman" w:cs="Times New Roman"/>
          <w:color w:val="000000"/>
          <w:sz w:val="24"/>
          <w:szCs w:val="24"/>
        </w:rPr>
        <w:t xml:space="preserve"> resistant(100%) to levofloxacin </w:t>
      </w:r>
      <w:r>
        <w:rPr>
          <w:rFonts w:ascii="Times New Roman" w:hAnsi="Times New Roman" w:cs="Times New Roman"/>
          <w:color w:val="000000"/>
          <w:sz w:val="24"/>
          <w:szCs w:val="24"/>
        </w:rPr>
        <w:t>and</w:t>
      </w:r>
      <w:r w:rsidRPr="00A114C0">
        <w:rPr>
          <w:rFonts w:ascii="Times New Roman" w:hAnsi="Times New Roman" w:cs="Times New Roman"/>
          <w:color w:val="000000"/>
          <w:sz w:val="24"/>
          <w:szCs w:val="24"/>
        </w:rPr>
        <w:t xml:space="preserve"> amoxicillin/clavulinic acid,</w:t>
      </w:r>
      <w:r>
        <w:rPr>
          <w:rFonts w:ascii="Times New Roman" w:hAnsi="Times New Roman" w:cs="Times New Roman"/>
          <w:color w:val="000000"/>
          <w:sz w:val="24"/>
          <w:szCs w:val="24"/>
        </w:rPr>
        <w:t xml:space="preserve"> followed by</w:t>
      </w:r>
      <w:r w:rsidRPr="00A114C0">
        <w:rPr>
          <w:rFonts w:ascii="Times New Roman" w:hAnsi="Times New Roman" w:cs="Times New Roman"/>
          <w:color w:val="000000"/>
          <w:sz w:val="24"/>
          <w:szCs w:val="24"/>
        </w:rPr>
        <w:t xml:space="preserve"> ciprofloxacin 97%, gentamicin </w:t>
      </w:r>
      <w:r>
        <w:rPr>
          <w:rFonts w:ascii="Times New Roman" w:hAnsi="Times New Roman" w:cs="Times New Roman"/>
          <w:color w:val="000000"/>
          <w:sz w:val="24"/>
          <w:szCs w:val="24"/>
        </w:rPr>
        <w:t xml:space="preserve">and </w:t>
      </w:r>
      <w:r w:rsidRPr="00A114C0">
        <w:rPr>
          <w:rFonts w:ascii="Times New Roman" w:hAnsi="Times New Roman" w:cs="Times New Roman"/>
          <w:color w:val="000000"/>
          <w:sz w:val="24"/>
          <w:szCs w:val="24"/>
        </w:rPr>
        <w:t xml:space="preserve">ampicillin/ sulbactam 94 %, </w:t>
      </w:r>
      <w:r>
        <w:rPr>
          <w:rFonts w:ascii="Times New Roman" w:hAnsi="Times New Roman" w:cs="Times New Roman"/>
          <w:color w:val="000000"/>
          <w:sz w:val="24"/>
          <w:szCs w:val="24"/>
        </w:rPr>
        <w:t>cefuroxime 91 %,</w:t>
      </w:r>
      <w:r w:rsidR="00FE6F79">
        <w:rPr>
          <w:rFonts w:ascii="Times New Roman" w:hAnsi="Times New Roman" w:cs="Times New Roman"/>
          <w:color w:val="000000"/>
          <w:sz w:val="24"/>
          <w:szCs w:val="24"/>
        </w:rPr>
        <w:t xml:space="preserve"> moxifloxacin 76</w:t>
      </w:r>
      <w:r w:rsidRPr="00A114C0">
        <w:rPr>
          <w:rFonts w:ascii="Times New Roman" w:hAnsi="Times New Roman" w:cs="Times New Roman"/>
          <w:color w:val="000000"/>
          <w:sz w:val="24"/>
          <w:szCs w:val="24"/>
        </w:rPr>
        <w:t xml:space="preserve">%, erythromycin </w:t>
      </w:r>
      <w:commentRangeEnd w:id="5"/>
      <w:r w:rsidR="00020C3B">
        <w:rPr>
          <w:rStyle w:val="CommentReference"/>
        </w:rPr>
        <w:commentReference w:id="5"/>
      </w:r>
      <w:r w:rsidRPr="00A114C0">
        <w:rPr>
          <w:rFonts w:ascii="Times New Roman" w:hAnsi="Times New Roman" w:cs="Times New Roman"/>
          <w:color w:val="000000"/>
          <w:sz w:val="24"/>
          <w:szCs w:val="24"/>
        </w:rPr>
        <w:t>71.5%,</w:t>
      </w:r>
      <w:r w:rsidR="00FE6F79" w:rsidRPr="00FE6F79">
        <w:rPr>
          <w:rFonts w:ascii="Times New Roman" w:hAnsi="Times New Roman" w:cs="Times New Roman"/>
          <w:color w:val="000000"/>
          <w:sz w:val="24"/>
          <w:szCs w:val="24"/>
        </w:rPr>
        <w:t xml:space="preserve"> clindamycin 70.5%, </w:t>
      </w:r>
      <w:r w:rsidRPr="00A114C0">
        <w:rPr>
          <w:rFonts w:ascii="Times New Roman" w:hAnsi="Times New Roman" w:cs="Times New Roman"/>
          <w:color w:val="000000"/>
          <w:sz w:val="24"/>
          <w:szCs w:val="24"/>
        </w:rPr>
        <w:t>and</w:t>
      </w:r>
      <w:r w:rsidR="00CA73D4" w:rsidRPr="00CA73D4">
        <w:rPr>
          <w:rFonts w:ascii="Times New Roman" w:hAnsi="Times New Roman" w:cs="Times New Roman"/>
          <w:color w:val="000000"/>
          <w:sz w:val="24"/>
          <w:szCs w:val="24"/>
        </w:rPr>
        <w:t xml:space="preserve"> imipenem </w:t>
      </w:r>
      <w:r w:rsidR="006F5E1D">
        <w:rPr>
          <w:rFonts w:ascii="Times New Roman" w:hAnsi="Times New Roman" w:cs="Times New Roman"/>
          <w:color w:val="000000"/>
          <w:sz w:val="24"/>
          <w:szCs w:val="24"/>
        </w:rPr>
        <w:t>55</w:t>
      </w:r>
      <w:r w:rsidR="00CA73D4" w:rsidRPr="00CA73D4">
        <w:rPr>
          <w:rFonts w:ascii="Times New Roman" w:hAnsi="Times New Roman" w:cs="Times New Roman"/>
          <w:color w:val="000000"/>
          <w:sz w:val="24"/>
          <w:szCs w:val="24"/>
        </w:rPr>
        <w:t>%</w:t>
      </w:r>
      <w:r w:rsidRPr="00A114C0">
        <w:rPr>
          <w:rFonts w:ascii="Times New Roman" w:hAnsi="Times New Roman" w:cs="Times New Roman"/>
          <w:color w:val="000000"/>
          <w:sz w:val="24"/>
          <w:szCs w:val="24"/>
        </w:rPr>
        <w:t xml:space="preserve">. </w:t>
      </w:r>
      <w:r w:rsidRPr="00A114C0">
        <w:rPr>
          <w:rFonts w:ascii="Times New Roman" w:hAnsi="Times New Roman" w:cs="Times New Roman"/>
          <w:color w:val="000000"/>
          <w:sz w:val="24"/>
          <w:szCs w:val="24"/>
        </w:rPr>
        <w:lastRenderedPageBreak/>
        <w:t xml:space="preserve">The highest frequency of </w:t>
      </w:r>
      <w:r w:rsidR="00D66D38">
        <w:rPr>
          <w:rFonts w:ascii="Times New Roman" w:hAnsi="Times New Roman" w:cs="Times New Roman"/>
          <w:color w:val="000000"/>
          <w:sz w:val="24"/>
          <w:szCs w:val="24"/>
        </w:rPr>
        <w:t>sensitivity (100</w:t>
      </w:r>
      <w:r w:rsidRPr="00A114C0">
        <w:rPr>
          <w:rFonts w:ascii="Times New Roman" w:hAnsi="Times New Roman" w:cs="Times New Roman"/>
          <w:color w:val="000000"/>
          <w:sz w:val="24"/>
          <w:szCs w:val="24"/>
        </w:rPr>
        <w:t xml:space="preserve">%) was observed with </w:t>
      </w:r>
      <w:r w:rsidR="00D66D38">
        <w:rPr>
          <w:rFonts w:ascii="Times New Roman" w:hAnsi="Times New Roman" w:cs="Times New Roman"/>
          <w:color w:val="000000"/>
          <w:sz w:val="24"/>
          <w:szCs w:val="24"/>
        </w:rPr>
        <w:t xml:space="preserve">linezolide, </w:t>
      </w:r>
      <w:r w:rsidR="00F10A1E">
        <w:rPr>
          <w:rFonts w:ascii="Times New Roman" w:hAnsi="Times New Roman" w:cs="Times New Roman"/>
          <w:color w:val="000000"/>
          <w:sz w:val="24"/>
          <w:szCs w:val="24"/>
        </w:rPr>
        <w:t>vancomycin,</w:t>
      </w:r>
      <w:r w:rsidR="00D66D38" w:rsidRPr="00D66D38">
        <w:rPr>
          <w:rFonts w:ascii="Times New Roman" w:hAnsi="Times New Roman" w:cs="Times New Roman"/>
          <w:color w:val="000000"/>
          <w:sz w:val="24"/>
          <w:szCs w:val="24"/>
        </w:rPr>
        <w:t xml:space="preserve"> and</w:t>
      </w:r>
      <w:r w:rsidR="00F10A1E" w:rsidRPr="00F10A1E">
        <w:rPr>
          <w:rFonts w:ascii="Times New Roman" w:hAnsi="Times New Roman" w:cs="Times New Roman"/>
          <w:color w:val="000000"/>
          <w:sz w:val="24"/>
          <w:szCs w:val="24"/>
        </w:rPr>
        <w:t xml:space="preserve"> trimethoprim/sulfamethoxaz</w:t>
      </w:r>
      <w:r w:rsidR="00F10A1E">
        <w:rPr>
          <w:rFonts w:ascii="Times New Roman" w:hAnsi="Times New Roman" w:cs="Times New Roman"/>
          <w:color w:val="000000"/>
          <w:sz w:val="24"/>
          <w:szCs w:val="24"/>
        </w:rPr>
        <w:t>ole.</w:t>
      </w:r>
    </w:p>
    <w:p w:rsidR="0099406C" w:rsidRPr="0099406C" w:rsidRDefault="002628B9" w:rsidP="00B54E5C">
      <w:pPr>
        <w:autoSpaceDE w:val="0"/>
        <w:autoSpaceDN w:val="0"/>
        <w:bidi w:val="0"/>
        <w:adjustRightInd w:val="0"/>
        <w:spacing w:after="0" w:line="360" w:lineRule="auto"/>
        <w:jc w:val="both"/>
        <w:rPr>
          <w:rFonts w:ascii="Times New Roman" w:hAnsi="Times New Roman" w:cs="Times New Roman"/>
          <w:color w:val="000000"/>
          <w:sz w:val="24"/>
          <w:szCs w:val="24"/>
        </w:rPr>
      </w:pPr>
      <w:r w:rsidRPr="00334D4D">
        <w:rPr>
          <w:rFonts w:ascii="Times New Roman" w:hAnsi="Times New Roman" w:cs="Times New Roman"/>
          <w:b/>
          <w:bCs/>
          <w:color w:val="000000"/>
          <w:sz w:val="24"/>
          <w:szCs w:val="24"/>
        </w:rPr>
        <w:t>Conclusion</w:t>
      </w:r>
      <w:r>
        <w:rPr>
          <w:rFonts w:ascii="Times New Roman" w:hAnsi="Times New Roman" w:cs="Times New Roman"/>
          <w:color w:val="000000"/>
          <w:sz w:val="24"/>
          <w:szCs w:val="24"/>
        </w:rPr>
        <w:t xml:space="preserve">: </w:t>
      </w:r>
      <w:r w:rsidR="00B54E5C" w:rsidRPr="00EB4EA2">
        <w:rPr>
          <w:rFonts w:ascii="Times New Roman" w:hAnsi="Times New Roman" w:cs="Times New Roman"/>
          <w:color w:val="000000"/>
          <w:sz w:val="24"/>
          <w:szCs w:val="24"/>
        </w:rPr>
        <w:t>MRSA</w:t>
      </w:r>
      <w:r w:rsidR="00FC383D">
        <w:rPr>
          <w:rFonts w:ascii="Times New Roman" w:hAnsi="Times New Roman" w:cs="Times New Roman"/>
          <w:color w:val="000000"/>
          <w:sz w:val="24"/>
          <w:szCs w:val="24"/>
        </w:rPr>
        <w:t xml:space="preserve"> </w:t>
      </w:r>
      <w:r w:rsidR="00B54E5C" w:rsidRPr="00B54E5C">
        <w:rPr>
          <w:rFonts w:ascii="Times New Roman" w:hAnsi="Times New Roman" w:cs="Times New Roman"/>
          <w:color w:val="000000"/>
          <w:sz w:val="24"/>
          <w:szCs w:val="24"/>
        </w:rPr>
        <w:t>isolates were highly susceptible to newer drugs such as linezolid and to vancomycin which is not a commonly prescribed drug due to the higher nephrotoxic antibiotic</w:t>
      </w:r>
      <w:r w:rsidR="00B54E5C">
        <w:rPr>
          <w:rFonts w:ascii="Times New Roman" w:hAnsi="Times New Roman" w:cs="Times New Roman"/>
          <w:color w:val="000000"/>
          <w:sz w:val="24"/>
          <w:szCs w:val="24"/>
        </w:rPr>
        <w:t xml:space="preserve">. A </w:t>
      </w:r>
      <w:r w:rsidR="0099406C" w:rsidRPr="0099406C">
        <w:rPr>
          <w:rFonts w:ascii="Times New Roman" w:hAnsi="Times New Roman" w:cs="Times New Roman"/>
          <w:color w:val="000000"/>
          <w:sz w:val="24"/>
          <w:szCs w:val="24"/>
        </w:rPr>
        <w:t xml:space="preserve">more careful monitoring </w:t>
      </w:r>
      <w:r w:rsidR="00B54E5C">
        <w:rPr>
          <w:rFonts w:ascii="Times New Roman" w:hAnsi="Times New Roman" w:cs="Times New Roman"/>
          <w:color w:val="000000"/>
          <w:sz w:val="24"/>
          <w:szCs w:val="24"/>
        </w:rPr>
        <w:t xml:space="preserve">for use of </w:t>
      </w:r>
      <w:r w:rsidR="00B54E5C" w:rsidRPr="00B54E5C">
        <w:rPr>
          <w:rFonts w:ascii="Times New Roman" w:hAnsi="Times New Roman" w:cs="Times New Roman"/>
          <w:color w:val="000000"/>
          <w:sz w:val="24"/>
          <w:szCs w:val="24"/>
        </w:rPr>
        <w:t xml:space="preserve">broad-spectrum antibiotics </w:t>
      </w:r>
      <w:r w:rsidR="0099406C" w:rsidRPr="0099406C">
        <w:rPr>
          <w:rFonts w:ascii="Times New Roman" w:hAnsi="Times New Roman" w:cs="Times New Roman"/>
          <w:color w:val="000000"/>
          <w:sz w:val="24"/>
          <w:szCs w:val="24"/>
        </w:rPr>
        <w:t>should be institute</w:t>
      </w:r>
      <w:r w:rsidR="00B54E5C">
        <w:rPr>
          <w:rFonts w:ascii="Times New Roman" w:hAnsi="Times New Roman" w:cs="Times New Roman"/>
          <w:color w:val="000000"/>
          <w:sz w:val="24"/>
          <w:szCs w:val="24"/>
        </w:rPr>
        <w:t>d</w:t>
      </w:r>
      <w:r w:rsidR="0099406C" w:rsidRPr="0099406C">
        <w:rPr>
          <w:rFonts w:ascii="Times New Roman" w:hAnsi="Times New Roman" w:cs="Times New Roman"/>
          <w:color w:val="000000"/>
          <w:sz w:val="24"/>
          <w:szCs w:val="24"/>
          <w:rtl/>
        </w:rPr>
        <w:t>.</w:t>
      </w:r>
      <w:r w:rsidR="00AB562D">
        <w:rPr>
          <w:rFonts w:ascii="Times New Roman" w:hAnsi="Times New Roman" w:cs="Times New Roman"/>
          <w:color w:val="000000"/>
          <w:sz w:val="24"/>
          <w:szCs w:val="24"/>
          <w:rtl/>
        </w:rPr>
        <w:t xml:space="preserve"> </w:t>
      </w:r>
    </w:p>
    <w:p w:rsidR="001355D1" w:rsidRPr="000D5ED8" w:rsidRDefault="00AB562D" w:rsidP="006D49F4">
      <w:pPr>
        <w:autoSpaceDE w:val="0"/>
        <w:autoSpaceDN w:val="0"/>
        <w:bidi w:val="0"/>
        <w:adjustRightInd w:val="0"/>
        <w:jc w:val="both"/>
        <w:rPr>
          <w:rFonts w:ascii="Times New Roman" w:eastAsia="Calibri" w:hAnsi="Times New Roman" w:cs="Times New Roman"/>
          <w:b/>
          <w:bCs/>
          <w:i/>
          <w:iCs/>
          <w:sz w:val="28"/>
          <w:szCs w:val="28"/>
        </w:rPr>
      </w:pPr>
      <w:r>
        <w:rPr>
          <w:rFonts w:ascii="Times New Roman" w:eastAsia="Calibri" w:hAnsi="Times New Roman" w:cs="Times New Roman"/>
          <w:b/>
          <w:bCs/>
          <w:i/>
          <w:iCs/>
        </w:rPr>
        <w:t xml:space="preserve"> </w:t>
      </w:r>
      <w:commentRangeStart w:id="10"/>
      <w:r w:rsidR="00FC383D">
        <w:rPr>
          <w:rFonts w:ascii="Times New Roman" w:eastAsia="Calibri" w:hAnsi="Times New Roman" w:cs="Times New Roman"/>
          <w:b/>
          <w:bCs/>
          <w:i/>
          <w:iCs/>
        </w:rPr>
        <w:t>Key</w:t>
      </w:r>
      <w:r w:rsidR="002628B9" w:rsidRPr="000D5ED8">
        <w:rPr>
          <w:rFonts w:ascii="Times New Roman" w:eastAsia="Calibri" w:hAnsi="Times New Roman" w:cs="Times New Roman"/>
          <w:b/>
          <w:bCs/>
          <w:i/>
          <w:iCs/>
        </w:rPr>
        <w:t>words</w:t>
      </w:r>
      <w:r w:rsidR="002628B9" w:rsidRPr="000D5ED8">
        <w:rPr>
          <w:rFonts w:ascii="Times New Roman" w:eastAsia="Calibri" w:hAnsi="Times New Roman" w:cs="Times New Roman"/>
          <w:i/>
          <w:iCs/>
        </w:rPr>
        <w:t xml:space="preserve">: </w:t>
      </w:r>
      <w:r w:rsidR="000D5ED8" w:rsidRPr="000D5ED8">
        <w:rPr>
          <w:rFonts w:ascii="Times New Roman" w:eastAsia="Calibri" w:hAnsi="Times New Roman" w:cs="Times New Roman"/>
          <w:i/>
          <w:iCs/>
        </w:rPr>
        <w:t>MRSA</w:t>
      </w:r>
      <w:r w:rsidR="002628B9" w:rsidRPr="000D5ED8">
        <w:rPr>
          <w:rFonts w:ascii="Times New Roman" w:eastAsia="Calibri" w:hAnsi="Times New Roman" w:cs="Times New Roman"/>
          <w:i/>
          <w:iCs/>
        </w:rPr>
        <w:t xml:space="preserve">, </w:t>
      </w:r>
      <w:r w:rsidR="004E4191">
        <w:rPr>
          <w:rFonts w:ascii="Times New Roman" w:eastAsia="Calibri" w:hAnsi="Times New Roman" w:cs="Times New Roman"/>
          <w:i/>
          <w:iCs/>
        </w:rPr>
        <w:t xml:space="preserve">Prevalence, </w:t>
      </w:r>
      <w:r w:rsidR="002628B9" w:rsidRPr="000D5ED8">
        <w:rPr>
          <w:rFonts w:ascii="Times New Roman" w:eastAsia="Calibri" w:hAnsi="Times New Roman" w:cs="Times New Roman"/>
          <w:i/>
          <w:iCs/>
        </w:rPr>
        <w:t xml:space="preserve">Antimicrobial susceptibility, </w:t>
      </w:r>
      <w:r w:rsidR="009B37E5">
        <w:rPr>
          <w:rFonts w:ascii="Times New Roman" w:eastAsia="Calibri" w:hAnsi="Times New Roman" w:cs="Times New Roman"/>
          <w:i/>
          <w:iCs/>
        </w:rPr>
        <w:t>Vancomycin</w:t>
      </w:r>
      <w:commentRangeEnd w:id="10"/>
      <w:r w:rsidR="000861A8">
        <w:rPr>
          <w:rStyle w:val="CommentReference"/>
        </w:rPr>
        <w:commentReference w:id="10"/>
      </w:r>
      <w:r w:rsidR="009B37E5">
        <w:rPr>
          <w:rFonts w:ascii="Times New Roman" w:eastAsia="Calibri" w:hAnsi="Times New Roman" w:cs="Times New Roman"/>
          <w:i/>
          <w:iCs/>
        </w:rPr>
        <w:t>.</w:t>
      </w:r>
    </w:p>
    <w:p w:rsidR="008E1E12" w:rsidRPr="008E1E12" w:rsidRDefault="005C18B3" w:rsidP="00DE3499">
      <w:pPr>
        <w:pStyle w:val="ListParagraph"/>
        <w:numPr>
          <w:ilvl w:val="0"/>
          <w:numId w:val="1"/>
        </w:numPr>
        <w:bidi w:val="0"/>
        <w:spacing w:after="0"/>
        <w:jc w:val="both"/>
        <w:rPr>
          <w:rFonts w:asciiTheme="majorBidi" w:hAnsiTheme="majorBidi" w:cstheme="majorBidi"/>
          <w:b/>
          <w:bCs/>
          <w:sz w:val="28"/>
          <w:szCs w:val="28"/>
          <w:lang w:bidi="ar-EG"/>
        </w:rPr>
      </w:pPr>
      <w:commentRangeStart w:id="11"/>
      <w:r w:rsidRPr="005C18B3">
        <w:rPr>
          <w:rFonts w:asciiTheme="majorBidi" w:hAnsiTheme="majorBidi" w:cstheme="majorBidi"/>
          <w:b/>
          <w:bCs/>
          <w:sz w:val="28"/>
          <w:szCs w:val="28"/>
          <w:lang w:bidi="ar-EG"/>
        </w:rPr>
        <w:t>Introd</w:t>
      </w:r>
      <w:commentRangeStart w:id="12"/>
      <w:r w:rsidRPr="005C18B3">
        <w:rPr>
          <w:rFonts w:asciiTheme="majorBidi" w:hAnsiTheme="majorBidi" w:cstheme="majorBidi"/>
          <w:b/>
          <w:bCs/>
          <w:sz w:val="28"/>
          <w:szCs w:val="28"/>
          <w:lang w:bidi="ar-EG"/>
        </w:rPr>
        <w:t>uct</w:t>
      </w:r>
      <w:commentRangeEnd w:id="12"/>
      <w:r w:rsidR="00AB562D">
        <w:rPr>
          <w:rStyle w:val="CommentReference"/>
        </w:rPr>
        <w:commentReference w:id="12"/>
      </w:r>
      <w:r w:rsidRPr="005C18B3">
        <w:rPr>
          <w:rFonts w:asciiTheme="majorBidi" w:hAnsiTheme="majorBidi" w:cstheme="majorBidi"/>
          <w:b/>
          <w:bCs/>
          <w:sz w:val="28"/>
          <w:szCs w:val="28"/>
          <w:lang w:bidi="ar-EG"/>
        </w:rPr>
        <w:t>ion:</w:t>
      </w:r>
      <w:commentRangeEnd w:id="11"/>
      <w:r w:rsidR="00AB562D">
        <w:rPr>
          <w:rStyle w:val="CommentReference"/>
        </w:rPr>
        <w:commentReference w:id="11"/>
      </w:r>
    </w:p>
    <w:p w:rsidR="008E1E12" w:rsidRPr="00FC0EF3" w:rsidRDefault="008E1E12" w:rsidP="005332F3">
      <w:pPr>
        <w:bidi w:val="0"/>
        <w:spacing w:line="360" w:lineRule="auto"/>
        <w:jc w:val="both"/>
        <w:rPr>
          <w:rFonts w:asciiTheme="majorBidi" w:hAnsiTheme="majorBidi" w:cstheme="majorBidi"/>
          <w:color w:val="C00000"/>
          <w:sz w:val="24"/>
          <w:szCs w:val="24"/>
        </w:rPr>
      </w:pPr>
      <w:commentRangeStart w:id="13"/>
      <w:r w:rsidRPr="00C5710F">
        <w:rPr>
          <w:rFonts w:asciiTheme="majorBidi" w:hAnsiTheme="majorBidi" w:cstheme="majorBidi"/>
          <w:sz w:val="24"/>
          <w:szCs w:val="24"/>
        </w:rPr>
        <w:t xml:space="preserve">Staphylococcus aureus </w:t>
      </w:r>
      <w:commentRangeEnd w:id="13"/>
      <w:r w:rsidR="000861A8">
        <w:rPr>
          <w:rStyle w:val="CommentReference"/>
        </w:rPr>
        <w:commentReference w:id="13"/>
      </w:r>
      <w:r w:rsidRPr="00C5710F">
        <w:rPr>
          <w:rFonts w:asciiTheme="majorBidi" w:hAnsiTheme="majorBidi" w:cstheme="majorBidi"/>
          <w:sz w:val="24"/>
          <w:szCs w:val="24"/>
        </w:rPr>
        <w:t xml:space="preserve">is one of the most important pathogens affecting </w:t>
      </w:r>
      <w:commentRangeStart w:id="14"/>
      <w:r w:rsidRPr="00C5710F">
        <w:rPr>
          <w:rFonts w:asciiTheme="majorBidi" w:hAnsiTheme="majorBidi" w:cstheme="majorBidi"/>
          <w:sz w:val="24"/>
          <w:szCs w:val="24"/>
        </w:rPr>
        <w:t>humans.</w:t>
      </w:r>
      <w:r w:rsidR="00C5710F" w:rsidRPr="00C5710F">
        <w:rPr>
          <w:rFonts w:asciiTheme="majorBidi" w:hAnsiTheme="majorBidi" w:cstheme="majorBidi"/>
          <w:sz w:val="24"/>
          <w:szCs w:val="24"/>
        </w:rPr>
        <w:t xml:space="preserve">Penicillin </w:t>
      </w:r>
      <w:r w:rsidR="005B1A03">
        <w:rPr>
          <w:rFonts w:asciiTheme="majorBidi" w:hAnsiTheme="majorBidi" w:cstheme="majorBidi"/>
          <w:sz w:val="24"/>
          <w:szCs w:val="24"/>
        </w:rPr>
        <w:t>is</w:t>
      </w:r>
      <w:r w:rsidR="00C5710F" w:rsidRPr="00C5710F">
        <w:rPr>
          <w:rFonts w:asciiTheme="majorBidi" w:hAnsiTheme="majorBidi" w:cstheme="majorBidi"/>
          <w:sz w:val="24"/>
          <w:szCs w:val="24"/>
        </w:rPr>
        <w:t xml:space="preserve"> the drug of choice to treat infections caused by </w:t>
      </w:r>
      <w:r w:rsidR="006D49F4">
        <w:rPr>
          <w:rFonts w:asciiTheme="majorBidi" w:hAnsiTheme="majorBidi" w:cstheme="majorBidi"/>
          <w:sz w:val="24"/>
          <w:szCs w:val="24"/>
        </w:rPr>
        <w:t>s</w:t>
      </w:r>
      <w:r w:rsidR="006D49F4" w:rsidRPr="006D49F4">
        <w:rPr>
          <w:rFonts w:asciiTheme="majorBidi" w:hAnsiTheme="majorBidi" w:cstheme="majorBidi"/>
          <w:sz w:val="24"/>
          <w:szCs w:val="24"/>
        </w:rPr>
        <w:t>taphylococcus</w:t>
      </w:r>
      <w:r w:rsidR="00C5710F" w:rsidRPr="00C5710F">
        <w:rPr>
          <w:rFonts w:asciiTheme="majorBidi" w:hAnsiTheme="majorBidi" w:cstheme="majorBidi"/>
          <w:sz w:val="24"/>
          <w:szCs w:val="24"/>
        </w:rPr>
        <w:t xml:space="preserve"> aureus.</w:t>
      </w:r>
      <w:r w:rsidR="000A1F58">
        <w:rPr>
          <w:rFonts w:asciiTheme="majorBidi" w:hAnsiTheme="majorBidi" w:cstheme="majorBidi"/>
          <w:sz w:val="24"/>
          <w:szCs w:val="24"/>
        </w:rPr>
        <w:t xml:space="preserve">Because of </w:t>
      </w:r>
      <w:r w:rsidR="000A1F58" w:rsidRPr="00C5710F">
        <w:rPr>
          <w:rFonts w:asciiTheme="majorBidi" w:hAnsiTheme="majorBidi" w:cstheme="majorBidi"/>
          <w:sz w:val="24"/>
          <w:szCs w:val="24"/>
        </w:rPr>
        <w:t>the</w:t>
      </w:r>
      <w:r w:rsidR="00C5710F" w:rsidRPr="00C5710F">
        <w:rPr>
          <w:rFonts w:asciiTheme="majorBidi" w:hAnsiTheme="majorBidi" w:cstheme="majorBidi"/>
          <w:sz w:val="24"/>
          <w:szCs w:val="24"/>
        </w:rPr>
        <w:t xml:space="preserve"> penicillin </w:t>
      </w:r>
      <w:r w:rsidR="000A1F58">
        <w:rPr>
          <w:rFonts w:asciiTheme="majorBidi" w:hAnsiTheme="majorBidi" w:cstheme="majorBidi"/>
          <w:sz w:val="24"/>
          <w:szCs w:val="24"/>
        </w:rPr>
        <w:t>was commonly prescribed drugs</w:t>
      </w:r>
      <w:r w:rsidR="00C5710F" w:rsidRPr="00C5710F">
        <w:rPr>
          <w:rFonts w:asciiTheme="majorBidi" w:hAnsiTheme="majorBidi" w:cstheme="majorBidi"/>
          <w:sz w:val="24"/>
          <w:szCs w:val="24"/>
        </w:rPr>
        <w:t xml:space="preserve">, the prevalence </w:t>
      </w:r>
      <w:r w:rsidR="00C5710F">
        <w:rPr>
          <w:rFonts w:asciiTheme="majorBidi" w:hAnsiTheme="majorBidi" w:cstheme="majorBidi"/>
          <w:sz w:val="24"/>
          <w:szCs w:val="24"/>
        </w:rPr>
        <w:t xml:space="preserve">of penicillin resistant strains </w:t>
      </w:r>
      <w:r w:rsidR="00C5710F" w:rsidRPr="00C5710F">
        <w:rPr>
          <w:rFonts w:asciiTheme="majorBidi" w:hAnsiTheme="majorBidi" w:cstheme="majorBidi"/>
          <w:sz w:val="24"/>
          <w:szCs w:val="24"/>
        </w:rPr>
        <w:t xml:space="preserve">increased, </w:t>
      </w:r>
      <w:r w:rsidR="005B1A03">
        <w:rPr>
          <w:rFonts w:asciiTheme="majorBidi" w:hAnsiTheme="majorBidi" w:cstheme="majorBidi"/>
          <w:sz w:val="24"/>
          <w:szCs w:val="24"/>
        </w:rPr>
        <w:t>especially</w:t>
      </w:r>
      <w:r w:rsidR="00C5710F" w:rsidRPr="00C5710F">
        <w:rPr>
          <w:rFonts w:asciiTheme="majorBidi" w:hAnsiTheme="majorBidi" w:cstheme="majorBidi"/>
          <w:sz w:val="24"/>
          <w:szCs w:val="24"/>
        </w:rPr>
        <w:t xml:space="preserve"> in </w:t>
      </w:r>
      <w:r w:rsidR="00FC0EF3" w:rsidRPr="00C5710F">
        <w:rPr>
          <w:rFonts w:asciiTheme="majorBidi" w:hAnsiTheme="majorBidi" w:cstheme="majorBidi"/>
          <w:sz w:val="24"/>
          <w:szCs w:val="24"/>
        </w:rPr>
        <w:t>hospitals</w:t>
      </w:r>
      <w:r w:rsidR="00FC0EF3" w:rsidRPr="00FC0EF3">
        <w:rPr>
          <w:rFonts w:asciiTheme="majorBidi" w:hAnsiTheme="majorBidi" w:cstheme="majorBidi"/>
          <w:b/>
          <w:bCs/>
          <w:sz w:val="24"/>
          <w:szCs w:val="24"/>
          <w:vertAlign w:val="superscript"/>
        </w:rPr>
        <w:t>(1)</w:t>
      </w:r>
      <w:r w:rsidR="00C5710F">
        <w:rPr>
          <w:rFonts w:ascii="TimesNewRoman" w:hAnsi="TimesNewRoman" w:cs="TimesNewRoman"/>
          <w:sz w:val="20"/>
          <w:szCs w:val="20"/>
        </w:rPr>
        <w:t>.</w:t>
      </w:r>
      <w:r w:rsidR="005332F3">
        <w:rPr>
          <w:rFonts w:asciiTheme="majorBidi" w:hAnsiTheme="majorBidi" w:cstheme="majorBidi"/>
          <w:sz w:val="24"/>
          <w:szCs w:val="24"/>
        </w:rPr>
        <w:t>MRSA</w:t>
      </w:r>
      <w:r w:rsidRPr="008E1E12">
        <w:rPr>
          <w:rFonts w:asciiTheme="majorBidi" w:hAnsiTheme="majorBidi" w:cstheme="majorBidi"/>
          <w:sz w:val="24"/>
          <w:szCs w:val="24"/>
        </w:rPr>
        <w:t xml:space="preserve"> was first described in </w:t>
      </w:r>
      <w:r w:rsidR="00C5710F" w:rsidRPr="008E1E12">
        <w:rPr>
          <w:rFonts w:asciiTheme="majorBidi" w:hAnsiTheme="majorBidi" w:cstheme="majorBidi"/>
          <w:sz w:val="24"/>
          <w:szCs w:val="24"/>
        </w:rPr>
        <w:t>1961</w:t>
      </w:r>
      <w:r w:rsidR="009715EA">
        <w:rPr>
          <w:rFonts w:asciiTheme="majorBidi" w:hAnsiTheme="majorBidi" w:cstheme="majorBidi"/>
          <w:sz w:val="24"/>
          <w:szCs w:val="24"/>
        </w:rPr>
        <w:t xml:space="preserve">. It was </w:t>
      </w:r>
      <w:r w:rsidRPr="008E1E12">
        <w:rPr>
          <w:rFonts w:asciiTheme="majorBidi" w:hAnsiTheme="majorBidi" w:cstheme="majorBidi"/>
          <w:sz w:val="24"/>
          <w:szCs w:val="24"/>
        </w:rPr>
        <w:t>reported after one year</w:t>
      </w:r>
      <w:r w:rsidR="009715EA">
        <w:rPr>
          <w:rFonts w:asciiTheme="majorBidi" w:hAnsiTheme="majorBidi" w:cstheme="majorBidi"/>
          <w:sz w:val="24"/>
          <w:szCs w:val="24"/>
        </w:rPr>
        <w:t xml:space="preserve"> of introduction of methicillin. Recently, it was defined</w:t>
      </w:r>
      <w:r w:rsidRPr="008E1E12">
        <w:rPr>
          <w:rFonts w:asciiTheme="majorBidi" w:hAnsiTheme="majorBidi" w:cstheme="majorBidi"/>
          <w:sz w:val="24"/>
          <w:szCs w:val="24"/>
        </w:rPr>
        <w:t xml:space="preserve"> as one of the most important nosocomial pathogens.</w:t>
      </w:r>
      <w:r w:rsidR="0003107C">
        <w:rPr>
          <w:rFonts w:asciiTheme="majorBidi" w:eastAsia="Univers-Medium" w:hAnsiTheme="majorBidi" w:cstheme="majorBidi"/>
          <w:sz w:val="24"/>
          <w:szCs w:val="24"/>
        </w:rPr>
        <w:t>New</w:t>
      </w:r>
      <w:r w:rsidRPr="008E1E12">
        <w:rPr>
          <w:rFonts w:asciiTheme="majorBidi" w:eastAsia="Univers-Medium" w:hAnsiTheme="majorBidi" w:cstheme="majorBidi"/>
          <w:sz w:val="24"/>
          <w:szCs w:val="24"/>
        </w:rPr>
        <w:t xml:space="preserve"> studies suggest that the infection due to MRSA is not only hospital-acquired but community acquired as well</w:t>
      </w:r>
      <w:r w:rsidR="00FC0EF3" w:rsidRPr="00FC0EF3">
        <w:rPr>
          <w:rFonts w:asciiTheme="majorBidi" w:eastAsia="Univers-Medium" w:hAnsiTheme="majorBidi" w:cstheme="majorBidi"/>
          <w:b/>
          <w:bCs/>
          <w:sz w:val="24"/>
          <w:szCs w:val="24"/>
          <w:vertAlign w:val="superscript"/>
        </w:rPr>
        <w:t>(2)</w:t>
      </w:r>
      <w:r w:rsidRPr="008E1E12">
        <w:rPr>
          <w:rFonts w:asciiTheme="majorBidi" w:eastAsia="Univers-Medium" w:hAnsiTheme="majorBidi" w:cstheme="majorBidi"/>
          <w:sz w:val="24"/>
          <w:szCs w:val="24"/>
        </w:rPr>
        <w:t>.</w:t>
      </w:r>
      <w:r w:rsidR="0003107C">
        <w:rPr>
          <w:rFonts w:asciiTheme="majorBidi" w:hAnsiTheme="majorBidi" w:cstheme="majorBidi"/>
          <w:sz w:val="24"/>
          <w:szCs w:val="24"/>
        </w:rPr>
        <w:t xml:space="preserve">Also </w:t>
      </w:r>
      <w:r w:rsidR="00E977C7" w:rsidRPr="00B559D7">
        <w:rPr>
          <w:rFonts w:asciiTheme="majorBidi" w:hAnsiTheme="majorBidi" w:cstheme="majorBidi"/>
          <w:sz w:val="24"/>
          <w:szCs w:val="24"/>
        </w:rPr>
        <w:t xml:space="preserve">MRSA has become a major </w:t>
      </w:r>
      <w:r w:rsidR="00FC0EF3">
        <w:rPr>
          <w:rFonts w:asciiTheme="majorBidi" w:hAnsiTheme="majorBidi" w:cstheme="majorBidi"/>
          <w:sz w:val="24"/>
          <w:szCs w:val="24"/>
        </w:rPr>
        <w:t xml:space="preserve">public health problem worldwide </w:t>
      </w:r>
      <w:r w:rsidR="00FC0EF3" w:rsidRPr="00FC0EF3">
        <w:rPr>
          <w:rFonts w:asciiTheme="majorBidi" w:hAnsiTheme="majorBidi" w:cstheme="majorBidi"/>
          <w:b/>
          <w:bCs/>
          <w:sz w:val="24"/>
          <w:szCs w:val="24"/>
          <w:vertAlign w:val="superscript"/>
        </w:rPr>
        <w:t>(3)</w:t>
      </w:r>
      <w:r w:rsidR="00FC0EF3">
        <w:rPr>
          <w:rFonts w:asciiTheme="majorBidi" w:hAnsiTheme="majorBidi" w:cstheme="majorBidi"/>
          <w:sz w:val="24"/>
          <w:szCs w:val="24"/>
        </w:rPr>
        <w:t>.</w:t>
      </w:r>
      <w:r w:rsidRPr="008E1E12">
        <w:rPr>
          <w:rFonts w:asciiTheme="majorBidi" w:eastAsia="Univers-Medium" w:hAnsiTheme="majorBidi" w:cstheme="majorBidi"/>
          <w:sz w:val="24"/>
          <w:szCs w:val="24"/>
        </w:rPr>
        <w:t xml:space="preserve">Some large outbreaks </w:t>
      </w:r>
      <w:r w:rsidR="006A28D0">
        <w:rPr>
          <w:rFonts w:asciiTheme="majorBidi" w:eastAsia="Univers-Medium" w:hAnsiTheme="majorBidi" w:cstheme="majorBidi"/>
          <w:sz w:val="24"/>
          <w:szCs w:val="24"/>
        </w:rPr>
        <w:t xml:space="preserve">of MRSA </w:t>
      </w:r>
      <w:r w:rsidRPr="008E1E12">
        <w:rPr>
          <w:rFonts w:asciiTheme="majorBidi" w:eastAsia="Univers-Medium" w:hAnsiTheme="majorBidi" w:cstheme="majorBidi"/>
          <w:sz w:val="24"/>
          <w:szCs w:val="24"/>
        </w:rPr>
        <w:t xml:space="preserve">have been </w:t>
      </w:r>
      <w:r w:rsidR="006A28D0">
        <w:rPr>
          <w:rFonts w:asciiTheme="majorBidi" w:eastAsia="Univers-Medium" w:hAnsiTheme="majorBidi" w:cstheme="majorBidi"/>
          <w:sz w:val="24"/>
          <w:szCs w:val="24"/>
        </w:rPr>
        <w:t>documented</w:t>
      </w:r>
      <w:r w:rsidRPr="008E1E12">
        <w:rPr>
          <w:rFonts w:asciiTheme="majorBidi" w:eastAsia="Univers-Medium" w:hAnsiTheme="majorBidi" w:cstheme="majorBidi"/>
          <w:sz w:val="24"/>
          <w:szCs w:val="24"/>
        </w:rPr>
        <w:t xml:space="preserve"> from different </w:t>
      </w:r>
      <w:r w:rsidR="006A28D0">
        <w:rPr>
          <w:rFonts w:asciiTheme="majorBidi" w:eastAsia="Univers-Medium" w:hAnsiTheme="majorBidi" w:cstheme="majorBidi"/>
          <w:sz w:val="24"/>
          <w:szCs w:val="24"/>
        </w:rPr>
        <w:t>regions</w:t>
      </w:r>
      <w:r w:rsidRPr="008E1E12">
        <w:rPr>
          <w:rFonts w:asciiTheme="majorBidi" w:eastAsia="Univers-Medium" w:hAnsiTheme="majorBidi" w:cstheme="majorBidi"/>
          <w:sz w:val="24"/>
          <w:szCs w:val="24"/>
        </w:rPr>
        <w:t xml:space="preserve"> of the world, where it had caused severe infections including septicemia, endocarditis and </w:t>
      </w:r>
      <w:commentRangeEnd w:id="14"/>
      <w:r w:rsidR="00020C3B">
        <w:rPr>
          <w:rStyle w:val="CommentReference"/>
        </w:rPr>
        <w:commentReference w:id="14"/>
      </w:r>
      <w:r w:rsidRPr="008E1E12">
        <w:rPr>
          <w:rFonts w:asciiTheme="majorBidi" w:eastAsia="Univers-Medium" w:hAnsiTheme="majorBidi" w:cstheme="majorBidi"/>
          <w:sz w:val="24"/>
          <w:szCs w:val="24"/>
        </w:rPr>
        <w:t>meningitis</w:t>
      </w:r>
      <w:r w:rsidR="00FC0EF3" w:rsidRPr="00FC0EF3">
        <w:rPr>
          <w:rFonts w:asciiTheme="majorBidi" w:eastAsia="Univers-Medium" w:hAnsiTheme="majorBidi" w:cstheme="majorBidi"/>
          <w:b/>
          <w:bCs/>
          <w:sz w:val="24"/>
          <w:szCs w:val="24"/>
          <w:vertAlign w:val="superscript"/>
        </w:rPr>
        <w:t>(4)</w:t>
      </w:r>
      <w:r w:rsidR="00FC0EF3">
        <w:rPr>
          <w:rFonts w:asciiTheme="majorBidi" w:hAnsiTheme="majorBidi" w:cstheme="majorBidi"/>
          <w:color w:val="C00000"/>
          <w:sz w:val="24"/>
          <w:szCs w:val="24"/>
        </w:rPr>
        <w:t>.</w:t>
      </w:r>
    </w:p>
    <w:p w:rsidR="00B559D7" w:rsidRPr="0036488D" w:rsidRDefault="00C22DDD" w:rsidP="00143B9E">
      <w:pPr>
        <w:autoSpaceDE w:val="0"/>
        <w:autoSpaceDN w:val="0"/>
        <w:bidi w:val="0"/>
        <w:adjustRightInd w:val="0"/>
        <w:spacing w:after="0" w:line="360" w:lineRule="auto"/>
        <w:jc w:val="both"/>
        <w:rPr>
          <w:rFonts w:asciiTheme="majorBidi" w:hAnsiTheme="majorBidi" w:cstheme="majorBidi"/>
          <w:sz w:val="24"/>
          <w:szCs w:val="24"/>
        </w:rPr>
      </w:pPr>
      <w:r w:rsidRPr="00C22DDD">
        <w:rPr>
          <w:rFonts w:asciiTheme="majorBidi" w:eastAsia="Univers-Medium" w:hAnsiTheme="majorBidi" w:cstheme="majorBidi"/>
          <w:sz w:val="24"/>
          <w:szCs w:val="24"/>
        </w:rPr>
        <w:t xml:space="preserve">A </w:t>
      </w:r>
      <w:commentRangeStart w:id="15"/>
      <w:r w:rsidRPr="00C22DDD">
        <w:rPr>
          <w:rFonts w:asciiTheme="majorBidi" w:eastAsia="Univers-Medium" w:hAnsiTheme="majorBidi" w:cstheme="majorBidi"/>
          <w:sz w:val="24"/>
          <w:szCs w:val="24"/>
        </w:rPr>
        <w:t xml:space="preserve">study by Dickinson in England and Wales has </w:t>
      </w:r>
      <w:r w:rsidR="00E60750">
        <w:rPr>
          <w:rFonts w:asciiTheme="majorBidi" w:eastAsia="Univers-Medium" w:hAnsiTheme="majorBidi" w:cstheme="majorBidi"/>
          <w:sz w:val="24"/>
          <w:szCs w:val="24"/>
        </w:rPr>
        <w:t>approved</w:t>
      </w:r>
      <w:r w:rsidRPr="00C22DDD">
        <w:rPr>
          <w:rFonts w:asciiTheme="majorBidi" w:eastAsia="Univers-Medium" w:hAnsiTheme="majorBidi" w:cstheme="majorBidi"/>
          <w:sz w:val="24"/>
          <w:szCs w:val="24"/>
        </w:rPr>
        <w:t xml:space="preserve"> an increase in the </w:t>
      </w:r>
      <w:r w:rsidR="00FC0EF3">
        <w:rPr>
          <w:rFonts w:asciiTheme="majorBidi" w:eastAsia="Univers-Medium" w:hAnsiTheme="majorBidi" w:cstheme="majorBidi"/>
          <w:sz w:val="24"/>
          <w:szCs w:val="24"/>
        </w:rPr>
        <w:t>death</w:t>
      </w:r>
      <w:r w:rsidR="00E60750">
        <w:rPr>
          <w:rFonts w:asciiTheme="majorBidi" w:eastAsia="Univers-Medium" w:hAnsiTheme="majorBidi" w:cstheme="majorBidi"/>
          <w:sz w:val="24"/>
          <w:szCs w:val="24"/>
        </w:rPr>
        <w:t xml:space="preserve"> rateof</w:t>
      </w:r>
      <w:r w:rsidR="00FC0EF3">
        <w:rPr>
          <w:rFonts w:asciiTheme="majorBidi" w:eastAsia="Univers-Medium" w:hAnsiTheme="majorBidi" w:cstheme="majorBidi"/>
          <w:sz w:val="24"/>
          <w:szCs w:val="24"/>
        </w:rPr>
        <w:t xml:space="preserve"> MRSA infection </w:t>
      </w:r>
      <w:r w:rsidR="00FC0EF3" w:rsidRPr="00FC0EF3">
        <w:rPr>
          <w:rFonts w:asciiTheme="majorBidi" w:eastAsia="Univers-Medium" w:hAnsiTheme="majorBidi" w:cstheme="majorBidi"/>
          <w:b/>
          <w:bCs/>
          <w:sz w:val="24"/>
          <w:szCs w:val="24"/>
          <w:vertAlign w:val="superscript"/>
        </w:rPr>
        <w:t>(5)</w:t>
      </w:r>
      <w:r w:rsidR="00FC0EF3">
        <w:rPr>
          <w:rFonts w:asciiTheme="majorBidi" w:eastAsia="Univers-Medium" w:hAnsiTheme="majorBidi" w:cstheme="majorBidi"/>
          <w:sz w:val="24"/>
          <w:szCs w:val="24"/>
        </w:rPr>
        <w:t>.</w:t>
      </w:r>
      <w:r w:rsidRPr="00C22DDD">
        <w:rPr>
          <w:rFonts w:asciiTheme="majorBidi" w:eastAsia="Univers-Medium" w:hAnsiTheme="majorBidi" w:cstheme="majorBidi"/>
          <w:sz w:val="24"/>
          <w:szCs w:val="24"/>
        </w:rPr>
        <w:t xml:space="preserve">The risk factors that </w:t>
      </w:r>
      <w:r w:rsidR="00510B6D">
        <w:rPr>
          <w:rFonts w:asciiTheme="majorBidi" w:eastAsia="Univers-Medium" w:hAnsiTheme="majorBidi" w:cstheme="majorBidi"/>
          <w:sz w:val="24"/>
          <w:szCs w:val="24"/>
        </w:rPr>
        <w:t>increase in</w:t>
      </w:r>
      <w:r w:rsidRPr="00C22DDD">
        <w:rPr>
          <w:rFonts w:asciiTheme="majorBidi" w:eastAsia="Univers-Medium" w:hAnsiTheme="majorBidi" w:cstheme="majorBidi"/>
          <w:sz w:val="24"/>
          <w:szCs w:val="24"/>
        </w:rPr>
        <w:t xml:space="preserve"> MRSA</w:t>
      </w:r>
      <w:r w:rsidR="004E4191">
        <w:rPr>
          <w:rFonts w:asciiTheme="majorBidi" w:eastAsia="Univers-Medium" w:hAnsiTheme="majorBidi" w:cstheme="majorBidi"/>
          <w:sz w:val="24"/>
          <w:szCs w:val="24"/>
        </w:rPr>
        <w:t>prevalence</w:t>
      </w:r>
      <w:r w:rsidRPr="00C22DDD">
        <w:rPr>
          <w:rFonts w:asciiTheme="majorBidi" w:eastAsia="Univers-Medium" w:hAnsiTheme="majorBidi" w:cstheme="majorBidi"/>
          <w:sz w:val="24"/>
          <w:szCs w:val="24"/>
        </w:rPr>
        <w:t xml:space="preserve"> are antibiotics abuse, prolonged </w:t>
      </w:r>
      <w:commentRangeStart w:id="16"/>
      <w:r w:rsidRPr="00C22DDD">
        <w:rPr>
          <w:rFonts w:asciiTheme="majorBidi" w:eastAsia="Univers-Medium" w:hAnsiTheme="majorBidi" w:cstheme="majorBidi"/>
          <w:sz w:val="24"/>
          <w:szCs w:val="24"/>
        </w:rPr>
        <w:t xml:space="preserve">hospitalization,intravascular </w:t>
      </w:r>
      <w:commentRangeEnd w:id="16"/>
      <w:r w:rsidR="000861A8">
        <w:rPr>
          <w:rStyle w:val="CommentReference"/>
        </w:rPr>
        <w:commentReference w:id="16"/>
      </w:r>
      <w:r w:rsidRPr="00C22DDD">
        <w:rPr>
          <w:rFonts w:asciiTheme="majorBidi" w:eastAsia="Univers-Medium" w:hAnsiTheme="majorBidi" w:cstheme="majorBidi"/>
          <w:sz w:val="24"/>
          <w:szCs w:val="24"/>
        </w:rPr>
        <w:t xml:space="preserve">instrumentation and hospitalization in an intensive care unit.There is </w:t>
      </w:r>
      <w:r w:rsidR="003C42EC">
        <w:rPr>
          <w:rFonts w:asciiTheme="majorBidi" w:eastAsia="Univers-Medium" w:hAnsiTheme="majorBidi" w:cstheme="majorBidi"/>
          <w:sz w:val="24"/>
          <w:szCs w:val="24"/>
        </w:rPr>
        <w:t xml:space="preserve">significant </w:t>
      </w:r>
      <w:r w:rsidRPr="00C22DDD">
        <w:rPr>
          <w:rFonts w:asciiTheme="majorBidi" w:eastAsia="Univers-Medium" w:hAnsiTheme="majorBidi" w:cstheme="majorBidi"/>
          <w:sz w:val="24"/>
          <w:szCs w:val="24"/>
        </w:rPr>
        <w:t xml:space="preserve">variation in </w:t>
      </w:r>
      <w:r w:rsidR="003C42EC">
        <w:rPr>
          <w:rFonts w:asciiTheme="majorBidi" w:eastAsia="Univers-Medium" w:hAnsiTheme="majorBidi" w:cstheme="majorBidi"/>
          <w:sz w:val="24"/>
          <w:szCs w:val="24"/>
        </w:rPr>
        <w:t>prevalence</w:t>
      </w:r>
      <w:r w:rsidRPr="00C22DDD">
        <w:rPr>
          <w:rFonts w:asciiTheme="majorBidi" w:eastAsia="Univers-Medium" w:hAnsiTheme="majorBidi" w:cstheme="majorBidi"/>
          <w:sz w:val="24"/>
          <w:szCs w:val="24"/>
        </w:rPr>
        <w:t xml:space="preserve"> of clinical infections among</w:t>
      </w:r>
      <w:r w:rsidR="00FC0EF3">
        <w:rPr>
          <w:rFonts w:asciiTheme="majorBidi" w:eastAsia="Univers-Medium" w:hAnsiTheme="majorBidi" w:cstheme="majorBidi"/>
          <w:sz w:val="24"/>
          <w:szCs w:val="24"/>
        </w:rPr>
        <w:t xml:space="preserve"> units, hospitals and countries </w:t>
      </w:r>
      <w:r w:rsidR="00FC0EF3" w:rsidRPr="00FC0EF3">
        <w:rPr>
          <w:rFonts w:asciiTheme="majorBidi" w:eastAsia="Univers-Medium" w:hAnsiTheme="majorBidi" w:cstheme="majorBidi"/>
          <w:b/>
          <w:bCs/>
          <w:sz w:val="24"/>
          <w:szCs w:val="24"/>
          <w:vertAlign w:val="superscript"/>
        </w:rPr>
        <w:t>(</w:t>
      </w:r>
      <w:r w:rsidR="00A17F8D">
        <w:rPr>
          <w:rFonts w:asciiTheme="majorBidi" w:eastAsia="Univers-Medium" w:hAnsiTheme="majorBidi" w:cstheme="majorBidi"/>
          <w:b/>
          <w:bCs/>
          <w:sz w:val="24"/>
          <w:szCs w:val="24"/>
          <w:vertAlign w:val="superscript"/>
        </w:rPr>
        <w:t>4</w:t>
      </w:r>
      <w:r w:rsidR="00FC0EF3" w:rsidRPr="00FC0EF3">
        <w:rPr>
          <w:rFonts w:asciiTheme="majorBidi" w:eastAsia="Univers-Medium" w:hAnsiTheme="majorBidi" w:cstheme="majorBidi"/>
          <w:b/>
          <w:bCs/>
          <w:sz w:val="24"/>
          <w:szCs w:val="24"/>
          <w:vertAlign w:val="superscript"/>
        </w:rPr>
        <w:t>)</w:t>
      </w:r>
      <w:r w:rsidR="00FC0EF3">
        <w:rPr>
          <w:rFonts w:asciiTheme="majorBidi" w:eastAsia="Univers-Medium" w:hAnsiTheme="majorBidi" w:cstheme="majorBidi"/>
          <w:sz w:val="24"/>
          <w:szCs w:val="24"/>
        </w:rPr>
        <w:t xml:space="preserve">. </w:t>
      </w:r>
      <w:r w:rsidR="00637011" w:rsidRPr="00637011">
        <w:rPr>
          <w:rFonts w:asciiTheme="majorBidi" w:eastAsia="Univers-Medium" w:hAnsiTheme="majorBidi" w:cstheme="majorBidi"/>
          <w:sz w:val="24"/>
          <w:szCs w:val="24"/>
        </w:rPr>
        <w:t xml:space="preserve">MRSA is </w:t>
      </w:r>
      <w:r w:rsidR="00606442">
        <w:rPr>
          <w:rFonts w:asciiTheme="majorBidi" w:eastAsia="Univers-Medium" w:hAnsiTheme="majorBidi" w:cstheme="majorBidi"/>
          <w:sz w:val="24"/>
          <w:szCs w:val="24"/>
        </w:rPr>
        <w:t xml:space="preserve">of </w:t>
      </w:r>
      <w:r w:rsidR="00606442" w:rsidRPr="00637011">
        <w:rPr>
          <w:rFonts w:asciiTheme="majorBidi" w:eastAsia="Univers-Medium" w:hAnsiTheme="majorBidi" w:cstheme="majorBidi"/>
          <w:sz w:val="24"/>
          <w:szCs w:val="24"/>
        </w:rPr>
        <w:t>seriousconcern</w:t>
      </w:r>
      <w:r w:rsidR="00637011" w:rsidRPr="00637011">
        <w:rPr>
          <w:rFonts w:asciiTheme="majorBidi" w:eastAsia="Univers-Medium" w:hAnsiTheme="majorBidi" w:cstheme="majorBidi"/>
          <w:sz w:val="24"/>
          <w:szCs w:val="24"/>
        </w:rPr>
        <w:t xml:space="preserve"> because of resistance to many other antimicrobials that are </w:t>
      </w:r>
      <w:r w:rsidR="00606442">
        <w:rPr>
          <w:rFonts w:asciiTheme="majorBidi" w:eastAsia="Univers-Medium" w:hAnsiTheme="majorBidi" w:cstheme="majorBidi"/>
          <w:sz w:val="24"/>
          <w:szCs w:val="24"/>
        </w:rPr>
        <w:t xml:space="preserve">commonly </w:t>
      </w:r>
      <w:r w:rsidR="00637011" w:rsidRPr="00637011">
        <w:rPr>
          <w:rFonts w:asciiTheme="majorBidi" w:eastAsia="Univers-Medium" w:hAnsiTheme="majorBidi" w:cstheme="majorBidi"/>
          <w:sz w:val="24"/>
          <w:szCs w:val="24"/>
        </w:rPr>
        <w:t xml:space="preserve">used in </w:t>
      </w:r>
      <w:commentRangeStart w:id="17"/>
      <w:r w:rsidR="00637011" w:rsidRPr="00637011">
        <w:rPr>
          <w:rFonts w:asciiTheme="majorBidi" w:eastAsia="Univers-Medium" w:hAnsiTheme="majorBidi" w:cstheme="majorBidi"/>
          <w:sz w:val="24"/>
          <w:szCs w:val="24"/>
        </w:rPr>
        <w:t>hospitals.</w:t>
      </w:r>
      <w:r w:rsidR="00637011" w:rsidRPr="00637011">
        <w:rPr>
          <w:rFonts w:asciiTheme="majorBidi" w:hAnsiTheme="majorBidi" w:cstheme="majorBidi"/>
          <w:color w:val="000000" w:themeColor="text1"/>
          <w:sz w:val="24"/>
          <w:szCs w:val="24"/>
          <w:lang w:bidi="ar-EG"/>
        </w:rPr>
        <w:t xml:space="preserve">Another </w:t>
      </w:r>
      <w:r w:rsidR="00606442">
        <w:rPr>
          <w:rFonts w:asciiTheme="majorBidi" w:hAnsiTheme="majorBidi" w:cstheme="majorBidi"/>
          <w:color w:val="000000" w:themeColor="text1"/>
          <w:sz w:val="24"/>
          <w:szCs w:val="24"/>
          <w:lang w:bidi="ar-EG"/>
        </w:rPr>
        <w:t>importantelement</w:t>
      </w:r>
      <w:r w:rsidR="00782731">
        <w:rPr>
          <w:rFonts w:asciiTheme="majorBidi" w:hAnsiTheme="majorBidi" w:cstheme="majorBidi"/>
          <w:color w:val="000000" w:themeColor="text1"/>
          <w:sz w:val="24"/>
          <w:szCs w:val="24"/>
          <w:lang w:bidi="ar-EG"/>
        </w:rPr>
        <w:t>was</w:t>
      </w:r>
      <w:r w:rsidR="00637011" w:rsidRPr="00637011">
        <w:rPr>
          <w:rFonts w:asciiTheme="majorBidi" w:hAnsiTheme="majorBidi" w:cstheme="majorBidi"/>
          <w:color w:val="000000" w:themeColor="text1"/>
          <w:sz w:val="24"/>
          <w:szCs w:val="24"/>
          <w:lang w:bidi="ar-EG"/>
        </w:rPr>
        <w:t xml:space="preserve"> </w:t>
      </w:r>
      <w:commentRangeEnd w:id="17"/>
      <w:r w:rsidR="000861A8">
        <w:rPr>
          <w:rStyle w:val="CommentReference"/>
        </w:rPr>
        <w:commentReference w:id="17"/>
      </w:r>
      <w:r w:rsidR="00637011" w:rsidRPr="00637011">
        <w:rPr>
          <w:rFonts w:asciiTheme="majorBidi" w:hAnsiTheme="majorBidi" w:cstheme="majorBidi"/>
          <w:color w:val="000000" w:themeColor="text1"/>
          <w:sz w:val="24"/>
          <w:szCs w:val="24"/>
          <w:lang w:bidi="ar-EG"/>
        </w:rPr>
        <w:t>t</w:t>
      </w:r>
      <w:r w:rsidR="00C5710F">
        <w:rPr>
          <w:rFonts w:asciiTheme="majorBidi" w:hAnsiTheme="majorBidi" w:cstheme="majorBidi"/>
          <w:color w:val="000000" w:themeColor="text1"/>
          <w:sz w:val="24"/>
          <w:szCs w:val="24"/>
          <w:lang w:bidi="ar-EG"/>
        </w:rPr>
        <w:t>hat emergence of resistance to v</w:t>
      </w:r>
      <w:r w:rsidR="00637011" w:rsidRPr="00637011">
        <w:rPr>
          <w:rFonts w:asciiTheme="majorBidi" w:hAnsiTheme="majorBidi" w:cstheme="majorBidi"/>
          <w:color w:val="000000" w:themeColor="text1"/>
          <w:sz w:val="24"/>
          <w:szCs w:val="24"/>
          <w:lang w:bidi="ar-EG"/>
        </w:rPr>
        <w:t xml:space="preserve">ancomycin, although at a low level has been </w:t>
      </w:r>
      <w:r w:rsidR="00A51F37">
        <w:rPr>
          <w:rFonts w:asciiTheme="majorBidi" w:hAnsiTheme="majorBidi" w:cstheme="majorBidi"/>
          <w:color w:val="000000" w:themeColor="text1"/>
          <w:sz w:val="24"/>
          <w:szCs w:val="24"/>
          <w:lang w:bidi="ar-EG"/>
        </w:rPr>
        <w:t xml:space="preserve">documented </w:t>
      </w:r>
      <w:r w:rsidR="00FC0EF3" w:rsidRPr="00FC0EF3">
        <w:rPr>
          <w:rFonts w:asciiTheme="majorBidi" w:hAnsiTheme="majorBidi" w:cstheme="majorBidi"/>
          <w:b/>
          <w:bCs/>
          <w:color w:val="000000" w:themeColor="text1"/>
          <w:sz w:val="24"/>
          <w:szCs w:val="24"/>
          <w:vertAlign w:val="superscript"/>
          <w:lang w:bidi="ar-EG"/>
        </w:rPr>
        <w:t>(</w:t>
      </w:r>
      <w:r w:rsidR="00901751">
        <w:rPr>
          <w:rFonts w:asciiTheme="majorBidi" w:hAnsiTheme="majorBidi" w:cstheme="majorBidi"/>
          <w:b/>
          <w:bCs/>
          <w:color w:val="000000" w:themeColor="text1"/>
          <w:sz w:val="24"/>
          <w:szCs w:val="24"/>
          <w:vertAlign w:val="superscript"/>
          <w:lang w:bidi="ar-EG"/>
        </w:rPr>
        <w:t>6</w:t>
      </w:r>
      <w:r w:rsidR="00FC0EF3" w:rsidRPr="00FC0EF3">
        <w:rPr>
          <w:rFonts w:asciiTheme="majorBidi" w:hAnsiTheme="majorBidi" w:cstheme="majorBidi"/>
          <w:b/>
          <w:bCs/>
          <w:color w:val="000000" w:themeColor="text1"/>
          <w:sz w:val="24"/>
          <w:szCs w:val="24"/>
          <w:vertAlign w:val="superscript"/>
          <w:lang w:bidi="ar-EG"/>
        </w:rPr>
        <w:t>)</w:t>
      </w:r>
      <w:r w:rsidR="00B559D7">
        <w:rPr>
          <w:rFonts w:asciiTheme="majorBidi" w:hAnsiTheme="majorBidi" w:cstheme="majorBidi"/>
          <w:color w:val="000000" w:themeColor="text1"/>
          <w:sz w:val="24"/>
          <w:szCs w:val="24"/>
          <w:lang w:bidi="ar-EG"/>
        </w:rPr>
        <w:t>.</w:t>
      </w:r>
      <w:r w:rsidR="0036488D">
        <w:rPr>
          <w:rFonts w:asciiTheme="majorBidi" w:hAnsiTheme="majorBidi" w:cstheme="majorBidi"/>
          <w:sz w:val="24"/>
          <w:szCs w:val="24"/>
        </w:rPr>
        <w:t>Significantly, t</w:t>
      </w:r>
      <w:r w:rsidR="00951829" w:rsidRPr="00951829">
        <w:rPr>
          <w:rFonts w:asciiTheme="majorBidi" w:hAnsiTheme="majorBidi" w:cstheme="majorBidi"/>
          <w:sz w:val="24"/>
          <w:szCs w:val="24"/>
        </w:rPr>
        <w:t xml:space="preserve">he Netherlands and countries in the Scandinavian region, </w:t>
      </w:r>
      <w:r w:rsidR="0036488D">
        <w:rPr>
          <w:rFonts w:asciiTheme="majorBidi" w:hAnsiTheme="majorBidi" w:cstheme="majorBidi"/>
          <w:sz w:val="24"/>
          <w:szCs w:val="24"/>
        </w:rPr>
        <w:t>had</w:t>
      </w:r>
      <w:r w:rsidR="00951829" w:rsidRPr="00951829">
        <w:rPr>
          <w:rFonts w:asciiTheme="majorBidi" w:hAnsiTheme="majorBidi" w:cstheme="majorBidi"/>
          <w:sz w:val="24"/>
          <w:szCs w:val="24"/>
        </w:rPr>
        <w:t xml:space="preserve"> maintained low rates of MRSA i</w:t>
      </w:r>
      <w:commentRangeStart w:id="18"/>
      <w:r w:rsidR="00951829" w:rsidRPr="00951829">
        <w:rPr>
          <w:rFonts w:asciiTheme="majorBidi" w:hAnsiTheme="majorBidi" w:cstheme="majorBidi"/>
          <w:sz w:val="24"/>
          <w:szCs w:val="24"/>
        </w:rPr>
        <w:t>nfection</w:t>
      </w:r>
      <w:r w:rsidR="0036488D" w:rsidRPr="0036488D">
        <w:rPr>
          <w:rFonts w:asciiTheme="majorBidi" w:hAnsiTheme="majorBidi" w:cstheme="majorBidi"/>
          <w:sz w:val="24"/>
          <w:szCs w:val="24"/>
        </w:rPr>
        <w:t>du</w:t>
      </w:r>
      <w:commentRangeEnd w:id="18"/>
      <w:r w:rsidR="000861A8">
        <w:rPr>
          <w:rStyle w:val="CommentReference"/>
        </w:rPr>
        <w:commentReference w:id="18"/>
      </w:r>
      <w:r w:rsidR="0036488D" w:rsidRPr="0036488D">
        <w:rPr>
          <w:rFonts w:asciiTheme="majorBidi" w:hAnsiTheme="majorBidi" w:cstheme="majorBidi"/>
          <w:sz w:val="24"/>
          <w:szCs w:val="24"/>
        </w:rPr>
        <w:t>e to strict infection control practices</w:t>
      </w:r>
      <w:r w:rsidR="00776958" w:rsidRPr="00776958">
        <w:rPr>
          <w:rFonts w:asciiTheme="majorBidi" w:hAnsiTheme="majorBidi" w:cstheme="majorBidi"/>
          <w:b/>
          <w:bCs/>
          <w:sz w:val="24"/>
          <w:szCs w:val="24"/>
          <w:vertAlign w:val="superscript"/>
        </w:rPr>
        <w:t>(</w:t>
      </w:r>
      <w:r w:rsidR="00901751">
        <w:rPr>
          <w:rFonts w:asciiTheme="majorBidi" w:hAnsiTheme="majorBidi" w:cstheme="majorBidi"/>
          <w:b/>
          <w:bCs/>
          <w:sz w:val="24"/>
          <w:szCs w:val="24"/>
          <w:vertAlign w:val="superscript"/>
        </w:rPr>
        <w:t>7</w:t>
      </w:r>
      <w:r w:rsidR="00776958" w:rsidRPr="00776958">
        <w:rPr>
          <w:rFonts w:asciiTheme="majorBidi" w:hAnsiTheme="majorBidi" w:cstheme="majorBidi"/>
          <w:b/>
          <w:bCs/>
          <w:sz w:val="24"/>
          <w:szCs w:val="24"/>
          <w:vertAlign w:val="superscript"/>
        </w:rPr>
        <w:t>)</w:t>
      </w:r>
      <w:r w:rsidR="00665FEF">
        <w:rPr>
          <w:rFonts w:asciiTheme="majorBidi" w:hAnsiTheme="majorBidi" w:cstheme="majorBidi"/>
          <w:sz w:val="24"/>
          <w:szCs w:val="24"/>
        </w:rPr>
        <w:t xml:space="preserve">. </w:t>
      </w:r>
      <w:r w:rsidR="00B559D7" w:rsidRPr="00B559D7">
        <w:rPr>
          <w:rFonts w:asciiTheme="majorBidi" w:hAnsiTheme="majorBidi" w:cstheme="majorBidi"/>
          <w:sz w:val="24"/>
          <w:szCs w:val="24"/>
        </w:rPr>
        <w:t xml:space="preserve">The </w:t>
      </w:r>
      <w:r w:rsidR="0036488D">
        <w:rPr>
          <w:rFonts w:asciiTheme="majorBidi" w:hAnsiTheme="majorBidi" w:cstheme="majorBidi"/>
          <w:sz w:val="24"/>
          <w:szCs w:val="24"/>
        </w:rPr>
        <w:t>problem</w:t>
      </w:r>
      <w:r w:rsidR="00B559D7" w:rsidRPr="00B559D7">
        <w:rPr>
          <w:rFonts w:asciiTheme="majorBidi" w:hAnsiTheme="majorBidi" w:cstheme="majorBidi"/>
          <w:sz w:val="24"/>
          <w:szCs w:val="24"/>
        </w:rPr>
        <w:t xml:space="preserve"> of MRSA continues to </w:t>
      </w:r>
      <w:r w:rsidR="0036488D">
        <w:rPr>
          <w:rFonts w:asciiTheme="majorBidi" w:hAnsiTheme="majorBidi" w:cstheme="majorBidi"/>
          <w:sz w:val="24"/>
          <w:szCs w:val="24"/>
        </w:rPr>
        <w:t>increase</w:t>
      </w:r>
      <w:r w:rsidR="00B559D7" w:rsidRPr="00B559D7">
        <w:rPr>
          <w:rFonts w:asciiTheme="majorBidi" w:hAnsiTheme="majorBidi" w:cstheme="majorBidi"/>
          <w:sz w:val="24"/>
          <w:szCs w:val="24"/>
        </w:rPr>
        <w:t xml:space="preserve"> and the rising colonization rates lead to the increasing of infection rates in the </w:t>
      </w:r>
      <w:r w:rsidR="0036488D">
        <w:rPr>
          <w:rFonts w:asciiTheme="majorBidi" w:hAnsiTheme="majorBidi" w:cstheme="majorBidi"/>
          <w:sz w:val="24"/>
          <w:szCs w:val="24"/>
        </w:rPr>
        <w:t>public</w:t>
      </w:r>
      <w:r w:rsidR="00B559D7" w:rsidRPr="00B559D7">
        <w:rPr>
          <w:rFonts w:asciiTheme="majorBidi" w:hAnsiTheme="majorBidi" w:cstheme="majorBidi"/>
          <w:sz w:val="24"/>
          <w:szCs w:val="24"/>
        </w:rPr>
        <w:t xml:space="preserve"> and in hospitals. </w:t>
      </w:r>
      <w:r w:rsidR="006A69B5">
        <w:rPr>
          <w:rFonts w:asciiTheme="majorBidi" w:hAnsiTheme="majorBidi" w:cstheme="majorBidi"/>
          <w:sz w:val="24"/>
          <w:szCs w:val="24"/>
        </w:rPr>
        <w:t xml:space="preserve">This </w:t>
      </w:r>
      <w:r w:rsidR="006A69B5" w:rsidRPr="00B559D7">
        <w:rPr>
          <w:rFonts w:asciiTheme="majorBidi" w:hAnsiTheme="majorBidi" w:cstheme="majorBidi"/>
          <w:sz w:val="24"/>
          <w:szCs w:val="24"/>
        </w:rPr>
        <w:t>can</w:t>
      </w:r>
      <w:r w:rsidR="006A69B5">
        <w:rPr>
          <w:rFonts w:asciiTheme="majorBidi" w:hAnsiTheme="majorBidi" w:cstheme="majorBidi"/>
          <w:sz w:val="24"/>
          <w:szCs w:val="24"/>
        </w:rPr>
        <w:t xml:space="preserve"> increase</w:t>
      </w:r>
      <w:r w:rsidR="00B559D7" w:rsidRPr="00B559D7">
        <w:rPr>
          <w:rFonts w:asciiTheme="majorBidi" w:hAnsiTheme="majorBidi" w:cstheme="majorBidi"/>
          <w:sz w:val="24"/>
          <w:szCs w:val="24"/>
        </w:rPr>
        <w:t xml:space="preserve"> hospital stays and greater costs</w:t>
      </w:r>
      <w:r w:rsidR="006A69B5">
        <w:rPr>
          <w:rFonts w:asciiTheme="majorBidi" w:hAnsiTheme="majorBidi" w:cstheme="majorBidi"/>
          <w:sz w:val="24"/>
          <w:szCs w:val="24"/>
        </w:rPr>
        <w:t xml:space="preserve">of </w:t>
      </w:r>
      <w:r w:rsidR="006A69B5" w:rsidRPr="006A69B5">
        <w:rPr>
          <w:rFonts w:asciiTheme="majorBidi" w:hAnsiTheme="majorBidi" w:cstheme="majorBidi"/>
          <w:sz w:val="24"/>
          <w:szCs w:val="24"/>
        </w:rPr>
        <w:t>the health care system</w:t>
      </w:r>
      <w:r w:rsidR="00F26F0A" w:rsidRPr="00DB2595">
        <w:rPr>
          <w:rFonts w:asciiTheme="majorBidi" w:hAnsiTheme="majorBidi" w:cstheme="majorBidi"/>
          <w:b/>
          <w:bCs/>
          <w:sz w:val="24"/>
          <w:szCs w:val="24"/>
          <w:vertAlign w:val="superscript"/>
        </w:rPr>
        <w:t>(</w:t>
      </w:r>
      <w:r w:rsidR="00901751">
        <w:rPr>
          <w:rFonts w:asciiTheme="majorBidi" w:hAnsiTheme="majorBidi" w:cstheme="majorBidi"/>
          <w:b/>
          <w:bCs/>
          <w:sz w:val="24"/>
          <w:szCs w:val="24"/>
          <w:vertAlign w:val="superscript"/>
        </w:rPr>
        <w:t>8</w:t>
      </w:r>
      <w:r w:rsidR="00F26F0A" w:rsidRPr="00DB2595">
        <w:rPr>
          <w:rFonts w:asciiTheme="majorBidi" w:hAnsiTheme="majorBidi" w:cstheme="majorBidi"/>
          <w:b/>
          <w:bCs/>
          <w:sz w:val="24"/>
          <w:szCs w:val="24"/>
          <w:vertAlign w:val="superscript"/>
        </w:rPr>
        <w:t>)</w:t>
      </w:r>
      <w:r w:rsidR="003F10ED">
        <w:rPr>
          <w:rFonts w:asciiTheme="majorBidi" w:hAnsiTheme="majorBidi" w:cstheme="majorBidi"/>
          <w:color w:val="C00000"/>
          <w:sz w:val="24"/>
          <w:szCs w:val="24"/>
        </w:rPr>
        <w:t xml:space="preserve">. </w:t>
      </w:r>
      <w:r w:rsidR="00AB562D">
        <w:rPr>
          <w:rFonts w:asciiTheme="majorBidi" w:hAnsiTheme="majorBidi" w:cstheme="majorBidi"/>
          <w:color w:val="C00000"/>
          <w:sz w:val="24"/>
          <w:szCs w:val="24"/>
        </w:rPr>
        <w:t xml:space="preserve"> </w:t>
      </w:r>
    </w:p>
    <w:p w:rsidR="00B559D7" w:rsidRDefault="00951829" w:rsidP="00202700">
      <w:pPr>
        <w:bidi w:val="0"/>
        <w:spacing w:line="360" w:lineRule="auto"/>
        <w:jc w:val="both"/>
        <w:rPr>
          <w:rFonts w:asciiTheme="majorBidi" w:hAnsiTheme="majorBidi" w:cstheme="majorBidi"/>
          <w:sz w:val="24"/>
          <w:szCs w:val="24"/>
          <w:lang w:bidi="ar-EG"/>
        </w:rPr>
      </w:pPr>
      <w:r w:rsidRPr="00665FEF">
        <w:rPr>
          <w:rFonts w:asciiTheme="majorBidi" w:hAnsiTheme="majorBidi" w:cstheme="majorBidi"/>
          <w:sz w:val="24"/>
          <w:szCs w:val="24"/>
        </w:rPr>
        <w:t xml:space="preserve">Appropriate </w:t>
      </w:r>
      <w:r w:rsidR="00B1485E">
        <w:rPr>
          <w:rFonts w:asciiTheme="majorBidi" w:hAnsiTheme="majorBidi" w:cstheme="majorBidi"/>
          <w:sz w:val="24"/>
          <w:szCs w:val="24"/>
        </w:rPr>
        <w:t xml:space="preserve">selection of </w:t>
      </w:r>
      <w:r w:rsidRPr="00665FEF">
        <w:rPr>
          <w:rFonts w:asciiTheme="majorBidi" w:hAnsiTheme="majorBidi" w:cstheme="majorBidi"/>
          <w:sz w:val="24"/>
          <w:szCs w:val="24"/>
        </w:rPr>
        <w:t xml:space="preserve">empiric </w:t>
      </w:r>
      <w:r w:rsidR="00B1485E">
        <w:rPr>
          <w:rFonts w:asciiTheme="majorBidi" w:hAnsiTheme="majorBidi" w:cstheme="majorBidi"/>
          <w:sz w:val="24"/>
          <w:szCs w:val="24"/>
        </w:rPr>
        <w:t>a</w:t>
      </w:r>
      <w:commentRangeStart w:id="19"/>
      <w:r w:rsidR="00B1485E">
        <w:rPr>
          <w:rFonts w:asciiTheme="majorBidi" w:hAnsiTheme="majorBidi" w:cstheme="majorBidi"/>
          <w:sz w:val="24"/>
          <w:szCs w:val="24"/>
        </w:rPr>
        <w:t>ntibioticsfo</w:t>
      </w:r>
      <w:commentRangeEnd w:id="19"/>
      <w:r w:rsidR="000861A8">
        <w:rPr>
          <w:rStyle w:val="CommentReference"/>
        </w:rPr>
        <w:commentReference w:id="19"/>
      </w:r>
      <w:r w:rsidR="00B1485E">
        <w:rPr>
          <w:rFonts w:asciiTheme="majorBidi" w:hAnsiTheme="majorBidi" w:cstheme="majorBidi"/>
          <w:sz w:val="24"/>
          <w:szCs w:val="24"/>
        </w:rPr>
        <w:t>r</w:t>
      </w:r>
      <w:r w:rsidRPr="00665FEF">
        <w:rPr>
          <w:rFonts w:asciiTheme="majorBidi" w:hAnsiTheme="majorBidi" w:cstheme="majorBidi"/>
          <w:sz w:val="24"/>
          <w:szCs w:val="24"/>
        </w:rPr>
        <w:t xml:space="preserve"> infections, </w:t>
      </w:r>
      <w:r w:rsidR="00706C37">
        <w:rPr>
          <w:rFonts w:asciiTheme="majorBidi" w:hAnsiTheme="majorBidi" w:cstheme="majorBidi"/>
          <w:sz w:val="24"/>
          <w:szCs w:val="24"/>
        </w:rPr>
        <w:t>d</w:t>
      </w:r>
      <w:commentRangeStart w:id="20"/>
      <w:r w:rsidR="00706C37">
        <w:rPr>
          <w:rFonts w:asciiTheme="majorBidi" w:hAnsiTheme="majorBidi" w:cstheme="majorBidi"/>
          <w:sz w:val="24"/>
          <w:szCs w:val="24"/>
        </w:rPr>
        <w:t>ependingon</w:t>
      </w:r>
      <w:r w:rsidRPr="00665FEF">
        <w:rPr>
          <w:rFonts w:asciiTheme="majorBidi" w:hAnsiTheme="majorBidi" w:cstheme="majorBidi"/>
          <w:sz w:val="24"/>
          <w:szCs w:val="24"/>
        </w:rPr>
        <w:t>lo</w:t>
      </w:r>
      <w:commentRangeEnd w:id="20"/>
      <w:r w:rsidR="000861A8">
        <w:rPr>
          <w:rStyle w:val="CommentReference"/>
        </w:rPr>
        <w:commentReference w:id="20"/>
      </w:r>
      <w:r w:rsidRPr="00665FEF">
        <w:rPr>
          <w:rFonts w:asciiTheme="majorBidi" w:hAnsiTheme="majorBidi" w:cstheme="majorBidi"/>
          <w:sz w:val="24"/>
          <w:szCs w:val="24"/>
        </w:rPr>
        <w:t xml:space="preserve">cal circulating pathogens, </w:t>
      </w:r>
      <w:r w:rsidR="00B1485E">
        <w:rPr>
          <w:rFonts w:asciiTheme="majorBidi" w:hAnsiTheme="majorBidi" w:cstheme="majorBidi"/>
          <w:sz w:val="24"/>
          <w:szCs w:val="24"/>
        </w:rPr>
        <w:t>can</w:t>
      </w:r>
      <w:r w:rsidRPr="00665FEF">
        <w:rPr>
          <w:rFonts w:asciiTheme="majorBidi" w:hAnsiTheme="majorBidi" w:cstheme="majorBidi"/>
          <w:sz w:val="24"/>
          <w:szCs w:val="24"/>
        </w:rPr>
        <w:t xml:space="preserve"> lead to </w:t>
      </w:r>
      <w:r w:rsidR="00B1485E">
        <w:rPr>
          <w:rFonts w:asciiTheme="majorBidi" w:hAnsiTheme="majorBidi" w:cstheme="majorBidi"/>
          <w:sz w:val="24"/>
          <w:szCs w:val="24"/>
        </w:rPr>
        <w:t>good</w:t>
      </w:r>
      <w:r w:rsidRPr="00665FEF">
        <w:rPr>
          <w:rFonts w:asciiTheme="majorBidi" w:hAnsiTheme="majorBidi" w:cstheme="majorBidi"/>
          <w:sz w:val="24"/>
          <w:szCs w:val="24"/>
        </w:rPr>
        <w:t xml:space="preserve"> patient outcomes. </w:t>
      </w:r>
      <w:r w:rsidR="00B1485E">
        <w:rPr>
          <w:rFonts w:asciiTheme="majorBidi" w:hAnsiTheme="majorBidi" w:cstheme="majorBidi"/>
          <w:sz w:val="24"/>
          <w:szCs w:val="24"/>
        </w:rPr>
        <w:t>So</w:t>
      </w:r>
      <w:r w:rsidRPr="00665FEF">
        <w:rPr>
          <w:rFonts w:asciiTheme="majorBidi" w:hAnsiTheme="majorBidi" w:cstheme="majorBidi"/>
          <w:sz w:val="24"/>
          <w:szCs w:val="24"/>
        </w:rPr>
        <w:t xml:space="preserve">, epidemiologic information </w:t>
      </w:r>
      <w:r w:rsidR="00CE78F6">
        <w:rPr>
          <w:rFonts w:asciiTheme="majorBidi" w:hAnsiTheme="majorBidi" w:cstheme="majorBidi"/>
          <w:sz w:val="24"/>
          <w:szCs w:val="24"/>
        </w:rPr>
        <w:t>collected</w:t>
      </w:r>
      <w:r w:rsidRPr="00665FEF">
        <w:rPr>
          <w:rFonts w:asciiTheme="majorBidi" w:hAnsiTheme="majorBidi" w:cstheme="majorBidi"/>
          <w:sz w:val="24"/>
          <w:szCs w:val="24"/>
        </w:rPr>
        <w:t xml:space="preserve"> through ongoing surveillance is </w:t>
      </w:r>
      <w:r w:rsidR="00CE78F6">
        <w:rPr>
          <w:rFonts w:asciiTheme="majorBidi" w:hAnsiTheme="majorBidi" w:cstheme="majorBidi"/>
          <w:sz w:val="24"/>
          <w:szCs w:val="24"/>
        </w:rPr>
        <w:t>important</w:t>
      </w:r>
      <w:r w:rsidRPr="00665FEF">
        <w:rPr>
          <w:rFonts w:asciiTheme="majorBidi" w:hAnsiTheme="majorBidi" w:cstheme="majorBidi"/>
          <w:sz w:val="24"/>
          <w:szCs w:val="24"/>
        </w:rPr>
        <w:t xml:space="preserve"> to support clinicians and infection </w:t>
      </w:r>
      <w:commentRangeEnd w:id="15"/>
      <w:r w:rsidR="00020C3B">
        <w:rPr>
          <w:rStyle w:val="CommentReference"/>
        </w:rPr>
        <w:commentReference w:id="15"/>
      </w:r>
      <w:r w:rsidRPr="00665FEF">
        <w:rPr>
          <w:rFonts w:asciiTheme="majorBidi" w:hAnsiTheme="majorBidi" w:cstheme="majorBidi"/>
          <w:sz w:val="24"/>
          <w:szCs w:val="24"/>
        </w:rPr>
        <w:t>control committees to prevent and treat infection</w:t>
      </w:r>
      <w:r w:rsidR="008D11A3" w:rsidRPr="00AF4571">
        <w:rPr>
          <w:rFonts w:asciiTheme="majorBidi" w:hAnsiTheme="majorBidi" w:cstheme="majorBidi"/>
          <w:b/>
          <w:bCs/>
          <w:sz w:val="24"/>
          <w:szCs w:val="24"/>
          <w:vertAlign w:val="superscript"/>
          <w:lang w:bidi="ar-EG"/>
        </w:rPr>
        <w:t>(</w:t>
      </w:r>
      <w:r w:rsidR="00901751">
        <w:rPr>
          <w:rFonts w:asciiTheme="majorBidi" w:hAnsiTheme="majorBidi" w:cstheme="majorBidi"/>
          <w:b/>
          <w:bCs/>
          <w:sz w:val="24"/>
          <w:szCs w:val="24"/>
          <w:vertAlign w:val="superscript"/>
          <w:lang w:bidi="ar-EG"/>
        </w:rPr>
        <w:t>7</w:t>
      </w:r>
      <w:r w:rsidR="008D11A3" w:rsidRPr="00AF4571">
        <w:rPr>
          <w:rFonts w:asciiTheme="majorBidi" w:hAnsiTheme="majorBidi" w:cstheme="majorBidi"/>
          <w:b/>
          <w:bCs/>
          <w:sz w:val="24"/>
          <w:szCs w:val="24"/>
          <w:vertAlign w:val="superscript"/>
          <w:lang w:bidi="ar-EG"/>
        </w:rPr>
        <w:t>)</w:t>
      </w:r>
      <w:r w:rsidR="008D11A3">
        <w:rPr>
          <w:rFonts w:asciiTheme="majorBidi" w:hAnsiTheme="majorBidi" w:cstheme="majorBidi"/>
          <w:sz w:val="24"/>
          <w:szCs w:val="24"/>
          <w:lang w:bidi="ar-EG"/>
        </w:rPr>
        <w:t>.</w:t>
      </w:r>
      <w:r w:rsidR="00383F5A">
        <w:rPr>
          <w:rFonts w:asciiTheme="majorBidi" w:hAnsiTheme="majorBidi" w:cstheme="majorBidi"/>
          <w:sz w:val="24"/>
          <w:szCs w:val="24"/>
          <w:lang w:bidi="ar-EG"/>
        </w:rPr>
        <w:t xml:space="preserve">The </w:t>
      </w:r>
      <w:r w:rsidR="00383F5A" w:rsidRPr="00C5710F">
        <w:rPr>
          <w:rFonts w:asciiTheme="majorBidi" w:hAnsiTheme="majorBidi" w:cstheme="majorBidi"/>
          <w:sz w:val="24"/>
          <w:szCs w:val="24"/>
          <w:lang w:bidi="ar-EG"/>
        </w:rPr>
        <w:t>hospitals</w:t>
      </w:r>
      <w:r w:rsidR="00C5710F" w:rsidRPr="00C5710F">
        <w:rPr>
          <w:rFonts w:asciiTheme="majorBidi" w:hAnsiTheme="majorBidi" w:cstheme="majorBidi"/>
          <w:sz w:val="24"/>
          <w:szCs w:val="24"/>
          <w:lang w:bidi="ar-EG"/>
        </w:rPr>
        <w:t xml:space="preserve"> of </w:t>
      </w:r>
      <w:r w:rsidR="005933E5">
        <w:rPr>
          <w:rFonts w:asciiTheme="majorBidi" w:hAnsiTheme="majorBidi" w:cstheme="majorBidi"/>
          <w:sz w:val="24"/>
          <w:szCs w:val="24"/>
          <w:lang w:bidi="ar-EG"/>
        </w:rPr>
        <w:t>different</w:t>
      </w:r>
      <w:r w:rsidR="00C5710F" w:rsidRPr="00C5710F">
        <w:rPr>
          <w:rFonts w:asciiTheme="majorBidi" w:hAnsiTheme="majorBidi" w:cstheme="majorBidi"/>
          <w:sz w:val="24"/>
          <w:szCs w:val="24"/>
          <w:lang w:bidi="ar-EG"/>
        </w:rPr>
        <w:t xml:space="preserve"> sizes </w:t>
      </w:r>
      <w:r w:rsidR="00892298">
        <w:rPr>
          <w:rFonts w:asciiTheme="majorBidi" w:hAnsiTheme="majorBidi" w:cstheme="majorBidi"/>
          <w:sz w:val="24"/>
          <w:szCs w:val="24"/>
          <w:lang w:bidi="ar-EG"/>
        </w:rPr>
        <w:t xml:space="preserve">were </w:t>
      </w:r>
      <w:r w:rsidR="00C5710F" w:rsidRPr="00C5710F">
        <w:rPr>
          <w:rFonts w:asciiTheme="majorBidi" w:hAnsiTheme="majorBidi" w:cstheme="majorBidi"/>
          <w:sz w:val="24"/>
          <w:szCs w:val="24"/>
          <w:lang w:bidi="ar-EG"/>
        </w:rPr>
        <w:t xml:space="preserve">facing the problem of MRSA. </w:t>
      </w:r>
      <w:r w:rsidR="00383F5A">
        <w:rPr>
          <w:rFonts w:asciiTheme="majorBidi" w:hAnsiTheme="majorBidi" w:cstheme="majorBidi"/>
          <w:sz w:val="24"/>
          <w:szCs w:val="24"/>
          <w:lang w:bidi="ar-EG"/>
        </w:rPr>
        <w:t>In addition, t</w:t>
      </w:r>
      <w:r w:rsidR="00C5710F" w:rsidRPr="00C5710F">
        <w:rPr>
          <w:rFonts w:asciiTheme="majorBidi" w:hAnsiTheme="majorBidi" w:cstheme="majorBidi"/>
          <w:sz w:val="24"/>
          <w:szCs w:val="24"/>
          <w:lang w:bidi="ar-EG"/>
        </w:rPr>
        <w:t>he problem</w:t>
      </w:r>
      <w:r w:rsidR="00447D64">
        <w:rPr>
          <w:rFonts w:asciiTheme="majorBidi" w:hAnsiTheme="majorBidi" w:cstheme="majorBidi"/>
          <w:sz w:val="24"/>
          <w:szCs w:val="24"/>
          <w:lang w:bidi="ar-EG"/>
        </w:rPr>
        <w:t xml:space="preserve"> of MRSA</w:t>
      </w:r>
      <w:r w:rsidR="00C5710F" w:rsidRPr="00C5710F">
        <w:rPr>
          <w:rFonts w:asciiTheme="majorBidi" w:hAnsiTheme="majorBidi" w:cstheme="majorBidi"/>
          <w:sz w:val="24"/>
          <w:szCs w:val="24"/>
          <w:lang w:bidi="ar-EG"/>
        </w:rPr>
        <w:t xml:space="preserve"> appears to be increasing regardless </w:t>
      </w:r>
      <w:r w:rsidR="00447D64">
        <w:rPr>
          <w:rFonts w:asciiTheme="majorBidi" w:hAnsiTheme="majorBidi" w:cstheme="majorBidi"/>
          <w:sz w:val="24"/>
          <w:szCs w:val="24"/>
          <w:lang w:bidi="ar-EG"/>
        </w:rPr>
        <w:t xml:space="preserve">the </w:t>
      </w:r>
      <w:r w:rsidR="00447D64" w:rsidRPr="00447D64">
        <w:rPr>
          <w:rFonts w:asciiTheme="majorBidi" w:hAnsiTheme="majorBidi" w:cstheme="majorBidi"/>
          <w:sz w:val="24"/>
          <w:szCs w:val="24"/>
          <w:lang w:bidi="ar-EG"/>
        </w:rPr>
        <w:t>size</w:t>
      </w:r>
      <w:r w:rsidR="00447D64">
        <w:rPr>
          <w:rFonts w:asciiTheme="majorBidi" w:hAnsiTheme="majorBidi" w:cstheme="majorBidi"/>
          <w:sz w:val="24"/>
          <w:szCs w:val="24"/>
          <w:lang w:bidi="ar-EG"/>
        </w:rPr>
        <w:t xml:space="preserve"> of</w:t>
      </w:r>
      <w:r w:rsidR="00C5710F" w:rsidRPr="00C5710F">
        <w:rPr>
          <w:rFonts w:asciiTheme="majorBidi" w:hAnsiTheme="majorBidi" w:cstheme="majorBidi"/>
          <w:sz w:val="24"/>
          <w:szCs w:val="24"/>
          <w:lang w:bidi="ar-EG"/>
        </w:rPr>
        <w:t xml:space="preserve"> hospital </w:t>
      </w:r>
      <w:r w:rsidR="00CE78F6">
        <w:rPr>
          <w:rFonts w:asciiTheme="majorBidi" w:hAnsiTheme="majorBidi" w:cstheme="majorBidi"/>
          <w:sz w:val="24"/>
          <w:szCs w:val="24"/>
          <w:lang w:bidi="ar-EG"/>
        </w:rPr>
        <w:t xml:space="preserve">and </w:t>
      </w:r>
      <w:r w:rsidR="00447D64">
        <w:rPr>
          <w:rFonts w:asciiTheme="majorBidi" w:hAnsiTheme="majorBidi" w:cstheme="majorBidi"/>
          <w:sz w:val="24"/>
          <w:szCs w:val="24"/>
          <w:lang w:bidi="ar-EG"/>
        </w:rPr>
        <w:t xml:space="preserve">its </w:t>
      </w:r>
      <w:r w:rsidR="00CE78F6">
        <w:rPr>
          <w:rFonts w:asciiTheme="majorBidi" w:hAnsiTheme="majorBidi" w:cstheme="majorBidi"/>
          <w:sz w:val="24"/>
          <w:szCs w:val="24"/>
          <w:lang w:bidi="ar-EG"/>
        </w:rPr>
        <w:t xml:space="preserve">control measures for </w:t>
      </w:r>
      <w:r w:rsidR="00CE78F6">
        <w:rPr>
          <w:rFonts w:asciiTheme="majorBidi" w:hAnsiTheme="majorBidi" w:cstheme="majorBidi"/>
          <w:sz w:val="24"/>
          <w:szCs w:val="24"/>
          <w:lang w:bidi="ar-EG"/>
        </w:rPr>
        <w:lastRenderedPageBreak/>
        <w:t>MRSA</w:t>
      </w:r>
      <w:r w:rsidR="00CE78F6" w:rsidRPr="00CE78F6">
        <w:rPr>
          <w:rFonts w:asciiTheme="majorBidi" w:hAnsiTheme="majorBidi" w:cstheme="majorBidi"/>
          <w:b/>
          <w:bCs/>
          <w:sz w:val="24"/>
          <w:szCs w:val="24"/>
          <w:vertAlign w:val="superscript"/>
        </w:rPr>
        <w:t>(8)</w:t>
      </w:r>
      <w:r w:rsidR="00B559D7">
        <w:rPr>
          <w:rFonts w:asciiTheme="majorBidi" w:hAnsiTheme="majorBidi" w:cstheme="majorBidi"/>
          <w:sz w:val="24"/>
          <w:szCs w:val="24"/>
        </w:rPr>
        <w:t xml:space="preserve">. </w:t>
      </w:r>
      <w:r w:rsidR="00B559D7" w:rsidRPr="00B559D7">
        <w:rPr>
          <w:rFonts w:asciiTheme="majorBidi" w:hAnsiTheme="majorBidi" w:cstheme="majorBidi"/>
          <w:sz w:val="24"/>
          <w:szCs w:val="24"/>
        </w:rPr>
        <w:t xml:space="preserve">The aim of the present study is the detection of MRSA from various clinical departments </w:t>
      </w:r>
      <w:r w:rsidR="00202700">
        <w:rPr>
          <w:rFonts w:asciiTheme="majorBidi" w:hAnsiTheme="majorBidi" w:cstheme="majorBidi"/>
          <w:sz w:val="24"/>
          <w:szCs w:val="24"/>
        </w:rPr>
        <w:t>at</w:t>
      </w:r>
      <w:r w:rsidR="00B559D7" w:rsidRPr="00B559D7">
        <w:rPr>
          <w:rFonts w:asciiTheme="majorBidi" w:hAnsiTheme="majorBidi" w:cstheme="majorBidi"/>
          <w:sz w:val="24"/>
          <w:szCs w:val="24"/>
        </w:rPr>
        <w:t xml:space="preserve"> a local private hospital</w:t>
      </w:r>
      <w:r w:rsidR="00202700">
        <w:rPr>
          <w:rFonts w:asciiTheme="majorBidi" w:hAnsiTheme="majorBidi" w:cstheme="majorBidi"/>
          <w:sz w:val="24"/>
          <w:szCs w:val="24"/>
        </w:rPr>
        <w:t xml:space="preserve"> in</w:t>
      </w:r>
      <w:r w:rsidR="00B559D7" w:rsidRPr="00B559D7">
        <w:rPr>
          <w:rFonts w:asciiTheme="majorBidi" w:hAnsiTheme="majorBidi" w:cstheme="majorBidi"/>
          <w:sz w:val="24"/>
          <w:szCs w:val="24"/>
        </w:rPr>
        <w:t xml:space="preserve"> Sana'a, Yemen and determining their susceptibility to some antimicrobial agents.</w:t>
      </w:r>
    </w:p>
    <w:p w:rsidR="007A56C2" w:rsidRPr="007A56C2" w:rsidRDefault="007A56C2" w:rsidP="007A56C2">
      <w:pPr>
        <w:autoSpaceDE w:val="0"/>
        <w:autoSpaceDN w:val="0"/>
        <w:bidi w:val="0"/>
        <w:adjustRightInd w:val="0"/>
        <w:spacing w:after="0" w:line="360" w:lineRule="auto"/>
        <w:jc w:val="both"/>
        <w:rPr>
          <w:rFonts w:asciiTheme="majorBidi" w:hAnsiTheme="majorBidi" w:cstheme="majorBidi"/>
          <w:b/>
          <w:bCs/>
          <w:sz w:val="28"/>
          <w:szCs w:val="28"/>
        </w:rPr>
      </w:pPr>
      <w:commentRangeStart w:id="21"/>
      <w:r w:rsidRPr="007A56C2">
        <w:rPr>
          <w:rFonts w:asciiTheme="majorBidi" w:hAnsiTheme="majorBidi" w:cstheme="majorBidi"/>
          <w:b/>
          <w:bCs/>
          <w:sz w:val="28"/>
          <w:szCs w:val="28"/>
        </w:rPr>
        <w:t>2. Method</w:t>
      </w:r>
      <w:commentRangeEnd w:id="21"/>
      <w:r w:rsidR="00AB562D">
        <w:rPr>
          <w:rStyle w:val="CommentReference"/>
        </w:rPr>
        <w:commentReference w:id="21"/>
      </w:r>
      <w:r w:rsidRPr="007A56C2">
        <w:rPr>
          <w:rFonts w:asciiTheme="majorBidi" w:hAnsiTheme="majorBidi" w:cstheme="majorBidi"/>
          <w:b/>
          <w:bCs/>
          <w:sz w:val="28"/>
          <w:szCs w:val="28"/>
        </w:rPr>
        <w:t>:</w:t>
      </w:r>
    </w:p>
    <w:p w:rsidR="007A56C2" w:rsidRPr="007A56C2" w:rsidRDefault="007A56C2" w:rsidP="005332F3">
      <w:pPr>
        <w:autoSpaceDE w:val="0"/>
        <w:autoSpaceDN w:val="0"/>
        <w:bidi w:val="0"/>
        <w:adjustRightInd w:val="0"/>
        <w:spacing w:after="0" w:line="360" w:lineRule="auto"/>
        <w:jc w:val="both"/>
        <w:rPr>
          <w:rFonts w:asciiTheme="majorBidi" w:hAnsiTheme="majorBidi" w:cstheme="majorBidi"/>
          <w:sz w:val="24"/>
          <w:szCs w:val="24"/>
        </w:rPr>
      </w:pPr>
      <w:commentRangeStart w:id="22"/>
      <w:r w:rsidRPr="007A56C2">
        <w:rPr>
          <w:rFonts w:asciiTheme="majorBidi" w:hAnsiTheme="majorBidi" w:cstheme="majorBidi"/>
          <w:sz w:val="24"/>
          <w:szCs w:val="24"/>
        </w:rPr>
        <w:t xml:space="preserve">The current retrospective study based on electronic laboratory records of </w:t>
      </w:r>
      <w:commentRangeStart w:id="23"/>
      <w:r w:rsidRPr="007A56C2">
        <w:rPr>
          <w:rFonts w:asciiTheme="majorBidi" w:hAnsiTheme="majorBidi" w:cstheme="majorBidi"/>
          <w:sz w:val="24"/>
          <w:szCs w:val="24"/>
        </w:rPr>
        <w:t>staphylococcus aureu</w:t>
      </w:r>
      <w:commentRangeEnd w:id="23"/>
      <w:r w:rsidR="000861A8">
        <w:rPr>
          <w:rStyle w:val="CommentReference"/>
        </w:rPr>
        <w:commentReference w:id="23"/>
      </w:r>
      <w:r w:rsidRPr="007A56C2">
        <w:rPr>
          <w:rFonts w:asciiTheme="majorBidi" w:hAnsiTheme="majorBidi" w:cstheme="majorBidi"/>
          <w:sz w:val="24"/>
          <w:szCs w:val="24"/>
        </w:rPr>
        <w:t xml:space="preserve">s isolates and </w:t>
      </w:r>
      <w:r w:rsidR="005332F3">
        <w:rPr>
          <w:rFonts w:asciiTheme="majorBidi" w:hAnsiTheme="majorBidi" w:cstheme="majorBidi"/>
          <w:sz w:val="24"/>
          <w:szCs w:val="24"/>
        </w:rPr>
        <w:t>MRSA</w:t>
      </w:r>
      <w:r w:rsidRPr="007A56C2">
        <w:rPr>
          <w:rFonts w:asciiTheme="majorBidi" w:hAnsiTheme="majorBidi" w:cstheme="majorBidi"/>
          <w:sz w:val="24"/>
          <w:szCs w:val="24"/>
        </w:rPr>
        <w:t xml:space="preserve"> isolates from clinical specimens analyzed at microbiology laboratory of university of sciences and technology (UST) hospital in Sana’a, Yemen. </w:t>
      </w:r>
    </w:p>
    <w:p w:rsidR="007A56C2" w:rsidRPr="007A56C2" w:rsidRDefault="007A56C2" w:rsidP="0025686D">
      <w:pPr>
        <w:autoSpaceDE w:val="0"/>
        <w:autoSpaceDN w:val="0"/>
        <w:bidi w:val="0"/>
        <w:adjustRightInd w:val="0"/>
        <w:spacing w:after="0" w:line="360" w:lineRule="auto"/>
        <w:jc w:val="both"/>
        <w:rPr>
          <w:rFonts w:asciiTheme="majorBidi" w:hAnsiTheme="majorBidi" w:cstheme="majorBidi"/>
          <w:sz w:val="24"/>
          <w:szCs w:val="24"/>
        </w:rPr>
      </w:pPr>
      <w:r w:rsidRPr="007A56C2">
        <w:rPr>
          <w:rFonts w:asciiTheme="majorBidi" w:hAnsiTheme="majorBidi" w:cstheme="majorBidi"/>
          <w:sz w:val="24"/>
          <w:szCs w:val="24"/>
        </w:rPr>
        <w:t xml:space="preserve">The records were taken </w:t>
      </w:r>
      <w:commentRangeStart w:id="24"/>
      <w:r w:rsidRPr="007A56C2">
        <w:rPr>
          <w:rFonts w:asciiTheme="majorBidi" w:hAnsiTheme="majorBidi" w:cstheme="majorBidi"/>
          <w:sz w:val="24"/>
          <w:szCs w:val="24"/>
        </w:rPr>
        <w:t xml:space="preserve">from the microbiology department. Staphylococcus strains were identified based on Gram's stain morphology, colony characteristics, and </w:t>
      </w:r>
      <w:r w:rsidR="00686F3C">
        <w:rPr>
          <w:rFonts w:asciiTheme="majorBidi" w:hAnsiTheme="majorBidi" w:cstheme="majorBidi"/>
          <w:sz w:val="24"/>
          <w:szCs w:val="24"/>
        </w:rPr>
        <w:t>bi</w:t>
      </w:r>
      <w:commentRangeStart w:id="25"/>
      <w:r w:rsidR="00686F3C">
        <w:rPr>
          <w:rFonts w:asciiTheme="majorBidi" w:hAnsiTheme="majorBidi" w:cstheme="majorBidi"/>
          <w:sz w:val="24"/>
          <w:szCs w:val="24"/>
        </w:rPr>
        <w:t>ochemical</w:t>
      </w:r>
      <w:r w:rsidR="00000A91">
        <w:rPr>
          <w:rFonts w:asciiTheme="majorBidi" w:hAnsiTheme="majorBidi" w:cstheme="majorBidi"/>
          <w:sz w:val="24"/>
          <w:szCs w:val="24"/>
        </w:rPr>
        <w:t>identification</w:t>
      </w:r>
      <w:commentRangeEnd w:id="25"/>
      <w:r w:rsidR="000861A8">
        <w:rPr>
          <w:rStyle w:val="CommentReference"/>
        </w:rPr>
        <w:commentReference w:id="25"/>
      </w:r>
      <w:r w:rsidR="00000A91">
        <w:rPr>
          <w:rFonts w:asciiTheme="majorBidi" w:hAnsiTheme="majorBidi" w:cstheme="majorBidi"/>
          <w:sz w:val="24"/>
          <w:szCs w:val="24"/>
        </w:rPr>
        <w:t xml:space="preserve"> </w:t>
      </w:r>
      <w:r w:rsidRPr="007A56C2">
        <w:rPr>
          <w:rFonts w:asciiTheme="majorBidi" w:hAnsiTheme="majorBidi" w:cstheme="majorBidi"/>
          <w:sz w:val="24"/>
          <w:szCs w:val="24"/>
        </w:rPr>
        <w:t xml:space="preserve">tests. </w:t>
      </w:r>
      <w:commentRangeEnd w:id="24"/>
      <w:r w:rsidR="00020C3B">
        <w:rPr>
          <w:rStyle w:val="CommentReference"/>
        </w:rPr>
        <w:commentReference w:id="24"/>
      </w:r>
      <w:r w:rsidRPr="007A56C2">
        <w:rPr>
          <w:rFonts w:asciiTheme="majorBidi" w:hAnsiTheme="majorBidi" w:cstheme="majorBidi"/>
          <w:sz w:val="24"/>
          <w:szCs w:val="24"/>
        </w:rPr>
        <w:t>All isolates were identified as S. aureus according to standard methods</w:t>
      </w:r>
      <w:r w:rsidR="000B4C84" w:rsidRPr="00E678DB">
        <w:rPr>
          <w:rFonts w:asciiTheme="majorBidi" w:hAnsiTheme="majorBidi" w:cstheme="majorBidi"/>
          <w:b/>
          <w:bCs/>
          <w:sz w:val="24"/>
          <w:szCs w:val="24"/>
          <w:vertAlign w:val="superscript"/>
        </w:rPr>
        <w:t>(</w:t>
      </w:r>
      <w:r w:rsidR="00935A73">
        <w:rPr>
          <w:rFonts w:asciiTheme="majorBidi" w:hAnsiTheme="majorBidi" w:cstheme="majorBidi"/>
          <w:b/>
          <w:bCs/>
          <w:sz w:val="24"/>
          <w:szCs w:val="24"/>
          <w:vertAlign w:val="superscript"/>
        </w:rPr>
        <w:t>9</w:t>
      </w:r>
      <w:r w:rsidR="000B4C84" w:rsidRPr="00E678DB">
        <w:rPr>
          <w:rFonts w:asciiTheme="majorBidi" w:hAnsiTheme="majorBidi" w:cstheme="majorBidi"/>
          <w:b/>
          <w:bCs/>
          <w:sz w:val="24"/>
          <w:szCs w:val="24"/>
          <w:vertAlign w:val="superscript"/>
        </w:rPr>
        <w:t>)</w:t>
      </w:r>
      <w:r w:rsidRPr="007A56C2">
        <w:rPr>
          <w:rFonts w:asciiTheme="majorBidi" w:hAnsiTheme="majorBidi" w:cstheme="majorBidi"/>
          <w:sz w:val="24"/>
          <w:szCs w:val="24"/>
        </w:rPr>
        <w:t>. A total of 207</w:t>
      </w:r>
      <w:r w:rsidR="0025686D">
        <w:rPr>
          <w:rFonts w:asciiTheme="majorBidi" w:hAnsiTheme="majorBidi" w:cstheme="majorBidi"/>
          <w:sz w:val="24"/>
          <w:szCs w:val="24"/>
        </w:rPr>
        <w:t>9</w:t>
      </w:r>
      <w:r w:rsidRPr="007A56C2">
        <w:rPr>
          <w:rFonts w:asciiTheme="majorBidi" w:hAnsiTheme="majorBidi" w:cstheme="majorBidi"/>
          <w:sz w:val="24"/>
          <w:szCs w:val="24"/>
        </w:rPr>
        <w:t xml:space="preserve"> isolates were collected from the hospitalized patients in </w:t>
      </w:r>
      <w:r w:rsidR="00E85182">
        <w:rPr>
          <w:rFonts w:asciiTheme="majorBidi" w:hAnsiTheme="majorBidi" w:cstheme="majorBidi"/>
          <w:sz w:val="24"/>
          <w:szCs w:val="24"/>
        </w:rPr>
        <w:t xml:space="preserve">hospital of </w:t>
      </w:r>
      <w:r w:rsidRPr="007A56C2">
        <w:rPr>
          <w:rFonts w:asciiTheme="majorBidi" w:hAnsiTheme="majorBidi" w:cstheme="majorBidi"/>
          <w:sz w:val="24"/>
          <w:szCs w:val="24"/>
        </w:rPr>
        <w:t>UST from January 2017 to September 2017. These isolates were obtained through conventional clinically oriented ordered cultures. From 207</w:t>
      </w:r>
      <w:r w:rsidR="0025686D">
        <w:rPr>
          <w:rFonts w:asciiTheme="majorBidi" w:hAnsiTheme="majorBidi" w:cstheme="majorBidi"/>
          <w:sz w:val="24"/>
          <w:szCs w:val="24"/>
        </w:rPr>
        <w:t>9</w:t>
      </w:r>
      <w:r w:rsidRPr="007A56C2">
        <w:rPr>
          <w:rFonts w:asciiTheme="majorBidi" w:hAnsiTheme="majorBidi" w:cstheme="majorBidi"/>
          <w:sz w:val="24"/>
          <w:szCs w:val="24"/>
        </w:rPr>
        <w:t xml:space="preserve"> isolates, a total of 199 isolates were S. aureus strains. Methicillin resistance was determined using methicillin screening.</w:t>
      </w:r>
    </w:p>
    <w:p w:rsidR="007A56C2" w:rsidRPr="007A56C2" w:rsidRDefault="007A56C2" w:rsidP="007A56C2">
      <w:pPr>
        <w:autoSpaceDE w:val="0"/>
        <w:autoSpaceDN w:val="0"/>
        <w:bidi w:val="0"/>
        <w:adjustRightInd w:val="0"/>
        <w:spacing w:after="0" w:line="360" w:lineRule="auto"/>
        <w:jc w:val="both"/>
        <w:rPr>
          <w:rFonts w:asciiTheme="majorBidi" w:hAnsiTheme="majorBidi" w:cstheme="majorBidi"/>
          <w:sz w:val="24"/>
          <w:szCs w:val="24"/>
        </w:rPr>
      </w:pPr>
      <w:r w:rsidRPr="007A56C2">
        <w:rPr>
          <w:rFonts w:asciiTheme="majorBidi" w:hAnsiTheme="majorBidi" w:cstheme="majorBidi"/>
          <w:sz w:val="24"/>
          <w:szCs w:val="24"/>
        </w:rPr>
        <w:t>All isolates were from inpatients’ clinical specimens (mainly respiratory secretion, pus, urine, and blood) and Standard isolation procedures were applied to all the samples.</w:t>
      </w:r>
    </w:p>
    <w:commentRangeEnd w:id="22"/>
    <w:p w:rsidR="007A56C2" w:rsidRPr="007A56C2" w:rsidRDefault="00020C3B" w:rsidP="00EB7A70">
      <w:pPr>
        <w:autoSpaceDE w:val="0"/>
        <w:autoSpaceDN w:val="0"/>
        <w:bidi w:val="0"/>
        <w:adjustRightInd w:val="0"/>
        <w:spacing w:after="0" w:line="360" w:lineRule="auto"/>
        <w:jc w:val="both"/>
        <w:rPr>
          <w:rFonts w:asciiTheme="majorBidi" w:hAnsiTheme="majorBidi" w:cstheme="majorBidi"/>
          <w:sz w:val="24"/>
          <w:szCs w:val="24"/>
        </w:rPr>
      </w:pPr>
      <w:r>
        <w:rPr>
          <w:rStyle w:val="CommentReference"/>
        </w:rPr>
        <w:commentReference w:id="22"/>
      </w:r>
      <w:r w:rsidR="007A56C2" w:rsidRPr="007A56C2">
        <w:rPr>
          <w:rFonts w:asciiTheme="majorBidi" w:hAnsiTheme="majorBidi" w:cstheme="majorBidi"/>
          <w:sz w:val="24"/>
          <w:szCs w:val="24"/>
        </w:rPr>
        <w:t>Antibiotic susceptibility testing was done by Kirby Bauer's Disc diffusion technique,</w:t>
      </w:r>
      <w:r w:rsidR="00EB7A70">
        <w:rPr>
          <w:rFonts w:asciiTheme="majorBidi" w:hAnsiTheme="majorBidi" w:cstheme="majorBidi"/>
          <w:sz w:val="24"/>
          <w:szCs w:val="24"/>
        </w:rPr>
        <w:t xml:space="preserve"> f</w:t>
      </w:r>
      <w:commentRangeStart w:id="26"/>
      <w:r w:rsidR="00EB7A70">
        <w:rPr>
          <w:rFonts w:asciiTheme="majorBidi" w:hAnsiTheme="majorBidi" w:cstheme="majorBidi"/>
          <w:sz w:val="24"/>
          <w:szCs w:val="24"/>
        </w:rPr>
        <w:t>ollowing</w:t>
      </w:r>
      <w:r w:rsidR="00EB7A70" w:rsidRPr="00EB7A70">
        <w:rPr>
          <w:rFonts w:asciiTheme="majorBidi" w:hAnsiTheme="majorBidi" w:cstheme="majorBidi"/>
          <w:sz w:val="24"/>
          <w:szCs w:val="24"/>
        </w:rPr>
        <w:t>Clinic</w:t>
      </w:r>
      <w:commentRangeEnd w:id="26"/>
      <w:r w:rsidR="000861A8">
        <w:rPr>
          <w:rStyle w:val="CommentReference"/>
        </w:rPr>
        <w:commentReference w:id="26"/>
      </w:r>
      <w:r w:rsidR="00EB7A70" w:rsidRPr="00EB7A70">
        <w:rPr>
          <w:rFonts w:asciiTheme="majorBidi" w:hAnsiTheme="majorBidi" w:cstheme="majorBidi"/>
          <w:sz w:val="24"/>
          <w:szCs w:val="24"/>
        </w:rPr>
        <w:t xml:space="preserve">al </w:t>
      </w:r>
      <w:commentRangeStart w:id="27"/>
      <w:r w:rsidR="00EB7A70" w:rsidRPr="00EB7A70">
        <w:rPr>
          <w:rFonts w:asciiTheme="majorBidi" w:hAnsiTheme="majorBidi" w:cstheme="majorBidi"/>
          <w:sz w:val="24"/>
          <w:szCs w:val="24"/>
        </w:rPr>
        <w:t>&amp;</w:t>
      </w:r>
      <w:commentRangeEnd w:id="27"/>
      <w:r w:rsidR="000861A8">
        <w:rPr>
          <w:rStyle w:val="CommentReference"/>
        </w:rPr>
        <w:commentReference w:id="27"/>
      </w:r>
      <w:r w:rsidR="00EB7A70" w:rsidRPr="00EB7A70">
        <w:rPr>
          <w:rFonts w:asciiTheme="majorBidi" w:hAnsiTheme="majorBidi" w:cstheme="majorBidi"/>
          <w:sz w:val="24"/>
          <w:szCs w:val="24"/>
        </w:rPr>
        <w:t xml:space="preserve"> Laboratory Standards Institute </w:t>
      </w:r>
      <w:r w:rsidR="00EB7A70">
        <w:rPr>
          <w:rFonts w:asciiTheme="majorBidi" w:hAnsiTheme="majorBidi" w:cstheme="majorBidi"/>
          <w:sz w:val="24"/>
          <w:szCs w:val="24"/>
        </w:rPr>
        <w:t>(CLSI</w:t>
      </w:r>
      <w:r w:rsidR="007A56C2" w:rsidRPr="007A56C2">
        <w:rPr>
          <w:rFonts w:asciiTheme="majorBidi" w:hAnsiTheme="majorBidi" w:cstheme="majorBidi"/>
          <w:sz w:val="24"/>
          <w:szCs w:val="24"/>
        </w:rPr>
        <w:t>)</w:t>
      </w:r>
      <w:r w:rsidR="00E678DB" w:rsidRPr="00D61C51">
        <w:rPr>
          <w:rFonts w:asciiTheme="majorBidi" w:hAnsiTheme="majorBidi" w:cstheme="majorBidi"/>
          <w:b/>
          <w:bCs/>
          <w:sz w:val="24"/>
          <w:szCs w:val="24"/>
          <w:vertAlign w:val="superscript"/>
        </w:rPr>
        <w:t>(</w:t>
      </w:r>
      <w:r w:rsidR="00935A73">
        <w:rPr>
          <w:rFonts w:asciiTheme="majorBidi" w:hAnsiTheme="majorBidi" w:cstheme="majorBidi"/>
          <w:b/>
          <w:bCs/>
          <w:sz w:val="24"/>
          <w:szCs w:val="24"/>
          <w:vertAlign w:val="superscript"/>
        </w:rPr>
        <w:t>9</w:t>
      </w:r>
      <w:r w:rsidR="00E678DB" w:rsidRPr="00D61C51">
        <w:rPr>
          <w:rFonts w:asciiTheme="majorBidi" w:hAnsiTheme="majorBidi" w:cstheme="majorBidi"/>
          <w:b/>
          <w:bCs/>
          <w:sz w:val="24"/>
          <w:szCs w:val="24"/>
          <w:vertAlign w:val="superscript"/>
        </w:rPr>
        <w:t>)</w:t>
      </w:r>
      <w:r w:rsidR="007A56C2" w:rsidRPr="007A56C2">
        <w:rPr>
          <w:rFonts w:asciiTheme="majorBidi" w:hAnsiTheme="majorBidi" w:cstheme="majorBidi"/>
          <w:sz w:val="24"/>
          <w:szCs w:val="24"/>
        </w:rPr>
        <w:t>. The antimicrobial susceptibility patterns of all the MRSA strains were determined against the following antibiotics</w:t>
      </w:r>
      <w:commentRangeStart w:id="28"/>
      <w:r w:rsidR="007A56C2" w:rsidRPr="007A56C2">
        <w:rPr>
          <w:rFonts w:asciiTheme="majorBidi" w:hAnsiTheme="majorBidi" w:cstheme="majorBidi"/>
          <w:sz w:val="24"/>
          <w:szCs w:val="24"/>
        </w:rPr>
        <w:t xml:space="preserve">: vancomycin, linezolide, imipenem, levofloxacin, ciprofloxacin, Co-Trimoxzole, Erythromycin, amoxicillin/ clavulinic Acid, cefuroxime, doxycycline, clindamycin, ampicillin/ sulbactam, gentamicin, moxifloxacin, and Lincomycin. </w:t>
      </w:r>
    </w:p>
    <w:p w:rsidR="007A56C2" w:rsidRPr="007A56C2" w:rsidRDefault="007A56C2" w:rsidP="007A56C2">
      <w:pPr>
        <w:autoSpaceDE w:val="0"/>
        <w:autoSpaceDN w:val="0"/>
        <w:bidi w:val="0"/>
        <w:adjustRightInd w:val="0"/>
        <w:spacing w:after="0" w:line="360" w:lineRule="auto"/>
        <w:jc w:val="both"/>
        <w:rPr>
          <w:rFonts w:asciiTheme="majorBidi" w:hAnsiTheme="majorBidi" w:cstheme="majorBidi"/>
          <w:sz w:val="24"/>
          <w:szCs w:val="24"/>
        </w:rPr>
      </w:pPr>
      <w:r w:rsidRPr="007A56C2">
        <w:rPr>
          <w:rFonts w:asciiTheme="majorBidi" w:hAnsiTheme="majorBidi" w:cstheme="majorBidi"/>
          <w:sz w:val="24"/>
          <w:szCs w:val="24"/>
        </w:rPr>
        <w:t xml:space="preserve">Full ethical clearance was obtained from the qualified authorities who approved the study design. All data were analyzed using SPSS Statistics 21. Data was presented in tables and graphs. All data were analyzed using SPSS Statistics 21. Data was presented in tables </w:t>
      </w:r>
      <w:commentRangeEnd w:id="28"/>
      <w:r w:rsidR="00020C3B">
        <w:rPr>
          <w:rStyle w:val="CommentReference"/>
        </w:rPr>
        <w:commentReference w:id="28"/>
      </w:r>
      <w:r w:rsidRPr="007A56C2">
        <w:rPr>
          <w:rFonts w:asciiTheme="majorBidi" w:hAnsiTheme="majorBidi" w:cstheme="majorBidi"/>
          <w:sz w:val="24"/>
          <w:szCs w:val="24"/>
        </w:rPr>
        <w:t>and graphs.</w:t>
      </w:r>
    </w:p>
    <w:p w:rsidR="00F27F54" w:rsidRPr="00F27F54" w:rsidRDefault="00F27F54" w:rsidP="00F27F54">
      <w:pPr>
        <w:bidi w:val="0"/>
        <w:spacing w:after="0" w:line="360" w:lineRule="auto"/>
        <w:jc w:val="both"/>
        <w:rPr>
          <w:rFonts w:ascii="Times New Roman" w:eastAsia="Times New Roman" w:hAnsi="Times New Roman" w:cs="Times New Roman"/>
          <w:b/>
          <w:bCs/>
          <w:sz w:val="28"/>
          <w:szCs w:val="28"/>
        </w:rPr>
      </w:pPr>
      <w:r w:rsidRPr="00F27F54">
        <w:rPr>
          <w:rFonts w:ascii="Times New Roman" w:eastAsia="Times New Roman" w:hAnsi="Times New Roman" w:cs="Times New Roman"/>
          <w:b/>
          <w:bCs/>
          <w:sz w:val="28"/>
          <w:szCs w:val="28"/>
        </w:rPr>
        <w:t xml:space="preserve">4. </w:t>
      </w:r>
      <w:commentRangeStart w:id="29"/>
      <w:r w:rsidRPr="00F27F54">
        <w:rPr>
          <w:rFonts w:ascii="Times New Roman" w:eastAsia="Times New Roman" w:hAnsi="Times New Roman" w:cs="Times New Roman"/>
          <w:b/>
          <w:bCs/>
          <w:sz w:val="28"/>
          <w:szCs w:val="28"/>
        </w:rPr>
        <w:t>Res</w:t>
      </w:r>
      <w:commentRangeStart w:id="30"/>
      <w:r w:rsidRPr="00F27F54">
        <w:rPr>
          <w:rFonts w:ascii="Times New Roman" w:eastAsia="Times New Roman" w:hAnsi="Times New Roman" w:cs="Times New Roman"/>
          <w:b/>
          <w:bCs/>
          <w:sz w:val="28"/>
          <w:szCs w:val="28"/>
        </w:rPr>
        <w:t>u</w:t>
      </w:r>
      <w:commentRangeEnd w:id="30"/>
      <w:r w:rsidR="00AB562D">
        <w:rPr>
          <w:rStyle w:val="CommentReference"/>
        </w:rPr>
        <w:commentReference w:id="30"/>
      </w:r>
      <w:r w:rsidRPr="00F27F54">
        <w:rPr>
          <w:rFonts w:ascii="Times New Roman" w:eastAsia="Times New Roman" w:hAnsi="Times New Roman" w:cs="Times New Roman"/>
          <w:b/>
          <w:bCs/>
          <w:sz w:val="28"/>
          <w:szCs w:val="28"/>
        </w:rPr>
        <w:t>lts:</w:t>
      </w:r>
      <w:commentRangeEnd w:id="29"/>
      <w:r w:rsidR="001A4A69">
        <w:rPr>
          <w:rStyle w:val="CommentReference"/>
        </w:rPr>
        <w:commentReference w:id="29"/>
      </w:r>
    </w:p>
    <w:p w:rsidR="00F27F54" w:rsidRPr="009E1CA5" w:rsidRDefault="00F27F54" w:rsidP="00015AD0">
      <w:pPr>
        <w:bidi w:val="0"/>
        <w:spacing w:after="0" w:line="360" w:lineRule="auto"/>
        <w:jc w:val="both"/>
        <w:rPr>
          <w:rFonts w:ascii="Times New Roman" w:eastAsia="Times New Roman" w:hAnsi="Times New Roman" w:cs="Times New Roman"/>
          <w:sz w:val="24"/>
          <w:szCs w:val="24"/>
        </w:rPr>
      </w:pPr>
      <w:r w:rsidRPr="009E1CA5">
        <w:rPr>
          <w:rFonts w:ascii="Times New Roman" w:eastAsia="Times New Roman" w:hAnsi="Times New Roman" w:cs="Times New Roman"/>
          <w:sz w:val="24"/>
          <w:szCs w:val="24"/>
        </w:rPr>
        <w:t xml:space="preserve">The figure 1 showed highest numbers of </w:t>
      </w:r>
      <w:commentRangeStart w:id="31"/>
      <w:r w:rsidRPr="009E1CA5">
        <w:rPr>
          <w:rFonts w:ascii="Times New Roman" w:eastAsia="Times New Roman" w:hAnsi="Times New Roman" w:cs="Times New Roman"/>
          <w:sz w:val="24"/>
          <w:szCs w:val="24"/>
        </w:rPr>
        <w:t xml:space="preserve">staphylococcus aureus </w:t>
      </w:r>
      <w:commentRangeEnd w:id="31"/>
      <w:r w:rsidR="000861A8">
        <w:rPr>
          <w:rStyle w:val="CommentReference"/>
        </w:rPr>
        <w:commentReference w:id="31"/>
      </w:r>
      <w:r w:rsidRPr="009E1CA5">
        <w:rPr>
          <w:rFonts w:ascii="Times New Roman" w:eastAsia="Times New Roman" w:hAnsi="Times New Roman" w:cs="Times New Roman"/>
          <w:sz w:val="24"/>
          <w:szCs w:val="24"/>
        </w:rPr>
        <w:t>were obtained from pus (n=81</w:t>
      </w:r>
      <w:r w:rsidRPr="009E1CA5">
        <w:rPr>
          <w:rFonts w:ascii="Times New Roman" w:eastAsia="Times New Roman" w:hAnsi="Times New Roman" w:cs="Times New Roman" w:hint="cs"/>
          <w:sz w:val="24"/>
          <w:szCs w:val="24"/>
          <w:rtl/>
          <w:lang w:bidi="ar-EG"/>
        </w:rPr>
        <w:t>/</w:t>
      </w:r>
      <w:r w:rsidRPr="009E1CA5">
        <w:rPr>
          <w:rFonts w:ascii="Times New Roman" w:eastAsia="Times New Roman" w:hAnsi="Times New Roman" w:cs="Times New Roman"/>
          <w:sz w:val="24"/>
          <w:szCs w:val="24"/>
        </w:rPr>
        <w:t>199; 40.7%) and least from urine (n=11</w:t>
      </w:r>
      <w:r w:rsidRPr="009E1CA5">
        <w:rPr>
          <w:rFonts w:ascii="Times New Roman" w:eastAsia="Times New Roman" w:hAnsi="Times New Roman" w:cs="Times New Roman" w:hint="cs"/>
          <w:sz w:val="24"/>
          <w:szCs w:val="24"/>
          <w:rtl/>
          <w:lang w:bidi="ar-EG"/>
        </w:rPr>
        <w:t>/</w:t>
      </w:r>
      <w:r w:rsidRPr="009E1CA5">
        <w:rPr>
          <w:rFonts w:ascii="Times New Roman" w:eastAsia="Times New Roman" w:hAnsi="Times New Roman" w:cs="Times New Roman"/>
          <w:sz w:val="24"/>
          <w:szCs w:val="24"/>
        </w:rPr>
        <w:t>199; 5.5%).</w:t>
      </w:r>
      <w:r w:rsidR="00015AD0" w:rsidRPr="00015AD0">
        <w:rPr>
          <w:rFonts w:ascii="Times New Roman" w:eastAsia="Times New Roman" w:hAnsi="Times New Roman" w:cs="Times New Roman"/>
          <w:sz w:val="24"/>
          <w:szCs w:val="24"/>
        </w:rPr>
        <w:t>In this study, Overall MRSA prevalence was 17.6 % (n=35</w:t>
      </w:r>
      <w:r w:rsidR="00015AD0" w:rsidRPr="00015AD0">
        <w:rPr>
          <w:rFonts w:ascii="Times New Roman" w:eastAsia="Times New Roman" w:hAnsi="Times New Roman" w:cs="Times New Roman" w:hint="cs"/>
          <w:sz w:val="24"/>
          <w:szCs w:val="24"/>
          <w:rtl/>
          <w:lang w:bidi="ar-EG"/>
        </w:rPr>
        <w:t>/</w:t>
      </w:r>
      <w:r w:rsidR="00015AD0" w:rsidRPr="00015AD0">
        <w:rPr>
          <w:rFonts w:ascii="Times New Roman" w:eastAsia="Times New Roman" w:hAnsi="Times New Roman" w:cs="Times New Roman"/>
          <w:sz w:val="24"/>
          <w:szCs w:val="24"/>
        </w:rPr>
        <w:t>199; 17.6).</w:t>
      </w:r>
    </w:p>
    <w:p w:rsidR="00F27F54" w:rsidRPr="00F27F54" w:rsidRDefault="00F27F54" w:rsidP="00F27F54">
      <w:pPr>
        <w:bidi w:val="0"/>
        <w:spacing w:after="0" w:line="360" w:lineRule="auto"/>
        <w:jc w:val="both"/>
        <w:rPr>
          <w:rFonts w:ascii="Times New Roman" w:eastAsia="Times New Roman" w:hAnsi="Times New Roman" w:cs="Times New Roman"/>
          <w:b/>
          <w:bCs/>
          <w:sz w:val="28"/>
          <w:szCs w:val="28"/>
        </w:rPr>
      </w:pPr>
      <w:r w:rsidRPr="00F27F54">
        <w:rPr>
          <w:rFonts w:ascii="Times New Roman" w:eastAsia="Times New Roman" w:hAnsi="Times New Roman" w:cs="Times New Roman"/>
          <w:noProof/>
          <w:sz w:val="28"/>
          <w:szCs w:val="28"/>
        </w:rPr>
        <w:lastRenderedPageBreak/>
        <w:drawing>
          <wp:inline distT="0" distB="0" distL="0" distR="0">
            <wp:extent cx="5319422" cy="2822713"/>
            <wp:effectExtent l="0" t="0" r="1460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7F54" w:rsidRPr="00F27F54" w:rsidRDefault="003121EC" w:rsidP="00F27F54">
      <w:pPr>
        <w:bidi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Figure </w:t>
      </w:r>
      <w:r w:rsidR="00F27F54" w:rsidRPr="00F27F54">
        <w:rPr>
          <w:rFonts w:ascii="Times New Roman" w:eastAsia="Times New Roman" w:hAnsi="Times New Roman" w:cs="Times New Roman"/>
          <w:b/>
          <w:bCs/>
          <w:sz w:val="24"/>
          <w:szCs w:val="24"/>
        </w:rPr>
        <w:t xml:space="preserve">1. Distribution of </w:t>
      </w:r>
      <w:r w:rsidR="00F27F54" w:rsidRPr="00F27F54">
        <w:rPr>
          <w:rFonts w:ascii="Times New Roman" w:eastAsia="Times New Roman" w:hAnsi="Times New Roman" w:cs="Times New Roman"/>
          <w:b/>
          <w:bCs/>
          <w:i/>
          <w:iCs/>
          <w:sz w:val="24"/>
          <w:szCs w:val="24"/>
        </w:rPr>
        <w:t xml:space="preserve">S. aureus </w:t>
      </w:r>
      <w:r w:rsidR="00F27F54" w:rsidRPr="00F27F54">
        <w:rPr>
          <w:rFonts w:ascii="Times New Roman" w:eastAsia="Times New Roman" w:hAnsi="Times New Roman" w:cs="Times New Roman"/>
          <w:b/>
          <w:bCs/>
          <w:sz w:val="24"/>
          <w:szCs w:val="24"/>
        </w:rPr>
        <w:t>according to sample type</w:t>
      </w:r>
      <w:r w:rsidR="00395652">
        <w:rPr>
          <w:rFonts w:ascii="Times New Roman" w:eastAsia="Times New Roman" w:hAnsi="Times New Roman" w:cs="Times New Roman"/>
          <w:b/>
          <w:bCs/>
          <w:sz w:val="24"/>
          <w:szCs w:val="24"/>
        </w:rPr>
        <w:t>s</w:t>
      </w:r>
    </w:p>
    <w:p w:rsidR="00F27F54" w:rsidRPr="009E1CA5" w:rsidRDefault="00F27F54" w:rsidP="00692C87">
      <w:pPr>
        <w:bidi w:val="0"/>
        <w:spacing w:after="0" w:line="360" w:lineRule="auto"/>
        <w:jc w:val="both"/>
        <w:rPr>
          <w:rFonts w:ascii="Times New Roman" w:eastAsia="Times New Roman" w:hAnsi="Times New Roman" w:cs="Times New Roman"/>
          <w:sz w:val="24"/>
          <w:szCs w:val="24"/>
        </w:rPr>
      </w:pPr>
      <w:r w:rsidRPr="009E1CA5">
        <w:rPr>
          <w:rFonts w:ascii="Times New Roman" w:eastAsia="Times New Roman" w:hAnsi="Times New Roman" w:cs="Times New Roman"/>
          <w:sz w:val="24"/>
          <w:szCs w:val="24"/>
        </w:rPr>
        <w:t xml:space="preserve">The study results showed </w:t>
      </w:r>
      <w:r w:rsidR="004A6E8D">
        <w:rPr>
          <w:rFonts w:ascii="Times New Roman" w:eastAsia="Times New Roman" w:hAnsi="Times New Roman" w:cs="Times New Roman"/>
          <w:sz w:val="24"/>
          <w:szCs w:val="24"/>
        </w:rPr>
        <w:t>that</w:t>
      </w:r>
      <w:r w:rsidRPr="009E1CA5">
        <w:rPr>
          <w:rFonts w:ascii="Times New Roman" w:eastAsia="Times New Roman" w:hAnsi="Times New Roman" w:cs="Times New Roman"/>
          <w:sz w:val="24"/>
          <w:szCs w:val="24"/>
        </w:rPr>
        <w:t xml:space="preserve"> the most of the  </w:t>
      </w:r>
      <w:r w:rsidR="00692C87">
        <w:rPr>
          <w:rFonts w:ascii="Times New Roman" w:eastAsia="Times New Roman" w:hAnsi="Times New Roman" w:cs="Times New Roman"/>
          <w:sz w:val="24"/>
          <w:szCs w:val="24"/>
        </w:rPr>
        <w:t>MRSA i</w:t>
      </w:r>
      <w:commentRangeStart w:id="32"/>
      <w:r w:rsidR="00692C87">
        <w:rPr>
          <w:rFonts w:ascii="Times New Roman" w:eastAsia="Times New Roman" w:hAnsi="Times New Roman" w:cs="Times New Roman"/>
          <w:sz w:val="24"/>
          <w:szCs w:val="24"/>
        </w:rPr>
        <w:t>solatesprevalenc</w:t>
      </w:r>
      <w:commentRangeEnd w:id="32"/>
      <w:r w:rsidR="000861A8">
        <w:rPr>
          <w:rStyle w:val="CommentReference"/>
        </w:rPr>
        <w:commentReference w:id="32"/>
      </w:r>
      <w:r w:rsidR="00692C87">
        <w:rPr>
          <w:rFonts w:ascii="Times New Roman" w:eastAsia="Times New Roman" w:hAnsi="Times New Roman" w:cs="Times New Roman"/>
          <w:sz w:val="24"/>
          <w:szCs w:val="24"/>
        </w:rPr>
        <w:t>e in age group</w:t>
      </w:r>
      <w:r w:rsidRPr="009E1CA5">
        <w:rPr>
          <w:rFonts w:ascii="Times New Roman" w:eastAsia="Times New Roman" w:hAnsi="Times New Roman" w:cs="Times New Roman"/>
          <w:sz w:val="24"/>
          <w:szCs w:val="24"/>
        </w:rPr>
        <w:t xml:space="preserve"> between 46 to 60 years about 12(34%), followed by the age more than 60 years in second rank about 8 (23%), and finally the age between 1 to 15 or years only about 2(6%).</w:t>
      </w:r>
    </w:p>
    <w:p w:rsidR="006957A6" w:rsidRDefault="006957A6" w:rsidP="00F27F54">
      <w:pPr>
        <w:bidi w:val="0"/>
        <w:spacing w:after="0" w:line="240" w:lineRule="auto"/>
        <w:jc w:val="both"/>
        <w:rPr>
          <w:rFonts w:ascii="Times New Roman" w:eastAsia="Times New Roman" w:hAnsi="Times New Roman" w:cs="Times New Roman"/>
          <w:b/>
          <w:bCs/>
          <w:sz w:val="24"/>
          <w:szCs w:val="24"/>
        </w:rPr>
      </w:pPr>
    </w:p>
    <w:p w:rsidR="006957A6" w:rsidRDefault="006957A6" w:rsidP="006957A6">
      <w:pPr>
        <w:bidi w:val="0"/>
        <w:spacing w:after="0" w:line="240" w:lineRule="auto"/>
        <w:jc w:val="both"/>
        <w:rPr>
          <w:rFonts w:ascii="Times New Roman" w:eastAsia="Times New Roman" w:hAnsi="Times New Roman" w:cs="Times New Roman"/>
          <w:b/>
          <w:bCs/>
          <w:sz w:val="24"/>
          <w:szCs w:val="24"/>
        </w:rPr>
      </w:pPr>
    </w:p>
    <w:p w:rsidR="006957A6" w:rsidRDefault="006957A6" w:rsidP="006957A6">
      <w:pPr>
        <w:bidi w:val="0"/>
        <w:spacing w:after="0" w:line="240" w:lineRule="auto"/>
        <w:jc w:val="both"/>
        <w:rPr>
          <w:rFonts w:ascii="Times New Roman" w:eastAsia="Times New Roman" w:hAnsi="Times New Roman" w:cs="Times New Roman"/>
          <w:b/>
          <w:bCs/>
          <w:sz w:val="24"/>
          <w:szCs w:val="24"/>
        </w:rPr>
      </w:pPr>
    </w:p>
    <w:p w:rsidR="00F27F54" w:rsidRPr="00F27F54" w:rsidRDefault="00F27F54" w:rsidP="006957A6">
      <w:pPr>
        <w:bidi w:val="0"/>
        <w:spacing w:after="0" w:line="240" w:lineRule="auto"/>
        <w:jc w:val="both"/>
        <w:rPr>
          <w:rFonts w:ascii="Times New Roman" w:eastAsia="Times New Roman" w:hAnsi="Times New Roman" w:cs="Times New Roman"/>
          <w:b/>
          <w:bCs/>
          <w:sz w:val="28"/>
          <w:szCs w:val="28"/>
        </w:rPr>
      </w:pPr>
      <w:r w:rsidRPr="00F27F54">
        <w:rPr>
          <w:rFonts w:ascii="Calibri" w:eastAsia="Times New Roman" w:hAnsi="Calibri" w:cs="Arial"/>
          <w:b/>
          <w:bCs/>
          <w:noProof/>
          <w:sz w:val="20"/>
          <w:szCs w:val="20"/>
        </w:rPr>
        <w:drawing>
          <wp:anchor distT="0" distB="0" distL="114300" distR="114300" simplePos="0" relativeHeight="251659264" behindDoc="1" locked="0" layoutInCell="1" allowOverlap="1">
            <wp:simplePos x="0" y="0"/>
            <wp:positionH relativeFrom="column">
              <wp:posOffset>-40640</wp:posOffset>
            </wp:positionH>
            <wp:positionV relativeFrom="paragraph">
              <wp:posOffset>47625</wp:posOffset>
            </wp:positionV>
            <wp:extent cx="5314950" cy="2743200"/>
            <wp:effectExtent l="19050" t="0" r="19050" b="0"/>
            <wp:wrapTight wrapText="bothSides">
              <wp:wrapPolygon edited="0">
                <wp:start x="-77" y="0"/>
                <wp:lineTo x="-77" y="21600"/>
                <wp:lineTo x="21677" y="21600"/>
                <wp:lineTo x="21677" y="0"/>
                <wp:lineTo x="-77" y="0"/>
              </wp:wrapPolygon>
            </wp:wrapTight>
            <wp:docPr id="2"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121EC">
        <w:rPr>
          <w:rFonts w:ascii="Times New Roman" w:eastAsia="Times New Roman" w:hAnsi="Times New Roman" w:cs="Times New Roman"/>
          <w:b/>
          <w:bCs/>
          <w:sz w:val="24"/>
          <w:szCs w:val="24"/>
        </w:rPr>
        <w:t xml:space="preserve">Figure </w:t>
      </w:r>
      <w:r w:rsidRPr="00F27F54">
        <w:rPr>
          <w:rFonts w:ascii="Times New Roman" w:eastAsia="Times New Roman" w:hAnsi="Times New Roman" w:cs="Times New Roman"/>
          <w:b/>
          <w:bCs/>
          <w:sz w:val="24"/>
          <w:szCs w:val="24"/>
        </w:rPr>
        <w:t>2. Distribution of MRSA isolates according to age group</w:t>
      </w:r>
      <w:r w:rsidRPr="00F27F54">
        <w:rPr>
          <w:rFonts w:ascii="Times New Roman" w:eastAsia="Times New Roman" w:hAnsi="Times New Roman" w:cs="Times New Roman"/>
          <w:b/>
          <w:bCs/>
          <w:sz w:val="28"/>
          <w:szCs w:val="28"/>
        </w:rPr>
        <w:t>.</w:t>
      </w:r>
    </w:p>
    <w:p w:rsidR="00F27F54" w:rsidRPr="00D94DBE" w:rsidRDefault="00F27F54" w:rsidP="00F27F54">
      <w:pPr>
        <w:tabs>
          <w:tab w:val="left" w:pos="3630"/>
        </w:tabs>
        <w:bidi w:val="0"/>
        <w:spacing w:after="0" w:line="240" w:lineRule="auto"/>
        <w:jc w:val="both"/>
        <w:rPr>
          <w:rFonts w:ascii="Times New Roman" w:eastAsia="Times New Roman" w:hAnsi="Times New Roman" w:cs="Times New Roman"/>
          <w:b/>
          <w:bCs/>
          <w:sz w:val="18"/>
          <w:szCs w:val="18"/>
        </w:rPr>
      </w:pPr>
      <w:r w:rsidRPr="00F27F54">
        <w:rPr>
          <w:rFonts w:ascii="Times New Roman" w:eastAsia="Times New Roman" w:hAnsi="Times New Roman" w:cs="Times New Roman"/>
          <w:b/>
          <w:bCs/>
          <w:sz w:val="28"/>
          <w:szCs w:val="28"/>
        </w:rPr>
        <w:tab/>
      </w:r>
    </w:p>
    <w:p w:rsidR="00F27F54" w:rsidRPr="009E1CA5" w:rsidRDefault="006957A6" w:rsidP="00B019DC">
      <w:pPr>
        <w:bidi w:val="0"/>
        <w:spacing w:after="0" w:line="360" w:lineRule="auto"/>
        <w:jc w:val="both"/>
        <w:rPr>
          <w:rFonts w:ascii="Times New Roman" w:eastAsia="Times New Roman" w:hAnsi="Times New Roman" w:cs="Times New Roman"/>
          <w:sz w:val="24"/>
          <w:szCs w:val="24"/>
        </w:rPr>
      </w:pPr>
      <w:commentRangeStart w:id="33"/>
      <w:r>
        <w:rPr>
          <w:rFonts w:ascii="Times New Roman" w:eastAsia="Times New Roman" w:hAnsi="Times New Roman" w:cs="Times New Roman"/>
          <w:noProof/>
          <w:sz w:val="24"/>
          <w:szCs w:val="24"/>
        </w:rPr>
        <w:lastRenderedPageBreak/>
        <w:drawing>
          <wp:inline distT="0" distB="0" distL="0" distR="0">
            <wp:extent cx="3162300" cy="21907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25623" t="11301" r="15302" b="9932"/>
                    <a:stretch>
                      <a:fillRect/>
                    </a:stretch>
                  </pic:blipFill>
                  <pic:spPr bwMode="auto">
                    <a:xfrm>
                      <a:off x="0" y="0"/>
                      <a:ext cx="3162300" cy="2190750"/>
                    </a:xfrm>
                    <a:prstGeom prst="rect">
                      <a:avLst/>
                    </a:prstGeom>
                    <a:noFill/>
                  </pic:spPr>
                </pic:pic>
              </a:graphicData>
            </a:graphic>
          </wp:inline>
        </w:drawing>
      </w:r>
      <w:commentRangeEnd w:id="33"/>
      <w:r w:rsidR="00BE56E5">
        <w:rPr>
          <w:rStyle w:val="CommentReference"/>
        </w:rPr>
        <w:commentReference w:id="33"/>
      </w:r>
      <w:r w:rsidR="00F27F54" w:rsidRPr="009E1CA5">
        <w:rPr>
          <w:rFonts w:ascii="Times New Roman" w:eastAsia="Times New Roman" w:hAnsi="Times New Roman" w:cs="Times New Roman"/>
          <w:sz w:val="24"/>
          <w:szCs w:val="24"/>
        </w:rPr>
        <w:t xml:space="preserve">The figure 3 showed </w:t>
      </w:r>
      <w:r w:rsidR="005B2689">
        <w:rPr>
          <w:rFonts w:ascii="Times New Roman" w:eastAsia="Times New Roman" w:hAnsi="Times New Roman" w:cs="Times New Roman"/>
          <w:sz w:val="24"/>
          <w:szCs w:val="24"/>
        </w:rPr>
        <w:t>that</w:t>
      </w:r>
      <w:r w:rsidR="00F27F54" w:rsidRPr="009E1CA5">
        <w:rPr>
          <w:rFonts w:ascii="Times New Roman" w:eastAsia="Times New Roman" w:hAnsi="Times New Roman" w:cs="Times New Roman"/>
          <w:sz w:val="24"/>
          <w:szCs w:val="24"/>
        </w:rPr>
        <w:t xml:space="preserve"> the most of </w:t>
      </w:r>
      <w:r w:rsidR="005B2689" w:rsidRPr="009E1CA5">
        <w:rPr>
          <w:rFonts w:ascii="Times New Roman" w:eastAsia="Times New Roman" w:hAnsi="Times New Roman" w:cs="Times New Roman"/>
          <w:sz w:val="24"/>
          <w:szCs w:val="24"/>
        </w:rPr>
        <w:t>the MRSA</w:t>
      </w:r>
      <w:r w:rsidR="005B2689">
        <w:rPr>
          <w:rFonts w:ascii="Times New Roman" w:eastAsia="Times New Roman" w:hAnsi="Times New Roman" w:cs="Times New Roman"/>
          <w:sz w:val="24"/>
          <w:szCs w:val="24"/>
        </w:rPr>
        <w:t xml:space="preserve"> isolates</w:t>
      </w:r>
      <w:r w:rsidR="00B019DC">
        <w:rPr>
          <w:rFonts w:ascii="Times New Roman" w:eastAsia="Times New Roman" w:hAnsi="Times New Roman" w:cs="Times New Roman"/>
          <w:sz w:val="24"/>
          <w:szCs w:val="24"/>
        </w:rPr>
        <w:t>were</w:t>
      </w:r>
      <w:r w:rsidR="005B2689">
        <w:rPr>
          <w:rFonts w:ascii="Times New Roman" w:eastAsia="Times New Roman" w:hAnsi="Times New Roman" w:cs="Times New Roman"/>
          <w:sz w:val="24"/>
          <w:szCs w:val="24"/>
        </w:rPr>
        <w:t xml:space="preserve"> in </w:t>
      </w:r>
      <w:r w:rsidR="005B2689" w:rsidRPr="009E1CA5">
        <w:rPr>
          <w:rFonts w:ascii="Times New Roman" w:eastAsia="Times New Roman" w:hAnsi="Times New Roman" w:cs="Times New Roman"/>
          <w:sz w:val="24"/>
          <w:szCs w:val="24"/>
        </w:rPr>
        <w:t>male</w:t>
      </w:r>
      <w:r w:rsidR="00F27F54" w:rsidRPr="009E1CA5">
        <w:rPr>
          <w:rFonts w:ascii="Times New Roman" w:eastAsia="Times New Roman" w:hAnsi="Times New Roman" w:cs="Times New Roman"/>
          <w:sz w:val="24"/>
          <w:szCs w:val="24"/>
        </w:rPr>
        <w:t xml:space="preserve"> about 29(83%), whereas the female participants only about 6(17%).</w:t>
      </w:r>
    </w:p>
    <w:p w:rsidR="00F27F54" w:rsidRPr="00F27F54" w:rsidRDefault="00F27F54" w:rsidP="00F27F54">
      <w:pPr>
        <w:bidi w:val="0"/>
        <w:spacing w:after="0" w:line="240" w:lineRule="auto"/>
        <w:jc w:val="both"/>
        <w:rPr>
          <w:rFonts w:ascii="Times New Roman" w:eastAsia="Times New Roman" w:hAnsi="Times New Roman" w:cs="Times New Roman"/>
          <w:b/>
          <w:bCs/>
          <w:sz w:val="28"/>
          <w:szCs w:val="28"/>
        </w:rPr>
      </w:pPr>
      <w:r w:rsidRPr="00F27F54">
        <w:rPr>
          <w:rFonts w:ascii="Calibri" w:eastAsia="Times New Roman" w:hAnsi="Calibri" w:cs="Arial"/>
          <w:noProof/>
        </w:rPr>
        <w:drawing>
          <wp:inline distT="0" distB="0" distL="0" distR="0">
            <wp:extent cx="5274310" cy="2741880"/>
            <wp:effectExtent l="19050" t="0" r="21590" b="1320"/>
            <wp:docPr id="3"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7F54" w:rsidRDefault="003121EC" w:rsidP="00F27F54">
      <w:pPr>
        <w:tabs>
          <w:tab w:val="right" w:pos="5245"/>
          <w:tab w:val="right" w:pos="6946"/>
        </w:tabs>
        <w:bidi w:val="0"/>
        <w:spacing w:before="15" w:after="15" w:line="36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Figure</w:t>
      </w:r>
      <w:r w:rsidR="00F27F54" w:rsidRPr="00F27F54">
        <w:rPr>
          <w:rFonts w:ascii="Times New Roman" w:eastAsia="Times New Roman" w:hAnsi="Times New Roman" w:cs="Times New Roman"/>
          <w:b/>
          <w:bCs/>
          <w:sz w:val="24"/>
          <w:szCs w:val="24"/>
        </w:rPr>
        <w:t xml:space="preserve"> 3. Distribution of MRSA isolates according to gender.</w:t>
      </w:r>
    </w:p>
    <w:p w:rsidR="00040238" w:rsidRDefault="001E4FE7" w:rsidP="00040238">
      <w:pPr>
        <w:tabs>
          <w:tab w:val="right" w:pos="5245"/>
          <w:tab w:val="right" w:pos="6946"/>
        </w:tabs>
        <w:bidi w:val="0"/>
        <w:spacing w:before="15" w:after="15" w:line="360" w:lineRule="auto"/>
        <w:jc w:val="both"/>
        <w:outlineLvl w:val="0"/>
        <w:rPr>
          <w:rFonts w:ascii="Times New Roman" w:eastAsia="Times New Roman" w:hAnsi="Times New Roman" w:cs="Times New Roman"/>
          <w:b/>
          <w:bCs/>
          <w:sz w:val="24"/>
          <w:szCs w:val="24"/>
        </w:rPr>
      </w:pPr>
      <w:r w:rsidRPr="001E4FE7">
        <w:rPr>
          <w:rFonts w:ascii="Times New Roman" w:eastAsia="Times New Roman" w:hAnsi="Times New Roman" w:cs="Times New Roman"/>
          <w:b/>
          <w:bCs/>
          <w:noProof/>
          <w:sz w:val="24"/>
          <w:szCs w:val="24"/>
          <w:lang w:val="en-IN" w:eastAsia="en-IN"/>
        </w:rPr>
        <w:pict>
          <v:rect id="_x0000_s1026" style="position:absolute;left:0;text-align:left;margin-left:16.5pt;margin-top:20.7pt;width:10.5pt;height:7.5pt;z-index:251662336" fillcolor="#c00000"/>
        </w:pict>
      </w:r>
    </w:p>
    <w:p w:rsidR="00040238" w:rsidRDefault="00040238" w:rsidP="00040238">
      <w:pPr>
        <w:tabs>
          <w:tab w:val="right" w:pos="5245"/>
          <w:tab w:val="right" w:pos="6946"/>
        </w:tabs>
        <w:bidi w:val="0"/>
        <w:spacing w:before="15" w:after="15" w:line="360" w:lineRule="auto"/>
        <w:ind w:firstLine="72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Female</w:t>
      </w:r>
    </w:p>
    <w:p w:rsidR="00040238" w:rsidRPr="00F27F54" w:rsidRDefault="001E4FE7" w:rsidP="00040238">
      <w:pPr>
        <w:tabs>
          <w:tab w:val="right" w:pos="5245"/>
          <w:tab w:val="right" w:pos="6946"/>
        </w:tabs>
        <w:bidi w:val="0"/>
        <w:spacing w:before="15" w:after="15" w:line="360" w:lineRule="auto"/>
        <w:ind w:firstLine="720"/>
        <w:jc w:val="both"/>
        <w:outlineLvl w:val="0"/>
        <w:rPr>
          <w:rFonts w:ascii="Times New Roman" w:eastAsia="Times New Roman" w:hAnsi="Times New Roman" w:cs="Times New Roman"/>
          <w:b/>
          <w:bCs/>
          <w:sz w:val="24"/>
          <w:szCs w:val="24"/>
        </w:rPr>
      </w:pPr>
      <w:r w:rsidRPr="001E4FE7">
        <w:rPr>
          <w:rFonts w:ascii="Times New Roman" w:eastAsia="Times New Roman" w:hAnsi="Times New Roman" w:cs="Times New Roman"/>
          <w:b/>
          <w:bCs/>
          <w:noProof/>
          <w:sz w:val="24"/>
          <w:szCs w:val="24"/>
          <w:lang w:val="en-IN" w:eastAsia="en-IN"/>
        </w:rPr>
        <w:pict>
          <v:rect id="_x0000_s1027" style="position:absolute;left:0;text-align:left;margin-left:16.5pt;margin-top:4.8pt;width:10.5pt;height:7.5pt;z-index:251663360" fillcolor="#0070c0"/>
        </w:pict>
      </w:r>
      <w:r w:rsidR="00040238">
        <w:rPr>
          <w:rFonts w:ascii="Times New Roman" w:eastAsia="Times New Roman" w:hAnsi="Times New Roman" w:cs="Times New Roman"/>
          <w:b/>
          <w:bCs/>
          <w:sz w:val="24"/>
          <w:szCs w:val="24"/>
        </w:rPr>
        <w:t>Male</w:t>
      </w:r>
    </w:p>
    <w:p w:rsidR="00F27F54" w:rsidRPr="009E1CA5" w:rsidRDefault="00F27F54" w:rsidP="005C3AF0">
      <w:pPr>
        <w:bidi w:val="0"/>
        <w:spacing w:after="0" w:line="360" w:lineRule="auto"/>
        <w:jc w:val="both"/>
        <w:rPr>
          <w:rFonts w:ascii="Times New Roman" w:eastAsia="Times New Roman" w:hAnsi="Times New Roman" w:cs="Times New Roman"/>
          <w:sz w:val="24"/>
          <w:szCs w:val="24"/>
        </w:rPr>
      </w:pPr>
      <w:r w:rsidRPr="00F27F54">
        <w:rPr>
          <w:rFonts w:ascii="Calibri" w:eastAsia="Times New Roman" w:hAnsi="Calibri" w:cs="Arial"/>
          <w:noProof/>
        </w:rPr>
        <w:drawing>
          <wp:anchor distT="0" distB="0" distL="114300" distR="114300" simplePos="0" relativeHeight="251661312" behindDoc="1" locked="0" layoutInCell="1" allowOverlap="1">
            <wp:simplePos x="0" y="0"/>
            <wp:positionH relativeFrom="column">
              <wp:posOffset>-57150</wp:posOffset>
            </wp:positionH>
            <wp:positionV relativeFrom="paragraph">
              <wp:posOffset>1207770</wp:posOffset>
            </wp:positionV>
            <wp:extent cx="5229225" cy="2905125"/>
            <wp:effectExtent l="19050" t="0" r="9525" b="0"/>
            <wp:wrapTight wrapText="bothSides">
              <wp:wrapPolygon edited="0">
                <wp:start x="-79" y="0"/>
                <wp:lineTo x="-79" y="21529"/>
                <wp:lineTo x="21639" y="21529"/>
                <wp:lineTo x="21639" y="0"/>
                <wp:lineTo x="-79" y="0"/>
              </wp:wrapPolygon>
            </wp:wrapTight>
            <wp:docPr id="4"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9E1CA5">
        <w:rPr>
          <w:rFonts w:ascii="Times New Roman" w:eastAsia="Times New Roman" w:hAnsi="Times New Roman" w:cs="Times New Roman"/>
          <w:sz w:val="24"/>
          <w:szCs w:val="24"/>
        </w:rPr>
        <w:t xml:space="preserve">According to the study findings, ICU and surgical departments </w:t>
      </w:r>
      <w:r w:rsidR="005C3AF0">
        <w:rPr>
          <w:rFonts w:ascii="Times New Roman" w:eastAsia="Times New Roman" w:hAnsi="Times New Roman" w:cs="Times New Roman"/>
          <w:sz w:val="24"/>
          <w:szCs w:val="24"/>
        </w:rPr>
        <w:t>had</w:t>
      </w:r>
      <w:r w:rsidRPr="009E1CA5">
        <w:rPr>
          <w:rFonts w:ascii="Times New Roman" w:eastAsia="Times New Roman" w:hAnsi="Times New Roman" w:cs="Times New Roman"/>
          <w:sz w:val="24"/>
          <w:szCs w:val="24"/>
        </w:rPr>
        <w:t xml:space="preserve"> the same and most prevalence of MRSA about 10(29%), followed by the medical and laboratory departments with rank about 6 (17%), and finally the neurological department only </w:t>
      </w:r>
      <w:r w:rsidRPr="009E1CA5">
        <w:rPr>
          <w:rFonts w:ascii="Times New Roman" w:eastAsia="Times New Roman" w:hAnsi="Times New Roman" w:cs="Times New Roman"/>
          <w:sz w:val="24"/>
          <w:szCs w:val="24"/>
        </w:rPr>
        <w:lastRenderedPageBreak/>
        <w:t>about 3(8 %).</w:t>
      </w:r>
    </w:p>
    <w:p w:rsidR="00F27F54" w:rsidRPr="00F27F54" w:rsidRDefault="003121EC" w:rsidP="00F27F54">
      <w:pPr>
        <w:tabs>
          <w:tab w:val="right" w:pos="5245"/>
          <w:tab w:val="right" w:pos="6946"/>
        </w:tabs>
        <w:bidi w:val="0"/>
        <w:spacing w:before="15" w:after="15" w:line="36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Figure</w:t>
      </w:r>
      <w:r w:rsidR="00F27F54" w:rsidRPr="00F27F54">
        <w:rPr>
          <w:rFonts w:ascii="Times New Roman" w:eastAsia="Times New Roman" w:hAnsi="Times New Roman" w:cs="Times New Roman"/>
          <w:b/>
          <w:bCs/>
          <w:sz w:val="24"/>
          <w:szCs w:val="24"/>
        </w:rPr>
        <w:t xml:space="preserve"> 4. Distribution of MRSA isolates according to hospital departments.</w:t>
      </w:r>
    </w:p>
    <w:p w:rsidR="00F27F54" w:rsidRPr="009E1CA5" w:rsidRDefault="00F27F54" w:rsidP="000B2117">
      <w:pPr>
        <w:bidi w:val="0"/>
        <w:spacing w:after="0" w:line="360" w:lineRule="auto"/>
        <w:jc w:val="both"/>
        <w:rPr>
          <w:rFonts w:ascii="Times New Roman" w:eastAsia="Times New Roman" w:hAnsi="Times New Roman" w:cs="Times New Roman"/>
          <w:sz w:val="24"/>
          <w:szCs w:val="24"/>
        </w:rPr>
      </w:pPr>
      <w:r w:rsidRPr="009E1CA5">
        <w:rPr>
          <w:rFonts w:ascii="Times New Roman" w:eastAsia="Times New Roman" w:hAnsi="Times New Roman" w:cs="Times New Roman"/>
          <w:sz w:val="24"/>
          <w:szCs w:val="24"/>
        </w:rPr>
        <w:t>The figure 5 showed</w:t>
      </w:r>
      <w:r w:rsidR="000B2117">
        <w:rPr>
          <w:rFonts w:ascii="Times New Roman" w:eastAsia="Times New Roman" w:hAnsi="Times New Roman" w:cs="Times New Roman"/>
          <w:sz w:val="24"/>
          <w:szCs w:val="24"/>
        </w:rPr>
        <w:t xml:space="preserve"> that</w:t>
      </w:r>
      <w:r w:rsidRPr="009E1CA5">
        <w:rPr>
          <w:rFonts w:ascii="Times New Roman" w:eastAsia="Times New Roman" w:hAnsi="Times New Roman" w:cs="Times New Roman"/>
          <w:sz w:val="24"/>
          <w:szCs w:val="24"/>
        </w:rPr>
        <w:t xml:space="preserve"> more than half of MRSA isolates from sputum culture about 18(51.4%), followed by the wound swab </w:t>
      </w:r>
      <w:r w:rsidR="000B2117">
        <w:rPr>
          <w:rFonts w:ascii="Times New Roman" w:eastAsia="Times New Roman" w:hAnsi="Times New Roman" w:cs="Times New Roman"/>
          <w:sz w:val="24"/>
          <w:szCs w:val="24"/>
        </w:rPr>
        <w:t xml:space="preserve">culture </w:t>
      </w:r>
      <w:r w:rsidRPr="009E1CA5">
        <w:rPr>
          <w:rFonts w:ascii="Times New Roman" w:eastAsia="Times New Roman" w:hAnsi="Times New Roman" w:cs="Times New Roman"/>
          <w:sz w:val="24"/>
          <w:szCs w:val="24"/>
        </w:rPr>
        <w:t>about 12 (34.3%), and finally blood culture only about 2(5.7%).</w:t>
      </w:r>
    </w:p>
    <w:p w:rsidR="00F27F54" w:rsidRPr="00F27F54" w:rsidRDefault="00F27F54" w:rsidP="003121EC">
      <w:pPr>
        <w:bidi w:val="0"/>
        <w:spacing w:after="0"/>
        <w:jc w:val="both"/>
        <w:rPr>
          <w:rFonts w:ascii="Times New Roman" w:eastAsia="Times New Roman" w:hAnsi="Times New Roman" w:cs="Times New Roman"/>
          <w:b/>
          <w:bCs/>
          <w:sz w:val="28"/>
          <w:szCs w:val="28"/>
        </w:rPr>
      </w:pPr>
      <w:r w:rsidRPr="00F27F54">
        <w:rPr>
          <w:rFonts w:ascii="Times New Roman" w:eastAsia="Times New Roman" w:hAnsi="Times New Roman" w:cs="Times New Roman"/>
          <w:b/>
          <w:bCs/>
          <w:sz w:val="24"/>
          <w:szCs w:val="24"/>
        </w:rPr>
        <w:t>Fig</w:t>
      </w:r>
      <w:r w:rsidR="003121EC">
        <w:rPr>
          <w:rFonts w:ascii="Times New Roman" w:eastAsia="Times New Roman" w:hAnsi="Times New Roman" w:cs="Times New Roman"/>
          <w:b/>
          <w:bCs/>
          <w:sz w:val="24"/>
          <w:szCs w:val="24"/>
        </w:rPr>
        <w:t>ure</w:t>
      </w:r>
      <w:r w:rsidRPr="00F27F54">
        <w:rPr>
          <w:rFonts w:ascii="Times New Roman" w:eastAsia="Times New Roman" w:hAnsi="Times New Roman" w:cs="Times New Roman"/>
          <w:b/>
          <w:bCs/>
          <w:sz w:val="24"/>
          <w:szCs w:val="24"/>
        </w:rPr>
        <w:t xml:space="preserve"> 5. Distribution of MRSA isolates according to sample test</w:t>
      </w:r>
      <w:r w:rsidRPr="00F27F54">
        <w:rPr>
          <w:rFonts w:ascii="Times New Roman" w:eastAsia="Times New Roman" w:hAnsi="Times New Roman" w:cs="Times New Roman"/>
          <w:b/>
          <w:bCs/>
          <w:sz w:val="28"/>
          <w:szCs w:val="28"/>
        </w:rPr>
        <w:t>.</w:t>
      </w:r>
      <w:r w:rsidRPr="00F27F54">
        <w:rPr>
          <w:rFonts w:ascii="Calibri" w:eastAsia="Times New Roman" w:hAnsi="Calibri" w:cs="Arial"/>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-1905</wp:posOffset>
            </wp:positionV>
            <wp:extent cx="5314950" cy="2743200"/>
            <wp:effectExtent l="19050" t="0" r="19050" b="0"/>
            <wp:wrapTight wrapText="bothSides">
              <wp:wrapPolygon edited="0">
                <wp:start x="-77" y="0"/>
                <wp:lineTo x="-77" y="21600"/>
                <wp:lineTo x="21677" y="21600"/>
                <wp:lineTo x="21677" y="0"/>
                <wp:lineTo x="-77" y="0"/>
              </wp:wrapPolygon>
            </wp:wrapTight>
            <wp:docPr id="5"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957A6" w:rsidRDefault="006957A6" w:rsidP="006F5E1D">
      <w:pPr>
        <w:autoSpaceDE w:val="0"/>
        <w:autoSpaceDN w:val="0"/>
        <w:bidi w:val="0"/>
        <w:adjustRightInd w:val="0"/>
        <w:spacing w:after="0" w:line="360" w:lineRule="auto"/>
        <w:jc w:val="both"/>
        <w:rPr>
          <w:rFonts w:ascii="Times New Roman" w:eastAsia="Calibri" w:hAnsi="Times New Roman" w:cs="Times New Roman"/>
          <w:sz w:val="24"/>
          <w:szCs w:val="24"/>
        </w:rPr>
      </w:pPr>
    </w:p>
    <w:p w:rsidR="00F27F54" w:rsidRPr="00F27F54" w:rsidRDefault="00F27F54" w:rsidP="006957A6">
      <w:pPr>
        <w:autoSpaceDE w:val="0"/>
        <w:autoSpaceDN w:val="0"/>
        <w:bidi w:val="0"/>
        <w:adjustRightInd w:val="0"/>
        <w:spacing w:after="0" w:line="360" w:lineRule="auto"/>
        <w:jc w:val="both"/>
        <w:rPr>
          <w:rFonts w:ascii="Times New Roman" w:eastAsia="Calibri" w:hAnsi="Times New Roman" w:cs="Times New Roman"/>
          <w:sz w:val="24"/>
          <w:szCs w:val="24"/>
        </w:rPr>
      </w:pPr>
      <w:commentRangeStart w:id="34"/>
      <w:r w:rsidRPr="00F27F54">
        <w:rPr>
          <w:rFonts w:ascii="Times New Roman" w:eastAsia="Calibri" w:hAnsi="Times New Roman" w:cs="Times New Roman"/>
          <w:sz w:val="24"/>
          <w:szCs w:val="24"/>
        </w:rPr>
        <w:t xml:space="preserve">In this study, the most of medication that had resistance to MRSA test were about 12 drugs (80%), whereas the medication that sensitive to MRSA test about 3 drugs (20%). Also the study results showed that MRSA isolates were resistant to levofloxacin 100 %, </w:t>
      </w:r>
      <w:r w:rsidRPr="00F27F54">
        <w:rPr>
          <w:rFonts w:ascii="Times New Roman" w:eastAsia="Times New Roman" w:hAnsi="Times New Roman" w:cs="Times New Roman"/>
          <w:color w:val="000000"/>
          <w:sz w:val="24"/>
          <w:szCs w:val="24"/>
        </w:rPr>
        <w:t>amoxicillin/clavulinic acid</w:t>
      </w:r>
      <w:r w:rsidRPr="00F27F54">
        <w:rPr>
          <w:rFonts w:ascii="Times New Roman" w:eastAsia="Calibri" w:hAnsi="Times New Roman" w:cs="Times New Roman"/>
          <w:sz w:val="24"/>
          <w:szCs w:val="24"/>
        </w:rPr>
        <w:t xml:space="preserve">100%, moxifloxacin 76 %, gentamicin 94 %, clindamycin 70.5%, ciprofloxacin 97%, cfuroxime 91 % erythromycin 71.5%,and ampicillin/ sulbactam 94%. The highest frequency of sensitivity (100 %) was observed </w:t>
      </w:r>
      <w:commentRangeEnd w:id="34"/>
      <w:r w:rsidR="00020C3B">
        <w:rPr>
          <w:rStyle w:val="CommentReference"/>
        </w:rPr>
        <w:commentReference w:id="34"/>
      </w:r>
      <w:r w:rsidRPr="00F27F54">
        <w:rPr>
          <w:rFonts w:ascii="Times New Roman" w:eastAsia="Calibri" w:hAnsi="Times New Roman" w:cs="Times New Roman"/>
          <w:sz w:val="24"/>
          <w:szCs w:val="24"/>
        </w:rPr>
        <w:t xml:space="preserve">with </w:t>
      </w:r>
      <w:commentRangeStart w:id="35"/>
      <w:r w:rsidRPr="00F27F54">
        <w:rPr>
          <w:rFonts w:ascii="Times New Roman" w:eastAsia="Calibri" w:hAnsi="Times New Roman" w:cs="Times New Roman"/>
          <w:sz w:val="24"/>
          <w:szCs w:val="24"/>
        </w:rPr>
        <w:t>trimethoprim/sulfamethoxazole</w:t>
      </w:r>
      <w:commentRangeEnd w:id="35"/>
      <w:r w:rsidR="00AB562D">
        <w:rPr>
          <w:rStyle w:val="CommentReference"/>
        </w:rPr>
        <w:commentReference w:id="35"/>
      </w:r>
      <w:r w:rsidRPr="00F27F54">
        <w:rPr>
          <w:rFonts w:ascii="Times New Roman" w:eastAsia="Calibri" w:hAnsi="Times New Roman" w:cs="Times New Roman"/>
          <w:sz w:val="24"/>
          <w:szCs w:val="24"/>
        </w:rPr>
        <w:t>, linezolide, and vancomycin</w:t>
      </w:r>
      <w:r w:rsidR="006F5E1D">
        <w:rPr>
          <w:rFonts w:ascii="Times New Roman" w:eastAsia="Calibri" w:hAnsi="Times New Roman" w:cs="Times New Roman"/>
          <w:sz w:val="24"/>
          <w:szCs w:val="24"/>
        </w:rPr>
        <w:t>(</w:t>
      </w:r>
      <w:commentRangeStart w:id="36"/>
      <w:r w:rsidRPr="00F27F54">
        <w:rPr>
          <w:rFonts w:ascii="Times New Roman" w:eastAsia="Calibri" w:hAnsi="Times New Roman" w:cs="Times New Roman"/>
          <w:sz w:val="24"/>
          <w:szCs w:val="24"/>
        </w:rPr>
        <w:t xml:space="preserve">table </w:t>
      </w:r>
      <w:commentRangeEnd w:id="36"/>
      <w:r w:rsidR="000861A8">
        <w:rPr>
          <w:rStyle w:val="CommentReference"/>
        </w:rPr>
        <w:commentReference w:id="36"/>
      </w:r>
      <w:r w:rsidRPr="00F27F54">
        <w:rPr>
          <w:rFonts w:ascii="Times New Roman" w:eastAsia="Calibri" w:hAnsi="Times New Roman" w:cs="Times New Roman"/>
          <w:sz w:val="24"/>
          <w:szCs w:val="24"/>
        </w:rPr>
        <w:t>1</w:t>
      </w:r>
      <w:r w:rsidR="006F5E1D">
        <w:rPr>
          <w:rFonts w:ascii="Times New Roman" w:eastAsia="Calibri" w:hAnsi="Times New Roman" w:cs="Times New Roman"/>
          <w:sz w:val="24"/>
          <w:szCs w:val="24"/>
        </w:rPr>
        <w:t>)</w:t>
      </w:r>
      <w:r w:rsidRPr="00F27F54">
        <w:rPr>
          <w:rFonts w:ascii="Times New Roman" w:eastAsia="Calibri" w:hAnsi="Times New Roman" w:cs="Times New Roman"/>
          <w:sz w:val="24"/>
          <w:szCs w:val="24"/>
        </w:rPr>
        <w:t>.</w:t>
      </w:r>
    </w:p>
    <w:p w:rsidR="00F27F54" w:rsidRPr="00F27F54" w:rsidRDefault="00F27F54" w:rsidP="00F27F54">
      <w:pPr>
        <w:autoSpaceDE w:val="0"/>
        <w:autoSpaceDN w:val="0"/>
        <w:bidi w:val="0"/>
        <w:adjustRightInd w:val="0"/>
        <w:spacing w:after="0"/>
        <w:jc w:val="both"/>
        <w:rPr>
          <w:rFonts w:ascii="Times New Roman" w:eastAsia="Calibri" w:hAnsi="Times New Roman" w:cs="Times New Roman"/>
          <w:sz w:val="24"/>
          <w:szCs w:val="24"/>
        </w:rPr>
      </w:pPr>
      <w:r w:rsidRPr="00F27F54">
        <w:rPr>
          <w:rFonts w:ascii="Times New Roman" w:eastAsia="Calibri" w:hAnsi="Times New Roman" w:cs="Times New Roman"/>
          <w:b/>
          <w:bCs/>
          <w:sz w:val="24"/>
          <w:szCs w:val="24"/>
        </w:rPr>
        <w:t>Table 1. The antibiotic susceptibility pattern for MRSA isolates</w:t>
      </w:r>
    </w:p>
    <w:tbl>
      <w:tblPr>
        <w:tblStyle w:val="TableGrid1"/>
        <w:tblW w:w="8755" w:type="dxa"/>
        <w:tblLayout w:type="fixed"/>
        <w:tblLook w:val="04A0"/>
      </w:tblPr>
      <w:tblGrid>
        <w:gridCol w:w="1668"/>
        <w:gridCol w:w="1116"/>
        <w:gridCol w:w="684"/>
        <w:gridCol w:w="841"/>
        <w:gridCol w:w="1753"/>
        <w:gridCol w:w="1276"/>
        <w:gridCol w:w="708"/>
        <w:gridCol w:w="709"/>
      </w:tblGrid>
      <w:tr w:rsidR="00F27F54" w:rsidRPr="00F27F54" w:rsidTr="00F27F54">
        <w:trPr>
          <w:trHeight w:val="210"/>
        </w:trPr>
        <w:tc>
          <w:tcPr>
            <w:tcW w:w="1668" w:type="dxa"/>
            <w:vMerge w:val="restart"/>
            <w:shd w:val="clear" w:color="auto" w:fill="D9D9D9" w:themeFill="background1" w:themeFillShade="D9"/>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eastAsia="Calibri" w:hAnsi="Andalus" w:cs="Andalus"/>
                <w:b/>
                <w:bCs/>
                <w:sz w:val="24"/>
                <w:szCs w:val="24"/>
              </w:rPr>
              <w:t>Antibiotic</w:t>
            </w:r>
          </w:p>
        </w:tc>
        <w:tc>
          <w:tcPr>
            <w:tcW w:w="1116" w:type="dxa"/>
            <w:vMerge w:val="restart"/>
            <w:shd w:val="clear" w:color="auto" w:fill="D9D9D9" w:themeFill="background1" w:themeFillShade="D9"/>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eastAsia="Calibri" w:hAnsi="Andalus" w:cs="Andalus"/>
                <w:b/>
                <w:bCs/>
                <w:sz w:val="24"/>
                <w:szCs w:val="24"/>
              </w:rPr>
              <w:t>Expected options</w:t>
            </w:r>
          </w:p>
        </w:tc>
        <w:tc>
          <w:tcPr>
            <w:tcW w:w="1525" w:type="dxa"/>
            <w:gridSpan w:val="2"/>
            <w:shd w:val="clear" w:color="auto" w:fill="D9D9D9" w:themeFill="background1" w:themeFillShade="D9"/>
          </w:tcPr>
          <w:p w:rsidR="00F27F54" w:rsidRPr="00F27F54" w:rsidRDefault="00F27F54" w:rsidP="00F27F54">
            <w:pPr>
              <w:autoSpaceDE w:val="0"/>
              <w:autoSpaceDN w:val="0"/>
              <w:bidi w:val="0"/>
              <w:adjustRightInd w:val="0"/>
              <w:ind w:right="60"/>
              <w:jc w:val="center"/>
              <w:rPr>
                <w:rFonts w:ascii="Andalus" w:hAnsi="Andalus" w:cs="Andalus"/>
                <w:b/>
                <w:bCs/>
                <w:color w:val="000000"/>
                <w:sz w:val="24"/>
                <w:szCs w:val="24"/>
              </w:rPr>
            </w:pPr>
            <w:r w:rsidRPr="00F27F54">
              <w:rPr>
                <w:rFonts w:ascii="Andalus" w:hAnsi="Andalus" w:cs="Andalus"/>
                <w:b/>
                <w:bCs/>
                <w:color w:val="000000"/>
                <w:sz w:val="24"/>
                <w:szCs w:val="24"/>
              </w:rPr>
              <w:t>Response</w:t>
            </w:r>
          </w:p>
        </w:tc>
        <w:tc>
          <w:tcPr>
            <w:tcW w:w="1753" w:type="dxa"/>
            <w:vMerge w:val="restart"/>
            <w:shd w:val="clear" w:color="auto" w:fill="D9D9D9" w:themeFill="background1" w:themeFillShade="D9"/>
          </w:tcPr>
          <w:p w:rsidR="00F27F54" w:rsidRPr="00F27F54" w:rsidRDefault="00F27F54" w:rsidP="00F27F54">
            <w:pPr>
              <w:autoSpaceDE w:val="0"/>
              <w:autoSpaceDN w:val="0"/>
              <w:bidi w:val="0"/>
              <w:adjustRightInd w:val="0"/>
              <w:ind w:right="60"/>
              <w:jc w:val="center"/>
              <w:rPr>
                <w:rFonts w:ascii="Andalus" w:hAnsi="Andalus" w:cs="Andalus"/>
                <w:b/>
                <w:bCs/>
                <w:color w:val="000000"/>
                <w:sz w:val="24"/>
                <w:szCs w:val="24"/>
              </w:rPr>
            </w:pPr>
            <w:r w:rsidRPr="00F27F54">
              <w:rPr>
                <w:rFonts w:ascii="Andalus" w:hAnsi="Andalus" w:cs="Andalus"/>
                <w:b/>
                <w:bCs/>
                <w:color w:val="000000"/>
                <w:sz w:val="24"/>
                <w:szCs w:val="24"/>
              </w:rPr>
              <w:t>Antibiotic</w:t>
            </w:r>
          </w:p>
        </w:tc>
        <w:tc>
          <w:tcPr>
            <w:tcW w:w="1276" w:type="dxa"/>
            <w:vMerge w:val="restart"/>
            <w:shd w:val="clear" w:color="auto" w:fill="D9D9D9" w:themeFill="background1" w:themeFillShade="D9"/>
          </w:tcPr>
          <w:p w:rsidR="00F27F54" w:rsidRPr="00F27F54" w:rsidRDefault="00F27F54" w:rsidP="00F27F54">
            <w:pPr>
              <w:autoSpaceDE w:val="0"/>
              <w:autoSpaceDN w:val="0"/>
              <w:bidi w:val="0"/>
              <w:adjustRightInd w:val="0"/>
              <w:ind w:right="60"/>
              <w:jc w:val="center"/>
              <w:rPr>
                <w:rFonts w:ascii="Andalus" w:hAnsi="Andalus" w:cs="Andalus"/>
                <w:b/>
                <w:bCs/>
                <w:color w:val="000000"/>
                <w:sz w:val="24"/>
                <w:szCs w:val="24"/>
              </w:rPr>
            </w:pPr>
            <w:r w:rsidRPr="00F27F54">
              <w:rPr>
                <w:rFonts w:ascii="Andalus" w:eastAsia="Calibri" w:hAnsi="Andalus" w:cs="Andalus"/>
                <w:b/>
                <w:bCs/>
                <w:sz w:val="24"/>
                <w:szCs w:val="24"/>
              </w:rPr>
              <w:t>Expected options</w:t>
            </w:r>
          </w:p>
        </w:tc>
        <w:tc>
          <w:tcPr>
            <w:tcW w:w="1417" w:type="dxa"/>
            <w:gridSpan w:val="2"/>
            <w:shd w:val="clear" w:color="auto" w:fill="D9D9D9" w:themeFill="background1" w:themeFillShade="D9"/>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eastAsia="Calibri" w:hAnsi="Andalus" w:cs="Andalus"/>
                <w:b/>
                <w:bCs/>
                <w:sz w:val="24"/>
                <w:szCs w:val="24"/>
              </w:rPr>
              <w:t>Response</w:t>
            </w:r>
          </w:p>
        </w:tc>
      </w:tr>
      <w:tr w:rsidR="00F27F54" w:rsidRPr="00F27F54" w:rsidTr="00F27F54">
        <w:trPr>
          <w:trHeight w:val="271"/>
        </w:trPr>
        <w:tc>
          <w:tcPr>
            <w:tcW w:w="1668" w:type="dxa"/>
            <w:vMerge/>
            <w:shd w:val="clear" w:color="auto" w:fill="D9D9D9" w:themeFill="background1" w:themeFillShade="D9"/>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vMerge/>
            <w:shd w:val="clear" w:color="auto" w:fill="D9D9D9" w:themeFill="background1" w:themeFillShade="D9"/>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684" w:type="dxa"/>
            <w:shd w:val="clear" w:color="auto" w:fill="D9D9D9" w:themeFill="background1" w:themeFillShade="D9"/>
          </w:tcPr>
          <w:p w:rsidR="00F27F54" w:rsidRPr="00F27F54" w:rsidRDefault="00F27F54" w:rsidP="00F27F54">
            <w:pPr>
              <w:autoSpaceDE w:val="0"/>
              <w:autoSpaceDN w:val="0"/>
              <w:bidi w:val="0"/>
              <w:adjustRightInd w:val="0"/>
              <w:ind w:right="60"/>
              <w:jc w:val="center"/>
              <w:rPr>
                <w:rFonts w:ascii="Andalus" w:hAnsi="Andalus" w:cs="Andalus"/>
                <w:b/>
                <w:bCs/>
                <w:color w:val="000000"/>
                <w:sz w:val="24"/>
                <w:szCs w:val="24"/>
              </w:rPr>
            </w:pPr>
            <w:r w:rsidRPr="00F27F54">
              <w:rPr>
                <w:rFonts w:ascii="Andalus" w:hAnsi="Andalus" w:cs="Andalus"/>
                <w:b/>
                <w:bCs/>
                <w:color w:val="000000"/>
                <w:sz w:val="24"/>
                <w:szCs w:val="24"/>
              </w:rPr>
              <w:t>F</w:t>
            </w:r>
          </w:p>
        </w:tc>
        <w:tc>
          <w:tcPr>
            <w:tcW w:w="841" w:type="dxa"/>
            <w:shd w:val="clear" w:color="auto" w:fill="D9D9D9" w:themeFill="background1" w:themeFillShade="D9"/>
          </w:tcPr>
          <w:p w:rsidR="00F27F54" w:rsidRPr="00F27F54" w:rsidRDefault="00F27F54" w:rsidP="00F27F54">
            <w:pPr>
              <w:autoSpaceDE w:val="0"/>
              <w:autoSpaceDN w:val="0"/>
              <w:bidi w:val="0"/>
              <w:adjustRightInd w:val="0"/>
              <w:ind w:right="60"/>
              <w:jc w:val="center"/>
              <w:rPr>
                <w:rFonts w:ascii="Andalus" w:hAnsi="Andalus" w:cs="Andalus"/>
                <w:b/>
                <w:bCs/>
                <w:color w:val="000000"/>
                <w:sz w:val="24"/>
                <w:szCs w:val="24"/>
              </w:rPr>
            </w:pPr>
            <w:r w:rsidRPr="00F27F54">
              <w:rPr>
                <w:rFonts w:ascii="Andalus" w:hAnsi="Andalus" w:cs="Andalus"/>
                <w:b/>
                <w:bCs/>
                <w:color w:val="000000"/>
                <w:sz w:val="24"/>
                <w:szCs w:val="24"/>
              </w:rPr>
              <w:t>%</w:t>
            </w:r>
          </w:p>
        </w:tc>
        <w:tc>
          <w:tcPr>
            <w:tcW w:w="1753" w:type="dxa"/>
            <w:vMerge/>
            <w:shd w:val="clear" w:color="auto" w:fill="D9D9D9" w:themeFill="background1" w:themeFillShade="D9"/>
          </w:tcPr>
          <w:p w:rsidR="00F27F54" w:rsidRPr="00F27F54" w:rsidRDefault="00F27F54" w:rsidP="00F27F54">
            <w:pPr>
              <w:autoSpaceDE w:val="0"/>
              <w:autoSpaceDN w:val="0"/>
              <w:bidi w:val="0"/>
              <w:adjustRightInd w:val="0"/>
              <w:jc w:val="both"/>
              <w:rPr>
                <w:rFonts w:ascii="Andalus" w:eastAsia="Calibri" w:hAnsi="Andalus" w:cs="Andalus"/>
                <w:sz w:val="24"/>
                <w:szCs w:val="24"/>
              </w:rPr>
            </w:pPr>
          </w:p>
        </w:tc>
        <w:tc>
          <w:tcPr>
            <w:tcW w:w="1276" w:type="dxa"/>
            <w:vMerge/>
            <w:shd w:val="clear" w:color="auto" w:fill="D9D9D9" w:themeFill="background1" w:themeFillShade="D9"/>
          </w:tcPr>
          <w:p w:rsidR="00F27F54" w:rsidRPr="00F27F54" w:rsidRDefault="00F27F54" w:rsidP="00F27F54">
            <w:pPr>
              <w:autoSpaceDE w:val="0"/>
              <w:autoSpaceDN w:val="0"/>
              <w:bidi w:val="0"/>
              <w:adjustRightInd w:val="0"/>
              <w:jc w:val="both"/>
              <w:rPr>
                <w:rFonts w:ascii="Andalus" w:eastAsia="Calibri" w:hAnsi="Andalus" w:cs="Andalus"/>
                <w:sz w:val="24"/>
                <w:szCs w:val="24"/>
              </w:rPr>
            </w:pPr>
          </w:p>
        </w:tc>
        <w:tc>
          <w:tcPr>
            <w:tcW w:w="708" w:type="dxa"/>
            <w:shd w:val="clear" w:color="auto" w:fill="D9D9D9" w:themeFill="background1" w:themeFillShade="D9"/>
          </w:tcPr>
          <w:p w:rsidR="00F27F54" w:rsidRPr="00F27F54" w:rsidRDefault="00F27F54" w:rsidP="00F27F54">
            <w:pPr>
              <w:jc w:val="center"/>
              <w:rPr>
                <w:rFonts w:ascii="Andalus" w:hAnsi="Andalus" w:cs="Andalus"/>
                <w:b/>
                <w:bCs/>
                <w:sz w:val="24"/>
                <w:szCs w:val="24"/>
              </w:rPr>
            </w:pPr>
            <w:r w:rsidRPr="00F27F54">
              <w:rPr>
                <w:rFonts w:ascii="Andalus" w:hAnsi="Andalus" w:cs="Andalus"/>
                <w:b/>
                <w:bCs/>
                <w:sz w:val="24"/>
                <w:szCs w:val="24"/>
              </w:rPr>
              <w:t>F</w:t>
            </w:r>
          </w:p>
        </w:tc>
        <w:tc>
          <w:tcPr>
            <w:tcW w:w="709" w:type="dxa"/>
            <w:shd w:val="clear" w:color="auto" w:fill="D9D9D9" w:themeFill="background1" w:themeFillShade="D9"/>
          </w:tcPr>
          <w:p w:rsidR="00F27F54" w:rsidRPr="00F27F54" w:rsidRDefault="00F27F54" w:rsidP="00F27F54">
            <w:pPr>
              <w:jc w:val="center"/>
              <w:rPr>
                <w:rFonts w:ascii="Andalus" w:hAnsi="Andalus" w:cs="Andalus"/>
                <w:b/>
                <w:bCs/>
                <w:sz w:val="24"/>
                <w:szCs w:val="24"/>
              </w:rPr>
            </w:pPr>
            <w:r w:rsidRPr="00F27F54">
              <w:rPr>
                <w:rFonts w:ascii="Andalus" w:hAnsi="Andalus" w:cs="Andalus"/>
                <w:b/>
                <w:bCs/>
                <w:sz w:val="24"/>
                <w:szCs w:val="24"/>
              </w:rPr>
              <w:t>%</w:t>
            </w:r>
          </w:p>
        </w:tc>
      </w:tr>
      <w:tr w:rsidR="00F27F54" w:rsidRPr="00F27F54" w:rsidTr="00F27F54">
        <w:trPr>
          <w:trHeight w:val="195"/>
        </w:trPr>
        <w:tc>
          <w:tcPr>
            <w:tcW w:w="1668"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Imipenem</w:t>
            </w:r>
          </w:p>
          <w:p w:rsidR="00F27F54" w:rsidRPr="00F27F54" w:rsidRDefault="00F27F54" w:rsidP="00F27F54">
            <w:pPr>
              <w:bidi w:val="0"/>
              <w:jc w:val="center"/>
              <w:rPr>
                <w:rFonts w:ascii="Andalus" w:hAnsi="Andalus" w:cs="Andalus"/>
                <w:b/>
                <w:bCs/>
                <w:sz w:val="24"/>
                <w:szCs w:val="24"/>
              </w:rPr>
            </w:pPr>
          </w:p>
        </w:tc>
        <w:tc>
          <w:tcPr>
            <w:tcW w:w="111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684"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10</w:t>
            </w:r>
          </w:p>
        </w:tc>
        <w:tc>
          <w:tcPr>
            <w:tcW w:w="841"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30%</w:t>
            </w:r>
          </w:p>
        </w:tc>
        <w:tc>
          <w:tcPr>
            <w:tcW w:w="1753"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Moxifloxacin</w:t>
            </w:r>
          </w:p>
          <w:p w:rsidR="00F27F54" w:rsidRPr="00F27F54" w:rsidRDefault="00F27F54" w:rsidP="00F27F54">
            <w:pPr>
              <w:bidi w:val="0"/>
              <w:jc w:val="center"/>
              <w:rPr>
                <w:rFonts w:ascii="Andalus" w:hAnsi="Andalus" w:cs="Andalus"/>
                <w:b/>
                <w:bCs/>
                <w:sz w:val="24"/>
                <w:szCs w:val="24"/>
              </w:rPr>
            </w:pPr>
          </w:p>
        </w:tc>
        <w:tc>
          <w:tcPr>
            <w:tcW w:w="127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708"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00%</w:t>
            </w:r>
          </w:p>
        </w:tc>
      </w:tr>
      <w:tr w:rsidR="00F27F54" w:rsidRPr="00F27F54" w:rsidTr="00F27F54">
        <w:trPr>
          <w:trHeight w:val="255"/>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18</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55%</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25</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76%</w:t>
            </w:r>
          </w:p>
        </w:tc>
      </w:tr>
      <w:tr w:rsidR="00F27F54" w:rsidRPr="00F27F54" w:rsidTr="00F27F54">
        <w:trPr>
          <w:trHeight w:val="150"/>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5</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15%</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8</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24%</w:t>
            </w:r>
          </w:p>
        </w:tc>
      </w:tr>
      <w:tr w:rsidR="00F27F54" w:rsidRPr="00F27F54" w:rsidTr="00F27F54">
        <w:trPr>
          <w:trHeight w:val="285"/>
        </w:trPr>
        <w:tc>
          <w:tcPr>
            <w:tcW w:w="1668"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Amoxicillin / Clavulinic Acid</w:t>
            </w:r>
          </w:p>
          <w:p w:rsidR="00F27F54" w:rsidRPr="00F27F54" w:rsidRDefault="00F27F54" w:rsidP="00F27F54">
            <w:pPr>
              <w:bidi w:val="0"/>
              <w:jc w:val="center"/>
              <w:rPr>
                <w:rFonts w:ascii="Andalus" w:hAnsi="Andalus" w:cs="Andalus"/>
                <w:b/>
                <w:bCs/>
                <w:sz w:val="24"/>
                <w:szCs w:val="24"/>
              </w:rPr>
            </w:pPr>
          </w:p>
        </w:tc>
        <w:tc>
          <w:tcPr>
            <w:tcW w:w="111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684"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0</w:t>
            </w:r>
          </w:p>
        </w:tc>
        <w:tc>
          <w:tcPr>
            <w:tcW w:w="841"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00%</w:t>
            </w:r>
          </w:p>
        </w:tc>
        <w:tc>
          <w:tcPr>
            <w:tcW w:w="1753"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Gentamicin</w:t>
            </w:r>
          </w:p>
          <w:p w:rsidR="00F27F54" w:rsidRPr="00F27F54" w:rsidRDefault="00F27F54" w:rsidP="00F27F54">
            <w:pPr>
              <w:bidi w:val="0"/>
              <w:jc w:val="center"/>
              <w:rPr>
                <w:rFonts w:ascii="Andalus" w:hAnsi="Andalus" w:cs="Andalus"/>
                <w:b/>
                <w:bCs/>
                <w:sz w:val="24"/>
                <w:szCs w:val="24"/>
              </w:rPr>
            </w:pPr>
          </w:p>
        </w:tc>
        <w:tc>
          <w:tcPr>
            <w:tcW w:w="127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708"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2</w:t>
            </w:r>
          </w:p>
        </w:tc>
        <w:tc>
          <w:tcPr>
            <w:tcW w:w="709"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6%</w:t>
            </w:r>
          </w:p>
        </w:tc>
      </w:tr>
      <w:tr w:rsidR="00F27F54" w:rsidRPr="00F27F54" w:rsidTr="00F27F54">
        <w:trPr>
          <w:trHeight w:val="195"/>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33</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100%</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32</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94%</w:t>
            </w:r>
          </w:p>
        </w:tc>
      </w:tr>
      <w:tr w:rsidR="00F27F54" w:rsidRPr="00F27F54" w:rsidTr="00F27F54">
        <w:trPr>
          <w:trHeight w:val="204"/>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r>
      <w:tr w:rsidR="00F27F54" w:rsidRPr="00F27F54" w:rsidTr="00F27F54">
        <w:trPr>
          <w:trHeight w:val="255"/>
        </w:trPr>
        <w:tc>
          <w:tcPr>
            <w:tcW w:w="1668"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Ampicillin/ Sulbactam</w:t>
            </w:r>
          </w:p>
          <w:p w:rsidR="00F27F54" w:rsidRPr="00F27F54" w:rsidRDefault="00F27F54" w:rsidP="00F27F54">
            <w:pPr>
              <w:bidi w:val="0"/>
              <w:jc w:val="center"/>
              <w:rPr>
                <w:rFonts w:ascii="Andalus" w:hAnsi="Andalus" w:cs="Andalus"/>
                <w:b/>
                <w:bCs/>
                <w:sz w:val="24"/>
                <w:szCs w:val="24"/>
              </w:rPr>
            </w:pPr>
          </w:p>
        </w:tc>
        <w:tc>
          <w:tcPr>
            <w:tcW w:w="111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684"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1</w:t>
            </w:r>
          </w:p>
        </w:tc>
        <w:tc>
          <w:tcPr>
            <w:tcW w:w="841"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6%</w:t>
            </w:r>
          </w:p>
        </w:tc>
        <w:tc>
          <w:tcPr>
            <w:tcW w:w="1753"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Clindamycin</w:t>
            </w:r>
          </w:p>
          <w:p w:rsidR="00F27F54" w:rsidRPr="00F27F54" w:rsidRDefault="00F27F54" w:rsidP="00F27F54">
            <w:pPr>
              <w:bidi w:val="0"/>
              <w:jc w:val="center"/>
              <w:rPr>
                <w:rFonts w:ascii="Andalus" w:hAnsi="Andalus" w:cs="Andalus"/>
                <w:b/>
                <w:bCs/>
                <w:sz w:val="24"/>
                <w:szCs w:val="24"/>
              </w:rPr>
            </w:pPr>
          </w:p>
        </w:tc>
        <w:tc>
          <w:tcPr>
            <w:tcW w:w="127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708"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10</w:t>
            </w:r>
          </w:p>
        </w:tc>
        <w:tc>
          <w:tcPr>
            <w:tcW w:w="709"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29.5%</w:t>
            </w:r>
          </w:p>
        </w:tc>
      </w:tr>
      <w:tr w:rsidR="00F27F54" w:rsidRPr="00F27F54" w:rsidTr="00F27F54">
        <w:trPr>
          <w:trHeight w:val="180"/>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16</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94%</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24</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70.5%</w:t>
            </w:r>
          </w:p>
        </w:tc>
      </w:tr>
      <w:tr w:rsidR="00F27F54" w:rsidRPr="00F27F54" w:rsidTr="00F27F54">
        <w:trPr>
          <w:trHeight w:val="225"/>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r>
      <w:tr w:rsidR="00F27F54" w:rsidRPr="00F27F54" w:rsidTr="00F27F54">
        <w:trPr>
          <w:trHeight w:val="180"/>
        </w:trPr>
        <w:tc>
          <w:tcPr>
            <w:tcW w:w="1668"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Cefuroxime</w:t>
            </w:r>
          </w:p>
          <w:p w:rsidR="00F27F54" w:rsidRPr="00F27F54" w:rsidRDefault="00F27F54" w:rsidP="00F27F54">
            <w:pPr>
              <w:bidi w:val="0"/>
              <w:jc w:val="center"/>
              <w:rPr>
                <w:rFonts w:ascii="Andalus" w:hAnsi="Andalus" w:cs="Andalus"/>
                <w:b/>
                <w:bCs/>
                <w:sz w:val="24"/>
                <w:szCs w:val="24"/>
              </w:rPr>
            </w:pPr>
          </w:p>
        </w:tc>
        <w:tc>
          <w:tcPr>
            <w:tcW w:w="111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684"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3</w:t>
            </w:r>
          </w:p>
        </w:tc>
        <w:tc>
          <w:tcPr>
            <w:tcW w:w="841"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9%</w:t>
            </w:r>
          </w:p>
        </w:tc>
        <w:tc>
          <w:tcPr>
            <w:tcW w:w="1753"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Levofloxacin</w:t>
            </w:r>
          </w:p>
          <w:p w:rsidR="00F27F54" w:rsidRPr="00F27F54" w:rsidRDefault="00F27F54" w:rsidP="00F27F54">
            <w:pPr>
              <w:bidi w:val="0"/>
              <w:jc w:val="center"/>
              <w:rPr>
                <w:rFonts w:ascii="Andalus" w:hAnsi="Andalus" w:cs="Andalus"/>
                <w:b/>
                <w:bCs/>
                <w:sz w:val="24"/>
                <w:szCs w:val="24"/>
              </w:rPr>
            </w:pPr>
          </w:p>
        </w:tc>
        <w:tc>
          <w:tcPr>
            <w:tcW w:w="127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708"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00%</w:t>
            </w:r>
          </w:p>
        </w:tc>
      </w:tr>
      <w:tr w:rsidR="00F27F54" w:rsidRPr="00F27F54" w:rsidTr="00F27F54">
        <w:trPr>
          <w:trHeight w:val="240"/>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31</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91%</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35</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100%</w:t>
            </w:r>
          </w:p>
        </w:tc>
      </w:tr>
      <w:tr w:rsidR="00F27F54" w:rsidRPr="00F27F54" w:rsidTr="00F27F54">
        <w:trPr>
          <w:trHeight w:val="159"/>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r>
      <w:tr w:rsidR="00F27F54" w:rsidRPr="00F27F54" w:rsidTr="00F27F54">
        <w:trPr>
          <w:trHeight w:val="120"/>
        </w:trPr>
        <w:tc>
          <w:tcPr>
            <w:tcW w:w="1668"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Erythromycin</w:t>
            </w:r>
          </w:p>
          <w:p w:rsidR="00F27F54" w:rsidRPr="00F27F54" w:rsidRDefault="00F27F54" w:rsidP="00F27F54">
            <w:pPr>
              <w:bidi w:val="0"/>
              <w:jc w:val="center"/>
              <w:rPr>
                <w:rFonts w:ascii="Andalus" w:hAnsi="Andalus" w:cs="Andalus"/>
                <w:b/>
                <w:bCs/>
                <w:sz w:val="24"/>
                <w:szCs w:val="24"/>
              </w:rPr>
            </w:pPr>
          </w:p>
        </w:tc>
        <w:tc>
          <w:tcPr>
            <w:tcW w:w="111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684"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10</w:t>
            </w:r>
          </w:p>
        </w:tc>
        <w:tc>
          <w:tcPr>
            <w:tcW w:w="841"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28.5%</w:t>
            </w:r>
          </w:p>
        </w:tc>
        <w:tc>
          <w:tcPr>
            <w:tcW w:w="1753"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Trimethoprim/</w:t>
            </w:r>
          </w:p>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 xml:space="preserve">sulfamethoxazole </w:t>
            </w:r>
          </w:p>
        </w:tc>
        <w:tc>
          <w:tcPr>
            <w:tcW w:w="127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708"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35</w:t>
            </w:r>
          </w:p>
        </w:tc>
        <w:tc>
          <w:tcPr>
            <w:tcW w:w="709"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100%</w:t>
            </w:r>
          </w:p>
        </w:tc>
      </w:tr>
      <w:tr w:rsidR="00F27F54" w:rsidRPr="00F27F54" w:rsidTr="00F27F54">
        <w:trPr>
          <w:trHeight w:val="270"/>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25</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71.5%</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r>
      <w:tr w:rsidR="00F27F54" w:rsidRPr="00F27F54" w:rsidTr="00F27F54">
        <w:trPr>
          <w:trHeight w:val="129"/>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r>
      <w:tr w:rsidR="00F27F54" w:rsidRPr="00F27F54" w:rsidTr="00F27F54">
        <w:trPr>
          <w:trHeight w:val="300"/>
        </w:trPr>
        <w:tc>
          <w:tcPr>
            <w:tcW w:w="1668"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Ciprofloxacin</w:t>
            </w:r>
          </w:p>
          <w:p w:rsidR="00F27F54" w:rsidRPr="00F27F54" w:rsidRDefault="00F27F54" w:rsidP="00F27F54">
            <w:pPr>
              <w:bidi w:val="0"/>
              <w:jc w:val="center"/>
              <w:rPr>
                <w:rFonts w:ascii="Andalus" w:hAnsi="Andalus" w:cs="Andalus"/>
                <w:b/>
                <w:bCs/>
                <w:sz w:val="24"/>
                <w:szCs w:val="24"/>
              </w:rPr>
            </w:pPr>
          </w:p>
        </w:tc>
        <w:tc>
          <w:tcPr>
            <w:tcW w:w="111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684"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1</w:t>
            </w:r>
          </w:p>
        </w:tc>
        <w:tc>
          <w:tcPr>
            <w:tcW w:w="841"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3%</w:t>
            </w:r>
          </w:p>
        </w:tc>
        <w:tc>
          <w:tcPr>
            <w:tcW w:w="1753"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Linezolid</w:t>
            </w:r>
          </w:p>
          <w:p w:rsidR="00F27F54" w:rsidRPr="00F27F54" w:rsidRDefault="00F27F54" w:rsidP="00F27F54">
            <w:pPr>
              <w:bidi w:val="0"/>
              <w:jc w:val="center"/>
              <w:rPr>
                <w:rFonts w:ascii="Andalus" w:hAnsi="Andalus" w:cs="Andalus"/>
                <w:b/>
                <w:bCs/>
                <w:sz w:val="24"/>
                <w:szCs w:val="24"/>
              </w:rPr>
            </w:pPr>
          </w:p>
        </w:tc>
        <w:tc>
          <w:tcPr>
            <w:tcW w:w="127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708"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31</w:t>
            </w:r>
          </w:p>
        </w:tc>
        <w:tc>
          <w:tcPr>
            <w:tcW w:w="709"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100%</w:t>
            </w:r>
          </w:p>
        </w:tc>
      </w:tr>
      <w:tr w:rsidR="00F27F54" w:rsidRPr="00F27F54" w:rsidTr="00F27F54">
        <w:trPr>
          <w:trHeight w:val="225"/>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33</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97%</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r>
      <w:tr w:rsidR="00F27F54" w:rsidRPr="00F27F54" w:rsidTr="00F27F54">
        <w:trPr>
          <w:trHeight w:val="174"/>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11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684"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841"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c>
          <w:tcPr>
            <w:tcW w:w="1753" w:type="dxa"/>
            <w:vMerge/>
          </w:tcPr>
          <w:p w:rsidR="00F27F54" w:rsidRPr="00F27F54" w:rsidRDefault="00F27F54" w:rsidP="00F27F54">
            <w:pPr>
              <w:autoSpaceDE w:val="0"/>
              <w:autoSpaceDN w:val="0"/>
              <w:bidi w:val="0"/>
              <w:adjustRightInd w:val="0"/>
              <w:jc w:val="center"/>
              <w:rPr>
                <w:rFonts w:ascii="Andalus" w:eastAsia="Calibri" w:hAnsi="Andalus" w:cs="Andalus"/>
                <w:b/>
                <w:bC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r>
      <w:tr w:rsidR="00F27F54" w:rsidRPr="00F27F54" w:rsidTr="00F27F54">
        <w:trPr>
          <w:trHeight w:val="165"/>
        </w:trPr>
        <w:tc>
          <w:tcPr>
            <w:tcW w:w="1668"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 xml:space="preserve">Doxycycline </w:t>
            </w:r>
          </w:p>
        </w:tc>
        <w:tc>
          <w:tcPr>
            <w:tcW w:w="111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684"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2</w:t>
            </w:r>
          </w:p>
        </w:tc>
        <w:tc>
          <w:tcPr>
            <w:tcW w:w="841"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5.8%</w:t>
            </w:r>
          </w:p>
        </w:tc>
        <w:tc>
          <w:tcPr>
            <w:tcW w:w="1753" w:type="dxa"/>
            <w:vMerge w:val="restart"/>
          </w:tcPr>
          <w:p w:rsidR="00F27F54" w:rsidRPr="00F27F54" w:rsidRDefault="00F27F54" w:rsidP="00F27F54">
            <w:pPr>
              <w:bidi w:val="0"/>
              <w:jc w:val="center"/>
              <w:rPr>
                <w:rFonts w:ascii="Andalus" w:hAnsi="Andalus" w:cs="Andalus"/>
                <w:b/>
                <w:bCs/>
                <w:sz w:val="24"/>
                <w:szCs w:val="24"/>
              </w:rPr>
            </w:pPr>
            <w:r w:rsidRPr="00F27F54">
              <w:rPr>
                <w:rFonts w:ascii="Andalus" w:hAnsi="Andalus" w:cs="Andalus"/>
                <w:b/>
                <w:bCs/>
                <w:sz w:val="24"/>
                <w:szCs w:val="24"/>
              </w:rPr>
              <w:t>Vancomycin</w:t>
            </w:r>
          </w:p>
          <w:p w:rsidR="00F27F54" w:rsidRPr="00F27F54" w:rsidRDefault="00F27F54" w:rsidP="00F27F54">
            <w:pPr>
              <w:bidi w:val="0"/>
              <w:jc w:val="center"/>
              <w:rPr>
                <w:rFonts w:ascii="Andalus" w:hAnsi="Andalus" w:cs="Andalus"/>
                <w:b/>
                <w:bCs/>
                <w:sz w:val="24"/>
                <w:szCs w:val="24"/>
              </w:rPr>
            </w:pPr>
          </w:p>
        </w:tc>
        <w:tc>
          <w:tcPr>
            <w:tcW w:w="127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S</w:t>
            </w:r>
          </w:p>
        </w:tc>
        <w:tc>
          <w:tcPr>
            <w:tcW w:w="708"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35</w:t>
            </w:r>
          </w:p>
        </w:tc>
        <w:tc>
          <w:tcPr>
            <w:tcW w:w="709"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100%</w:t>
            </w:r>
          </w:p>
        </w:tc>
      </w:tr>
      <w:tr w:rsidR="00F27F54" w:rsidRPr="00F27F54" w:rsidTr="00F27F54">
        <w:trPr>
          <w:trHeight w:val="195"/>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sz w:val="24"/>
                <w:szCs w:val="24"/>
              </w:rPr>
            </w:pPr>
          </w:p>
        </w:tc>
        <w:tc>
          <w:tcPr>
            <w:tcW w:w="1116"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R</w:t>
            </w:r>
          </w:p>
        </w:tc>
        <w:tc>
          <w:tcPr>
            <w:tcW w:w="684"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31</w:t>
            </w:r>
          </w:p>
        </w:tc>
        <w:tc>
          <w:tcPr>
            <w:tcW w:w="841" w:type="dxa"/>
          </w:tcPr>
          <w:p w:rsidR="00F27F54" w:rsidRPr="00F27F54" w:rsidRDefault="00F27F54" w:rsidP="00F27F54">
            <w:pPr>
              <w:bidi w:val="0"/>
              <w:jc w:val="center"/>
              <w:rPr>
                <w:rFonts w:ascii="Andalus" w:hAnsi="Andalus" w:cs="Andalus"/>
                <w:sz w:val="24"/>
                <w:szCs w:val="24"/>
              </w:rPr>
            </w:pPr>
            <w:r w:rsidRPr="00F27F54">
              <w:rPr>
                <w:rFonts w:ascii="Andalus" w:hAnsi="Andalus" w:cs="Andalus"/>
                <w:sz w:val="24"/>
                <w:szCs w:val="24"/>
              </w:rPr>
              <w:t>91.2%</w:t>
            </w:r>
          </w:p>
        </w:tc>
        <w:tc>
          <w:tcPr>
            <w:tcW w:w="1753" w:type="dxa"/>
            <w:vMerge/>
          </w:tcPr>
          <w:p w:rsidR="00F27F54" w:rsidRPr="00F27F54" w:rsidRDefault="00F27F54" w:rsidP="00F27F54">
            <w:pPr>
              <w:autoSpaceDE w:val="0"/>
              <w:autoSpaceDN w:val="0"/>
              <w:bidi w:val="0"/>
              <w:adjustRightInd w:val="0"/>
              <w:jc w:val="both"/>
              <w:rPr>
                <w:rFonts w:ascii="Andalus" w:eastAsia="Calibri" w:hAnsi="Andalus" w:cs="Andalu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R</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r>
      <w:tr w:rsidR="00F27F54" w:rsidRPr="00F27F54" w:rsidTr="00F27F54">
        <w:trPr>
          <w:trHeight w:val="204"/>
        </w:trPr>
        <w:tc>
          <w:tcPr>
            <w:tcW w:w="1668" w:type="dxa"/>
            <w:vMerge/>
          </w:tcPr>
          <w:p w:rsidR="00F27F54" w:rsidRPr="00F27F54" w:rsidRDefault="00F27F54" w:rsidP="00F27F54">
            <w:pPr>
              <w:autoSpaceDE w:val="0"/>
              <w:autoSpaceDN w:val="0"/>
              <w:bidi w:val="0"/>
              <w:adjustRightInd w:val="0"/>
              <w:jc w:val="center"/>
              <w:rPr>
                <w:rFonts w:ascii="Andalus" w:eastAsia="Calibri" w:hAnsi="Andalus" w:cs="Andalus"/>
                <w:sz w:val="24"/>
                <w:szCs w:val="24"/>
              </w:rPr>
            </w:pPr>
          </w:p>
        </w:tc>
        <w:tc>
          <w:tcPr>
            <w:tcW w:w="1116" w:type="dxa"/>
          </w:tcPr>
          <w:p w:rsidR="00F27F54" w:rsidRPr="00F27F54" w:rsidRDefault="00F27F54" w:rsidP="00F27F54">
            <w:pPr>
              <w:jc w:val="center"/>
              <w:rPr>
                <w:rFonts w:ascii="Andalus" w:hAnsi="Andalus" w:cs="Andalus"/>
                <w:sz w:val="24"/>
                <w:szCs w:val="24"/>
              </w:rPr>
            </w:pPr>
            <w:r w:rsidRPr="00F27F54">
              <w:rPr>
                <w:rFonts w:ascii="Andalus" w:hAnsi="Andalus" w:cs="Andalus"/>
                <w:sz w:val="24"/>
                <w:szCs w:val="24"/>
              </w:rPr>
              <w:t>I</w:t>
            </w:r>
          </w:p>
        </w:tc>
        <w:tc>
          <w:tcPr>
            <w:tcW w:w="684" w:type="dxa"/>
          </w:tcPr>
          <w:p w:rsidR="00F27F54" w:rsidRPr="00F27F54" w:rsidRDefault="00F27F54" w:rsidP="00F27F54">
            <w:pPr>
              <w:jc w:val="center"/>
              <w:rPr>
                <w:rFonts w:ascii="Andalus" w:hAnsi="Andalus" w:cs="Andalus"/>
                <w:sz w:val="24"/>
                <w:szCs w:val="24"/>
              </w:rPr>
            </w:pPr>
            <w:r w:rsidRPr="00F27F54">
              <w:rPr>
                <w:rFonts w:ascii="Andalus" w:hAnsi="Andalus" w:cs="Andalus"/>
                <w:sz w:val="24"/>
                <w:szCs w:val="24"/>
              </w:rPr>
              <w:t>1</w:t>
            </w:r>
          </w:p>
        </w:tc>
        <w:tc>
          <w:tcPr>
            <w:tcW w:w="841" w:type="dxa"/>
          </w:tcPr>
          <w:p w:rsidR="00F27F54" w:rsidRPr="00F27F54" w:rsidRDefault="00F27F54" w:rsidP="00F27F54">
            <w:pPr>
              <w:jc w:val="center"/>
              <w:rPr>
                <w:rFonts w:ascii="Andalus" w:hAnsi="Andalus" w:cs="Andalus"/>
                <w:sz w:val="24"/>
                <w:szCs w:val="24"/>
              </w:rPr>
            </w:pPr>
            <w:r w:rsidRPr="00F27F54">
              <w:rPr>
                <w:rFonts w:ascii="Andalus" w:hAnsi="Andalus" w:cs="Andalus"/>
                <w:sz w:val="24"/>
                <w:szCs w:val="24"/>
              </w:rPr>
              <w:t>3%</w:t>
            </w:r>
          </w:p>
        </w:tc>
        <w:tc>
          <w:tcPr>
            <w:tcW w:w="1753" w:type="dxa"/>
            <w:vMerge/>
          </w:tcPr>
          <w:p w:rsidR="00F27F54" w:rsidRPr="00F27F54" w:rsidRDefault="00F27F54" w:rsidP="00F27F54">
            <w:pPr>
              <w:autoSpaceDE w:val="0"/>
              <w:autoSpaceDN w:val="0"/>
              <w:bidi w:val="0"/>
              <w:adjustRightInd w:val="0"/>
              <w:jc w:val="both"/>
              <w:rPr>
                <w:rFonts w:ascii="Andalus" w:eastAsia="Calibri" w:hAnsi="Andalus" w:cs="Andalus"/>
                <w:sz w:val="24"/>
                <w:szCs w:val="24"/>
              </w:rPr>
            </w:pPr>
          </w:p>
        </w:tc>
        <w:tc>
          <w:tcPr>
            <w:tcW w:w="1276"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I</w:t>
            </w:r>
          </w:p>
        </w:tc>
        <w:tc>
          <w:tcPr>
            <w:tcW w:w="708"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w:t>
            </w:r>
          </w:p>
        </w:tc>
        <w:tc>
          <w:tcPr>
            <w:tcW w:w="709" w:type="dxa"/>
          </w:tcPr>
          <w:p w:rsidR="00F27F54" w:rsidRPr="00F27F54" w:rsidRDefault="00F27F54" w:rsidP="00F27F54">
            <w:pPr>
              <w:autoSpaceDE w:val="0"/>
              <w:autoSpaceDN w:val="0"/>
              <w:bidi w:val="0"/>
              <w:adjustRightInd w:val="0"/>
              <w:jc w:val="center"/>
              <w:rPr>
                <w:rFonts w:ascii="Andalus" w:eastAsia="Calibri" w:hAnsi="Andalus" w:cs="Andalus"/>
                <w:sz w:val="24"/>
                <w:szCs w:val="24"/>
              </w:rPr>
            </w:pPr>
            <w:r w:rsidRPr="00F27F54">
              <w:rPr>
                <w:rFonts w:ascii="Andalus" w:hAnsi="Andalus" w:cs="Andalus"/>
                <w:sz w:val="24"/>
                <w:szCs w:val="24"/>
              </w:rPr>
              <w:t>00%</w:t>
            </w:r>
          </w:p>
        </w:tc>
      </w:tr>
    </w:tbl>
    <w:p w:rsidR="00F27F54" w:rsidRPr="00F27F54" w:rsidRDefault="00F27F54" w:rsidP="00F27F54">
      <w:pPr>
        <w:tabs>
          <w:tab w:val="left" w:pos="7545"/>
        </w:tabs>
        <w:bidi w:val="0"/>
        <w:rPr>
          <w:rFonts w:ascii="Times New Roman" w:eastAsia="Calibri" w:hAnsi="Times New Roman" w:cs="Times New Roman"/>
          <w:sz w:val="24"/>
          <w:szCs w:val="24"/>
        </w:rPr>
      </w:pPr>
      <w:r w:rsidRPr="00F27F54">
        <w:rPr>
          <w:rFonts w:ascii="Times New Roman" w:eastAsia="Calibri" w:hAnsi="Times New Roman" w:cs="Times New Roman"/>
          <w:sz w:val="24"/>
          <w:szCs w:val="24"/>
        </w:rPr>
        <w:tab/>
      </w:r>
    </w:p>
    <w:p w:rsidR="00B9121B" w:rsidRPr="009E1CA5" w:rsidRDefault="00F27F54" w:rsidP="00B9121B">
      <w:pPr>
        <w:autoSpaceDE w:val="0"/>
        <w:autoSpaceDN w:val="0"/>
        <w:bidi w:val="0"/>
        <w:adjustRightInd w:val="0"/>
        <w:spacing w:after="0" w:line="360" w:lineRule="auto"/>
        <w:jc w:val="both"/>
        <w:rPr>
          <w:rFonts w:ascii="Times New Roman" w:eastAsia="Calibri" w:hAnsi="Times New Roman" w:cs="Times New Roman"/>
          <w:color w:val="000000"/>
          <w:sz w:val="24"/>
          <w:szCs w:val="24"/>
        </w:rPr>
      </w:pPr>
      <w:r w:rsidRPr="009E1CA5">
        <w:rPr>
          <w:rFonts w:ascii="Times New Roman" w:eastAsia="Calibri" w:hAnsi="Times New Roman" w:cs="Times New Roman"/>
          <w:color w:val="000000"/>
          <w:sz w:val="24"/>
          <w:szCs w:val="24"/>
        </w:rPr>
        <w:t xml:space="preserve">The </w:t>
      </w:r>
      <w:commentRangeStart w:id="37"/>
      <w:r w:rsidRPr="009E1CA5">
        <w:rPr>
          <w:rFonts w:ascii="Times New Roman" w:eastAsia="Calibri" w:hAnsi="Times New Roman" w:cs="Times New Roman"/>
          <w:color w:val="000000"/>
          <w:sz w:val="24"/>
          <w:szCs w:val="24"/>
        </w:rPr>
        <w:t>table</w:t>
      </w:r>
      <w:commentRangeEnd w:id="37"/>
      <w:r w:rsidR="000861A8">
        <w:rPr>
          <w:rStyle w:val="CommentReference"/>
        </w:rPr>
        <w:commentReference w:id="37"/>
      </w:r>
      <w:r w:rsidRPr="009E1CA5">
        <w:rPr>
          <w:rFonts w:ascii="Times New Roman" w:eastAsia="Calibri" w:hAnsi="Times New Roman" w:cs="Times New Roman"/>
          <w:color w:val="000000"/>
          <w:sz w:val="24"/>
          <w:szCs w:val="24"/>
        </w:rPr>
        <w:t xml:space="preserve"> (2) showed there were no statistical significant relationship between the usage of vancomycin and linezolid age group (P value = 0.74, 0.44).</w:t>
      </w:r>
    </w:p>
    <w:p w:rsidR="00F27F54" w:rsidRPr="00F27F54" w:rsidRDefault="00F27F54" w:rsidP="00F27F54">
      <w:pPr>
        <w:tabs>
          <w:tab w:val="right" w:pos="5245"/>
          <w:tab w:val="right" w:pos="6946"/>
        </w:tabs>
        <w:bidi w:val="0"/>
        <w:spacing w:before="15" w:after="15"/>
        <w:jc w:val="both"/>
        <w:outlineLvl w:val="0"/>
        <w:rPr>
          <w:rFonts w:ascii="Times New Roman" w:eastAsia="Times New Roman" w:hAnsi="Times New Roman" w:cs="Times New Roman"/>
          <w:b/>
          <w:bCs/>
          <w:sz w:val="24"/>
          <w:szCs w:val="24"/>
        </w:rPr>
      </w:pPr>
      <w:r w:rsidRPr="00F27F54">
        <w:rPr>
          <w:rFonts w:ascii="Times New Roman" w:eastAsia="Times New Roman" w:hAnsi="Times New Roman" w:cs="Times New Roman"/>
          <w:b/>
          <w:bCs/>
          <w:sz w:val="24"/>
          <w:szCs w:val="24"/>
        </w:rPr>
        <w:t>Table</w:t>
      </w:r>
      <w:r w:rsidRPr="00F27F54">
        <w:rPr>
          <w:rFonts w:ascii="Times New Roman" w:eastAsia="Calibri" w:hAnsi="Times New Roman" w:cs="Times New Roman"/>
          <w:b/>
          <w:bCs/>
          <w:color w:val="000000"/>
          <w:sz w:val="24"/>
          <w:szCs w:val="24"/>
        </w:rPr>
        <w:t xml:space="preserve"> 2. The sensitivity pattern of vancomycin and Linezolide</w:t>
      </w:r>
      <w:bookmarkStart w:id="38" w:name="_Toc508529382"/>
      <w:bookmarkStart w:id="39" w:name="_Toc508528791"/>
      <w:bookmarkStart w:id="40" w:name="_Toc508528634"/>
      <w:bookmarkStart w:id="41" w:name="_Toc508527636"/>
      <w:bookmarkStart w:id="42" w:name="_Toc507234447"/>
      <w:bookmarkStart w:id="43" w:name="_Toc506868894"/>
      <w:bookmarkStart w:id="44" w:name="_Toc504072136"/>
      <w:bookmarkStart w:id="45" w:name="_Toc504040449"/>
      <w:r w:rsidRPr="00F27F54">
        <w:rPr>
          <w:rFonts w:ascii="Times New Roman" w:eastAsia="Calibri" w:hAnsi="Times New Roman" w:cs="Times New Roman"/>
          <w:b/>
          <w:bCs/>
          <w:color w:val="000000"/>
          <w:sz w:val="24"/>
          <w:szCs w:val="24"/>
        </w:rPr>
        <w:t>within age group</w:t>
      </w:r>
      <w:bookmarkEnd w:id="38"/>
      <w:bookmarkEnd w:id="39"/>
      <w:bookmarkEnd w:id="40"/>
      <w:bookmarkEnd w:id="41"/>
      <w:bookmarkEnd w:id="42"/>
      <w:bookmarkEnd w:id="43"/>
      <w:bookmarkEnd w:id="44"/>
      <w:bookmarkEnd w:id="45"/>
      <w:r w:rsidRPr="00F27F54">
        <w:rPr>
          <w:rFonts w:ascii="Times New Roman" w:eastAsia="Calibri" w:hAnsi="Times New Roman" w:cs="Times New Roman"/>
          <w:b/>
          <w:bCs/>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87"/>
        <w:gridCol w:w="853"/>
        <w:gridCol w:w="852"/>
        <w:gridCol w:w="850"/>
        <w:gridCol w:w="2074"/>
      </w:tblGrid>
      <w:tr w:rsidR="00F27F54" w:rsidRPr="00F27F54" w:rsidTr="00F27F54">
        <w:trPr>
          <w:cantSplit/>
        </w:trPr>
        <w:tc>
          <w:tcPr>
            <w:tcW w:w="2217"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jc w:val="center"/>
              <w:rPr>
                <w:rFonts w:ascii="Andalus" w:eastAsia="Times New Roman" w:hAnsi="Andalus" w:cs="Andalus"/>
                <w:sz w:val="24"/>
                <w:szCs w:val="24"/>
              </w:rPr>
            </w:pPr>
            <w:r w:rsidRPr="00F27F54">
              <w:rPr>
                <w:rFonts w:ascii="Andalus" w:eastAsia="Times New Roman" w:hAnsi="Andalus" w:cs="Andalus"/>
                <w:b/>
                <w:bCs/>
                <w:sz w:val="24"/>
                <w:szCs w:val="24"/>
              </w:rPr>
              <w:t>Age group</w:t>
            </w:r>
          </w:p>
        </w:tc>
        <w:tc>
          <w:tcPr>
            <w:tcW w:w="1536"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Vancomycin</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The level of</w:t>
            </w:r>
          </w:p>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b/>
                <w:bCs/>
                <w:color w:val="000000"/>
                <w:sz w:val="24"/>
                <w:szCs w:val="24"/>
              </w:rPr>
              <w:t>(P value)</w:t>
            </w:r>
          </w:p>
        </w:tc>
      </w:tr>
      <w:tr w:rsidR="00F27F54" w:rsidRPr="00F27F54" w:rsidTr="00F27F5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jc w:val="center"/>
              <w:rPr>
                <w:rFonts w:ascii="Andalus" w:eastAsia="Times New Roman" w:hAnsi="Andalus" w:cs="Andalus"/>
                <w:sz w:val="24"/>
                <w:szCs w:val="24"/>
              </w:rPr>
            </w:pPr>
          </w:p>
        </w:tc>
        <w:tc>
          <w:tcPr>
            <w:tcW w:w="51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S</w:t>
            </w:r>
          </w:p>
        </w:tc>
        <w:tc>
          <w:tcPr>
            <w:tcW w:w="512"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R</w:t>
            </w:r>
          </w:p>
        </w:tc>
        <w:tc>
          <w:tcPr>
            <w:tcW w:w="51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jc w:val="center"/>
              <w:rPr>
                <w:rFonts w:ascii="Andalus" w:eastAsia="Times New Roman" w:hAnsi="Andalus" w:cs="Andalu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1 - 15 years</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2</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p>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p>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Calibri" w:hAnsi="Andalus" w:cs="Andalus"/>
                <w:b/>
                <w:bCs/>
                <w:color w:val="000000"/>
                <w:sz w:val="24"/>
                <w:szCs w:val="24"/>
              </w:rPr>
              <w:t>0.74</w:t>
            </w: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16 - 30 years</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6</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31 - 45 years</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7</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46 - 60 years</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11</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more than 60 years</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8</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p>
        </w:tc>
        <w:tc>
          <w:tcPr>
            <w:tcW w:w="1536"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b/>
                <w:bCs/>
                <w:color w:val="000000"/>
                <w:sz w:val="24"/>
                <w:szCs w:val="24"/>
              </w:rPr>
              <w:t>linezolid</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1 - 15 years</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2</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val="restart"/>
            <w:tcBorders>
              <w:top w:val="single" w:sz="4" w:space="0" w:color="auto"/>
              <w:left w:val="single" w:sz="4" w:space="0" w:color="auto"/>
              <w:right w:val="single" w:sz="4" w:space="0" w:color="auto"/>
            </w:tcBorders>
            <w:vAlign w:val="center"/>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r w:rsidRPr="00F27F54">
              <w:rPr>
                <w:rFonts w:ascii="Andalus" w:eastAsia="Calibri" w:hAnsi="Andalus" w:cs="Andalus"/>
                <w:b/>
                <w:bCs/>
                <w:color w:val="000000"/>
                <w:sz w:val="24"/>
                <w:szCs w:val="24"/>
              </w:rPr>
              <w:t>0.44</w:t>
            </w: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16 - 30 years</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6</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right w:val="single" w:sz="4" w:space="0" w:color="auto"/>
            </w:tcBorders>
            <w:vAlign w:val="center"/>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31 - 45 years</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7</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right w:val="single" w:sz="4" w:space="0" w:color="auto"/>
            </w:tcBorders>
            <w:vAlign w:val="center"/>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46 - 60 years</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10</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right w:val="single" w:sz="4" w:space="0" w:color="auto"/>
            </w:tcBorders>
            <w:vAlign w:val="center"/>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more than 60 years</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6</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bottom w:val="single" w:sz="4" w:space="0" w:color="auto"/>
              <w:right w:val="single" w:sz="4" w:space="0" w:color="auto"/>
            </w:tcBorders>
            <w:vAlign w:val="center"/>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p>
        </w:tc>
      </w:tr>
    </w:tbl>
    <w:p w:rsidR="00F27F54" w:rsidRPr="00F27F54" w:rsidRDefault="00F27F54" w:rsidP="00F27F54">
      <w:pPr>
        <w:autoSpaceDE w:val="0"/>
        <w:autoSpaceDN w:val="0"/>
        <w:bidi w:val="0"/>
        <w:adjustRightInd w:val="0"/>
        <w:spacing w:after="0" w:line="240" w:lineRule="auto"/>
        <w:rPr>
          <w:rFonts w:ascii="Times New Roman" w:eastAsia="Times New Roman" w:hAnsi="Times New Roman" w:cs="Times New Roman"/>
          <w:sz w:val="24"/>
          <w:szCs w:val="24"/>
        </w:rPr>
      </w:pPr>
    </w:p>
    <w:p w:rsidR="00F27F54" w:rsidRPr="009E1CA5" w:rsidRDefault="00F27F54" w:rsidP="00F27F54">
      <w:pPr>
        <w:autoSpaceDE w:val="0"/>
        <w:autoSpaceDN w:val="0"/>
        <w:bidi w:val="0"/>
        <w:adjustRightInd w:val="0"/>
        <w:spacing w:after="0" w:line="360" w:lineRule="auto"/>
        <w:jc w:val="both"/>
        <w:rPr>
          <w:rFonts w:ascii="Times New Roman" w:eastAsia="Calibri" w:hAnsi="Times New Roman" w:cs="Times New Roman"/>
          <w:color w:val="000000"/>
          <w:sz w:val="24"/>
          <w:szCs w:val="24"/>
        </w:rPr>
      </w:pPr>
      <w:r w:rsidRPr="009E1CA5">
        <w:rPr>
          <w:rFonts w:ascii="Times New Roman" w:eastAsia="Calibri" w:hAnsi="Times New Roman" w:cs="Times New Roman"/>
          <w:color w:val="000000"/>
          <w:sz w:val="24"/>
          <w:szCs w:val="24"/>
        </w:rPr>
        <w:t xml:space="preserve">The </w:t>
      </w:r>
      <w:commentRangeStart w:id="46"/>
      <w:r w:rsidRPr="009E1CA5">
        <w:rPr>
          <w:rFonts w:ascii="Times New Roman" w:eastAsia="Calibri" w:hAnsi="Times New Roman" w:cs="Times New Roman"/>
          <w:color w:val="000000"/>
          <w:sz w:val="24"/>
          <w:szCs w:val="24"/>
        </w:rPr>
        <w:t>table</w:t>
      </w:r>
      <w:commentRangeEnd w:id="46"/>
      <w:r w:rsidR="000861A8">
        <w:rPr>
          <w:rStyle w:val="CommentReference"/>
        </w:rPr>
        <w:commentReference w:id="46"/>
      </w:r>
      <w:r w:rsidRPr="009E1CA5">
        <w:rPr>
          <w:rFonts w:ascii="Times New Roman" w:eastAsia="Calibri" w:hAnsi="Times New Roman" w:cs="Times New Roman"/>
          <w:color w:val="000000"/>
          <w:sz w:val="24"/>
          <w:szCs w:val="24"/>
        </w:rPr>
        <w:t xml:space="preserve"> (3) showed there were no statistical significant relationship between the sensitivity pattern of vancomycin and linezolid hospital department (</w:t>
      </w:r>
      <w:r w:rsidRPr="009E1CA5">
        <w:rPr>
          <w:rFonts w:ascii="Times New Roman" w:eastAsia="Calibri" w:hAnsi="Times New Roman" w:cs="Times New Roman"/>
          <w:i/>
          <w:iCs/>
          <w:color w:val="000000"/>
          <w:sz w:val="24"/>
          <w:szCs w:val="24"/>
        </w:rPr>
        <w:t>P-value</w:t>
      </w:r>
      <w:r w:rsidRPr="009E1CA5">
        <w:rPr>
          <w:rFonts w:ascii="Times New Roman" w:eastAsia="Calibri" w:hAnsi="Times New Roman" w:cs="Times New Roman"/>
          <w:color w:val="000000"/>
          <w:sz w:val="24"/>
          <w:szCs w:val="24"/>
        </w:rPr>
        <w:t xml:space="preserve"> = 0.63, 0.35).</w:t>
      </w:r>
    </w:p>
    <w:p w:rsidR="00F27F54" w:rsidRPr="00F27F54" w:rsidRDefault="00F27F54" w:rsidP="00F27F54">
      <w:pPr>
        <w:tabs>
          <w:tab w:val="right" w:pos="5245"/>
          <w:tab w:val="right" w:pos="6946"/>
        </w:tabs>
        <w:bidi w:val="0"/>
        <w:spacing w:before="15" w:after="15" w:line="360" w:lineRule="auto"/>
        <w:jc w:val="both"/>
        <w:outlineLvl w:val="0"/>
        <w:rPr>
          <w:rFonts w:ascii="Times New Roman" w:eastAsia="Times New Roman" w:hAnsi="Times New Roman" w:cs="Times New Roman"/>
          <w:b/>
          <w:bCs/>
          <w:sz w:val="24"/>
          <w:szCs w:val="24"/>
        </w:rPr>
      </w:pPr>
      <w:r w:rsidRPr="00F27F54">
        <w:rPr>
          <w:rFonts w:ascii="Times New Roman" w:eastAsia="Times New Roman" w:hAnsi="Times New Roman" w:cs="Times New Roman"/>
          <w:b/>
          <w:bCs/>
          <w:sz w:val="24"/>
          <w:szCs w:val="24"/>
        </w:rPr>
        <w:t>Table 3. The sensitivity pattern of vancomycin and linezolide within hospital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87"/>
        <w:gridCol w:w="853"/>
        <w:gridCol w:w="852"/>
        <w:gridCol w:w="850"/>
        <w:gridCol w:w="2074"/>
      </w:tblGrid>
      <w:tr w:rsidR="00F27F54" w:rsidRPr="00F27F54" w:rsidTr="00F27F54">
        <w:trPr>
          <w:cantSplit/>
        </w:trPr>
        <w:tc>
          <w:tcPr>
            <w:tcW w:w="2217" w:type="pct"/>
            <w:vMerge w:val="restart"/>
            <w:tcBorders>
              <w:top w:val="single" w:sz="4" w:space="0" w:color="auto"/>
              <w:left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240" w:lineRule="auto"/>
              <w:jc w:val="center"/>
              <w:rPr>
                <w:rFonts w:ascii="Andalus" w:eastAsia="Times New Roman" w:hAnsi="Andalus" w:cs="Andalus"/>
                <w:sz w:val="24"/>
                <w:szCs w:val="24"/>
              </w:rPr>
            </w:pPr>
            <w:r w:rsidRPr="00F27F54">
              <w:rPr>
                <w:rFonts w:ascii="Andalus" w:eastAsia="Times New Roman" w:hAnsi="Andalus" w:cs="Andalus"/>
                <w:b/>
                <w:bCs/>
                <w:sz w:val="24"/>
                <w:szCs w:val="24"/>
              </w:rPr>
              <w:t>Hospital Department</w:t>
            </w:r>
          </w:p>
        </w:tc>
        <w:tc>
          <w:tcPr>
            <w:tcW w:w="1536"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vancomycin</w:t>
            </w:r>
          </w:p>
        </w:tc>
        <w:tc>
          <w:tcPr>
            <w:tcW w:w="1247" w:type="pct"/>
            <w:vMerge w:val="restart"/>
            <w:tcBorders>
              <w:top w:val="single" w:sz="4" w:space="0" w:color="auto"/>
              <w:left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The level of</w:t>
            </w:r>
          </w:p>
          <w:p w:rsidR="00F27F54" w:rsidRPr="00F27F54" w:rsidRDefault="00F27F54" w:rsidP="00F27F54">
            <w:pPr>
              <w:autoSpaceDE w:val="0"/>
              <w:autoSpaceDN w:val="0"/>
              <w:bidi w:val="0"/>
              <w:adjustRightInd w:val="0"/>
              <w:spacing w:after="0"/>
              <w:ind w:right="60"/>
              <w:jc w:val="center"/>
              <w:rPr>
                <w:rFonts w:ascii="Andalus" w:eastAsia="Times New Roman" w:hAnsi="Andalus" w:cs="Andalus"/>
                <w:color w:val="000000"/>
                <w:sz w:val="24"/>
                <w:szCs w:val="24"/>
              </w:rPr>
            </w:pPr>
            <w:r w:rsidRPr="00F27F54">
              <w:rPr>
                <w:rFonts w:ascii="Andalus" w:eastAsia="Times New Roman" w:hAnsi="Andalus" w:cs="Andalus"/>
                <w:b/>
                <w:bCs/>
                <w:color w:val="000000"/>
                <w:sz w:val="24"/>
                <w:szCs w:val="24"/>
              </w:rPr>
              <w:lastRenderedPageBreak/>
              <w:t>(P value)</w:t>
            </w:r>
          </w:p>
        </w:tc>
      </w:tr>
      <w:tr w:rsidR="00F27F54" w:rsidRPr="00F27F54" w:rsidTr="00F27F54">
        <w:trPr>
          <w:cantSplit/>
          <w:trHeight w:val="375"/>
        </w:trPr>
        <w:tc>
          <w:tcPr>
            <w:tcW w:w="0" w:type="auto"/>
            <w:vMerge/>
            <w:tcBorders>
              <w:left w:val="single" w:sz="4" w:space="0" w:color="auto"/>
              <w:right w:val="single" w:sz="4" w:space="0" w:color="auto"/>
            </w:tcBorders>
            <w:vAlign w:val="center"/>
            <w:hideMark/>
          </w:tcPr>
          <w:p w:rsidR="00F27F54" w:rsidRPr="00F27F54" w:rsidRDefault="00F27F54" w:rsidP="00F27F54">
            <w:pPr>
              <w:bidi w:val="0"/>
              <w:spacing w:after="0" w:line="240" w:lineRule="auto"/>
              <w:jc w:val="center"/>
              <w:rPr>
                <w:rFonts w:ascii="Andalus" w:eastAsia="Times New Roman" w:hAnsi="Andalus" w:cs="Andalus"/>
                <w:sz w:val="24"/>
                <w:szCs w:val="24"/>
              </w:rPr>
            </w:pPr>
          </w:p>
        </w:tc>
        <w:tc>
          <w:tcPr>
            <w:tcW w:w="51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S</w:t>
            </w:r>
          </w:p>
        </w:tc>
        <w:tc>
          <w:tcPr>
            <w:tcW w:w="512"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R</w:t>
            </w:r>
          </w:p>
        </w:tc>
        <w:tc>
          <w:tcPr>
            <w:tcW w:w="51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I</w:t>
            </w:r>
          </w:p>
        </w:tc>
        <w:tc>
          <w:tcPr>
            <w:tcW w:w="0" w:type="auto"/>
            <w:vMerge/>
            <w:tcBorders>
              <w:left w:val="single" w:sz="4" w:space="0" w:color="auto"/>
              <w:right w:val="single" w:sz="4" w:space="0" w:color="auto"/>
            </w:tcBorders>
            <w:vAlign w:val="center"/>
            <w:hideMark/>
          </w:tcPr>
          <w:p w:rsidR="00F27F54" w:rsidRPr="00F27F54" w:rsidRDefault="00F27F54" w:rsidP="00F27F54">
            <w:pPr>
              <w:bidi w:val="0"/>
              <w:spacing w:after="0" w:line="240" w:lineRule="auto"/>
              <w:rPr>
                <w:rFonts w:ascii="Andalus" w:eastAsia="Times New Roman" w:hAnsi="Andalus" w:cs="Andalu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lastRenderedPageBreak/>
              <w:t>Medical department</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6</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right"/>
              <w:rPr>
                <w:rFonts w:ascii="Andalus" w:eastAsia="Times New Roman" w:hAnsi="Andalus" w:cs="Andalus"/>
                <w:color w:val="000000"/>
                <w:sz w:val="24"/>
                <w:szCs w:val="24"/>
              </w:rPr>
            </w:pPr>
          </w:p>
          <w:p w:rsidR="00F27F54" w:rsidRPr="00F27F54" w:rsidRDefault="00F27F54" w:rsidP="00F27F54">
            <w:pPr>
              <w:autoSpaceDE w:val="0"/>
              <w:autoSpaceDN w:val="0"/>
              <w:bidi w:val="0"/>
              <w:adjustRightInd w:val="0"/>
              <w:spacing w:after="0" w:line="320" w:lineRule="atLeast"/>
              <w:ind w:right="60"/>
              <w:rPr>
                <w:rFonts w:ascii="Andalus" w:eastAsia="Times New Roman" w:hAnsi="Andalus" w:cs="Andalus"/>
                <w:color w:val="000000"/>
                <w:sz w:val="24"/>
                <w:szCs w:val="24"/>
              </w:rPr>
            </w:pPr>
          </w:p>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Calibri" w:hAnsi="Andalus" w:cs="Andalus"/>
                <w:b/>
                <w:bCs/>
                <w:color w:val="000000"/>
                <w:sz w:val="24"/>
                <w:szCs w:val="24"/>
              </w:rPr>
              <w:t>0.63</w:t>
            </w: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Surgical department</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10</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ICU department</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9</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Neurological diseases</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3</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Laboratory department</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6</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b/>
                <w:bCs/>
                <w:color w:val="000000"/>
                <w:sz w:val="24"/>
                <w:szCs w:val="24"/>
              </w:rPr>
              <w:t>Hospital Department</w:t>
            </w:r>
          </w:p>
        </w:tc>
        <w:tc>
          <w:tcPr>
            <w:tcW w:w="1536"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b/>
                <w:bCs/>
                <w:color w:val="000000"/>
                <w:sz w:val="24"/>
                <w:szCs w:val="24"/>
              </w:rPr>
              <w:t>linezolid</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27F54" w:rsidRPr="00F27F54" w:rsidRDefault="00F27F54" w:rsidP="00F27F54">
            <w:pPr>
              <w:bidi w:val="0"/>
              <w:spacing w:after="0" w:line="240" w:lineRule="auto"/>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Medical department</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5</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val="restart"/>
            <w:tcBorders>
              <w:top w:val="single" w:sz="4" w:space="0" w:color="auto"/>
              <w:left w:val="single" w:sz="4" w:space="0" w:color="auto"/>
              <w:right w:val="single" w:sz="4" w:space="0" w:color="auto"/>
            </w:tcBorders>
            <w:vAlign w:val="center"/>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r w:rsidRPr="00F27F54">
              <w:rPr>
                <w:rFonts w:ascii="Andalus" w:eastAsia="Calibri" w:hAnsi="Andalus" w:cs="Andalus"/>
                <w:b/>
                <w:bCs/>
                <w:color w:val="000000"/>
                <w:sz w:val="24"/>
                <w:szCs w:val="24"/>
              </w:rPr>
              <w:t>0.3</w:t>
            </w:r>
            <w:r w:rsidRPr="00F27F54">
              <w:rPr>
                <w:rFonts w:ascii="Andalus" w:eastAsia="Times New Roman" w:hAnsi="Andalus" w:cs="Andalus"/>
                <w:b/>
                <w:bCs/>
                <w:color w:val="000000"/>
                <w:sz w:val="24"/>
                <w:szCs w:val="24"/>
              </w:rPr>
              <w:t>5</w:t>
            </w: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Surgical department</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10</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right w:val="single" w:sz="4" w:space="0" w:color="auto"/>
            </w:tcBorders>
            <w:vAlign w:val="center"/>
          </w:tcPr>
          <w:p w:rsidR="00F27F54" w:rsidRPr="00F27F54" w:rsidRDefault="00F27F54" w:rsidP="00F27F54">
            <w:pPr>
              <w:bidi w:val="0"/>
              <w:spacing w:after="0" w:line="240" w:lineRule="auto"/>
              <w:rPr>
                <w:rFonts w:ascii="Times New Roman" w:eastAsia="Times New Roman" w:hAnsi="Times New Roman" w:cs="Times New Roman"/>
                <w:b/>
                <w:bCs/>
                <w:color w:val="000000"/>
                <w:sz w:val="32"/>
                <w:szCs w:val="32"/>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ICU department</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8</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right w:val="single" w:sz="4" w:space="0" w:color="auto"/>
            </w:tcBorders>
            <w:vAlign w:val="center"/>
          </w:tcPr>
          <w:p w:rsidR="00F27F54" w:rsidRPr="00F27F54" w:rsidRDefault="00F27F54" w:rsidP="00F27F54">
            <w:pPr>
              <w:bidi w:val="0"/>
              <w:spacing w:after="0" w:line="240" w:lineRule="auto"/>
              <w:rPr>
                <w:rFonts w:ascii="Times New Roman" w:eastAsia="Times New Roman" w:hAnsi="Times New Roman" w:cs="Times New Roman"/>
                <w:b/>
                <w:bCs/>
                <w:color w:val="000000"/>
                <w:sz w:val="32"/>
                <w:szCs w:val="32"/>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Neurological diseases</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2</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right w:val="single" w:sz="4" w:space="0" w:color="auto"/>
            </w:tcBorders>
            <w:vAlign w:val="center"/>
          </w:tcPr>
          <w:p w:rsidR="00F27F54" w:rsidRPr="00F27F54" w:rsidRDefault="00F27F54" w:rsidP="00F27F54">
            <w:pPr>
              <w:bidi w:val="0"/>
              <w:spacing w:after="0" w:line="240" w:lineRule="auto"/>
              <w:rPr>
                <w:rFonts w:ascii="Times New Roman" w:eastAsia="Times New Roman" w:hAnsi="Times New Roman" w:cs="Times New Roman"/>
                <w:b/>
                <w:bCs/>
                <w:color w:val="000000"/>
                <w:sz w:val="32"/>
                <w:szCs w:val="32"/>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Laboratory department</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6</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bottom w:val="single" w:sz="4" w:space="0" w:color="auto"/>
              <w:right w:val="single" w:sz="4" w:space="0" w:color="auto"/>
            </w:tcBorders>
            <w:vAlign w:val="center"/>
          </w:tcPr>
          <w:p w:rsidR="00F27F54" w:rsidRPr="00F27F54" w:rsidRDefault="00F27F54" w:rsidP="00F27F54">
            <w:pPr>
              <w:bidi w:val="0"/>
              <w:spacing w:after="0" w:line="240" w:lineRule="auto"/>
              <w:rPr>
                <w:rFonts w:ascii="Times New Roman" w:eastAsia="Times New Roman" w:hAnsi="Times New Roman" w:cs="Times New Roman"/>
                <w:b/>
                <w:bCs/>
                <w:color w:val="000000"/>
                <w:sz w:val="32"/>
                <w:szCs w:val="32"/>
              </w:rPr>
            </w:pPr>
          </w:p>
        </w:tc>
      </w:tr>
    </w:tbl>
    <w:p w:rsidR="00F27F54" w:rsidRPr="00F27F54" w:rsidRDefault="00F27F54" w:rsidP="00F27F54">
      <w:pPr>
        <w:autoSpaceDE w:val="0"/>
        <w:autoSpaceDN w:val="0"/>
        <w:bidi w:val="0"/>
        <w:adjustRightInd w:val="0"/>
        <w:spacing w:after="0" w:line="240" w:lineRule="auto"/>
        <w:rPr>
          <w:rFonts w:ascii="Times New Roman" w:eastAsia="Times New Roman" w:hAnsi="Times New Roman" w:cs="Times New Roman"/>
          <w:sz w:val="24"/>
          <w:szCs w:val="24"/>
        </w:rPr>
      </w:pPr>
    </w:p>
    <w:p w:rsidR="00F27F54" w:rsidRDefault="00F27F54" w:rsidP="00F27F54">
      <w:pPr>
        <w:autoSpaceDE w:val="0"/>
        <w:autoSpaceDN w:val="0"/>
        <w:bidi w:val="0"/>
        <w:adjustRightInd w:val="0"/>
        <w:spacing w:after="0" w:line="480" w:lineRule="auto"/>
        <w:jc w:val="both"/>
        <w:rPr>
          <w:rFonts w:ascii="Times New Roman" w:eastAsia="Times New Roman" w:hAnsi="Times New Roman" w:cs="Times New Roman"/>
          <w:sz w:val="24"/>
          <w:szCs w:val="24"/>
        </w:rPr>
      </w:pPr>
      <w:r w:rsidRPr="00F27F54">
        <w:rPr>
          <w:rFonts w:ascii="Times New Roman" w:eastAsia="Times New Roman" w:hAnsi="Times New Roman" w:cs="Times New Roman"/>
          <w:sz w:val="24"/>
          <w:szCs w:val="24"/>
        </w:rPr>
        <w:t>Also the study findings showed that there was no statistical significant relationship between the sensitivity pattern of vancomycin and linezolide and sample type (P value= 0.80, 0.23).</w:t>
      </w:r>
    </w:p>
    <w:p w:rsidR="00F27F54" w:rsidRPr="00F27F54" w:rsidRDefault="00F27F54" w:rsidP="00F27F54">
      <w:pPr>
        <w:tabs>
          <w:tab w:val="right" w:pos="5245"/>
          <w:tab w:val="right" w:pos="6946"/>
        </w:tabs>
        <w:bidi w:val="0"/>
        <w:spacing w:before="15" w:after="15" w:line="360" w:lineRule="auto"/>
        <w:jc w:val="both"/>
        <w:outlineLvl w:val="0"/>
        <w:rPr>
          <w:rFonts w:ascii="Times New Roman" w:eastAsia="Times New Roman" w:hAnsi="Times New Roman" w:cs="Times New Roman"/>
          <w:b/>
          <w:bCs/>
          <w:sz w:val="24"/>
          <w:szCs w:val="24"/>
        </w:rPr>
      </w:pPr>
      <w:r w:rsidRPr="00F27F54">
        <w:rPr>
          <w:rFonts w:ascii="Times New Roman" w:eastAsia="Times New Roman" w:hAnsi="Times New Roman" w:cs="Times New Roman"/>
          <w:b/>
          <w:bCs/>
          <w:sz w:val="24"/>
          <w:szCs w:val="24"/>
        </w:rPr>
        <w:t>Table 3. The sensitivity pattern of vancomycin and linezolide within sample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87"/>
        <w:gridCol w:w="853"/>
        <w:gridCol w:w="852"/>
        <w:gridCol w:w="850"/>
        <w:gridCol w:w="2074"/>
      </w:tblGrid>
      <w:tr w:rsidR="00F27F54" w:rsidRPr="00F27F54" w:rsidTr="00F27F54">
        <w:trPr>
          <w:cantSplit/>
        </w:trPr>
        <w:tc>
          <w:tcPr>
            <w:tcW w:w="2217"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240" w:lineRule="auto"/>
              <w:jc w:val="center"/>
              <w:rPr>
                <w:rFonts w:ascii="Andalus" w:eastAsia="Times New Roman" w:hAnsi="Andalus" w:cs="Andalus"/>
                <w:sz w:val="24"/>
                <w:szCs w:val="24"/>
              </w:rPr>
            </w:pPr>
            <w:r w:rsidRPr="00F27F54">
              <w:rPr>
                <w:rFonts w:ascii="Andalus" w:eastAsia="Times New Roman" w:hAnsi="Andalus" w:cs="Andalus"/>
                <w:b/>
                <w:bCs/>
                <w:sz w:val="24"/>
                <w:szCs w:val="24"/>
              </w:rPr>
              <w:t>Sample Type</w:t>
            </w:r>
          </w:p>
        </w:tc>
        <w:tc>
          <w:tcPr>
            <w:tcW w:w="1536"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Vancomycin</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Times New Roman" w:eastAsia="Times New Roman" w:hAnsi="Times New Roman" w:cs="Times New Roman"/>
                <w:i/>
                <w:iCs/>
                <w:color w:val="000000"/>
                <w:sz w:val="28"/>
                <w:szCs w:val="28"/>
              </w:rPr>
            </w:pPr>
            <w:r w:rsidRPr="00F27F54">
              <w:rPr>
                <w:rFonts w:ascii="Times New Roman" w:eastAsia="Times New Roman" w:hAnsi="Times New Roman" w:cs="Times New Roman"/>
                <w:b/>
                <w:bCs/>
                <w:i/>
                <w:iCs/>
                <w:color w:val="000000"/>
                <w:sz w:val="28"/>
                <w:szCs w:val="28"/>
              </w:rPr>
              <w:t>P-value</w:t>
            </w:r>
          </w:p>
        </w:tc>
      </w:tr>
      <w:tr w:rsidR="00F27F54" w:rsidRPr="00F27F54" w:rsidTr="00F27F5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jc w:val="center"/>
              <w:rPr>
                <w:rFonts w:ascii="Andalus" w:eastAsia="Times New Roman" w:hAnsi="Andalus" w:cs="Andalus"/>
                <w:sz w:val="24"/>
                <w:szCs w:val="24"/>
              </w:rPr>
            </w:pPr>
          </w:p>
        </w:tc>
        <w:tc>
          <w:tcPr>
            <w:tcW w:w="51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S</w:t>
            </w:r>
          </w:p>
        </w:tc>
        <w:tc>
          <w:tcPr>
            <w:tcW w:w="512"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R</w:t>
            </w:r>
          </w:p>
        </w:tc>
        <w:tc>
          <w:tcPr>
            <w:tcW w:w="51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Times New Roman" w:hAnsi="Andalus" w:cs="Andalus"/>
                <w:b/>
                <w:bCs/>
                <w:color w:val="000000"/>
                <w:sz w:val="24"/>
                <w:szCs w:val="24"/>
              </w:rPr>
              <w:t>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rPr>
                <w:rFonts w:ascii="Times New Roman" w:eastAsia="Times New Roman" w:hAnsi="Times New Roman" w:cs="Times New Roman"/>
                <w:color w:val="000000"/>
                <w:sz w:val="28"/>
                <w:szCs w:val="28"/>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Sputum culture</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17</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1247" w:type="pct"/>
            <w:vMerge w:val="restar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right"/>
              <w:rPr>
                <w:rFonts w:ascii="Andalus" w:eastAsia="Times New Roman" w:hAnsi="Andalus" w:cs="Andalus"/>
                <w:color w:val="000000"/>
                <w:sz w:val="24"/>
                <w:szCs w:val="24"/>
              </w:rPr>
            </w:pPr>
          </w:p>
          <w:p w:rsidR="00F27F54" w:rsidRPr="00F27F54" w:rsidRDefault="00F27F54" w:rsidP="00F27F54">
            <w:pPr>
              <w:autoSpaceDE w:val="0"/>
              <w:autoSpaceDN w:val="0"/>
              <w:bidi w:val="0"/>
              <w:adjustRightInd w:val="0"/>
              <w:spacing w:after="0" w:line="320" w:lineRule="atLeast"/>
              <w:ind w:right="60"/>
              <w:rPr>
                <w:rFonts w:ascii="Andalus" w:eastAsia="Times New Roman" w:hAnsi="Andalus" w:cs="Andalus"/>
                <w:color w:val="000000"/>
                <w:sz w:val="24"/>
                <w:szCs w:val="24"/>
              </w:rPr>
            </w:pPr>
          </w:p>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b/>
                <w:bCs/>
                <w:color w:val="000000"/>
                <w:sz w:val="24"/>
                <w:szCs w:val="24"/>
              </w:rPr>
            </w:pPr>
            <w:r w:rsidRPr="00F27F54">
              <w:rPr>
                <w:rFonts w:ascii="Andalus" w:eastAsia="Calibri" w:hAnsi="Andalus" w:cs="Andalus"/>
                <w:b/>
                <w:bCs/>
                <w:color w:val="000000"/>
                <w:sz w:val="24"/>
                <w:szCs w:val="24"/>
              </w:rPr>
              <w:t>0.80</w:t>
            </w: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Blood culture</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2</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Pus for culture</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3</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wound swab for culture</w:t>
            </w:r>
          </w:p>
        </w:tc>
        <w:tc>
          <w:tcPr>
            <w:tcW w:w="513"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12</w:t>
            </w:r>
          </w:p>
        </w:tc>
        <w:tc>
          <w:tcPr>
            <w:tcW w:w="512"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hideMark/>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7F54" w:rsidRPr="00F27F54" w:rsidRDefault="00F27F54" w:rsidP="00F27F54">
            <w:pPr>
              <w:bidi w:val="0"/>
              <w:spacing w:after="0" w:line="240" w:lineRule="auto"/>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p>
        </w:tc>
        <w:tc>
          <w:tcPr>
            <w:tcW w:w="1536"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b/>
                <w:bCs/>
                <w:color w:val="000000"/>
                <w:sz w:val="24"/>
                <w:szCs w:val="24"/>
              </w:rPr>
              <w:t>linezolid</w:t>
            </w:r>
          </w:p>
        </w:tc>
        <w:tc>
          <w:tcPr>
            <w:tcW w:w="0" w:type="auto"/>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27F54" w:rsidRPr="00F27F54" w:rsidRDefault="00F27F54" w:rsidP="00F27F54">
            <w:pPr>
              <w:bidi w:val="0"/>
              <w:spacing w:after="0" w:line="240" w:lineRule="auto"/>
              <w:rPr>
                <w:rFonts w:ascii="Andalus" w:eastAsia="Times New Roman" w:hAnsi="Andalus" w:cs="Andalus"/>
                <w:b/>
                <w:bCs/>
                <w:color w:val="000000"/>
                <w:sz w:val="24"/>
                <w:szCs w:val="24"/>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Sputum culture</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14</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val="restart"/>
            <w:tcBorders>
              <w:top w:val="single" w:sz="4" w:space="0" w:color="auto"/>
              <w:left w:val="single" w:sz="4" w:space="0" w:color="auto"/>
              <w:right w:val="single" w:sz="4" w:space="0" w:color="auto"/>
            </w:tcBorders>
            <w:vAlign w:val="center"/>
          </w:tcPr>
          <w:p w:rsidR="00F27F54" w:rsidRPr="00F27F54" w:rsidRDefault="00F27F54" w:rsidP="00F27F54">
            <w:pPr>
              <w:bidi w:val="0"/>
              <w:spacing w:after="0" w:line="240" w:lineRule="auto"/>
              <w:jc w:val="center"/>
              <w:rPr>
                <w:rFonts w:ascii="Andalus" w:eastAsia="Times New Roman" w:hAnsi="Andalus" w:cs="Andalus"/>
                <w:b/>
                <w:bCs/>
                <w:color w:val="000000"/>
                <w:sz w:val="24"/>
                <w:szCs w:val="24"/>
              </w:rPr>
            </w:pPr>
            <w:r w:rsidRPr="00F27F54">
              <w:rPr>
                <w:rFonts w:ascii="Andalus" w:eastAsia="Calibri" w:hAnsi="Andalus" w:cs="Andalus"/>
                <w:b/>
                <w:bCs/>
                <w:color w:val="000000"/>
                <w:sz w:val="24"/>
                <w:szCs w:val="24"/>
              </w:rPr>
              <w:t>0.23</w:t>
            </w: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Blood culture</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2</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right w:val="single" w:sz="4" w:space="0" w:color="auto"/>
            </w:tcBorders>
            <w:vAlign w:val="center"/>
          </w:tcPr>
          <w:p w:rsidR="00F27F54" w:rsidRPr="00F27F54" w:rsidRDefault="00F27F54" w:rsidP="00F27F54">
            <w:pPr>
              <w:bidi w:val="0"/>
              <w:spacing w:after="0" w:line="240" w:lineRule="auto"/>
              <w:rPr>
                <w:rFonts w:ascii="Times New Roman" w:eastAsia="Times New Roman" w:hAnsi="Times New Roman" w:cs="Times New Roman"/>
                <w:b/>
                <w:bCs/>
                <w:color w:val="000000"/>
                <w:sz w:val="32"/>
                <w:szCs w:val="32"/>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Pus for culture</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3</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right w:val="single" w:sz="4" w:space="0" w:color="auto"/>
            </w:tcBorders>
            <w:vAlign w:val="center"/>
          </w:tcPr>
          <w:p w:rsidR="00F27F54" w:rsidRPr="00F27F54" w:rsidRDefault="00F27F54" w:rsidP="00F27F54">
            <w:pPr>
              <w:bidi w:val="0"/>
              <w:spacing w:after="0" w:line="240" w:lineRule="auto"/>
              <w:rPr>
                <w:rFonts w:ascii="Times New Roman" w:eastAsia="Times New Roman" w:hAnsi="Times New Roman" w:cs="Times New Roman"/>
                <w:b/>
                <w:bCs/>
                <w:color w:val="000000"/>
                <w:sz w:val="32"/>
                <w:szCs w:val="32"/>
              </w:rPr>
            </w:pPr>
          </w:p>
        </w:tc>
      </w:tr>
      <w:tr w:rsidR="00F27F54" w:rsidRPr="00F27F54" w:rsidTr="00F27F54">
        <w:trPr>
          <w:cantSplit/>
        </w:trPr>
        <w:tc>
          <w:tcPr>
            <w:tcW w:w="2217" w:type="pct"/>
            <w:tcBorders>
              <w:top w:val="single" w:sz="4" w:space="0" w:color="auto"/>
              <w:left w:val="single" w:sz="4" w:space="0" w:color="auto"/>
              <w:bottom w:val="single" w:sz="4" w:space="0" w:color="auto"/>
              <w:right w:val="single" w:sz="4" w:space="0" w:color="auto"/>
            </w:tcBorders>
            <w:shd w:val="clear" w:color="auto" w:fill="FFFFFF"/>
            <w:vAlign w:val="center"/>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Wound swab for culture</w:t>
            </w:r>
          </w:p>
        </w:tc>
        <w:tc>
          <w:tcPr>
            <w:tcW w:w="513"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12</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F27F54" w:rsidRPr="00F27F54" w:rsidRDefault="00F27F54" w:rsidP="00F27F54">
            <w:pPr>
              <w:autoSpaceDE w:val="0"/>
              <w:autoSpaceDN w:val="0"/>
              <w:bidi w:val="0"/>
              <w:adjustRightInd w:val="0"/>
              <w:spacing w:after="0" w:line="320" w:lineRule="atLeast"/>
              <w:ind w:right="60"/>
              <w:jc w:val="center"/>
              <w:rPr>
                <w:rFonts w:ascii="Andalus" w:eastAsia="Times New Roman" w:hAnsi="Andalus" w:cs="Andalus"/>
                <w:color w:val="000000"/>
                <w:sz w:val="24"/>
                <w:szCs w:val="24"/>
              </w:rPr>
            </w:pPr>
            <w:r w:rsidRPr="00F27F54">
              <w:rPr>
                <w:rFonts w:ascii="Andalus" w:eastAsia="Times New Roman" w:hAnsi="Andalus" w:cs="Andalus"/>
                <w:color w:val="000000"/>
                <w:sz w:val="24"/>
                <w:szCs w:val="24"/>
              </w:rPr>
              <w:t>0</w:t>
            </w:r>
          </w:p>
        </w:tc>
        <w:tc>
          <w:tcPr>
            <w:tcW w:w="0" w:type="auto"/>
            <w:vMerge/>
            <w:tcBorders>
              <w:left w:val="single" w:sz="4" w:space="0" w:color="auto"/>
              <w:bottom w:val="single" w:sz="4" w:space="0" w:color="auto"/>
              <w:right w:val="single" w:sz="4" w:space="0" w:color="auto"/>
            </w:tcBorders>
            <w:vAlign w:val="center"/>
          </w:tcPr>
          <w:p w:rsidR="00F27F54" w:rsidRPr="00F27F54" w:rsidRDefault="00F27F54" w:rsidP="00F27F54">
            <w:pPr>
              <w:bidi w:val="0"/>
              <w:spacing w:after="0" w:line="240" w:lineRule="auto"/>
              <w:rPr>
                <w:rFonts w:ascii="Times New Roman" w:eastAsia="Times New Roman" w:hAnsi="Times New Roman" w:cs="Times New Roman"/>
                <w:b/>
                <w:bCs/>
                <w:color w:val="000000"/>
                <w:sz w:val="32"/>
                <w:szCs w:val="32"/>
              </w:rPr>
            </w:pPr>
          </w:p>
        </w:tc>
      </w:tr>
    </w:tbl>
    <w:p w:rsidR="00F73390" w:rsidRDefault="00F73390" w:rsidP="005566AC">
      <w:pPr>
        <w:autoSpaceDE w:val="0"/>
        <w:autoSpaceDN w:val="0"/>
        <w:bidi w:val="0"/>
        <w:adjustRightInd w:val="0"/>
        <w:spacing w:after="0" w:line="360" w:lineRule="auto"/>
        <w:jc w:val="both"/>
        <w:rPr>
          <w:rFonts w:asciiTheme="majorBidi" w:hAnsiTheme="majorBidi" w:cstheme="majorBidi"/>
          <w:b/>
          <w:bCs/>
          <w:color w:val="000000"/>
          <w:sz w:val="28"/>
          <w:szCs w:val="28"/>
        </w:rPr>
      </w:pPr>
    </w:p>
    <w:p w:rsidR="005566AC" w:rsidRPr="00F504FF" w:rsidRDefault="005566AC" w:rsidP="00F73390">
      <w:pPr>
        <w:autoSpaceDE w:val="0"/>
        <w:autoSpaceDN w:val="0"/>
        <w:bidi w:val="0"/>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4. </w:t>
      </w:r>
      <w:r w:rsidRPr="00F504FF">
        <w:rPr>
          <w:rFonts w:asciiTheme="majorBidi" w:hAnsiTheme="majorBidi" w:cstheme="majorBidi"/>
          <w:b/>
          <w:bCs/>
          <w:color w:val="000000"/>
          <w:sz w:val="28"/>
          <w:szCs w:val="28"/>
        </w:rPr>
        <w:t>Discussion</w:t>
      </w:r>
      <w:r>
        <w:rPr>
          <w:rFonts w:asciiTheme="majorBidi" w:hAnsiTheme="majorBidi" w:cstheme="majorBidi"/>
          <w:b/>
          <w:bCs/>
          <w:color w:val="000000"/>
          <w:sz w:val="28"/>
          <w:szCs w:val="28"/>
        </w:rPr>
        <w:t>:</w:t>
      </w:r>
    </w:p>
    <w:p w:rsidR="005566AC" w:rsidRPr="001119F3" w:rsidRDefault="003121EC" w:rsidP="0046556D">
      <w:pPr>
        <w:autoSpaceDE w:val="0"/>
        <w:autoSpaceDN w:val="0"/>
        <w:bidi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Recently, the</w:t>
      </w:r>
      <w:r w:rsidRPr="003121EC">
        <w:rPr>
          <w:rFonts w:asciiTheme="majorBidi" w:hAnsiTheme="majorBidi" w:cstheme="majorBidi"/>
          <w:color w:val="000000"/>
          <w:sz w:val="24"/>
          <w:szCs w:val="24"/>
        </w:rPr>
        <w:t xml:space="preserve"> </w:t>
      </w:r>
      <w:commentRangeStart w:id="47"/>
      <w:r w:rsidRPr="003121EC">
        <w:rPr>
          <w:rFonts w:asciiTheme="majorBidi" w:hAnsiTheme="majorBidi" w:cstheme="majorBidi"/>
          <w:color w:val="000000"/>
          <w:sz w:val="24"/>
          <w:szCs w:val="24"/>
        </w:rPr>
        <w:t xml:space="preserve">prevalence of MRSA hassteadily increased </w:t>
      </w:r>
      <w:r>
        <w:rPr>
          <w:rFonts w:asciiTheme="majorBidi" w:hAnsiTheme="majorBidi" w:cstheme="majorBidi"/>
          <w:color w:val="000000"/>
          <w:sz w:val="24"/>
          <w:szCs w:val="24"/>
        </w:rPr>
        <w:t>w</w:t>
      </w:r>
      <w:r w:rsidRPr="003121EC">
        <w:rPr>
          <w:rFonts w:asciiTheme="majorBidi" w:hAnsiTheme="majorBidi" w:cstheme="majorBidi"/>
          <w:color w:val="000000"/>
          <w:sz w:val="24"/>
          <w:szCs w:val="24"/>
        </w:rPr>
        <w:t xml:space="preserve">orldwide </w:t>
      </w:r>
      <w:r w:rsidRPr="003121EC">
        <w:rPr>
          <w:rFonts w:asciiTheme="majorBidi" w:hAnsiTheme="majorBidi" w:cstheme="majorBidi"/>
          <w:b/>
          <w:bCs/>
          <w:color w:val="000000"/>
          <w:sz w:val="24"/>
          <w:szCs w:val="24"/>
          <w:vertAlign w:val="superscript"/>
        </w:rPr>
        <w:t>(4)</w:t>
      </w:r>
      <w:r>
        <w:rPr>
          <w:rFonts w:asciiTheme="majorBidi" w:hAnsiTheme="majorBidi" w:cstheme="majorBidi"/>
          <w:color w:val="000000"/>
          <w:sz w:val="24"/>
          <w:szCs w:val="24"/>
        </w:rPr>
        <w:t xml:space="preserve">. In addition, the </w:t>
      </w:r>
      <w:r w:rsidR="005566AC" w:rsidRPr="00F21411">
        <w:rPr>
          <w:rFonts w:asciiTheme="majorBidi" w:hAnsiTheme="majorBidi" w:cstheme="majorBidi"/>
          <w:color w:val="000000"/>
          <w:sz w:val="24"/>
          <w:szCs w:val="24"/>
        </w:rPr>
        <w:t>antim</w:t>
      </w:r>
      <w:r w:rsidR="00FE0138">
        <w:rPr>
          <w:rFonts w:asciiTheme="majorBidi" w:hAnsiTheme="majorBidi" w:cstheme="majorBidi"/>
          <w:color w:val="000000"/>
          <w:sz w:val="24"/>
          <w:szCs w:val="24"/>
        </w:rPr>
        <w:t xml:space="preserve">icrobial susceptibility pattern </w:t>
      </w:r>
      <w:r w:rsidR="00FE0138" w:rsidRPr="00FE0138">
        <w:rPr>
          <w:rFonts w:asciiTheme="majorBidi" w:hAnsiTheme="majorBidi" w:cstheme="majorBidi"/>
          <w:color w:val="000000"/>
          <w:sz w:val="24"/>
          <w:szCs w:val="24"/>
        </w:rPr>
        <w:t>of MRSA strains</w:t>
      </w:r>
      <w:r w:rsidR="00FE0138">
        <w:rPr>
          <w:rFonts w:asciiTheme="majorBidi" w:hAnsiTheme="majorBidi" w:cstheme="majorBidi"/>
          <w:color w:val="000000"/>
          <w:sz w:val="24"/>
          <w:szCs w:val="24"/>
        </w:rPr>
        <w:t xml:space="preserve"> should be </w:t>
      </w:r>
      <w:r w:rsidR="00FE0138" w:rsidRPr="00FE0138">
        <w:rPr>
          <w:rFonts w:asciiTheme="majorBidi" w:hAnsiTheme="majorBidi" w:cstheme="majorBidi"/>
          <w:color w:val="000000"/>
          <w:sz w:val="24"/>
          <w:szCs w:val="24"/>
        </w:rPr>
        <w:t>described</w:t>
      </w:r>
      <w:r w:rsidR="005566AC">
        <w:rPr>
          <w:rFonts w:asciiTheme="majorBidi" w:hAnsiTheme="majorBidi" w:cstheme="majorBidi"/>
          <w:color w:val="000000"/>
          <w:sz w:val="24"/>
          <w:szCs w:val="24"/>
        </w:rPr>
        <w:t xml:space="preserve">. In </w:t>
      </w:r>
      <w:commentRangeStart w:id="48"/>
      <w:r w:rsidR="005566AC">
        <w:rPr>
          <w:rFonts w:asciiTheme="majorBidi" w:hAnsiTheme="majorBidi" w:cstheme="majorBidi"/>
          <w:color w:val="000000"/>
          <w:sz w:val="24"/>
          <w:szCs w:val="24"/>
        </w:rPr>
        <w:t>our</w:t>
      </w:r>
      <w:commentRangeEnd w:id="48"/>
      <w:r w:rsidR="0019491F">
        <w:rPr>
          <w:rStyle w:val="CommentReference"/>
        </w:rPr>
        <w:commentReference w:id="48"/>
      </w:r>
      <w:r w:rsidR="005566AC">
        <w:rPr>
          <w:rFonts w:asciiTheme="majorBidi" w:hAnsiTheme="majorBidi" w:cstheme="majorBidi"/>
          <w:color w:val="000000"/>
          <w:sz w:val="24"/>
          <w:szCs w:val="24"/>
        </w:rPr>
        <w:t xml:space="preserve"> study, most </w:t>
      </w:r>
      <w:r w:rsidR="005566AC" w:rsidRPr="00F21411">
        <w:rPr>
          <w:rFonts w:asciiTheme="majorBidi" w:hAnsiTheme="majorBidi" w:cstheme="majorBidi"/>
          <w:i/>
          <w:iCs/>
          <w:color w:val="000000"/>
          <w:sz w:val="24"/>
          <w:szCs w:val="24"/>
        </w:rPr>
        <w:t xml:space="preserve">S. aureus </w:t>
      </w:r>
      <w:r w:rsidR="005566AC" w:rsidRPr="00F21411">
        <w:rPr>
          <w:rFonts w:asciiTheme="majorBidi" w:hAnsiTheme="majorBidi" w:cstheme="majorBidi"/>
          <w:color w:val="000000"/>
          <w:sz w:val="24"/>
          <w:szCs w:val="24"/>
        </w:rPr>
        <w:t>strains (</w:t>
      </w:r>
      <w:r w:rsidR="005566AC">
        <w:rPr>
          <w:rFonts w:asciiTheme="majorBidi" w:hAnsiTheme="majorBidi" w:cstheme="majorBidi"/>
          <w:color w:val="000000"/>
          <w:sz w:val="24"/>
          <w:szCs w:val="24"/>
        </w:rPr>
        <w:t>n=81</w:t>
      </w:r>
      <w:r w:rsidR="005566AC">
        <w:rPr>
          <w:rFonts w:asciiTheme="majorBidi" w:hAnsiTheme="majorBidi" w:cstheme="majorBidi" w:hint="cs"/>
          <w:color w:val="000000"/>
          <w:sz w:val="24"/>
          <w:szCs w:val="24"/>
          <w:rtl/>
          <w:lang w:bidi="ar-EG"/>
        </w:rPr>
        <w:t>/</w:t>
      </w:r>
      <w:r w:rsidR="005566AC">
        <w:rPr>
          <w:rFonts w:asciiTheme="majorBidi" w:hAnsiTheme="majorBidi" w:cstheme="majorBidi"/>
          <w:color w:val="000000"/>
          <w:sz w:val="24"/>
          <w:szCs w:val="24"/>
          <w:lang w:bidi="ar-EG"/>
        </w:rPr>
        <w:t xml:space="preserve">199; </w:t>
      </w:r>
      <w:r w:rsidR="005566AC">
        <w:rPr>
          <w:rFonts w:asciiTheme="majorBidi" w:hAnsiTheme="majorBidi" w:cstheme="majorBidi"/>
          <w:color w:val="000000"/>
          <w:sz w:val="24"/>
          <w:szCs w:val="24"/>
        </w:rPr>
        <w:t>40.7</w:t>
      </w:r>
      <w:r w:rsidR="005566AC" w:rsidRPr="00F21411">
        <w:rPr>
          <w:rFonts w:asciiTheme="majorBidi" w:hAnsiTheme="majorBidi" w:cstheme="majorBidi"/>
          <w:color w:val="000000"/>
          <w:sz w:val="24"/>
          <w:szCs w:val="24"/>
        </w:rPr>
        <w:t xml:space="preserve">%) were isolated from pus </w:t>
      </w:r>
      <w:commentRangeStart w:id="49"/>
      <w:r w:rsidR="005566AC" w:rsidRPr="00F21411">
        <w:rPr>
          <w:rFonts w:asciiTheme="majorBidi" w:hAnsiTheme="majorBidi" w:cstheme="majorBidi"/>
          <w:color w:val="000000"/>
          <w:sz w:val="24"/>
          <w:szCs w:val="24"/>
        </w:rPr>
        <w:t xml:space="preserve">specimen.This is </w:t>
      </w:r>
      <w:commentRangeEnd w:id="49"/>
      <w:r w:rsidR="000861A8">
        <w:rPr>
          <w:rStyle w:val="CommentReference"/>
        </w:rPr>
        <w:commentReference w:id="49"/>
      </w:r>
      <w:r w:rsidR="005566AC" w:rsidRPr="00F21411">
        <w:rPr>
          <w:rFonts w:asciiTheme="majorBidi" w:hAnsiTheme="majorBidi" w:cstheme="majorBidi"/>
          <w:color w:val="000000"/>
          <w:sz w:val="24"/>
          <w:szCs w:val="24"/>
        </w:rPr>
        <w:t xml:space="preserve">consistent with a previous study done </w:t>
      </w:r>
      <w:r w:rsidR="0046556D" w:rsidRPr="0046556D">
        <w:rPr>
          <w:rFonts w:asciiTheme="majorBidi" w:hAnsiTheme="majorBidi" w:cstheme="majorBidi"/>
          <w:color w:val="000000"/>
          <w:sz w:val="24"/>
          <w:szCs w:val="24"/>
        </w:rPr>
        <w:t>in Nairobi</w:t>
      </w:r>
      <w:r w:rsidR="00403550" w:rsidRPr="00403550">
        <w:rPr>
          <w:rFonts w:asciiTheme="majorBidi" w:hAnsiTheme="majorBidi" w:cstheme="majorBidi"/>
          <w:b/>
          <w:bCs/>
          <w:color w:val="000000"/>
          <w:sz w:val="24"/>
          <w:szCs w:val="24"/>
          <w:vertAlign w:val="superscript"/>
        </w:rPr>
        <w:t>(1</w:t>
      </w:r>
      <w:r w:rsidR="005007C5">
        <w:rPr>
          <w:rFonts w:asciiTheme="majorBidi" w:hAnsiTheme="majorBidi" w:cstheme="majorBidi"/>
          <w:b/>
          <w:bCs/>
          <w:color w:val="000000"/>
          <w:sz w:val="24"/>
          <w:szCs w:val="24"/>
          <w:vertAlign w:val="superscript"/>
        </w:rPr>
        <w:t>0</w:t>
      </w:r>
      <w:r w:rsidR="00403550" w:rsidRPr="00403550">
        <w:rPr>
          <w:rFonts w:asciiTheme="majorBidi" w:hAnsiTheme="majorBidi" w:cstheme="majorBidi"/>
          <w:b/>
          <w:bCs/>
          <w:color w:val="000000"/>
          <w:sz w:val="24"/>
          <w:szCs w:val="24"/>
          <w:vertAlign w:val="superscript"/>
        </w:rPr>
        <w:t>)</w:t>
      </w:r>
      <w:r w:rsidR="00403550">
        <w:rPr>
          <w:rFonts w:asciiTheme="majorBidi" w:hAnsiTheme="majorBidi" w:cstheme="majorBidi"/>
          <w:color w:val="000000"/>
          <w:sz w:val="24"/>
          <w:szCs w:val="24"/>
        </w:rPr>
        <w:t xml:space="preserve">. </w:t>
      </w:r>
      <w:r w:rsidR="005566AC" w:rsidRPr="00F21411">
        <w:rPr>
          <w:rFonts w:asciiTheme="majorBidi" w:hAnsiTheme="majorBidi" w:cstheme="majorBidi"/>
          <w:color w:val="000000"/>
          <w:sz w:val="24"/>
          <w:szCs w:val="24"/>
        </w:rPr>
        <w:t>In a study done to determine t</w:t>
      </w:r>
      <w:r w:rsidR="005566AC">
        <w:rPr>
          <w:rFonts w:asciiTheme="majorBidi" w:hAnsiTheme="majorBidi" w:cstheme="majorBidi"/>
          <w:color w:val="000000"/>
          <w:sz w:val="24"/>
          <w:szCs w:val="24"/>
        </w:rPr>
        <w:t xml:space="preserve">he antimicrobial susceptibility </w:t>
      </w:r>
      <w:r w:rsidR="005566AC" w:rsidRPr="00F21411">
        <w:rPr>
          <w:rFonts w:asciiTheme="majorBidi" w:hAnsiTheme="majorBidi" w:cstheme="majorBidi"/>
          <w:color w:val="000000"/>
          <w:sz w:val="24"/>
          <w:szCs w:val="24"/>
        </w:rPr>
        <w:t xml:space="preserve">pattern of </w:t>
      </w:r>
      <w:r w:rsidR="005566AC" w:rsidRPr="00F21411">
        <w:rPr>
          <w:rFonts w:asciiTheme="majorBidi" w:hAnsiTheme="majorBidi" w:cstheme="majorBidi"/>
          <w:i/>
          <w:iCs/>
          <w:color w:val="000000"/>
          <w:sz w:val="24"/>
          <w:szCs w:val="24"/>
        </w:rPr>
        <w:t xml:space="preserve">S. aureus </w:t>
      </w:r>
      <w:r w:rsidR="005566AC" w:rsidRPr="00F21411">
        <w:rPr>
          <w:rFonts w:asciiTheme="majorBidi" w:hAnsiTheme="majorBidi" w:cstheme="majorBidi"/>
          <w:color w:val="000000"/>
          <w:sz w:val="24"/>
          <w:szCs w:val="24"/>
        </w:rPr>
        <w:t>str</w:t>
      </w:r>
      <w:r w:rsidR="005566AC">
        <w:rPr>
          <w:rFonts w:asciiTheme="majorBidi" w:hAnsiTheme="majorBidi" w:cstheme="majorBidi"/>
          <w:color w:val="000000"/>
          <w:sz w:val="24"/>
          <w:szCs w:val="24"/>
        </w:rPr>
        <w:t xml:space="preserve">ains isolated from hospitalized </w:t>
      </w:r>
      <w:r w:rsidR="005566AC" w:rsidRPr="00F21411">
        <w:rPr>
          <w:rFonts w:asciiTheme="majorBidi" w:hAnsiTheme="majorBidi" w:cstheme="majorBidi"/>
          <w:color w:val="000000"/>
          <w:sz w:val="24"/>
          <w:szCs w:val="24"/>
        </w:rPr>
        <w:t xml:space="preserve">patients in Iran, most </w:t>
      </w:r>
      <w:r w:rsidR="005566AC">
        <w:rPr>
          <w:rFonts w:asciiTheme="majorBidi" w:hAnsiTheme="majorBidi" w:cstheme="majorBidi"/>
          <w:color w:val="000000"/>
          <w:sz w:val="24"/>
          <w:szCs w:val="24"/>
        </w:rPr>
        <w:t xml:space="preserve">of the isolates were from blood </w:t>
      </w:r>
      <w:r w:rsidR="005566AC" w:rsidRPr="00F21411">
        <w:rPr>
          <w:rFonts w:asciiTheme="majorBidi" w:hAnsiTheme="majorBidi" w:cstheme="majorBidi"/>
          <w:color w:val="000000"/>
          <w:sz w:val="24"/>
          <w:szCs w:val="24"/>
        </w:rPr>
        <w:t>specimens (29%)</w:t>
      </w:r>
      <w:r w:rsidR="00403550" w:rsidRPr="00403550">
        <w:rPr>
          <w:rFonts w:asciiTheme="majorBidi" w:hAnsiTheme="majorBidi" w:cstheme="majorBidi"/>
          <w:b/>
          <w:bCs/>
          <w:color w:val="000000"/>
          <w:sz w:val="24"/>
          <w:szCs w:val="24"/>
          <w:vertAlign w:val="superscript"/>
        </w:rPr>
        <w:t>(1</w:t>
      </w:r>
      <w:r w:rsidR="00DB68DC">
        <w:rPr>
          <w:rFonts w:asciiTheme="majorBidi" w:hAnsiTheme="majorBidi" w:cstheme="majorBidi"/>
          <w:b/>
          <w:bCs/>
          <w:color w:val="000000"/>
          <w:sz w:val="24"/>
          <w:szCs w:val="24"/>
          <w:vertAlign w:val="superscript"/>
        </w:rPr>
        <w:t>1</w:t>
      </w:r>
      <w:r w:rsidR="00403550" w:rsidRPr="00403550">
        <w:rPr>
          <w:rFonts w:asciiTheme="majorBidi" w:hAnsiTheme="majorBidi" w:cstheme="majorBidi"/>
          <w:b/>
          <w:bCs/>
          <w:color w:val="000000"/>
          <w:sz w:val="24"/>
          <w:szCs w:val="24"/>
          <w:vertAlign w:val="superscript"/>
        </w:rPr>
        <w:t>)</w:t>
      </w:r>
      <w:r w:rsidR="005566AC" w:rsidRPr="00F21411">
        <w:rPr>
          <w:rFonts w:asciiTheme="majorBidi" w:hAnsiTheme="majorBidi" w:cstheme="majorBidi"/>
          <w:color w:val="000000"/>
          <w:sz w:val="24"/>
          <w:szCs w:val="24"/>
        </w:rPr>
        <w:t>. Anot</w:t>
      </w:r>
      <w:r w:rsidR="005566AC">
        <w:rPr>
          <w:rFonts w:asciiTheme="majorBidi" w:hAnsiTheme="majorBidi" w:cstheme="majorBidi"/>
          <w:color w:val="000000"/>
          <w:sz w:val="24"/>
          <w:szCs w:val="24"/>
        </w:rPr>
        <w:t xml:space="preserve">her study done on prevalence </w:t>
      </w:r>
      <w:r w:rsidR="005566AC" w:rsidRPr="00F21411">
        <w:rPr>
          <w:rFonts w:asciiTheme="majorBidi" w:hAnsiTheme="majorBidi" w:cstheme="majorBidi"/>
          <w:color w:val="000000"/>
          <w:sz w:val="24"/>
          <w:szCs w:val="24"/>
        </w:rPr>
        <w:t xml:space="preserve">and antibiotic susceptibility pattern of </w:t>
      </w:r>
      <w:r w:rsidR="005566AC" w:rsidRPr="00F21411">
        <w:rPr>
          <w:rFonts w:asciiTheme="majorBidi" w:hAnsiTheme="majorBidi" w:cstheme="majorBidi"/>
          <w:i/>
          <w:iCs/>
          <w:color w:val="000000"/>
          <w:sz w:val="24"/>
          <w:szCs w:val="24"/>
        </w:rPr>
        <w:t xml:space="preserve">S. aureus </w:t>
      </w:r>
      <w:r w:rsidR="005566AC">
        <w:rPr>
          <w:rFonts w:asciiTheme="majorBidi" w:hAnsiTheme="majorBidi" w:cstheme="majorBidi"/>
          <w:color w:val="000000"/>
          <w:sz w:val="24"/>
          <w:szCs w:val="24"/>
        </w:rPr>
        <w:t xml:space="preserve">from </w:t>
      </w:r>
      <w:r w:rsidR="005566AC" w:rsidRPr="00F21411">
        <w:rPr>
          <w:rFonts w:asciiTheme="majorBidi" w:hAnsiTheme="majorBidi" w:cstheme="majorBidi"/>
          <w:color w:val="000000"/>
          <w:sz w:val="24"/>
          <w:szCs w:val="24"/>
        </w:rPr>
        <w:t xml:space="preserve">clinical isolates </w:t>
      </w:r>
      <w:commentRangeEnd w:id="47"/>
      <w:r w:rsidR="00020C3B">
        <w:rPr>
          <w:rStyle w:val="CommentReference"/>
        </w:rPr>
        <w:commentReference w:id="47"/>
      </w:r>
      <w:r w:rsidR="005566AC" w:rsidRPr="00F21411">
        <w:rPr>
          <w:rFonts w:asciiTheme="majorBidi" w:hAnsiTheme="majorBidi" w:cstheme="majorBidi"/>
          <w:color w:val="000000"/>
          <w:sz w:val="24"/>
          <w:szCs w:val="24"/>
        </w:rPr>
        <w:t>in Nigeria sh</w:t>
      </w:r>
      <w:r w:rsidR="005566AC">
        <w:rPr>
          <w:rFonts w:asciiTheme="majorBidi" w:hAnsiTheme="majorBidi" w:cstheme="majorBidi"/>
          <w:color w:val="000000"/>
          <w:sz w:val="24"/>
          <w:szCs w:val="24"/>
        </w:rPr>
        <w:t xml:space="preserve">owed a majority of the isolates </w:t>
      </w:r>
      <w:r w:rsidR="005566AC" w:rsidRPr="00F21411">
        <w:rPr>
          <w:rFonts w:asciiTheme="majorBidi" w:hAnsiTheme="majorBidi" w:cstheme="majorBidi"/>
          <w:color w:val="000000"/>
          <w:sz w:val="24"/>
          <w:szCs w:val="24"/>
        </w:rPr>
        <w:t xml:space="preserve">were from urine specimens (76%) </w:t>
      </w:r>
      <w:r w:rsidR="00F80625" w:rsidRPr="00F80625">
        <w:rPr>
          <w:rFonts w:asciiTheme="majorBidi" w:hAnsiTheme="majorBidi" w:cstheme="majorBidi"/>
          <w:b/>
          <w:bCs/>
          <w:color w:val="000000"/>
          <w:sz w:val="24"/>
          <w:szCs w:val="24"/>
          <w:vertAlign w:val="superscript"/>
        </w:rPr>
        <w:t>(1</w:t>
      </w:r>
      <w:r w:rsidR="000F19DD">
        <w:rPr>
          <w:rFonts w:asciiTheme="majorBidi" w:hAnsiTheme="majorBidi" w:cstheme="majorBidi"/>
          <w:b/>
          <w:bCs/>
          <w:color w:val="000000"/>
          <w:sz w:val="24"/>
          <w:szCs w:val="24"/>
          <w:vertAlign w:val="superscript"/>
        </w:rPr>
        <w:t>2</w:t>
      </w:r>
      <w:r w:rsidR="00F80625" w:rsidRPr="00F80625">
        <w:rPr>
          <w:rFonts w:asciiTheme="majorBidi" w:hAnsiTheme="majorBidi" w:cstheme="majorBidi"/>
          <w:b/>
          <w:bCs/>
          <w:color w:val="000000"/>
          <w:sz w:val="24"/>
          <w:szCs w:val="24"/>
          <w:vertAlign w:val="superscript"/>
        </w:rPr>
        <w:t>)</w:t>
      </w:r>
      <w:r w:rsidR="00F80625">
        <w:rPr>
          <w:rFonts w:asciiTheme="majorBidi" w:hAnsiTheme="majorBidi" w:cstheme="majorBidi"/>
          <w:color w:val="000000"/>
          <w:sz w:val="24"/>
          <w:szCs w:val="24"/>
        </w:rPr>
        <w:t>.</w:t>
      </w:r>
      <w:r w:rsidR="005566AC" w:rsidRPr="001119F3">
        <w:rPr>
          <w:rFonts w:asciiTheme="majorBidi" w:hAnsiTheme="majorBidi" w:cstheme="majorBidi"/>
          <w:color w:val="000000"/>
          <w:sz w:val="24"/>
          <w:szCs w:val="24"/>
        </w:rPr>
        <w:t xml:space="preserve">The high number of </w:t>
      </w:r>
      <w:r w:rsidR="005566AC" w:rsidRPr="001119F3">
        <w:rPr>
          <w:rFonts w:asciiTheme="majorBidi" w:hAnsiTheme="majorBidi" w:cstheme="majorBidi"/>
          <w:i/>
          <w:iCs/>
          <w:color w:val="000000"/>
          <w:sz w:val="24"/>
          <w:szCs w:val="24"/>
        </w:rPr>
        <w:t xml:space="preserve">S. aureus </w:t>
      </w:r>
      <w:r w:rsidR="005566AC" w:rsidRPr="001119F3">
        <w:rPr>
          <w:rFonts w:asciiTheme="majorBidi" w:hAnsiTheme="majorBidi" w:cstheme="majorBidi"/>
          <w:color w:val="000000"/>
          <w:sz w:val="24"/>
          <w:szCs w:val="24"/>
        </w:rPr>
        <w:t xml:space="preserve">isolated in pus may be </w:t>
      </w:r>
      <w:r w:rsidR="005566AC" w:rsidRPr="001119F3">
        <w:rPr>
          <w:rFonts w:asciiTheme="majorBidi" w:hAnsiTheme="majorBidi" w:cstheme="majorBidi"/>
          <w:color w:val="000000"/>
          <w:sz w:val="24"/>
          <w:szCs w:val="24"/>
        </w:rPr>
        <w:lastRenderedPageBreak/>
        <w:t>attributed to exposure of wounds which makes them more prone to infections and poor hygiene.</w:t>
      </w:r>
    </w:p>
    <w:p w:rsidR="005566AC" w:rsidRDefault="0046556D" w:rsidP="00F17970">
      <w:pPr>
        <w:autoSpaceDE w:val="0"/>
        <w:autoSpaceDN w:val="0"/>
        <w:bidi w:val="0"/>
        <w:adjustRightInd w:val="0"/>
        <w:spacing w:after="0" w:line="360" w:lineRule="auto"/>
        <w:jc w:val="both"/>
        <w:rPr>
          <w:rFonts w:ascii="WarnockPro-Regular" w:cs="WarnockPro-Regular"/>
          <w:color w:val="0000FF"/>
          <w:sz w:val="20"/>
          <w:szCs w:val="20"/>
        </w:rPr>
      </w:pPr>
      <w:r>
        <w:rPr>
          <w:rFonts w:asciiTheme="majorBidi" w:hAnsiTheme="majorBidi" w:cstheme="majorBidi"/>
          <w:sz w:val="24"/>
          <w:szCs w:val="24"/>
        </w:rPr>
        <w:t>In this study, o</w:t>
      </w:r>
      <w:r w:rsidR="005566AC" w:rsidRPr="001119F3">
        <w:rPr>
          <w:rFonts w:asciiTheme="majorBidi" w:hAnsiTheme="majorBidi" w:cstheme="majorBidi"/>
          <w:sz w:val="24"/>
          <w:szCs w:val="24"/>
        </w:rPr>
        <w:t xml:space="preserve">verall MRSA prevalence was </w:t>
      </w:r>
      <w:r w:rsidR="005566AC">
        <w:rPr>
          <w:rFonts w:asciiTheme="majorBidi" w:hAnsiTheme="majorBidi" w:cstheme="majorBidi"/>
          <w:sz w:val="24"/>
          <w:szCs w:val="24"/>
        </w:rPr>
        <w:t xml:space="preserve">17.6 </w:t>
      </w:r>
      <w:r w:rsidR="005566AC" w:rsidRPr="001119F3">
        <w:rPr>
          <w:rFonts w:asciiTheme="majorBidi" w:hAnsiTheme="majorBidi" w:cstheme="majorBidi"/>
          <w:sz w:val="24"/>
          <w:szCs w:val="24"/>
        </w:rPr>
        <w:t>%</w:t>
      </w:r>
      <w:r w:rsidR="005566AC">
        <w:rPr>
          <w:rFonts w:asciiTheme="majorBidi" w:hAnsiTheme="majorBidi" w:cstheme="majorBidi"/>
          <w:sz w:val="24"/>
          <w:szCs w:val="24"/>
        </w:rPr>
        <w:t xml:space="preserve"> (n=35</w:t>
      </w:r>
      <w:r w:rsidR="005566AC">
        <w:rPr>
          <w:rFonts w:asciiTheme="majorBidi" w:hAnsiTheme="majorBidi" w:cstheme="majorBidi" w:hint="cs"/>
          <w:sz w:val="24"/>
          <w:szCs w:val="24"/>
          <w:rtl/>
          <w:lang w:bidi="ar-EG"/>
        </w:rPr>
        <w:t>/</w:t>
      </w:r>
      <w:r w:rsidR="005566AC">
        <w:rPr>
          <w:rFonts w:asciiTheme="majorBidi" w:hAnsiTheme="majorBidi" w:cstheme="majorBidi"/>
          <w:sz w:val="24"/>
          <w:szCs w:val="24"/>
          <w:lang w:bidi="ar-EG"/>
        </w:rPr>
        <w:t>199; 17.6)</w:t>
      </w:r>
      <w:r w:rsidR="005566AC" w:rsidRPr="001119F3">
        <w:rPr>
          <w:rFonts w:asciiTheme="majorBidi" w:hAnsiTheme="majorBidi" w:cstheme="majorBidi"/>
          <w:sz w:val="24"/>
          <w:szCs w:val="24"/>
        </w:rPr>
        <w:t xml:space="preserve">. This prevalence was lower than in previous studies that reported </w:t>
      </w:r>
      <w:r w:rsidR="005566AC" w:rsidRPr="001119F3">
        <w:rPr>
          <w:rFonts w:asciiTheme="majorBidi" w:hAnsiTheme="majorBidi" w:cstheme="majorBidi"/>
          <w:color w:val="000000"/>
          <w:sz w:val="24"/>
          <w:szCs w:val="24"/>
        </w:rPr>
        <w:t xml:space="preserve">31.5% </w:t>
      </w:r>
      <w:r w:rsidR="00F80625" w:rsidRPr="00850924">
        <w:rPr>
          <w:rFonts w:asciiTheme="majorBidi" w:hAnsiTheme="majorBidi" w:cstheme="majorBidi"/>
          <w:b/>
          <w:bCs/>
          <w:color w:val="000000"/>
          <w:sz w:val="24"/>
          <w:szCs w:val="24"/>
          <w:vertAlign w:val="superscript"/>
        </w:rPr>
        <w:t>(1</w:t>
      </w:r>
      <w:r w:rsidR="000F19DD">
        <w:rPr>
          <w:rFonts w:asciiTheme="majorBidi" w:hAnsiTheme="majorBidi" w:cstheme="majorBidi"/>
          <w:b/>
          <w:bCs/>
          <w:color w:val="000000"/>
          <w:sz w:val="24"/>
          <w:szCs w:val="24"/>
          <w:vertAlign w:val="superscript"/>
        </w:rPr>
        <w:t>3</w:t>
      </w:r>
      <w:r w:rsidR="00F80625" w:rsidRPr="00850924">
        <w:rPr>
          <w:rFonts w:asciiTheme="majorBidi" w:hAnsiTheme="majorBidi" w:cstheme="majorBidi"/>
          <w:b/>
          <w:bCs/>
          <w:color w:val="000000"/>
          <w:sz w:val="24"/>
          <w:szCs w:val="24"/>
          <w:vertAlign w:val="superscript"/>
        </w:rPr>
        <w:t>)</w:t>
      </w:r>
      <w:r w:rsidR="001F70CE" w:rsidRPr="00850924">
        <w:rPr>
          <w:rFonts w:asciiTheme="majorBidi" w:hAnsiTheme="majorBidi" w:cstheme="majorBidi"/>
          <w:color w:val="000000"/>
          <w:sz w:val="24"/>
          <w:szCs w:val="24"/>
        </w:rPr>
        <w:t xml:space="preserve"> and 46.3% </w:t>
      </w:r>
      <w:r w:rsidR="001F70CE" w:rsidRPr="00850924">
        <w:rPr>
          <w:rFonts w:asciiTheme="majorBidi" w:hAnsiTheme="majorBidi" w:cstheme="majorBidi"/>
          <w:b/>
          <w:bCs/>
          <w:color w:val="000000"/>
          <w:sz w:val="24"/>
          <w:szCs w:val="24"/>
          <w:vertAlign w:val="superscript"/>
        </w:rPr>
        <w:t>(1</w:t>
      </w:r>
      <w:r w:rsidR="000F19DD">
        <w:rPr>
          <w:rFonts w:asciiTheme="majorBidi" w:hAnsiTheme="majorBidi" w:cstheme="majorBidi"/>
          <w:b/>
          <w:bCs/>
          <w:color w:val="000000"/>
          <w:sz w:val="24"/>
          <w:szCs w:val="24"/>
          <w:vertAlign w:val="superscript"/>
        </w:rPr>
        <w:t>4</w:t>
      </w:r>
      <w:r w:rsidR="001F70CE" w:rsidRPr="00850924">
        <w:rPr>
          <w:rFonts w:asciiTheme="majorBidi" w:hAnsiTheme="majorBidi" w:cstheme="majorBidi"/>
          <w:b/>
          <w:bCs/>
          <w:color w:val="000000"/>
          <w:sz w:val="24"/>
          <w:szCs w:val="24"/>
          <w:vertAlign w:val="superscript"/>
        </w:rPr>
        <w:t>)</w:t>
      </w:r>
      <w:r w:rsidR="005566AC" w:rsidRPr="00850924">
        <w:rPr>
          <w:rFonts w:asciiTheme="majorBidi" w:hAnsiTheme="majorBidi" w:cstheme="majorBidi"/>
          <w:color w:val="000000"/>
          <w:sz w:val="24"/>
          <w:szCs w:val="24"/>
        </w:rPr>
        <w:t>.</w:t>
      </w:r>
    </w:p>
    <w:p w:rsidR="005566AC" w:rsidRDefault="005566AC" w:rsidP="00EE2D7C">
      <w:pPr>
        <w:autoSpaceDE w:val="0"/>
        <w:autoSpaceDN w:val="0"/>
        <w:bidi w:val="0"/>
        <w:adjustRightInd w:val="0"/>
        <w:spacing w:after="0" w:line="360" w:lineRule="auto"/>
        <w:jc w:val="both"/>
        <w:rPr>
          <w:rFonts w:asciiTheme="majorBidi" w:hAnsiTheme="majorBidi" w:cstheme="majorBidi"/>
          <w:color w:val="000000"/>
          <w:sz w:val="24"/>
          <w:szCs w:val="24"/>
        </w:rPr>
      </w:pPr>
      <w:r w:rsidRPr="003C71C3">
        <w:rPr>
          <w:rFonts w:asciiTheme="majorBidi" w:hAnsiTheme="majorBidi" w:cstheme="majorBidi"/>
          <w:color w:val="000000"/>
          <w:sz w:val="24"/>
          <w:szCs w:val="24"/>
        </w:rPr>
        <w:t xml:space="preserve">This difference could </w:t>
      </w:r>
      <w:r w:rsidR="00EA49C6">
        <w:rPr>
          <w:rFonts w:asciiTheme="majorBidi" w:hAnsiTheme="majorBidi" w:cstheme="majorBidi"/>
          <w:color w:val="000000"/>
          <w:sz w:val="24"/>
          <w:szCs w:val="24"/>
        </w:rPr>
        <w:t xml:space="preserve">be due </w:t>
      </w:r>
      <w:r w:rsidRPr="003C71C3">
        <w:rPr>
          <w:rFonts w:asciiTheme="majorBidi" w:hAnsiTheme="majorBidi" w:cstheme="majorBidi"/>
          <w:color w:val="000000"/>
          <w:sz w:val="24"/>
          <w:szCs w:val="24"/>
        </w:rPr>
        <w:t xml:space="preserve">to </w:t>
      </w:r>
      <w:r w:rsidR="005D01BE">
        <w:rPr>
          <w:rFonts w:asciiTheme="majorBidi" w:hAnsiTheme="majorBidi" w:cstheme="majorBidi"/>
          <w:color w:val="000000"/>
          <w:sz w:val="24"/>
          <w:szCs w:val="24"/>
        </w:rPr>
        <w:t xml:space="preserve">various </w:t>
      </w:r>
      <w:r w:rsidRPr="003C71C3">
        <w:rPr>
          <w:rFonts w:asciiTheme="majorBidi" w:hAnsiTheme="majorBidi" w:cstheme="majorBidi"/>
          <w:color w:val="000000"/>
          <w:sz w:val="24"/>
          <w:szCs w:val="24"/>
        </w:rPr>
        <w:t xml:space="preserve">interventions during the study period such as infection control and </w:t>
      </w:r>
      <w:r w:rsidR="00660768">
        <w:rPr>
          <w:rFonts w:asciiTheme="majorBidi" w:hAnsiTheme="majorBidi" w:cstheme="majorBidi"/>
          <w:color w:val="000000"/>
          <w:sz w:val="24"/>
          <w:szCs w:val="24"/>
        </w:rPr>
        <w:t>appropriate antibiotic us</w:t>
      </w:r>
      <w:r w:rsidR="00EE2D7C">
        <w:rPr>
          <w:rFonts w:asciiTheme="majorBidi" w:hAnsiTheme="majorBidi" w:cstheme="majorBidi"/>
          <w:color w:val="000000"/>
          <w:sz w:val="24"/>
          <w:szCs w:val="24"/>
        </w:rPr>
        <w:t>age</w:t>
      </w:r>
      <w:r w:rsidR="001F70CE" w:rsidRPr="001F70CE">
        <w:rPr>
          <w:rFonts w:asciiTheme="majorBidi" w:hAnsiTheme="majorBidi" w:cstheme="majorBidi"/>
          <w:b/>
          <w:bCs/>
          <w:color w:val="000000"/>
          <w:sz w:val="24"/>
          <w:szCs w:val="24"/>
          <w:vertAlign w:val="superscript"/>
        </w:rPr>
        <w:t>(1</w:t>
      </w:r>
      <w:r w:rsidR="00413D63">
        <w:rPr>
          <w:rFonts w:asciiTheme="majorBidi" w:hAnsiTheme="majorBidi" w:cstheme="majorBidi"/>
          <w:b/>
          <w:bCs/>
          <w:color w:val="000000"/>
          <w:sz w:val="24"/>
          <w:szCs w:val="24"/>
          <w:vertAlign w:val="superscript"/>
        </w:rPr>
        <w:t>4</w:t>
      </w:r>
      <w:r w:rsidR="001F70CE" w:rsidRPr="001F70CE">
        <w:rPr>
          <w:rFonts w:asciiTheme="majorBidi" w:hAnsiTheme="majorBidi" w:cstheme="majorBidi"/>
          <w:b/>
          <w:bCs/>
          <w:color w:val="000000"/>
          <w:sz w:val="24"/>
          <w:szCs w:val="24"/>
          <w:vertAlign w:val="superscript"/>
        </w:rPr>
        <w:t>, 1</w:t>
      </w:r>
      <w:r w:rsidR="00413D63">
        <w:rPr>
          <w:rFonts w:asciiTheme="majorBidi" w:hAnsiTheme="majorBidi" w:cstheme="majorBidi"/>
          <w:b/>
          <w:bCs/>
          <w:color w:val="000000"/>
          <w:sz w:val="24"/>
          <w:szCs w:val="24"/>
          <w:vertAlign w:val="superscript"/>
        </w:rPr>
        <w:t>5</w:t>
      </w:r>
      <w:r w:rsidR="001F70CE" w:rsidRPr="001F70CE">
        <w:rPr>
          <w:rFonts w:asciiTheme="majorBidi" w:hAnsiTheme="majorBidi" w:cstheme="majorBidi"/>
          <w:b/>
          <w:bCs/>
          <w:color w:val="000000"/>
          <w:sz w:val="24"/>
          <w:szCs w:val="24"/>
          <w:vertAlign w:val="superscript"/>
        </w:rPr>
        <w:t>)</w:t>
      </w:r>
      <w:r w:rsidR="001F70CE">
        <w:rPr>
          <w:rFonts w:asciiTheme="majorBidi" w:hAnsiTheme="majorBidi" w:cstheme="majorBidi"/>
          <w:color w:val="000000"/>
          <w:sz w:val="24"/>
          <w:szCs w:val="24"/>
        </w:rPr>
        <w:t>.</w:t>
      </w:r>
    </w:p>
    <w:p w:rsidR="005566AC" w:rsidRPr="008E2AC4" w:rsidRDefault="005566AC" w:rsidP="00937EED">
      <w:pPr>
        <w:autoSpaceDE w:val="0"/>
        <w:autoSpaceDN w:val="0"/>
        <w:bidi w:val="0"/>
        <w:adjustRightInd w:val="0"/>
        <w:spacing w:after="0" w:line="360" w:lineRule="auto"/>
        <w:jc w:val="both"/>
        <w:rPr>
          <w:rFonts w:asciiTheme="majorBidi" w:hAnsiTheme="majorBidi" w:cstheme="majorBidi"/>
          <w:color w:val="000000"/>
          <w:sz w:val="24"/>
          <w:szCs w:val="24"/>
        </w:rPr>
      </w:pPr>
      <w:commentRangeStart w:id="50"/>
      <w:r>
        <w:rPr>
          <w:rFonts w:asciiTheme="majorBidi" w:hAnsiTheme="majorBidi" w:cstheme="majorBidi"/>
          <w:color w:val="000000"/>
          <w:sz w:val="24"/>
          <w:szCs w:val="24"/>
        </w:rPr>
        <w:t xml:space="preserve">Also </w:t>
      </w:r>
      <w:r w:rsidRPr="00087BB3">
        <w:rPr>
          <w:rFonts w:asciiTheme="majorBidi" w:hAnsiTheme="majorBidi" w:cstheme="majorBidi"/>
          <w:color w:val="000000"/>
          <w:sz w:val="24"/>
          <w:szCs w:val="24"/>
        </w:rPr>
        <w:t xml:space="preserve">MRSA prevalence was </w:t>
      </w:r>
      <w:r>
        <w:rPr>
          <w:rFonts w:asciiTheme="majorBidi" w:hAnsiTheme="majorBidi" w:cstheme="majorBidi"/>
          <w:color w:val="000000"/>
          <w:sz w:val="24"/>
          <w:szCs w:val="24"/>
        </w:rPr>
        <w:t>higher</w:t>
      </w:r>
      <w:r w:rsidRPr="00087BB3">
        <w:rPr>
          <w:rFonts w:asciiTheme="majorBidi" w:hAnsiTheme="majorBidi" w:cstheme="majorBidi"/>
          <w:color w:val="000000"/>
          <w:sz w:val="24"/>
          <w:szCs w:val="24"/>
        </w:rPr>
        <w:t xml:space="preserve"> in studies done in two private hospitals in Nairobi, Kenya, which showed a 3.8% prevalence</w:t>
      </w:r>
      <w:r w:rsidR="008E2AC4" w:rsidRPr="008E2AC4">
        <w:rPr>
          <w:rFonts w:asciiTheme="majorBidi" w:hAnsiTheme="majorBidi" w:cstheme="majorBidi"/>
          <w:b/>
          <w:bCs/>
          <w:color w:val="000000"/>
          <w:sz w:val="24"/>
          <w:szCs w:val="24"/>
          <w:vertAlign w:val="superscript"/>
        </w:rPr>
        <w:t>(</w:t>
      </w:r>
      <w:r w:rsidR="00413D63">
        <w:rPr>
          <w:rFonts w:asciiTheme="majorBidi" w:hAnsiTheme="majorBidi" w:cstheme="majorBidi"/>
          <w:b/>
          <w:bCs/>
          <w:color w:val="000000"/>
          <w:sz w:val="24"/>
          <w:szCs w:val="24"/>
          <w:vertAlign w:val="superscript"/>
        </w:rPr>
        <w:t>16</w:t>
      </w:r>
      <w:r w:rsidR="008E2AC4" w:rsidRPr="008E2AC4">
        <w:rPr>
          <w:rFonts w:asciiTheme="majorBidi" w:hAnsiTheme="majorBidi" w:cstheme="majorBidi"/>
          <w:b/>
          <w:bCs/>
          <w:color w:val="000000"/>
          <w:sz w:val="24"/>
          <w:szCs w:val="24"/>
          <w:vertAlign w:val="superscript"/>
        </w:rPr>
        <w:t>)</w:t>
      </w:r>
      <w:r w:rsidR="008E2AC4">
        <w:rPr>
          <w:rFonts w:asciiTheme="majorBidi" w:hAnsiTheme="majorBidi" w:cstheme="majorBidi"/>
          <w:color w:val="000000"/>
          <w:sz w:val="24"/>
          <w:szCs w:val="24"/>
        </w:rPr>
        <w:t xml:space="preserve">. </w:t>
      </w:r>
      <w:r>
        <w:rPr>
          <w:rFonts w:asciiTheme="majorBidi" w:hAnsiTheme="majorBidi" w:cstheme="majorBidi"/>
          <w:color w:val="000000"/>
          <w:sz w:val="24"/>
          <w:szCs w:val="24"/>
        </w:rPr>
        <w:t>In addition,</w:t>
      </w:r>
      <w:r w:rsidRPr="00087BB3">
        <w:rPr>
          <w:rFonts w:asciiTheme="majorBidi" w:hAnsiTheme="majorBidi" w:cstheme="majorBidi"/>
          <w:color w:val="000000"/>
          <w:sz w:val="24"/>
          <w:szCs w:val="24"/>
        </w:rPr>
        <w:t xml:space="preserve"> a study in Eritrea </w:t>
      </w:r>
      <w:r w:rsidR="00692467">
        <w:rPr>
          <w:rFonts w:asciiTheme="majorBidi" w:hAnsiTheme="majorBidi" w:cstheme="majorBidi"/>
          <w:color w:val="000000"/>
          <w:sz w:val="24"/>
          <w:szCs w:val="24"/>
        </w:rPr>
        <w:t>reported</w:t>
      </w:r>
      <w:r w:rsidRPr="00087BB3">
        <w:rPr>
          <w:rFonts w:asciiTheme="majorBidi" w:hAnsiTheme="majorBidi" w:cstheme="majorBidi"/>
          <w:color w:val="000000"/>
          <w:sz w:val="24"/>
          <w:szCs w:val="24"/>
        </w:rPr>
        <w:t xml:space="preserve"> 0.03</w:t>
      </w:r>
      <w:r w:rsidR="00333A0C">
        <w:rPr>
          <w:rFonts w:asciiTheme="majorBidi" w:hAnsiTheme="majorBidi" w:cstheme="majorBidi"/>
          <w:color w:val="000000"/>
          <w:sz w:val="24"/>
          <w:szCs w:val="24"/>
        </w:rPr>
        <w:t>%</w:t>
      </w:r>
      <w:r w:rsidR="00692467">
        <w:rPr>
          <w:rFonts w:asciiTheme="majorBidi" w:hAnsiTheme="majorBidi" w:cstheme="majorBidi"/>
          <w:color w:val="000000"/>
          <w:sz w:val="24"/>
          <w:szCs w:val="24"/>
        </w:rPr>
        <w:t xml:space="preserve"> of</w:t>
      </w:r>
      <w:r w:rsidR="00333A0C">
        <w:rPr>
          <w:rFonts w:asciiTheme="majorBidi" w:hAnsiTheme="majorBidi" w:cstheme="majorBidi"/>
          <w:color w:val="000000"/>
          <w:sz w:val="24"/>
          <w:szCs w:val="24"/>
        </w:rPr>
        <w:t xml:space="preserve"> prevalence in Dutch hospitals </w:t>
      </w:r>
      <w:r w:rsidR="00333A0C" w:rsidRPr="00333A0C">
        <w:rPr>
          <w:rFonts w:asciiTheme="majorBidi" w:hAnsiTheme="majorBidi" w:cstheme="majorBidi"/>
          <w:b/>
          <w:bCs/>
          <w:color w:val="000000"/>
          <w:sz w:val="24"/>
          <w:szCs w:val="24"/>
          <w:vertAlign w:val="superscript"/>
        </w:rPr>
        <w:t>(</w:t>
      </w:r>
      <w:r w:rsidR="00413D63">
        <w:rPr>
          <w:rFonts w:asciiTheme="majorBidi" w:hAnsiTheme="majorBidi" w:cstheme="majorBidi"/>
          <w:b/>
          <w:bCs/>
          <w:color w:val="000000"/>
          <w:sz w:val="24"/>
          <w:szCs w:val="24"/>
          <w:vertAlign w:val="superscript"/>
        </w:rPr>
        <w:t>17</w:t>
      </w:r>
      <w:r w:rsidR="00333A0C" w:rsidRPr="00333A0C">
        <w:rPr>
          <w:rFonts w:asciiTheme="majorBidi" w:hAnsiTheme="majorBidi" w:cstheme="majorBidi"/>
          <w:b/>
          <w:bCs/>
          <w:color w:val="000000"/>
          <w:sz w:val="24"/>
          <w:szCs w:val="24"/>
          <w:vertAlign w:val="superscript"/>
        </w:rPr>
        <w:t>)</w:t>
      </w:r>
      <w:r w:rsidR="00333A0C">
        <w:rPr>
          <w:rFonts w:asciiTheme="majorBidi" w:hAnsiTheme="majorBidi" w:cstheme="majorBidi"/>
          <w:color w:val="000000"/>
          <w:sz w:val="24"/>
          <w:szCs w:val="24"/>
        </w:rPr>
        <w:t xml:space="preserve">. </w:t>
      </w:r>
      <w:r w:rsidR="00937EED">
        <w:rPr>
          <w:rFonts w:asciiTheme="majorBidi" w:hAnsiTheme="majorBidi" w:cstheme="majorBidi"/>
          <w:color w:val="000000"/>
          <w:sz w:val="24"/>
          <w:szCs w:val="24"/>
        </w:rPr>
        <w:t>T</w:t>
      </w:r>
      <w:r w:rsidRPr="00087BB3">
        <w:rPr>
          <w:rFonts w:asciiTheme="majorBidi" w:hAnsiTheme="majorBidi" w:cstheme="majorBidi"/>
          <w:color w:val="000000"/>
          <w:sz w:val="24"/>
          <w:szCs w:val="24"/>
        </w:rPr>
        <w:t xml:space="preserve">his </w:t>
      </w:r>
      <w:r w:rsidR="00937EED">
        <w:rPr>
          <w:rFonts w:asciiTheme="majorBidi" w:hAnsiTheme="majorBidi" w:cstheme="majorBidi"/>
          <w:color w:val="000000"/>
          <w:sz w:val="24"/>
          <w:szCs w:val="24"/>
        </w:rPr>
        <w:t>approved</w:t>
      </w:r>
      <w:r w:rsidRPr="00087BB3">
        <w:rPr>
          <w:rFonts w:asciiTheme="majorBidi" w:hAnsiTheme="majorBidi" w:cstheme="majorBidi"/>
          <w:color w:val="000000"/>
          <w:sz w:val="24"/>
          <w:szCs w:val="24"/>
        </w:rPr>
        <w:t xml:space="preserve"> there is high variance of MRSA prevalence from different countries.</w:t>
      </w:r>
      <w:r w:rsidR="00937EED" w:rsidRPr="00937EED">
        <w:rPr>
          <w:rFonts w:asciiTheme="majorBidi" w:hAnsiTheme="majorBidi" w:cstheme="majorBidi"/>
          <w:color w:val="000000"/>
          <w:sz w:val="24"/>
          <w:szCs w:val="24"/>
        </w:rPr>
        <w:t xml:space="preserve"> The low prevalence of MRSA in private hospitals could be attributed to better infection controls</w:t>
      </w:r>
      <w:r w:rsidR="00984F36" w:rsidRPr="00984F36">
        <w:rPr>
          <w:rFonts w:asciiTheme="majorBidi" w:hAnsiTheme="majorBidi" w:cstheme="majorBidi"/>
          <w:b/>
          <w:bCs/>
          <w:color w:val="000000"/>
          <w:sz w:val="24"/>
          <w:szCs w:val="24"/>
          <w:vertAlign w:val="superscript"/>
        </w:rPr>
        <w:t>(14)</w:t>
      </w:r>
      <w:r w:rsidR="00937EED" w:rsidRPr="00937EED">
        <w:rPr>
          <w:rFonts w:asciiTheme="majorBidi" w:hAnsiTheme="majorBidi" w:cstheme="majorBidi"/>
          <w:color w:val="000000"/>
          <w:sz w:val="24"/>
          <w:szCs w:val="24"/>
        </w:rPr>
        <w:t>.</w:t>
      </w:r>
      <w:commentRangeEnd w:id="50"/>
      <w:r w:rsidR="00020C3B">
        <w:rPr>
          <w:rStyle w:val="CommentReference"/>
        </w:rPr>
        <w:commentReference w:id="50"/>
      </w:r>
    </w:p>
    <w:p w:rsidR="005566AC" w:rsidRPr="00816508" w:rsidRDefault="00487914" w:rsidP="00DE255C">
      <w:pPr>
        <w:autoSpaceDE w:val="0"/>
        <w:autoSpaceDN w:val="0"/>
        <w:bidi w:val="0"/>
        <w:adjustRightInd w:val="0"/>
        <w:spacing w:after="0" w:line="360" w:lineRule="auto"/>
        <w:jc w:val="both"/>
        <w:rPr>
          <w:rFonts w:asciiTheme="majorBidi" w:hAnsiTheme="majorBidi" w:cstheme="majorBidi"/>
          <w:color w:val="000000"/>
          <w:sz w:val="24"/>
          <w:szCs w:val="24"/>
        </w:rPr>
      </w:pPr>
      <w:commentRangeStart w:id="51"/>
      <w:r>
        <w:rPr>
          <w:rFonts w:asciiTheme="majorBidi" w:hAnsiTheme="majorBidi" w:cstheme="majorBidi"/>
          <w:color w:val="000000"/>
          <w:sz w:val="24"/>
          <w:szCs w:val="24"/>
        </w:rPr>
        <w:t xml:space="preserve">According to </w:t>
      </w:r>
      <w:r w:rsidR="00DE255C">
        <w:rPr>
          <w:rFonts w:asciiTheme="majorBidi" w:hAnsiTheme="majorBidi" w:cstheme="majorBidi"/>
          <w:color w:val="000000"/>
          <w:sz w:val="24"/>
          <w:szCs w:val="24"/>
        </w:rPr>
        <w:t>current</w:t>
      </w:r>
      <w:r>
        <w:rPr>
          <w:rFonts w:asciiTheme="majorBidi" w:hAnsiTheme="majorBidi" w:cstheme="majorBidi"/>
          <w:color w:val="000000"/>
          <w:sz w:val="24"/>
          <w:szCs w:val="24"/>
        </w:rPr>
        <w:t xml:space="preserve"> study results, m</w:t>
      </w:r>
      <w:r w:rsidR="005566AC" w:rsidRPr="00C34E33">
        <w:rPr>
          <w:rFonts w:asciiTheme="majorBidi" w:hAnsiTheme="majorBidi" w:cstheme="majorBidi"/>
          <w:color w:val="000000"/>
          <w:sz w:val="24"/>
          <w:szCs w:val="24"/>
        </w:rPr>
        <w:t xml:space="preserve">ajority of MRSA was isolated from </w:t>
      </w:r>
      <w:r w:rsidR="005566AC">
        <w:rPr>
          <w:rFonts w:asciiTheme="majorBidi" w:hAnsiTheme="majorBidi" w:cstheme="majorBidi"/>
          <w:color w:val="000000"/>
          <w:sz w:val="24"/>
          <w:szCs w:val="24"/>
        </w:rPr>
        <w:t>sputum</w:t>
      </w:r>
      <w:r w:rsidR="005566AC" w:rsidRPr="00C34E33">
        <w:rPr>
          <w:rFonts w:asciiTheme="majorBidi" w:hAnsiTheme="majorBidi" w:cstheme="majorBidi"/>
          <w:color w:val="000000"/>
          <w:sz w:val="24"/>
          <w:szCs w:val="24"/>
        </w:rPr>
        <w:t xml:space="preserve"> specimens, </w:t>
      </w:r>
      <w:r w:rsidR="005566AC">
        <w:rPr>
          <w:rFonts w:asciiTheme="majorBidi" w:hAnsiTheme="majorBidi" w:cstheme="majorBidi"/>
          <w:color w:val="000000"/>
          <w:sz w:val="24"/>
          <w:szCs w:val="24"/>
        </w:rPr>
        <w:t>18</w:t>
      </w:r>
      <w:r w:rsidR="005566AC" w:rsidRPr="00C34E33">
        <w:rPr>
          <w:rFonts w:asciiTheme="majorBidi" w:hAnsiTheme="majorBidi" w:cstheme="majorBidi"/>
          <w:color w:val="000000"/>
          <w:sz w:val="24"/>
          <w:szCs w:val="24"/>
        </w:rPr>
        <w:t>/</w:t>
      </w:r>
      <w:r w:rsidR="005566AC">
        <w:rPr>
          <w:rFonts w:asciiTheme="majorBidi" w:hAnsiTheme="majorBidi" w:cstheme="majorBidi"/>
          <w:color w:val="000000"/>
          <w:sz w:val="24"/>
          <w:szCs w:val="24"/>
        </w:rPr>
        <w:t>35</w:t>
      </w:r>
      <w:r w:rsidR="005566AC" w:rsidRPr="00C34E33">
        <w:rPr>
          <w:rFonts w:asciiTheme="majorBidi" w:hAnsiTheme="majorBidi" w:cstheme="majorBidi"/>
          <w:color w:val="000000"/>
          <w:sz w:val="24"/>
          <w:szCs w:val="24"/>
        </w:rPr>
        <w:t xml:space="preserve"> (</w:t>
      </w:r>
      <w:r w:rsidR="005566AC">
        <w:rPr>
          <w:rFonts w:asciiTheme="majorBidi" w:hAnsiTheme="majorBidi" w:cstheme="majorBidi"/>
          <w:color w:val="000000"/>
          <w:sz w:val="24"/>
          <w:szCs w:val="24"/>
        </w:rPr>
        <w:t>51.4</w:t>
      </w:r>
      <w:r w:rsidR="005566AC" w:rsidRPr="00C34E33">
        <w:rPr>
          <w:rFonts w:asciiTheme="majorBidi" w:hAnsiTheme="majorBidi" w:cstheme="majorBidi"/>
          <w:color w:val="000000"/>
          <w:sz w:val="24"/>
          <w:szCs w:val="24"/>
        </w:rPr>
        <w:t xml:space="preserve">%). </w:t>
      </w:r>
      <w:r>
        <w:rPr>
          <w:rFonts w:asciiTheme="majorBidi" w:hAnsiTheme="majorBidi" w:cstheme="majorBidi"/>
          <w:color w:val="000000"/>
          <w:sz w:val="24"/>
          <w:szCs w:val="24"/>
        </w:rPr>
        <w:t>In contrast to study finding</w:t>
      </w:r>
      <w:r w:rsidR="007A01CB">
        <w:rPr>
          <w:rFonts w:asciiTheme="majorBidi" w:hAnsiTheme="majorBidi" w:cstheme="majorBidi"/>
          <w:color w:val="000000"/>
          <w:sz w:val="24"/>
          <w:szCs w:val="24"/>
        </w:rPr>
        <w:t>s</w:t>
      </w:r>
      <w:r w:rsidR="005566AC" w:rsidRPr="00C34E33">
        <w:rPr>
          <w:rFonts w:asciiTheme="majorBidi" w:hAnsiTheme="majorBidi" w:cstheme="majorBidi"/>
          <w:color w:val="000000"/>
          <w:sz w:val="24"/>
          <w:szCs w:val="24"/>
        </w:rPr>
        <w:t xml:space="preserve"> in Nigeria</w:t>
      </w:r>
      <w:r w:rsidR="00333A0C" w:rsidRPr="00333A0C">
        <w:rPr>
          <w:rFonts w:asciiTheme="majorBidi" w:hAnsiTheme="majorBidi" w:cstheme="majorBidi"/>
          <w:b/>
          <w:bCs/>
          <w:color w:val="000000"/>
          <w:sz w:val="24"/>
          <w:szCs w:val="24"/>
          <w:vertAlign w:val="superscript"/>
        </w:rPr>
        <w:t>(</w:t>
      </w:r>
      <w:r w:rsidR="00901751">
        <w:rPr>
          <w:rFonts w:asciiTheme="majorBidi" w:hAnsiTheme="majorBidi" w:cstheme="majorBidi"/>
          <w:b/>
          <w:bCs/>
          <w:color w:val="000000"/>
          <w:sz w:val="24"/>
          <w:szCs w:val="24"/>
          <w:vertAlign w:val="superscript"/>
        </w:rPr>
        <w:t>6</w:t>
      </w:r>
      <w:r w:rsidR="00333A0C" w:rsidRPr="00333A0C">
        <w:rPr>
          <w:rFonts w:asciiTheme="majorBidi" w:hAnsiTheme="majorBidi" w:cstheme="majorBidi"/>
          <w:b/>
          <w:bCs/>
          <w:color w:val="000000"/>
          <w:sz w:val="24"/>
          <w:szCs w:val="24"/>
          <w:vertAlign w:val="superscript"/>
        </w:rPr>
        <w:t>)</w:t>
      </w:r>
      <w:r w:rsidR="005566AC" w:rsidRPr="00C34E33">
        <w:rPr>
          <w:rFonts w:asciiTheme="majorBidi" w:hAnsiTheme="majorBidi" w:cstheme="majorBidi"/>
          <w:color w:val="000000"/>
          <w:sz w:val="24"/>
          <w:szCs w:val="24"/>
        </w:rPr>
        <w:t xml:space="preserve">, </w:t>
      </w:r>
      <w:r w:rsidR="005566AC">
        <w:rPr>
          <w:rFonts w:asciiTheme="majorBidi" w:hAnsiTheme="majorBidi" w:cstheme="majorBidi"/>
          <w:color w:val="000000"/>
          <w:sz w:val="24"/>
          <w:szCs w:val="24"/>
        </w:rPr>
        <w:t xml:space="preserve">and </w:t>
      </w:r>
      <w:r w:rsidR="005566AC" w:rsidRPr="00C34E33">
        <w:rPr>
          <w:rFonts w:asciiTheme="majorBidi" w:hAnsiTheme="majorBidi" w:cstheme="majorBidi"/>
          <w:color w:val="000000"/>
          <w:sz w:val="24"/>
          <w:szCs w:val="24"/>
        </w:rPr>
        <w:t>Iran</w:t>
      </w:r>
      <w:r w:rsidR="00333A0C" w:rsidRPr="00333A0C">
        <w:rPr>
          <w:rFonts w:asciiTheme="majorBidi" w:hAnsiTheme="majorBidi" w:cstheme="majorBidi"/>
          <w:b/>
          <w:bCs/>
          <w:color w:val="000000"/>
          <w:sz w:val="24"/>
          <w:szCs w:val="24"/>
          <w:vertAlign w:val="superscript"/>
        </w:rPr>
        <w:t>(</w:t>
      </w:r>
      <w:r w:rsidR="00F76585">
        <w:rPr>
          <w:rFonts w:asciiTheme="majorBidi" w:hAnsiTheme="majorBidi" w:cstheme="majorBidi"/>
          <w:b/>
          <w:bCs/>
          <w:color w:val="000000"/>
          <w:sz w:val="24"/>
          <w:szCs w:val="24"/>
          <w:vertAlign w:val="superscript"/>
        </w:rPr>
        <w:t>11</w:t>
      </w:r>
      <w:r w:rsidR="00333A0C" w:rsidRPr="00333A0C">
        <w:rPr>
          <w:rFonts w:asciiTheme="majorBidi" w:hAnsiTheme="majorBidi" w:cstheme="majorBidi"/>
          <w:b/>
          <w:bCs/>
          <w:color w:val="000000"/>
          <w:sz w:val="24"/>
          <w:szCs w:val="24"/>
          <w:vertAlign w:val="superscript"/>
        </w:rPr>
        <w:t>)</w:t>
      </w:r>
      <w:r w:rsidR="005566AC" w:rsidRPr="00C34E33">
        <w:rPr>
          <w:rFonts w:asciiTheme="majorBidi" w:hAnsiTheme="majorBidi" w:cstheme="majorBidi"/>
          <w:color w:val="000000"/>
          <w:sz w:val="24"/>
          <w:szCs w:val="24"/>
        </w:rPr>
        <w:t xml:space="preserve"> showed differ</w:t>
      </w:r>
      <w:r w:rsidR="00333A0C">
        <w:rPr>
          <w:rFonts w:asciiTheme="majorBidi" w:hAnsiTheme="majorBidi" w:cstheme="majorBidi"/>
          <w:color w:val="000000"/>
          <w:sz w:val="24"/>
          <w:szCs w:val="24"/>
        </w:rPr>
        <w:t xml:space="preserve">ent specimens were predominant. </w:t>
      </w:r>
      <w:r w:rsidR="005566AC" w:rsidRPr="00816508">
        <w:rPr>
          <w:rFonts w:asciiTheme="majorBidi" w:hAnsiTheme="majorBidi" w:cstheme="majorBidi"/>
          <w:color w:val="000000"/>
          <w:sz w:val="24"/>
          <w:szCs w:val="24"/>
        </w:rPr>
        <w:t>This variation in prevalence may be because of several factors like healthcare facilities available in the particular hospital, implementation and monitoring of infection control committee, rationale antibiotic usage which varies from hospital to hospital</w:t>
      </w:r>
      <w:r w:rsidR="007A01CB" w:rsidRPr="007A01CB">
        <w:rPr>
          <w:rFonts w:asciiTheme="majorBidi" w:hAnsiTheme="majorBidi" w:cstheme="majorBidi"/>
          <w:b/>
          <w:bCs/>
          <w:color w:val="000000"/>
          <w:sz w:val="24"/>
          <w:szCs w:val="24"/>
          <w:vertAlign w:val="superscript"/>
        </w:rPr>
        <w:t>(14,15)</w:t>
      </w:r>
      <w:r w:rsidR="005566AC" w:rsidRPr="00816508">
        <w:rPr>
          <w:rFonts w:asciiTheme="majorBidi" w:hAnsiTheme="majorBidi" w:cstheme="majorBidi"/>
          <w:color w:val="000000"/>
          <w:sz w:val="24"/>
          <w:szCs w:val="24"/>
        </w:rPr>
        <w:t>.</w:t>
      </w:r>
    </w:p>
    <w:p w:rsidR="00570AC4" w:rsidRDefault="005566AC" w:rsidP="00EB1F3D">
      <w:pPr>
        <w:autoSpaceDE w:val="0"/>
        <w:autoSpaceDN w:val="0"/>
        <w:bidi w:val="0"/>
        <w:adjustRightInd w:val="0"/>
        <w:spacing w:after="0" w:line="360" w:lineRule="auto"/>
        <w:jc w:val="both"/>
        <w:rPr>
          <w:rFonts w:ascii="Times New Roman" w:eastAsia="Calibri" w:hAnsi="Times New Roman" w:cs="Times New Roman"/>
          <w:sz w:val="24"/>
          <w:szCs w:val="24"/>
        </w:rPr>
      </w:pPr>
      <w:r w:rsidRPr="002463B0">
        <w:rPr>
          <w:rFonts w:asciiTheme="majorBidi" w:hAnsiTheme="majorBidi" w:cstheme="majorBidi"/>
          <w:color w:val="000000"/>
          <w:sz w:val="24"/>
          <w:szCs w:val="24"/>
        </w:rPr>
        <w:t xml:space="preserve">In this study, </w:t>
      </w:r>
      <w:r>
        <w:rPr>
          <w:rFonts w:asciiTheme="majorBidi" w:hAnsiTheme="majorBidi" w:cstheme="majorBidi"/>
          <w:color w:val="000000"/>
          <w:sz w:val="24"/>
          <w:szCs w:val="24"/>
        </w:rPr>
        <w:t>100</w:t>
      </w:r>
      <w:r w:rsidRPr="002463B0">
        <w:rPr>
          <w:rFonts w:asciiTheme="majorBidi" w:hAnsiTheme="majorBidi" w:cstheme="majorBidi"/>
          <w:color w:val="000000"/>
          <w:sz w:val="24"/>
          <w:szCs w:val="24"/>
        </w:rPr>
        <w:t xml:space="preserve">% of MRSA isolates were </w:t>
      </w:r>
      <w:r>
        <w:rPr>
          <w:rFonts w:asciiTheme="majorBidi" w:hAnsiTheme="majorBidi" w:cstheme="majorBidi"/>
          <w:color w:val="000000"/>
          <w:sz w:val="24"/>
          <w:szCs w:val="24"/>
        </w:rPr>
        <w:t>sensitive</w:t>
      </w:r>
      <w:r w:rsidRPr="002463B0">
        <w:rPr>
          <w:rFonts w:asciiTheme="majorBidi" w:hAnsiTheme="majorBidi" w:cstheme="majorBidi"/>
          <w:color w:val="000000"/>
          <w:sz w:val="24"/>
          <w:szCs w:val="24"/>
        </w:rPr>
        <w:t xml:space="preserve"> to vancomycin</w:t>
      </w:r>
      <w:r>
        <w:rPr>
          <w:rFonts w:asciiTheme="majorBidi" w:hAnsiTheme="majorBidi" w:cstheme="majorBidi"/>
          <w:color w:val="000000"/>
          <w:sz w:val="24"/>
          <w:szCs w:val="24"/>
        </w:rPr>
        <w:t xml:space="preserve">. This </w:t>
      </w:r>
      <w:r w:rsidRPr="009B6A93">
        <w:rPr>
          <w:rFonts w:asciiTheme="majorBidi" w:hAnsiTheme="majorBidi" w:cstheme="majorBidi"/>
          <w:color w:val="000000"/>
          <w:sz w:val="24"/>
          <w:szCs w:val="24"/>
        </w:rPr>
        <w:t xml:space="preserve">finding is similar to a study done </w:t>
      </w:r>
      <w:r w:rsidRPr="002463B0">
        <w:rPr>
          <w:rFonts w:asciiTheme="majorBidi" w:hAnsiTheme="majorBidi" w:cstheme="majorBidi"/>
          <w:color w:val="000000"/>
          <w:sz w:val="24"/>
          <w:szCs w:val="24"/>
        </w:rPr>
        <w:t xml:space="preserve">on antimicrobial </w:t>
      </w:r>
      <w:commentRangeEnd w:id="51"/>
      <w:r w:rsidR="00BE56E5">
        <w:rPr>
          <w:rStyle w:val="CommentReference"/>
        </w:rPr>
        <w:commentReference w:id="51"/>
      </w:r>
      <w:r w:rsidRPr="002463B0">
        <w:rPr>
          <w:rFonts w:asciiTheme="majorBidi" w:hAnsiTheme="majorBidi" w:cstheme="majorBidi"/>
          <w:color w:val="000000"/>
          <w:sz w:val="24"/>
          <w:szCs w:val="24"/>
        </w:rPr>
        <w:t xml:space="preserve">susceptibility of MRSA in hospitalized patients in Iran, two hospitals in India and two private hospitals in Kenya showed </w:t>
      </w:r>
      <w:commentRangeStart w:id="52"/>
      <w:r w:rsidRPr="002463B0">
        <w:rPr>
          <w:rFonts w:asciiTheme="majorBidi" w:hAnsiTheme="majorBidi" w:cstheme="majorBidi"/>
          <w:color w:val="000000"/>
          <w:sz w:val="24"/>
          <w:szCs w:val="24"/>
        </w:rPr>
        <w:t>100</w:t>
      </w:r>
      <w:r w:rsidR="00333A0C">
        <w:rPr>
          <w:rFonts w:asciiTheme="majorBidi" w:hAnsiTheme="majorBidi" w:cstheme="majorBidi"/>
          <w:color w:val="000000"/>
          <w:sz w:val="24"/>
          <w:szCs w:val="24"/>
        </w:rPr>
        <w:t xml:space="preserve">% susceptibility to vancomycin </w:t>
      </w:r>
      <w:r w:rsidR="00333A0C" w:rsidRPr="00333A0C">
        <w:rPr>
          <w:rFonts w:asciiTheme="majorBidi" w:hAnsiTheme="majorBidi" w:cstheme="majorBidi"/>
          <w:b/>
          <w:bCs/>
          <w:color w:val="000000"/>
          <w:sz w:val="24"/>
          <w:szCs w:val="24"/>
          <w:vertAlign w:val="superscript"/>
        </w:rPr>
        <w:t>(</w:t>
      </w:r>
      <w:r w:rsidR="00F76585">
        <w:rPr>
          <w:rFonts w:asciiTheme="majorBidi" w:hAnsiTheme="majorBidi" w:cstheme="majorBidi"/>
          <w:b/>
          <w:bCs/>
          <w:color w:val="000000"/>
          <w:sz w:val="24"/>
          <w:szCs w:val="24"/>
          <w:vertAlign w:val="superscript"/>
        </w:rPr>
        <w:t>17</w:t>
      </w:r>
      <w:r w:rsidR="00333A0C" w:rsidRPr="00333A0C">
        <w:rPr>
          <w:rFonts w:asciiTheme="majorBidi" w:hAnsiTheme="majorBidi" w:cstheme="majorBidi"/>
          <w:b/>
          <w:bCs/>
          <w:color w:val="000000"/>
          <w:sz w:val="24"/>
          <w:szCs w:val="24"/>
          <w:vertAlign w:val="superscript"/>
        </w:rPr>
        <w:t xml:space="preserve">, </w:t>
      </w:r>
      <w:r w:rsidR="00F76585">
        <w:rPr>
          <w:rFonts w:asciiTheme="majorBidi" w:hAnsiTheme="majorBidi" w:cstheme="majorBidi"/>
          <w:b/>
          <w:bCs/>
          <w:color w:val="000000"/>
          <w:sz w:val="24"/>
          <w:szCs w:val="24"/>
          <w:vertAlign w:val="superscript"/>
        </w:rPr>
        <w:t>18</w:t>
      </w:r>
      <w:r w:rsidR="00333A0C" w:rsidRPr="00333A0C">
        <w:rPr>
          <w:rFonts w:asciiTheme="majorBidi" w:hAnsiTheme="majorBidi" w:cstheme="majorBidi"/>
          <w:b/>
          <w:bCs/>
          <w:color w:val="000000"/>
          <w:sz w:val="24"/>
          <w:szCs w:val="24"/>
          <w:vertAlign w:val="superscript"/>
        </w:rPr>
        <w:t xml:space="preserve">, </w:t>
      </w:r>
      <w:r w:rsidR="00F76585">
        <w:rPr>
          <w:rFonts w:asciiTheme="majorBidi" w:hAnsiTheme="majorBidi" w:cstheme="majorBidi"/>
          <w:b/>
          <w:bCs/>
          <w:color w:val="000000"/>
          <w:sz w:val="24"/>
          <w:szCs w:val="24"/>
          <w:vertAlign w:val="superscript"/>
        </w:rPr>
        <w:t>10</w:t>
      </w:r>
      <w:r w:rsidR="00333A0C" w:rsidRPr="00333A0C">
        <w:rPr>
          <w:rFonts w:asciiTheme="majorBidi" w:hAnsiTheme="majorBidi" w:cstheme="majorBidi"/>
          <w:b/>
          <w:bCs/>
          <w:color w:val="000000"/>
          <w:sz w:val="24"/>
          <w:szCs w:val="24"/>
          <w:vertAlign w:val="superscript"/>
        </w:rPr>
        <w:t>)</w:t>
      </w:r>
      <w:r w:rsidR="00333A0C">
        <w:rPr>
          <w:rFonts w:asciiTheme="majorBidi" w:hAnsiTheme="majorBidi" w:cstheme="majorBidi"/>
          <w:color w:val="000000"/>
          <w:sz w:val="24"/>
          <w:szCs w:val="24"/>
        </w:rPr>
        <w:t>.</w:t>
      </w:r>
      <w:r w:rsidR="007A01CB">
        <w:rPr>
          <w:rFonts w:asciiTheme="majorBidi" w:hAnsiTheme="majorBidi" w:cstheme="majorBidi"/>
          <w:color w:val="000000"/>
          <w:sz w:val="24"/>
          <w:szCs w:val="24"/>
        </w:rPr>
        <w:t xml:space="preserve"> On other hand, </w:t>
      </w:r>
      <w:r>
        <w:rPr>
          <w:rFonts w:asciiTheme="majorBidi" w:hAnsiTheme="majorBidi" w:cstheme="majorBidi"/>
          <w:color w:val="000000"/>
          <w:sz w:val="24"/>
          <w:szCs w:val="24"/>
        </w:rPr>
        <w:t>studies</w:t>
      </w:r>
      <w:r w:rsidRPr="009B6A93">
        <w:rPr>
          <w:rFonts w:asciiTheme="majorBidi" w:hAnsiTheme="majorBidi" w:cstheme="majorBidi"/>
          <w:color w:val="000000"/>
          <w:sz w:val="24"/>
          <w:szCs w:val="24"/>
        </w:rPr>
        <w:t xml:space="preserve"> done in </w:t>
      </w:r>
      <w:r w:rsidRPr="002463B0">
        <w:rPr>
          <w:rFonts w:asciiTheme="majorBidi" w:hAnsiTheme="majorBidi" w:cstheme="majorBidi"/>
          <w:color w:val="000000"/>
          <w:sz w:val="24"/>
          <w:szCs w:val="24"/>
        </w:rPr>
        <w:t>Iran</w:t>
      </w:r>
      <w:r w:rsidR="001E5272" w:rsidRPr="001E5272">
        <w:rPr>
          <w:rFonts w:asciiTheme="majorBidi" w:hAnsiTheme="majorBidi" w:cstheme="majorBidi"/>
          <w:b/>
          <w:bCs/>
          <w:color w:val="000000"/>
          <w:sz w:val="24"/>
          <w:szCs w:val="24"/>
          <w:vertAlign w:val="superscript"/>
        </w:rPr>
        <w:t>(</w:t>
      </w:r>
      <w:r w:rsidR="00F76585">
        <w:rPr>
          <w:rFonts w:asciiTheme="majorBidi" w:hAnsiTheme="majorBidi" w:cstheme="majorBidi"/>
          <w:b/>
          <w:bCs/>
          <w:color w:val="000000"/>
          <w:sz w:val="24"/>
          <w:szCs w:val="24"/>
          <w:vertAlign w:val="superscript"/>
        </w:rPr>
        <w:t>19</w:t>
      </w:r>
      <w:r w:rsidR="001E5272" w:rsidRPr="001E5272">
        <w:rPr>
          <w:rFonts w:asciiTheme="majorBidi" w:hAnsiTheme="majorBidi" w:cstheme="majorBidi"/>
          <w:b/>
          <w:bCs/>
          <w:color w:val="000000"/>
          <w:sz w:val="24"/>
          <w:szCs w:val="24"/>
          <w:vertAlign w:val="superscript"/>
        </w:rPr>
        <w:t>)</w:t>
      </w:r>
      <w:r w:rsidR="001E5272" w:rsidRPr="002463B0">
        <w:rPr>
          <w:rFonts w:asciiTheme="majorBidi" w:hAnsiTheme="majorBidi" w:cstheme="majorBidi"/>
          <w:color w:val="000000"/>
          <w:sz w:val="24"/>
          <w:szCs w:val="24"/>
        </w:rPr>
        <w:t>which</w:t>
      </w:r>
      <w:r w:rsidRPr="002463B0">
        <w:rPr>
          <w:rFonts w:asciiTheme="majorBidi" w:hAnsiTheme="majorBidi" w:cstheme="majorBidi"/>
          <w:color w:val="000000"/>
          <w:sz w:val="24"/>
          <w:szCs w:val="24"/>
        </w:rPr>
        <w:t xml:space="preserve"> showed 5% of the MRSA isolate</w:t>
      </w:r>
      <w:r w:rsidR="00333A0C">
        <w:rPr>
          <w:rFonts w:asciiTheme="majorBidi" w:hAnsiTheme="majorBidi" w:cstheme="majorBidi"/>
          <w:color w:val="000000"/>
          <w:sz w:val="24"/>
          <w:szCs w:val="24"/>
        </w:rPr>
        <w:t xml:space="preserve">s were resistant to vancomycin </w:t>
      </w:r>
      <w:r>
        <w:rPr>
          <w:rFonts w:asciiTheme="majorBidi" w:hAnsiTheme="majorBidi" w:cstheme="majorBidi"/>
          <w:color w:val="000000"/>
          <w:sz w:val="24"/>
          <w:szCs w:val="24"/>
        </w:rPr>
        <w:t xml:space="preserve">and </w:t>
      </w:r>
      <w:r w:rsidRPr="002463B0">
        <w:rPr>
          <w:rFonts w:asciiTheme="majorBidi" w:hAnsiTheme="majorBidi" w:cstheme="majorBidi"/>
          <w:color w:val="000000"/>
          <w:sz w:val="24"/>
          <w:szCs w:val="24"/>
        </w:rPr>
        <w:t>in a tertiary care hospital in India</w:t>
      </w:r>
      <w:r w:rsidR="0005053B" w:rsidRPr="0005053B">
        <w:rPr>
          <w:rFonts w:asciiTheme="majorBidi" w:hAnsiTheme="majorBidi" w:cstheme="majorBidi"/>
          <w:b/>
          <w:bCs/>
          <w:color w:val="000000"/>
          <w:sz w:val="24"/>
          <w:szCs w:val="24"/>
          <w:vertAlign w:val="superscript"/>
        </w:rPr>
        <w:t>(2</w:t>
      </w:r>
      <w:r w:rsidR="00F76585">
        <w:rPr>
          <w:rFonts w:asciiTheme="majorBidi" w:hAnsiTheme="majorBidi" w:cstheme="majorBidi"/>
          <w:b/>
          <w:bCs/>
          <w:color w:val="000000"/>
          <w:sz w:val="24"/>
          <w:szCs w:val="24"/>
          <w:vertAlign w:val="superscript"/>
        </w:rPr>
        <w:t>0</w:t>
      </w:r>
      <w:r w:rsidR="0005053B" w:rsidRPr="0005053B">
        <w:rPr>
          <w:rFonts w:asciiTheme="majorBidi" w:hAnsiTheme="majorBidi" w:cstheme="majorBidi"/>
          <w:b/>
          <w:bCs/>
          <w:color w:val="000000"/>
          <w:sz w:val="24"/>
          <w:szCs w:val="24"/>
          <w:vertAlign w:val="superscript"/>
        </w:rPr>
        <w:t>)</w:t>
      </w:r>
      <w:r w:rsidRPr="002463B0">
        <w:rPr>
          <w:rFonts w:asciiTheme="majorBidi" w:hAnsiTheme="majorBidi" w:cstheme="majorBidi"/>
          <w:color w:val="000000"/>
          <w:sz w:val="24"/>
          <w:szCs w:val="24"/>
        </w:rPr>
        <w:t xml:space="preserve"> and pediatrics and neonatal intensive care patients at </w:t>
      </w:r>
      <w:r w:rsidR="005C7576">
        <w:rPr>
          <w:rFonts w:asciiTheme="majorBidi" w:hAnsiTheme="majorBidi" w:cstheme="majorBidi"/>
          <w:color w:val="000000"/>
          <w:sz w:val="24"/>
          <w:szCs w:val="24"/>
        </w:rPr>
        <w:t>Nairobi</w:t>
      </w:r>
      <w:r w:rsidR="0005053B" w:rsidRPr="0005053B">
        <w:rPr>
          <w:rFonts w:asciiTheme="majorBidi" w:hAnsiTheme="majorBidi" w:cstheme="majorBidi"/>
          <w:b/>
          <w:bCs/>
          <w:color w:val="000000"/>
          <w:sz w:val="24"/>
          <w:szCs w:val="24"/>
          <w:vertAlign w:val="superscript"/>
        </w:rPr>
        <w:t>(</w:t>
      </w:r>
      <w:r w:rsidR="00901751">
        <w:rPr>
          <w:rFonts w:asciiTheme="majorBidi" w:hAnsiTheme="majorBidi" w:cstheme="majorBidi"/>
          <w:b/>
          <w:bCs/>
          <w:color w:val="000000"/>
          <w:sz w:val="24"/>
          <w:szCs w:val="24"/>
          <w:vertAlign w:val="superscript"/>
        </w:rPr>
        <w:t>6</w:t>
      </w:r>
      <w:r w:rsidR="0005053B" w:rsidRPr="0005053B">
        <w:rPr>
          <w:rFonts w:asciiTheme="majorBidi" w:hAnsiTheme="majorBidi" w:cstheme="majorBidi"/>
          <w:b/>
          <w:bCs/>
          <w:color w:val="000000"/>
          <w:sz w:val="24"/>
          <w:szCs w:val="24"/>
          <w:vertAlign w:val="superscript"/>
        </w:rPr>
        <w:t>)</w:t>
      </w:r>
      <w:r w:rsidR="0005053B" w:rsidRPr="002463B0">
        <w:rPr>
          <w:rFonts w:asciiTheme="majorBidi" w:hAnsiTheme="majorBidi" w:cstheme="majorBidi"/>
          <w:color w:val="000000"/>
          <w:sz w:val="24"/>
          <w:szCs w:val="24"/>
        </w:rPr>
        <w:t>which</w:t>
      </w:r>
      <w:r w:rsidRPr="002463B0">
        <w:rPr>
          <w:rFonts w:asciiTheme="majorBidi" w:hAnsiTheme="majorBidi" w:cstheme="majorBidi"/>
          <w:color w:val="000000"/>
          <w:sz w:val="24"/>
          <w:szCs w:val="24"/>
        </w:rPr>
        <w:t xml:space="preserve"> respectively showed 3.5 and 1% resis</w:t>
      </w:r>
      <w:r w:rsidR="00D302D3">
        <w:rPr>
          <w:rFonts w:asciiTheme="majorBidi" w:hAnsiTheme="majorBidi" w:cstheme="majorBidi"/>
          <w:color w:val="000000"/>
          <w:sz w:val="24"/>
          <w:szCs w:val="24"/>
        </w:rPr>
        <w:t xml:space="preserve">tance to vancomycin among MRSA. </w:t>
      </w:r>
      <w:r w:rsidR="00D302D3">
        <w:rPr>
          <w:rFonts w:asciiTheme="majorBidi" w:hAnsiTheme="majorBidi" w:cstheme="majorBidi"/>
          <w:sz w:val="24"/>
          <w:szCs w:val="24"/>
        </w:rPr>
        <w:t xml:space="preserve">Recently, </w:t>
      </w:r>
      <w:r w:rsidR="00D302D3" w:rsidRPr="00A30156">
        <w:rPr>
          <w:rFonts w:asciiTheme="majorBidi" w:hAnsiTheme="majorBidi" w:cstheme="majorBidi"/>
          <w:sz w:val="24"/>
          <w:szCs w:val="24"/>
        </w:rPr>
        <w:t>many</w:t>
      </w:r>
      <w:r w:rsidRPr="00A30156">
        <w:rPr>
          <w:rFonts w:asciiTheme="majorBidi" w:hAnsiTheme="majorBidi" w:cstheme="majorBidi"/>
          <w:sz w:val="24"/>
          <w:szCs w:val="24"/>
        </w:rPr>
        <w:t xml:space="preserve"> antibiotics with anti-MRSA activity were introduced to the market, some of which are available in </w:t>
      </w:r>
      <w:r>
        <w:rPr>
          <w:rFonts w:asciiTheme="majorBidi" w:hAnsiTheme="majorBidi" w:cstheme="majorBidi"/>
          <w:sz w:val="24"/>
          <w:szCs w:val="24"/>
        </w:rPr>
        <w:t>Yemen</w:t>
      </w:r>
      <w:r w:rsidRPr="00A30156">
        <w:rPr>
          <w:rFonts w:asciiTheme="majorBidi" w:hAnsiTheme="majorBidi" w:cstheme="majorBidi"/>
          <w:sz w:val="24"/>
          <w:szCs w:val="24"/>
        </w:rPr>
        <w:t xml:space="preserve">. Linezolid is among these agents which is not widely available and it is not in use in many </w:t>
      </w:r>
      <w:r>
        <w:rPr>
          <w:rFonts w:asciiTheme="majorBidi" w:hAnsiTheme="majorBidi" w:cstheme="majorBidi"/>
          <w:sz w:val="24"/>
          <w:szCs w:val="24"/>
        </w:rPr>
        <w:t>Yemeni</w:t>
      </w:r>
      <w:r w:rsidRPr="00A30156">
        <w:rPr>
          <w:rFonts w:asciiTheme="majorBidi" w:hAnsiTheme="majorBidi" w:cstheme="majorBidi"/>
          <w:sz w:val="24"/>
          <w:szCs w:val="24"/>
        </w:rPr>
        <w:t xml:space="preserve"> hospitals including </w:t>
      </w:r>
      <w:r w:rsidR="00277F00">
        <w:rPr>
          <w:rFonts w:asciiTheme="majorBidi" w:hAnsiTheme="majorBidi" w:cstheme="majorBidi"/>
          <w:sz w:val="24"/>
          <w:szCs w:val="24"/>
        </w:rPr>
        <w:t>the setting of this study</w:t>
      </w:r>
      <w:r w:rsidRPr="00A30156">
        <w:rPr>
          <w:rFonts w:asciiTheme="majorBidi" w:hAnsiTheme="majorBidi" w:cstheme="majorBidi"/>
          <w:sz w:val="24"/>
          <w:szCs w:val="24"/>
        </w:rPr>
        <w:t xml:space="preserve">. </w:t>
      </w:r>
      <w:r>
        <w:rPr>
          <w:rFonts w:asciiTheme="majorBidi" w:hAnsiTheme="majorBidi" w:cstheme="majorBidi"/>
          <w:sz w:val="24"/>
          <w:szCs w:val="24"/>
        </w:rPr>
        <w:t>In the present study</w:t>
      </w:r>
      <w:r w:rsidRPr="00A30156">
        <w:rPr>
          <w:rFonts w:asciiTheme="majorBidi" w:hAnsiTheme="majorBidi" w:cstheme="majorBidi"/>
          <w:sz w:val="24"/>
          <w:szCs w:val="24"/>
        </w:rPr>
        <w:t xml:space="preserve">, </w:t>
      </w:r>
      <w:r>
        <w:rPr>
          <w:rFonts w:asciiTheme="majorBidi" w:hAnsiTheme="majorBidi" w:cstheme="majorBidi"/>
          <w:sz w:val="24"/>
          <w:szCs w:val="24"/>
        </w:rPr>
        <w:t>100</w:t>
      </w:r>
      <w:r w:rsidRPr="00A30156">
        <w:rPr>
          <w:rFonts w:asciiTheme="majorBidi" w:hAnsiTheme="majorBidi" w:cstheme="majorBidi"/>
          <w:sz w:val="24"/>
          <w:szCs w:val="24"/>
        </w:rPr>
        <w:t xml:space="preserve">% of </w:t>
      </w:r>
      <w:r>
        <w:rPr>
          <w:rFonts w:asciiTheme="majorBidi" w:hAnsiTheme="majorBidi" w:cstheme="majorBidi"/>
          <w:sz w:val="24"/>
          <w:szCs w:val="24"/>
        </w:rPr>
        <w:t xml:space="preserve">MRSA </w:t>
      </w:r>
      <w:r w:rsidRPr="00A30156">
        <w:rPr>
          <w:rFonts w:asciiTheme="majorBidi" w:hAnsiTheme="majorBidi" w:cstheme="majorBidi"/>
          <w:sz w:val="24"/>
          <w:szCs w:val="24"/>
        </w:rPr>
        <w:t xml:space="preserve">isolates were </w:t>
      </w:r>
      <w:r>
        <w:rPr>
          <w:rFonts w:asciiTheme="majorBidi" w:hAnsiTheme="majorBidi" w:cstheme="majorBidi"/>
          <w:sz w:val="24"/>
          <w:szCs w:val="24"/>
        </w:rPr>
        <w:t>sensitive</w:t>
      </w:r>
      <w:r w:rsidRPr="00A30156">
        <w:rPr>
          <w:rFonts w:asciiTheme="majorBidi" w:hAnsiTheme="majorBidi" w:cstheme="majorBidi"/>
          <w:sz w:val="24"/>
          <w:szCs w:val="24"/>
        </w:rPr>
        <w:t xml:space="preserve"> to linezolid. Garcia et al. have reported the first clinical outbreak of linezolid resistant S. aureus (LRSA) from a tertiary teaching univer</w:t>
      </w:r>
      <w:r w:rsidR="001E5272">
        <w:rPr>
          <w:rFonts w:asciiTheme="majorBidi" w:hAnsiTheme="majorBidi" w:cstheme="majorBidi"/>
          <w:sz w:val="24"/>
          <w:szCs w:val="24"/>
        </w:rPr>
        <w:t xml:space="preserve">sity hospital in Madrid, Spain </w:t>
      </w:r>
      <w:r w:rsidR="001E5272" w:rsidRPr="001E5272">
        <w:rPr>
          <w:rFonts w:asciiTheme="majorBidi" w:hAnsiTheme="majorBidi" w:cstheme="majorBidi"/>
          <w:b/>
          <w:bCs/>
          <w:sz w:val="24"/>
          <w:szCs w:val="24"/>
          <w:vertAlign w:val="superscript"/>
        </w:rPr>
        <w:t>(</w:t>
      </w:r>
      <w:r w:rsidR="00F76585">
        <w:rPr>
          <w:rFonts w:asciiTheme="majorBidi" w:hAnsiTheme="majorBidi" w:cstheme="majorBidi"/>
          <w:b/>
          <w:bCs/>
          <w:sz w:val="24"/>
          <w:szCs w:val="24"/>
          <w:vertAlign w:val="superscript"/>
        </w:rPr>
        <w:t>21</w:t>
      </w:r>
      <w:r w:rsidR="001E5272" w:rsidRPr="001E5272">
        <w:rPr>
          <w:rFonts w:asciiTheme="majorBidi" w:hAnsiTheme="majorBidi" w:cstheme="majorBidi"/>
          <w:b/>
          <w:bCs/>
          <w:sz w:val="24"/>
          <w:szCs w:val="24"/>
          <w:vertAlign w:val="superscript"/>
        </w:rPr>
        <w:t>)</w:t>
      </w:r>
      <w:r w:rsidR="001E5272">
        <w:rPr>
          <w:rFonts w:asciiTheme="majorBidi" w:hAnsiTheme="majorBidi" w:cstheme="majorBidi"/>
          <w:sz w:val="24"/>
          <w:szCs w:val="24"/>
        </w:rPr>
        <w:t xml:space="preserve">. </w:t>
      </w:r>
      <w:r w:rsidRPr="00A30156">
        <w:rPr>
          <w:rFonts w:asciiTheme="majorBidi" w:hAnsiTheme="majorBidi" w:cstheme="majorBidi"/>
          <w:sz w:val="24"/>
          <w:szCs w:val="24"/>
        </w:rPr>
        <w:t xml:space="preserve">In their article they reported 12 patients with LRSA from which 6 patients died (with one death ascribed to LRSA infection). </w:t>
      </w:r>
      <w:r w:rsidRPr="003D60F1">
        <w:rPr>
          <w:rFonts w:asciiTheme="majorBidi" w:hAnsiTheme="majorBidi" w:cstheme="majorBidi"/>
          <w:sz w:val="24"/>
          <w:szCs w:val="24"/>
        </w:rPr>
        <w:t xml:space="preserve">In the last two decades prevalence of MRSA has steadily increased </w:t>
      </w:r>
      <w:r w:rsidR="00570AC4">
        <w:rPr>
          <w:rFonts w:asciiTheme="majorBidi" w:hAnsiTheme="majorBidi" w:cstheme="majorBidi"/>
          <w:sz w:val="24"/>
          <w:szCs w:val="24"/>
        </w:rPr>
        <w:t>worldwide</w:t>
      </w:r>
      <w:r w:rsidRPr="003D60F1">
        <w:rPr>
          <w:rFonts w:asciiTheme="majorBidi" w:hAnsiTheme="majorBidi" w:cstheme="majorBidi"/>
          <w:sz w:val="24"/>
          <w:szCs w:val="24"/>
        </w:rPr>
        <w:t xml:space="preserve">. </w:t>
      </w:r>
      <w:r w:rsidR="00570AC4">
        <w:rPr>
          <w:rFonts w:ascii="Times New Roman" w:eastAsia="Calibri" w:hAnsi="Times New Roman" w:cs="Times New Roman"/>
          <w:sz w:val="24"/>
          <w:szCs w:val="24"/>
        </w:rPr>
        <w:t xml:space="preserve">Therefore, </w:t>
      </w:r>
      <w:r w:rsidR="00570AC4" w:rsidRPr="00570AC4">
        <w:rPr>
          <w:rFonts w:ascii="Times New Roman" w:eastAsia="Calibri" w:hAnsi="Times New Roman" w:cs="Times New Roman"/>
          <w:sz w:val="24"/>
          <w:szCs w:val="24"/>
        </w:rPr>
        <w:t xml:space="preserve">they stated that this </w:t>
      </w:r>
      <w:r w:rsidR="00EB1F3D">
        <w:rPr>
          <w:rFonts w:ascii="Times New Roman" w:eastAsia="Calibri" w:hAnsi="Times New Roman" w:cs="Times New Roman"/>
          <w:sz w:val="24"/>
          <w:szCs w:val="24"/>
        </w:rPr>
        <w:t>increase</w:t>
      </w:r>
      <w:r w:rsidR="00570AC4" w:rsidRPr="00570AC4">
        <w:rPr>
          <w:rFonts w:ascii="Times New Roman" w:eastAsia="Calibri" w:hAnsi="Times New Roman" w:cs="Times New Roman"/>
          <w:sz w:val="24"/>
          <w:szCs w:val="24"/>
        </w:rPr>
        <w:t xml:space="preserve"> was associated with nosocomial transmission and extensive use of this </w:t>
      </w:r>
      <w:commentRangeEnd w:id="52"/>
      <w:r w:rsidR="00020C3B">
        <w:rPr>
          <w:rStyle w:val="CommentReference"/>
        </w:rPr>
        <w:commentReference w:id="52"/>
      </w:r>
      <w:r w:rsidR="00570AC4" w:rsidRPr="00570AC4">
        <w:rPr>
          <w:rFonts w:ascii="Times New Roman" w:eastAsia="Calibri" w:hAnsi="Times New Roman" w:cs="Times New Roman"/>
          <w:sz w:val="24"/>
          <w:szCs w:val="24"/>
        </w:rPr>
        <w:t>antibiotic</w:t>
      </w:r>
      <w:r w:rsidR="00570AC4" w:rsidRPr="00570AC4">
        <w:rPr>
          <w:rFonts w:ascii="Times New Roman" w:eastAsia="Calibri" w:hAnsi="Times New Roman" w:cs="Times New Roman"/>
          <w:b/>
          <w:bCs/>
          <w:sz w:val="24"/>
          <w:szCs w:val="24"/>
          <w:vertAlign w:val="superscript"/>
        </w:rPr>
        <w:t>(22</w:t>
      </w:r>
      <w:r w:rsidR="00570AC4">
        <w:rPr>
          <w:rFonts w:ascii="Times New Roman" w:eastAsia="Calibri" w:hAnsi="Times New Roman" w:cs="Times New Roman"/>
          <w:b/>
          <w:bCs/>
          <w:sz w:val="24"/>
          <w:szCs w:val="24"/>
          <w:vertAlign w:val="superscript"/>
        </w:rPr>
        <w:t>)</w:t>
      </w:r>
      <w:r w:rsidR="00570AC4" w:rsidRPr="00570AC4">
        <w:rPr>
          <w:rFonts w:ascii="Times New Roman" w:eastAsia="Calibri" w:hAnsi="Times New Roman" w:cs="Times New Roman"/>
          <w:sz w:val="24"/>
          <w:szCs w:val="24"/>
        </w:rPr>
        <w:t>.</w:t>
      </w:r>
    </w:p>
    <w:p w:rsidR="005566AC" w:rsidRPr="00570AC4" w:rsidRDefault="005566AC" w:rsidP="00445A9E">
      <w:pPr>
        <w:autoSpaceDE w:val="0"/>
        <w:autoSpaceDN w:val="0"/>
        <w:bidi w:val="0"/>
        <w:adjustRightInd w:val="0"/>
        <w:spacing w:after="0" w:line="360" w:lineRule="auto"/>
        <w:jc w:val="both"/>
        <w:rPr>
          <w:rFonts w:asciiTheme="majorBidi" w:hAnsiTheme="majorBidi" w:cstheme="majorBidi"/>
          <w:color w:val="000000"/>
          <w:sz w:val="24"/>
          <w:szCs w:val="24"/>
        </w:rPr>
      </w:pPr>
      <w:r w:rsidRPr="003D60F1">
        <w:rPr>
          <w:rFonts w:ascii="Times New Roman" w:eastAsia="Calibri" w:hAnsi="Times New Roman" w:cs="Times New Roman"/>
          <w:sz w:val="24"/>
          <w:szCs w:val="24"/>
        </w:rPr>
        <w:t xml:space="preserve">In this study, the results showed that MRSA isolates were resistant to levofloxacin100 %, </w:t>
      </w:r>
      <w:r w:rsidRPr="003D60F1">
        <w:rPr>
          <w:rFonts w:ascii="Times New Roman" w:eastAsia="Times New Roman" w:hAnsi="Times New Roman" w:cs="Times New Roman"/>
          <w:color w:val="000000"/>
          <w:sz w:val="24"/>
          <w:szCs w:val="24"/>
        </w:rPr>
        <w:t>amoxicillin/clavulinic acid</w:t>
      </w:r>
      <w:r w:rsidRPr="003D60F1">
        <w:rPr>
          <w:rFonts w:ascii="Times New Roman" w:eastAsia="Calibri" w:hAnsi="Times New Roman" w:cs="Times New Roman"/>
          <w:sz w:val="24"/>
          <w:szCs w:val="24"/>
        </w:rPr>
        <w:t>100%, moxif</w:t>
      </w:r>
      <w:r w:rsidR="00692467">
        <w:rPr>
          <w:rFonts w:ascii="Times New Roman" w:eastAsia="Calibri" w:hAnsi="Times New Roman" w:cs="Times New Roman"/>
          <w:sz w:val="24"/>
          <w:szCs w:val="24"/>
        </w:rPr>
        <w:t>loxacin 76%, gentamicin 94</w:t>
      </w:r>
      <w:r w:rsidR="001E5272">
        <w:rPr>
          <w:rFonts w:ascii="Times New Roman" w:eastAsia="Calibri" w:hAnsi="Times New Roman" w:cs="Times New Roman"/>
          <w:sz w:val="24"/>
          <w:szCs w:val="24"/>
        </w:rPr>
        <w:t xml:space="preserve">%, </w:t>
      </w:r>
      <w:r w:rsidRPr="003D60F1">
        <w:rPr>
          <w:rFonts w:ascii="Times New Roman" w:eastAsia="Calibri" w:hAnsi="Times New Roman" w:cs="Times New Roman"/>
          <w:sz w:val="24"/>
          <w:szCs w:val="24"/>
        </w:rPr>
        <w:t xml:space="preserve">clindamycin 70.5%, </w:t>
      </w:r>
      <w:r w:rsidR="00692467">
        <w:rPr>
          <w:rFonts w:ascii="Times New Roman" w:eastAsia="Calibri" w:hAnsi="Times New Roman" w:cs="Times New Roman"/>
          <w:sz w:val="24"/>
          <w:szCs w:val="24"/>
        </w:rPr>
        <w:t>ciprofloxacin 97%, c</w:t>
      </w:r>
      <w:r w:rsidR="006413B2">
        <w:rPr>
          <w:rFonts w:ascii="Times New Roman" w:eastAsia="Calibri" w:hAnsi="Times New Roman" w:cs="Times New Roman"/>
          <w:sz w:val="24"/>
          <w:szCs w:val="24"/>
        </w:rPr>
        <w:t>e</w:t>
      </w:r>
      <w:r w:rsidR="00692467">
        <w:rPr>
          <w:rFonts w:ascii="Times New Roman" w:eastAsia="Calibri" w:hAnsi="Times New Roman" w:cs="Times New Roman"/>
          <w:sz w:val="24"/>
          <w:szCs w:val="24"/>
        </w:rPr>
        <w:t>furoxime 91</w:t>
      </w:r>
      <w:r w:rsidRPr="003D60F1">
        <w:rPr>
          <w:rFonts w:ascii="Times New Roman" w:eastAsia="Calibri" w:hAnsi="Times New Roman" w:cs="Times New Roman"/>
          <w:sz w:val="24"/>
          <w:szCs w:val="24"/>
        </w:rPr>
        <w:t>% erythromycin 71.5%,ampicillin/ sulbactam 94%</w:t>
      </w:r>
      <w:r w:rsidR="005D6DB3">
        <w:rPr>
          <w:rFonts w:ascii="Times New Roman" w:eastAsia="Calibri" w:hAnsi="Times New Roman" w:cs="Times New Roman"/>
          <w:sz w:val="24"/>
          <w:szCs w:val="24"/>
        </w:rPr>
        <w:t xml:space="preserve">, </w:t>
      </w:r>
      <w:r w:rsidR="006F5E1D">
        <w:rPr>
          <w:rFonts w:ascii="Times New Roman" w:eastAsia="Calibri" w:hAnsi="Times New Roman" w:cs="Times New Roman"/>
          <w:sz w:val="24"/>
          <w:szCs w:val="24"/>
        </w:rPr>
        <w:t xml:space="preserve">and </w:t>
      </w:r>
      <w:r w:rsidR="005D6DB3">
        <w:rPr>
          <w:rFonts w:ascii="Times New Roman" w:eastAsia="Calibri" w:hAnsi="Times New Roman" w:cs="Times New Roman"/>
          <w:sz w:val="24"/>
          <w:szCs w:val="24"/>
        </w:rPr>
        <w:t>imipenem</w:t>
      </w:r>
      <w:r w:rsidR="006F5E1D">
        <w:rPr>
          <w:rFonts w:ascii="Times New Roman" w:eastAsia="Calibri" w:hAnsi="Times New Roman" w:cs="Times New Roman"/>
          <w:sz w:val="24"/>
          <w:szCs w:val="24"/>
        </w:rPr>
        <w:t>55</w:t>
      </w:r>
      <w:r w:rsidR="005D6DB3">
        <w:rPr>
          <w:rFonts w:ascii="Times New Roman" w:eastAsia="Calibri" w:hAnsi="Times New Roman" w:cs="Times New Roman"/>
          <w:sz w:val="24"/>
          <w:szCs w:val="24"/>
        </w:rPr>
        <w:t>%</w:t>
      </w:r>
      <w:r w:rsidRPr="003D60F1">
        <w:rPr>
          <w:rFonts w:ascii="Times New Roman" w:eastAsia="Calibri" w:hAnsi="Times New Roman" w:cs="Times New Roman"/>
          <w:sz w:val="24"/>
          <w:szCs w:val="24"/>
        </w:rPr>
        <w:t xml:space="preserve">. The highest frequency of sensitivity (100 %) was observed with </w:t>
      </w:r>
      <w:commentRangeStart w:id="53"/>
      <w:r w:rsidRPr="003D60F1">
        <w:rPr>
          <w:rFonts w:ascii="Times New Roman" w:eastAsia="Calibri" w:hAnsi="Times New Roman" w:cs="Times New Roman"/>
          <w:sz w:val="24"/>
          <w:szCs w:val="24"/>
        </w:rPr>
        <w:t>trimethoprim/sulfamethoxazole</w:t>
      </w:r>
      <w:commentRangeEnd w:id="53"/>
      <w:r w:rsidR="00AB562D">
        <w:rPr>
          <w:rStyle w:val="CommentReference"/>
        </w:rPr>
        <w:commentReference w:id="53"/>
      </w:r>
      <w:r w:rsidRPr="003D60F1">
        <w:rPr>
          <w:rFonts w:ascii="Times New Roman" w:eastAsia="Calibri" w:hAnsi="Times New Roman" w:cs="Times New Roman"/>
          <w:sz w:val="24"/>
          <w:szCs w:val="24"/>
        </w:rPr>
        <w:t xml:space="preserve">, linezolide, and </w:t>
      </w:r>
      <w:r w:rsidRPr="003D60F1">
        <w:rPr>
          <w:rFonts w:ascii="Times New Roman" w:eastAsia="Calibri" w:hAnsi="Times New Roman" w:cs="Times New Roman"/>
          <w:sz w:val="24"/>
          <w:szCs w:val="24"/>
        </w:rPr>
        <w:lastRenderedPageBreak/>
        <w:t>vancomycin</w:t>
      </w:r>
      <w:r w:rsidR="006F5E1D">
        <w:rPr>
          <w:rFonts w:asciiTheme="majorBidi" w:hAnsiTheme="majorBidi" w:cstheme="majorBidi"/>
          <w:sz w:val="24"/>
          <w:szCs w:val="24"/>
        </w:rPr>
        <w:t>. Multidrug</w:t>
      </w:r>
      <w:r w:rsidRPr="003D60F1">
        <w:rPr>
          <w:rFonts w:asciiTheme="majorBidi" w:hAnsiTheme="majorBidi" w:cstheme="majorBidi"/>
          <w:sz w:val="24"/>
          <w:szCs w:val="24"/>
        </w:rPr>
        <w:t xml:space="preserve">-resistance </w:t>
      </w:r>
      <w:r w:rsidR="00857756">
        <w:rPr>
          <w:rFonts w:asciiTheme="majorBidi" w:hAnsiTheme="majorBidi" w:cstheme="majorBidi"/>
          <w:sz w:val="24"/>
          <w:szCs w:val="24"/>
        </w:rPr>
        <w:t xml:space="preserve">madethe </w:t>
      </w:r>
      <w:r w:rsidRPr="003D60F1">
        <w:rPr>
          <w:rFonts w:asciiTheme="majorBidi" w:hAnsiTheme="majorBidi" w:cstheme="majorBidi"/>
          <w:sz w:val="24"/>
          <w:szCs w:val="24"/>
        </w:rPr>
        <w:t>treatment</w:t>
      </w:r>
      <w:r w:rsidR="0041110F">
        <w:rPr>
          <w:rFonts w:asciiTheme="majorBidi" w:hAnsiTheme="majorBidi" w:cstheme="majorBidi"/>
          <w:sz w:val="24"/>
          <w:szCs w:val="24"/>
        </w:rPr>
        <w:t xml:space="preserve"> of MRSA</w:t>
      </w:r>
      <w:r w:rsidRPr="003D60F1">
        <w:rPr>
          <w:rFonts w:asciiTheme="majorBidi" w:hAnsiTheme="majorBidi" w:cstheme="majorBidi"/>
          <w:sz w:val="24"/>
          <w:szCs w:val="24"/>
        </w:rPr>
        <w:t xml:space="preserve"> more difficult. This may be due to </w:t>
      </w:r>
      <w:r w:rsidR="0064281A">
        <w:rPr>
          <w:rFonts w:asciiTheme="majorBidi" w:hAnsiTheme="majorBidi" w:cstheme="majorBidi"/>
          <w:sz w:val="24"/>
          <w:szCs w:val="24"/>
        </w:rPr>
        <w:t xml:space="preserve">dispensing </w:t>
      </w:r>
      <w:r w:rsidRPr="003D60F1">
        <w:rPr>
          <w:rFonts w:asciiTheme="majorBidi" w:hAnsiTheme="majorBidi" w:cstheme="majorBidi"/>
          <w:sz w:val="24"/>
          <w:szCs w:val="24"/>
        </w:rPr>
        <w:t>antibiotics</w:t>
      </w:r>
      <w:r w:rsidR="0064281A">
        <w:rPr>
          <w:rFonts w:asciiTheme="majorBidi" w:hAnsiTheme="majorBidi" w:cstheme="majorBidi"/>
          <w:sz w:val="24"/>
          <w:szCs w:val="24"/>
        </w:rPr>
        <w:t xml:space="preserve"> without prescription</w:t>
      </w:r>
      <w:r w:rsidRPr="003D60F1">
        <w:rPr>
          <w:rFonts w:asciiTheme="majorBidi" w:hAnsiTheme="majorBidi" w:cstheme="majorBidi"/>
          <w:sz w:val="24"/>
          <w:szCs w:val="24"/>
        </w:rPr>
        <w:t xml:space="preserve"> and inappropriate </w:t>
      </w:r>
      <w:r w:rsidR="006158B8">
        <w:rPr>
          <w:rFonts w:asciiTheme="majorBidi" w:hAnsiTheme="majorBidi" w:cstheme="majorBidi"/>
          <w:sz w:val="24"/>
          <w:szCs w:val="24"/>
        </w:rPr>
        <w:t>selection</w:t>
      </w:r>
      <w:r w:rsidRPr="003D60F1">
        <w:rPr>
          <w:rFonts w:asciiTheme="majorBidi" w:hAnsiTheme="majorBidi" w:cstheme="majorBidi"/>
          <w:sz w:val="24"/>
          <w:szCs w:val="24"/>
        </w:rPr>
        <w:t xml:space="preserve"> of antibiotics</w:t>
      </w:r>
      <w:r w:rsidR="006158B8">
        <w:rPr>
          <w:rFonts w:asciiTheme="majorBidi" w:hAnsiTheme="majorBidi" w:cstheme="majorBidi"/>
          <w:sz w:val="24"/>
          <w:szCs w:val="24"/>
        </w:rPr>
        <w:t xml:space="preserve"> for infection</w:t>
      </w:r>
      <w:r w:rsidR="00445A9E">
        <w:rPr>
          <w:rFonts w:asciiTheme="majorBidi" w:hAnsiTheme="majorBidi" w:cstheme="majorBidi"/>
          <w:sz w:val="24"/>
          <w:szCs w:val="24"/>
        </w:rPr>
        <w:t>s</w:t>
      </w:r>
      <w:r w:rsidR="0064281A">
        <w:rPr>
          <w:rFonts w:asciiTheme="majorBidi" w:hAnsiTheme="majorBidi" w:cstheme="majorBidi"/>
          <w:sz w:val="24"/>
          <w:szCs w:val="24"/>
        </w:rPr>
        <w:t xml:space="preserve"> as empirical treatment</w:t>
      </w:r>
      <w:r w:rsidRPr="003D60F1">
        <w:rPr>
          <w:rFonts w:asciiTheme="majorBidi" w:hAnsiTheme="majorBidi" w:cstheme="majorBidi"/>
          <w:sz w:val="24"/>
          <w:szCs w:val="24"/>
        </w:rPr>
        <w:t xml:space="preserve"> world</w:t>
      </w:r>
      <w:r w:rsidR="0064281A">
        <w:rPr>
          <w:rFonts w:asciiTheme="majorBidi" w:hAnsiTheme="majorBidi" w:cstheme="majorBidi"/>
          <w:sz w:val="24"/>
          <w:szCs w:val="24"/>
        </w:rPr>
        <w:t>wide</w:t>
      </w:r>
      <w:r w:rsidRPr="003D60F1">
        <w:rPr>
          <w:rFonts w:asciiTheme="majorBidi" w:hAnsiTheme="majorBidi" w:cstheme="majorBidi"/>
          <w:sz w:val="24"/>
          <w:szCs w:val="24"/>
        </w:rPr>
        <w:t xml:space="preserve">. </w:t>
      </w:r>
      <w:r w:rsidR="00561B25">
        <w:rPr>
          <w:rFonts w:ascii="Times New Roman" w:hAnsi="Times New Roman" w:cs="Times New Roman"/>
          <w:color w:val="000000"/>
          <w:sz w:val="24"/>
          <w:szCs w:val="24"/>
        </w:rPr>
        <w:t>Also t</w:t>
      </w:r>
      <w:r w:rsidR="00561B25" w:rsidRPr="0099406C">
        <w:rPr>
          <w:rFonts w:ascii="Times New Roman" w:hAnsi="Times New Roman" w:cs="Times New Roman"/>
          <w:color w:val="000000"/>
          <w:sz w:val="24"/>
          <w:szCs w:val="24"/>
        </w:rPr>
        <w:t xml:space="preserve">he use of broad-spectrum antibiotics for treating infections </w:t>
      </w:r>
      <w:r w:rsidR="00561B25">
        <w:rPr>
          <w:rFonts w:ascii="Times New Roman" w:hAnsi="Times New Roman" w:cs="Times New Roman"/>
          <w:color w:val="000000"/>
          <w:sz w:val="24"/>
          <w:szCs w:val="24"/>
        </w:rPr>
        <w:t>such as imipenem</w:t>
      </w:r>
      <w:r w:rsidR="00445A9E">
        <w:rPr>
          <w:rFonts w:ascii="Times New Roman" w:hAnsi="Times New Roman" w:cs="Times New Roman"/>
          <w:color w:val="000000"/>
          <w:sz w:val="24"/>
          <w:szCs w:val="24"/>
        </w:rPr>
        <w:t xml:space="preserve"> may beincrease</w:t>
      </w:r>
      <w:r w:rsidR="00561B25" w:rsidRPr="0099406C">
        <w:rPr>
          <w:rFonts w:ascii="Times New Roman" w:hAnsi="Times New Roman" w:cs="Times New Roman"/>
          <w:color w:val="000000"/>
          <w:sz w:val="24"/>
          <w:szCs w:val="24"/>
        </w:rPr>
        <w:t xml:space="preserve"> the rate of MRSA and other resistant pathogens, so a more careful monitoring of antibiotics should be </w:t>
      </w:r>
      <w:commentRangeStart w:id="54"/>
      <w:r w:rsidR="00561B25" w:rsidRPr="0099406C">
        <w:rPr>
          <w:rFonts w:ascii="Times New Roman" w:hAnsi="Times New Roman" w:cs="Times New Roman"/>
          <w:color w:val="000000"/>
          <w:sz w:val="24"/>
          <w:szCs w:val="24"/>
        </w:rPr>
        <w:t>instituted.</w:t>
      </w:r>
      <w:r w:rsidRPr="003D60F1">
        <w:rPr>
          <w:rFonts w:asciiTheme="majorBidi" w:hAnsiTheme="majorBidi" w:cstheme="majorBidi"/>
          <w:sz w:val="24"/>
          <w:szCs w:val="24"/>
        </w:rPr>
        <w:t xml:space="preserve">Vancomycin </w:t>
      </w:r>
      <w:commentRangeEnd w:id="54"/>
      <w:r w:rsidR="00AB562D">
        <w:rPr>
          <w:rStyle w:val="CommentReference"/>
        </w:rPr>
        <w:commentReference w:id="54"/>
      </w:r>
      <w:r w:rsidRPr="003D60F1">
        <w:rPr>
          <w:rFonts w:asciiTheme="majorBidi" w:hAnsiTheme="majorBidi" w:cstheme="majorBidi"/>
          <w:sz w:val="24"/>
          <w:szCs w:val="24"/>
        </w:rPr>
        <w:t xml:space="preserve">is the universally accepted drug </w:t>
      </w:r>
      <w:commentRangeStart w:id="55"/>
      <w:r w:rsidRPr="003D60F1">
        <w:rPr>
          <w:rFonts w:asciiTheme="majorBidi" w:hAnsiTheme="majorBidi" w:cstheme="majorBidi"/>
          <w:sz w:val="24"/>
          <w:szCs w:val="24"/>
        </w:rPr>
        <w:t>ofchoic</w:t>
      </w:r>
      <w:commentRangeEnd w:id="55"/>
      <w:r w:rsidR="00AB562D">
        <w:rPr>
          <w:rStyle w:val="CommentReference"/>
        </w:rPr>
        <w:commentReference w:id="55"/>
      </w:r>
      <w:r w:rsidRPr="003D60F1">
        <w:rPr>
          <w:rFonts w:asciiTheme="majorBidi" w:hAnsiTheme="majorBidi" w:cstheme="majorBidi"/>
          <w:sz w:val="24"/>
          <w:szCs w:val="24"/>
        </w:rPr>
        <w:t xml:space="preserve">e. </w:t>
      </w:r>
      <w:commentRangeStart w:id="56"/>
      <w:r w:rsidRPr="003D60F1">
        <w:rPr>
          <w:rFonts w:asciiTheme="majorBidi" w:hAnsiTheme="majorBidi" w:cstheme="majorBidi"/>
          <w:sz w:val="24"/>
          <w:szCs w:val="24"/>
        </w:rPr>
        <w:t xml:space="preserve">We found all MRSA isolates to be susceptible to vancomycin. Similar results have been </w:t>
      </w:r>
      <w:r>
        <w:rPr>
          <w:rFonts w:asciiTheme="majorBidi" w:hAnsiTheme="majorBidi" w:cstheme="majorBidi"/>
          <w:sz w:val="24"/>
          <w:szCs w:val="24"/>
        </w:rPr>
        <w:t>reported</w:t>
      </w:r>
      <w:r w:rsidRPr="003D60F1">
        <w:rPr>
          <w:rFonts w:asciiTheme="majorBidi" w:hAnsiTheme="majorBidi" w:cstheme="majorBidi"/>
          <w:sz w:val="24"/>
          <w:szCs w:val="24"/>
        </w:rPr>
        <w:t xml:space="preserve"> by other authors</w:t>
      </w:r>
      <w:r w:rsidR="001E5272" w:rsidRPr="001E5272">
        <w:rPr>
          <w:rFonts w:asciiTheme="majorBidi" w:hAnsiTheme="majorBidi" w:cstheme="majorBidi"/>
          <w:b/>
          <w:bCs/>
          <w:sz w:val="24"/>
          <w:szCs w:val="24"/>
          <w:vertAlign w:val="superscript"/>
        </w:rPr>
        <w:t>(</w:t>
      </w:r>
      <w:r w:rsidR="00F76585">
        <w:rPr>
          <w:rFonts w:asciiTheme="majorBidi" w:hAnsiTheme="majorBidi" w:cstheme="majorBidi"/>
          <w:b/>
          <w:bCs/>
          <w:sz w:val="24"/>
          <w:szCs w:val="24"/>
          <w:vertAlign w:val="superscript"/>
        </w:rPr>
        <w:t>23</w:t>
      </w:r>
      <w:r w:rsidR="001E5272" w:rsidRPr="001E5272">
        <w:rPr>
          <w:rFonts w:asciiTheme="majorBidi" w:hAnsiTheme="majorBidi" w:cstheme="majorBidi"/>
          <w:b/>
          <w:bCs/>
          <w:sz w:val="24"/>
          <w:szCs w:val="24"/>
          <w:vertAlign w:val="superscript"/>
        </w:rPr>
        <w:t>,</w:t>
      </w:r>
      <w:r w:rsidR="00F76585">
        <w:rPr>
          <w:rFonts w:asciiTheme="majorBidi" w:hAnsiTheme="majorBidi" w:cstheme="majorBidi"/>
          <w:b/>
          <w:bCs/>
          <w:sz w:val="24"/>
          <w:szCs w:val="24"/>
          <w:vertAlign w:val="superscript"/>
        </w:rPr>
        <w:t>24</w:t>
      </w:r>
      <w:r w:rsidR="001E5272" w:rsidRPr="001E5272">
        <w:rPr>
          <w:rFonts w:asciiTheme="majorBidi" w:hAnsiTheme="majorBidi" w:cstheme="majorBidi"/>
          <w:b/>
          <w:bCs/>
          <w:sz w:val="24"/>
          <w:szCs w:val="24"/>
          <w:vertAlign w:val="superscript"/>
        </w:rPr>
        <w:t>)</w:t>
      </w:r>
      <w:r w:rsidRPr="003D60F1">
        <w:rPr>
          <w:rFonts w:asciiTheme="majorBidi" w:hAnsiTheme="majorBidi" w:cstheme="majorBidi"/>
          <w:sz w:val="24"/>
          <w:szCs w:val="24"/>
        </w:rPr>
        <w:t xml:space="preserve">. </w:t>
      </w:r>
    </w:p>
    <w:p w:rsidR="005566AC" w:rsidRPr="00B43750" w:rsidRDefault="005566AC" w:rsidP="00B43750">
      <w:pPr>
        <w:autoSpaceDE w:val="0"/>
        <w:autoSpaceDN w:val="0"/>
        <w:bidi w:val="0"/>
        <w:adjustRightInd w:val="0"/>
        <w:spacing w:after="0" w:line="360" w:lineRule="auto"/>
        <w:jc w:val="both"/>
        <w:rPr>
          <w:rFonts w:asciiTheme="majorBidi" w:hAnsiTheme="majorBidi" w:cstheme="majorBidi"/>
          <w:sz w:val="24"/>
          <w:szCs w:val="24"/>
        </w:rPr>
      </w:pPr>
      <w:r w:rsidRPr="001E0388">
        <w:rPr>
          <w:rFonts w:asciiTheme="majorBidi" w:hAnsiTheme="majorBidi" w:cstheme="majorBidi"/>
          <w:sz w:val="24"/>
          <w:szCs w:val="24"/>
        </w:rPr>
        <w:t>Resistant to quinolones (</w:t>
      </w:r>
      <w:r>
        <w:rPr>
          <w:rFonts w:asciiTheme="majorBidi" w:hAnsiTheme="majorBidi" w:cstheme="majorBidi"/>
          <w:sz w:val="24"/>
          <w:szCs w:val="24"/>
        </w:rPr>
        <w:t>Levofloxacin, ciprofloxacin, and moxifloxacin</w:t>
      </w:r>
      <w:r w:rsidRPr="001E0388">
        <w:rPr>
          <w:rFonts w:asciiTheme="majorBidi" w:hAnsiTheme="majorBidi" w:cstheme="majorBidi"/>
          <w:sz w:val="24"/>
          <w:szCs w:val="24"/>
        </w:rPr>
        <w:t>) was high (</w:t>
      </w:r>
      <w:r>
        <w:rPr>
          <w:rFonts w:asciiTheme="majorBidi" w:hAnsiTheme="majorBidi" w:cstheme="majorBidi"/>
          <w:sz w:val="24"/>
          <w:szCs w:val="24"/>
        </w:rPr>
        <w:t>100, 97</w:t>
      </w:r>
      <w:r w:rsidRPr="001E0388">
        <w:rPr>
          <w:rFonts w:asciiTheme="majorBidi" w:hAnsiTheme="majorBidi" w:cstheme="majorBidi"/>
          <w:sz w:val="24"/>
          <w:szCs w:val="24"/>
        </w:rPr>
        <w:t>%</w:t>
      </w:r>
      <w:r>
        <w:rPr>
          <w:rFonts w:asciiTheme="majorBidi" w:hAnsiTheme="majorBidi" w:cstheme="majorBidi"/>
          <w:sz w:val="24"/>
          <w:szCs w:val="24"/>
        </w:rPr>
        <w:t xml:space="preserve">, and 76%; </w:t>
      </w:r>
      <w:r w:rsidR="007B4BFD">
        <w:rPr>
          <w:rFonts w:asciiTheme="majorBidi" w:hAnsiTheme="majorBidi" w:cstheme="majorBidi"/>
          <w:sz w:val="24"/>
          <w:szCs w:val="24"/>
        </w:rPr>
        <w:t>respectively</w:t>
      </w:r>
      <w:r w:rsidRPr="001E0388">
        <w:rPr>
          <w:rFonts w:asciiTheme="majorBidi" w:hAnsiTheme="majorBidi" w:cstheme="majorBidi"/>
          <w:sz w:val="24"/>
          <w:szCs w:val="24"/>
        </w:rPr>
        <w:t xml:space="preserve">) in the present study. In a </w:t>
      </w:r>
      <w:r>
        <w:rPr>
          <w:rFonts w:asciiTheme="majorBidi" w:hAnsiTheme="majorBidi" w:cstheme="majorBidi"/>
          <w:sz w:val="24"/>
          <w:szCs w:val="24"/>
        </w:rPr>
        <w:t>previous</w:t>
      </w:r>
      <w:r w:rsidRPr="001E0388">
        <w:rPr>
          <w:rFonts w:asciiTheme="majorBidi" w:hAnsiTheme="majorBidi" w:cstheme="majorBidi"/>
          <w:sz w:val="24"/>
          <w:szCs w:val="24"/>
        </w:rPr>
        <w:t xml:space="preserve"> st</w:t>
      </w:r>
      <w:r w:rsidR="001E5272">
        <w:rPr>
          <w:rFonts w:asciiTheme="majorBidi" w:hAnsiTheme="majorBidi" w:cstheme="majorBidi"/>
          <w:sz w:val="24"/>
          <w:szCs w:val="24"/>
        </w:rPr>
        <w:t xml:space="preserve">udy </w:t>
      </w:r>
      <w:r w:rsidR="001E5272" w:rsidRPr="001E5272">
        <w:rPr>
          <w:rFonts w:asciiTheme="majorBidi" w:hAnsiTheme="majorBidi" w:cstheme="majorBidi"/>
          <w:b/>
          <w:bCs/>
          <w:sz w:val="24"/>
          <w:szCs w:val="24"/>
          <w:vertAlign w:val="superscript"/>
        </w:rPr>
        <w:t>(</w:t>
      </w:r>
      <w:r w:rsidR="00F76585">
        <w:rPr>
          <w:rFonts w:asciiTheme="majorBidi" w:hAnsiTheme="majorBidi" w:cstheme="majorBidi"/>
          <w:b/>
          <w:bCs/>
          <w:sz w:val="24"/>
          <w:szCs w:val="24"/>
          <w:vertAlign w:val="superscript"/>
        </w:rPr>
        <w:t>25)</w:t>
      </w:r>
      <w:r w:rsidR="001E5272">
        <w:rPr>
          <w:rFonts w:asciiTheme="majorBidi" w:hAnsiTheme="majorBidi" w:cstheme="majorBidi"/>
          <w:b/>
          <w:bCs/>
          <w:sz w:val="24"/>
          <w:szCs w:val="24"/>
        </w:rPr>
        <w:t xml:space="preserve">, </w:t>
      </w:r>
      <w:r w:rsidRPr="001E0388">
        <w:rPr>
          <w:rFonts w:asciiTheme="majorBidi" w:hAnsiTheme="majorBidi" w:cstheme="majorBidi"/>
          <w:sz w:val="24"/>
          <w:szCs w:val="24"/>
        </w:rPr>
        <w:t>the resist</w:t>
      </w:r>
      <w:r>
        <w:rPr>
          <w:rFonts w:asciiTheme="majorBidi" w:hAnsiTheme="majorBidi" w:cstheme="majorBidi"/>
          <w:sz w:val="24"/>
          <w:szCs w:val="24"/>
        </w:rPr>
        <w:t>ant rate was also high (87.5%), b</w:t>
      </w:r>
      <w:r w:rsidRPr="001E0388">
        <w:rPr>
          <w:rFonts w:asciiTheme="majorBidi" w:hAnsiTheme="majorBidi" w:cstheme="majorBidi"/>
          <w:sz w:val="24"/>
          <w:szCs w:val="24"/>
        </w:rPr>
        <w:t>ut a</w:t>
      </w:r>
      <w:r>
        <w:rPr>
          <w:rFonts w:asciiTheme="majorBidi" w:hAnsiTheme="majorBidi" w:cstheme="majorBidi"/>
          <w:sz w:val="24"/>
          <w:szCs w:val="24"/>
        </w:rPr>
        <w:t>n</w:t>
      </w:r>
      <w:r w:rsidRPr="001E0388">
        <w:rPr>
          <w:rFonts w:asciiTheme="majorBidi" w:hAnsiTheme="majorBidi" w:cstheme="majorBidi"/>
          <w:sz w:val="24"/>
          <w:szCs w:val="24"/>
        </w:rPr>
        <w:t>o</w:t>
      </w:r>
      <w:r>
        <w:rPr>
          <w:rFonts w:asciiTheme="majorBidi" w:hAnsiTheme="majorBidi" w:cstheme="majorBidi"/>
          <w:sz w:val="24"/>
          <w:szCs w:val="24"/>
        </w:rPr>
        <w:t>ther</w:t>
      </w:r>
      <w:r w:rsidR="00882F04">
        <w:rPr>
          <w:rFonts w:asciiTheme="majorBidi" w:hAnsiTheme="majorBidi" w:cstheme="majorBidi"/>
          <w:sz w:val="24"/>
          <w:szCs w:val="24"/>
        </w:rPr>
        <w:t xml:space="preserve"> study </w:t>
      </w:r>
      <w:r w:rsidR="00882F04" w:rsidRPr="00882F04">
        <w:rPr>
          <w:rFonts w:asciiTheme="majorBidi" w:hAnsiTheme="majorBidi" w:cstheme="majorBidi"/>
          <w:b/>
          <w:bCs/>
          <w:sz w:val="24"/>
          <w:szCs w:val="24"/>
          <w:vertAlign w:val="superscript"/>
        </w:rPr>
        <w:t>(</w:t>
      </w:r>
      <w:r w:rsidR="00F76585">
        <w:rPr>
          <w:rFonts w:asciiTheme="majorBidi" w:hAnsiTheme="majorBidi" w:cstheme="majorBidi"/>
          <w:b/>
          <w:bCs/>
          <w:sz w:val="24"/>
          <w:szCs w:val="24"/>
          <w:vertAlign w:val="superscript"/>
        </w:rPr>
        <w:t>26</w:t>
      </w:r>
      <w:r w:rsidR="00882F04" w:rsidRPr="00882F04">
        <w:rPr>
          <w:rFonts w:asciiTheme="majorBidi" w:hAnsiTheme="majorBidi" w:cstheme="majorBidi"/>
          <w:b/>
          <w:bCs/>
          <w:sz w:val="24"/>
          <w:szCs w:val="24"/>
          <w:vertAlign w:val="superscript"/>
        </w:rPr>
        <w:t>)</w:t>
      </w:r>
      <w:r w:rsidRPr="001E0388">
        <w:rPr>
          <w:rFonts w:asciiTheme="majorBidi" w:hAnsiTheme="majorBidi" w:cstheme="majorBidi"/>
          <w:sz w:val="24"/>
          <w:szCs w:val="24"/>
        </w:rPr>
        <w:t xml:space="preserve">conducted in 2003, reported </w:t>
      </w:r>
      <w:commentRangeEnd w:id="56"/>
      <w:r w:rsidR="00020C3B">
        <w:rPr>
          <w:rStyle w:val="CommentReference"/>
        </w:rPr>
        <w:commentReference w:id="56"/>
      </w:r>
      <w:r w:rsidRPr="001E0388">
        <w:rPr>
          <w:rFonts w:asciiTheme="majorBidi" w:hAnsiTheme="majorBidi" w:cstheme="majorBidi"/>
          <w:sz w:val="24"/>
          <w:szCs w:val="24"/>
        </w:rPr>
        <w:t xml:space="preserve">the resistant rate of ciprofloxacin to be only 32.6%. The rapid emergence of quinolones </w:t>
      </w:r>
      <w:r w:rsidR="00137D36">
        <w:rPr>
          <w:rFonts w:asciiTheme="majorBidi" w:hAnsiTheme="majorBidi" w:cstheme="majorBidi"/>
          <w:sz w:val="24"/>
          <w:szCs w:val="24"/>
        </w:rPr>
        <w:t>was</w:t>
      </w:r>
      <w:r w:rsidRPr="001E0388">
        <w:rPr>
          <w:rFonts w:asciiTheme="majorBidi" w:hAnsiTheme="majorBidi" w:cstheme="majorBidi"/>
          <w:sz w:val="24"/>
          <w:szCs w:val="24"/>
        </w:rPr>
        <w:t xml:space="preserve"> probably due to the indiscriminate empirical use of these drugs.</w:t>
      </w:r>
      <w:r w:rsidRPr="007B4BFD">
        <w:rPr>
          <w:rFonts w:asciiTheme="majorBidi" w:hAnsiTheme="majorBidi" w:cstheme="majorBidi"/>
          <w:sz w:val="24"/>
          <w:szCs w:val="24"/>
        </w:rPr>
        <w:t xml:space="preserve">An important finding of the present study was that the MRSA cases from ICU accounted for 17.6 % of all cases. </w:t>
      </w:r>
      <w:commentRangeStart w:id="57"/>
      <w:r w:rsidRPr="007B4BFD">
        <w:rPr>
          <w:rFonts w:asciiTheme="majorBidi" w:hAnsiTheme="majorBidi" w:cstheme="majorBidi"/>
          <w:sz w:val="24"/>
          <w:szCs w:val="24"/>
        </w:rPr>
        <w:t xml:space="preserve">Our </w:t>
      </w:r>
      <w:commentRangeEnd w:id="57"/>
      <w:r w:rsidR="0019491F">
        <w:rPr>
          <w:rStyle w:val="CommentReference"/>
        </w:rPr>
        <w:commentReference w:id="57"/>
      </w:r>
      <w:r w:rsidRPr="007B4BFD">
        <w:rPr>
          <w:rFonts w:asciiTheme="majorBidi" w:hAnsiTheme="majorBidi" w:cstheme="majorBidi"/>
          <w:sz w:val="24"/>
          <w:szCs w:val="24"/>
        </w:rPr>
        <w:t xml:space="preserve">finding </w:t>
      </w:r>
      <w:r w:rsidR="00137D36">
        <w:rPr>
          <w:rFonts w:asciiTheme="majorBidi" w:hAnsiTheme="majorBidi" w:cstheme="majorBidi"/>
          <w:sz w:val="24"/>
          <w:szCs w:val="24"/>
        </w:rPr>
        <w:t>was</w:t>
      </w:r>
      <w:r w:rsidRPr="007B4BFD">
        <w:rPr>
          <w:rFonts w:asciiTheme="majorBidi" w:hAnsiTheme="majorBidi" w:cstheme="majorBidi"/>
          <w:sz w:val="24"/>
          <w:szCs w:val="24"/>
        </w:rPr>
        <w:t xml:space="preserve"> in agreement with the findings of Dominique et al</w:t>
      </w:r>
      <w:r w:rsidR="0025009F" w:rsidRPr="007B4BFD">
        <w:rPr>
          <w:rFonts w:asciiTheme="majorBidi" w:hAnsiTheme="majorBidi" w:cstheme="majorBidi"/>
          <w:sz w:val="24"/>
          <w:szCs w:val="24"/>
        </w:rPr>
        <w:t xml:space="preserve">. </w:t>
      </w:r>
      <w:r w:rsidR="0025009F" w:rsidRPr="007B4BFD">
        <w:rPr>
          <w:rFonts w:asciiTheme="majorBidi" w:hAnsiTheme="majorBidi" w:cstheme="majorBidi"/>
          <w:b/>
          <w:bCs/>
          <w:sz w:val="24"/>
          <w:szCs w:val="24"/>
          <w:vertAlign w:val="superscript"/>
        </w:rPr>
        <w:t>(</w:t>
      </w:r>
      <w:r w:rsidR="00F76585" w:rsidRPr="007B4BFD">
        <w:rPr>
          <w:rFonts w:asciiTheme="majorBidi" w:hAnsiTheme="majorBidi" w:cstheme="majorBidi"/>
          <w:b/>
          <w:bCs/>
          <w:sz w:val="24"/>
          <w:szCs w:val="24"/>
          <w:vertAlign w:val="superscript"/>
        </w:rPr>
        <w:t>27</w:t>
      </w:r>
      <w:r w:rsidR="0025009F" w:rsidRPr="007B4BFD">
        <w:rPr>
          <w:rFonts w:asciiTheme="majorBidi" w:hAnsiTheme="majorBidi" w:cstheme="majorBidi"/>
          <w:b/>
          <w:bCs/>
          <w:sz w:val="24"/>
          <w:szCs w:val="24"/>
          <w:vertAlign w:val="superscript"/>
        </w:rPr>
        <w:t>)</w:t>
      </w:r>
      <w:r w:rsidRPr="007B4BFD">
        <w:rPr>
          <w:rFonts w:asciiTheme="majorBidi" w:hAnsiTheme="majorBidi" w:cstheme="majorBidi"/>
          <w:sz w:val="24"/>
          <w:szCs w:val="24"/>
        </w:rPr>
        <w:t>from Switzerland. Also slightly higher than study conducted in 2003 from Nebal, reported the MRSA cases from ICU was only 10% from all MRSA cases</w:t>
      </w:r>
      <w:r w:rsidR="0025009F" w:rsidRPr="007B4BFD">
        <w:rPr>
          <w:rFonts w:asciiTheme="majorBidi" w:hAnsiTheme="majorBidi" w:cstheme="majorBidi"/>
          <w:b/>
          <w:bCs/>
          <w:sz w:val="24"/>
          <w:szCs w:val="24"/>
          <w:vertAlign w:val="superscript"/>
        </w:rPr>
        <w:t>(37)</w:t>
      </w:r>
      <w:r w:rsidRPr="007B4BFD">
        <w:rPr>
          <w:rFonts w:asciiTheme="majorBidi" w:hAnsiTheme="majorBidi" w:cstheme="majorBidi"/>
          <w:sz w:val="24"/>
          <w:szCs w:val="24"/>
        </w:rPr>
        <w:t xml:space="preserve">. </w:t>
      </w:r>
      <w:r w:rsidR="007B4BFD" w:rsidRPr="007B4BFD">
        <w:rPr>
          <w:rFonts w:asciiTheme="majorBidi" w:hAnsiTheme="majorBidi" w:cstheme="majorBidi"/>
          <w:sz w:val="24"/>
          <w:szCs w:val="24"/>
        </w:rPr>
        <w:t>A</w:t>
      </w:r>
      <w:r w:rsidRPr="007B4BFD">
        <w:rPr>
          <w:rFonts w:asciiTheme="majorBidi" w:hAnsiTheme="majorBidi" w:cstheme="majorBidi"/>
          <w:sz w:val="24"/>
          <w:szCs w:val="24"/>
        </w:rPr>
        <w:t xml:space="preserve"> European study on prevalence of MRSA infection on samples from intensive care, estimated close to 65%</w:t>
      </w:r>
      <w:r w:rsidR="0025009F" w:rsidRPr="007B4BFD">
        <w:rPr>
          <w:rFonts w:asciiTheme="majorBidi" w:hAnsiTheme="majorBidi" w:cstheme="majorBidi"/>
          <w:b/>
          <w:bCs/>
          <w:sz w:val="24"/>
          <w:szCs w:val="24"/>
          <w:vertAlign w:val="superscript"/>
        </w:rPr>
        <w:t>(</w:t>
      </w:r>
      <w:r w:rsidR="00F76585" w:rsidRPr="007B4BFD">
        <w:rPr>
          <w:rFonts w:asciiTheme="majorBidi" w:hAnsiTheme="majorBidi" w:cstheme="majorBidi"/>
          <w:b/>
          <w:bCs/>
          <w:sz w:val="24"/>
          <w:szCs w:val="24"/>
          <w:vertAlign w:val="superscript"/>
        </w:rPr>
        <w:t>28</w:t>
      </w:r>
      <w:r w:rsidR="0025009F" w:rsidRPr="007B4BFD">
        <w:rPr>
          <w:rFonts w:asciiTheme="majorBidi" w:hAnsiTheme="majorBidi" w:cstheme="majorBidi"/>
          <w:b/>
          <w:bCs/>
          <w:sz w:val="24"/>
          <w:szCs w:val="24"/>
          <w:vertAlign w:val="superscript"/>
        </w:rPr>
        <w:t>)</w:t>
      </w:r>
      <w:r w:rsidR="00551601" w:rsidRPr="007B4BFD">
        <w:rPr>
          <w:rFonts w:asciiTheme="majorBidi" w:hAnsiTheme="majorBidi" w:cstheme="majorBidi"/>
          <w:sz w:val="24"/>
          <w:szCs w:val="24"/>
        </w:rPr>
        <w:t xml:space="preserve">. </w:t>
      </w:r>
      <w:r w:rsidR="006C1386">
        <w:rPr>
          <w:rFonts w:asciiTheme="majorBidi" w:hAnsiTheme="majorBidi" w:cstheme="majorBidi"/>
          <w:sz w:val="24"/>
          <w:szCs w:val="24"/>
        </w:rPr>
        <w:t>I</w:t>
      </w:r>
      <w:r w:rsidR="006C1386" w:rsidRPr="006C1386">
        <w:rPr>
          <w:rFonts w:asciiTheme="majorBidi" w:hAnsiTheme="majorBidi" w:cstheme="majorBidi"/>
          <w:sz w:val="24"/>
          <w:szCs w:val="24"/>
        </w:rPr>
        <w:t>n the present study</w:t>
      </w:r>
      <w:r w:rsidR="006C1386">
        <w:rPr>
          <w:rFonts w:asciiTheme="majorBidi" w:hAnsiTheme="majorBidi" w:cstheme="majorBidi"/>
          <w:sz w:val="24"/>
          <w:szCs w:val="24"/>
        </w:rPr>
        <w:t xml:space="preserve">,the </w:t>
      </w:r>
      <w:r w:rsidR="00137D36">
        <w:rPr>
          <w:rFonts w:asciiTheme="majorBidi" w:hAnsiTheme="majorBidi" w:cstheme="majorBidi"/>
          <w:sz w:val="24"/>
          <w:szCs w:val="24"/>
        </w:rPr>
        <w:t xml:space="preserve">low prevalence of MRSA, </w:t>
      </w:r>
      <w:r w:rsidRPr="007B4BFD">
        <w:rPr>
          <w:rFonts w:asciiTheme="majorBidi" w:hAnsiTheme="majorBidi" w:cstheme="majorBidi"/>
          <w:sz w:val="24"/>
          <w:szCs w:val="24"/>
        </w:rPr>
        <w:t>which included clinical samples from all hospital wards</w:t>
      </w:r>
      <w:r w:rsidR="00CB17D6">
        <w:rPr>
          <w:rFonts w:asciiTheme="majorBidi" w:hAnsiTheme="majorBidi" w:cstheme="majorBidi"/>
          <w:sz w:val="24"/>
          <w:szCs w:val="24"/>
        </w:rPr>
        <w:t xml:space="preserve">, </w:t>
      </w:r>
      <w:r w:rsidR="00CB17D6" w:rsidRPr="007B4BFD">
        <w:rPr>
          <w:rFonts w:asciiTheme="majorBidi" w:hAnsiTheme="majorBidi" w:cstheme="majorBidi"/>
          <w:color w:val="000000"/>
          <w:sz w:val="24"/>
          <w:szCs w:val="24"/>
        </w:rPr>
        <w:t>illustrate</w:t>
      </w:r>
      <w:r w:rsidR="00CB17D6">
        <w:rPr>
          <w:rFonts w:asciiTheme="majorBidi" w:hAnsiTheme="majorBidi" w:cstheme="majorBidi"/>
          <w:color w:val="000000"/>
          <w:sz w:val="24"/>
          <w:szCs w:val="24"/>
        </w:rPr>
        <w:t>d</w:t>
      </w:r>
      <w:r w:rsidRPr="007B4BFD">
        <w:rPr>
          <w:rFonts w:asciiTheme="majorBidi" w:hAnsiTheme="majorBidi" w:cstheme="majorBidi"/>
          <w:color w:val="000000"/>
          <w:sz w:val="24"/>
          <w:szCs w:val="24"/>
        </w:rPr>
        <w:t xml:space="preserve"> the efficacy of relatively good infection control practice in </w:t>
      </w:r>
      <w:r w:rsidR="00806AED">
        <w:rPr>
          <w:rFonts w:asciiTheme="majorBidi" w:hAnsiTheme="majorBidi" w:cstheme="majorBidi"/>
          <w:color w:val="000000"/>
          <w:sz w:val="24"/>
          <w:szCs w:val="24"/>
        </w:rPr>
        <w:t>the study setting</w:t>
      </w:r>
      <w:r w:rsidR="008F331C">
        <w:rPr>
          <w:rFonts w:asciiTheme="majorBidi" w:hAnsiTheme="majorBidi" w:cstheme="majorBidi"/>
          <w:color w:val="000000"/>
          <w:sz w:val="24"/>
          <w:szCs w:val="24"/>
        </w:rPr>
        <w:t xml:space="preserve">. </w:t>
      </w:r>
      <w:commentRangeStart w:id="58"/>
      <w:r w:rsidRPr="005A4358">
        <w:rPr>
          <w:rFonts w:asciiTheme="majorBidi" w:hAnsiTheme="majorBidi" w:cstheme="majorBidi"/>
          <w:sz w:val="24"/>
          <w:szCs w:val="24"/>
        </w:rPr>
        <w:t>Also maximum resistance was seen with ampicillin</w:t>
      </w:r>
      <w:r w:rsidR="00303BD7">
        <w:rPr>
          <w:rFonts w:asciiTheme="majorBidi" w:hAnsiTheme="majorBidi" w:cstheme="majorBidi"/>
          <w:sz w:val="24"/>
          <w:szCs w:val="24"/>
        </w:rPr>
        <w:t>-sulbactam</w:t>
      </w:r>
      <w:r w:rsidRPr="005A4358">
        <w:rPr>
          <w:rFonts w:asciiTheme="majorBidi" w:hAnsiTheme="majorBidi" w:cstheme="majorBidi"/>
          <w:sz w:val="24"/>
          <w:szCs w:val="24"/>
        </w:rPr>
        <w:t>, amoxicillin</w:t>
      </w:r>
      <w:r w:rsidR="00303BD7">
        <w:rPr>
          <w:rFonts w:asciiTheme="majorBidi" w:hAnsiTheme="majorBidi" w:cstheme="majorBidi"/>
          <w:b/>
          <w:bCs/>
          <w:sz w:val="24"/>
          <w:szCs w:val="24"/>
        </w:rPr>
        <w:t>-</w:t>
      </w:r>
      <w:r w:rsidR="00303BD7" w:rsidRPr="00303BD7">
        <w:rPr>
          <w:rFonts w:asciiTheme="majorBidi" w:hAnsiTheme="majorBidi" w:cstheme="majorBidi"/>
          <w:sz w:val="24"/>
          <w:szCs w:val="24"/>
        </w:rPr>
        <w:t>clavulanic</w:t>
      </w:r>
      <w:r w:rsidR="00303BD7">
        <w:rPr>
          <w:rFonts w:asciiTheme="majorBidi" w:hAnsiTheme="majorBidi" w:cstheme="majorBidi"/>
          <w:sz w:val="24"/>
          <w:szCs w:val="24"/>
        </w:rPr>
        <w:t>and gentamicin (</w:t>
      </w:r>
      <w:commentRangeStart w:id="59"/>
      <w:r w:rsidR="00303BD7">
        <w:rPr>
          <w:rFonts w:asciiTheme="majorBidi" w:hAnsiTheme="majorBidi" w:cstheme="majorBidi"/>
          <w:sz w:val="24"/>
          <w:szCs w:val="24"/>
        </w:rPr>
        <w:t>table</w:t>
      </w:r>
      <w:commentRangeEnd w:id="59"/>
      <w:r w:rsidR="000861A8">
        <w:rPr>
          <w:rStyle w:val="CommentReference"/>
        </w:rPr>
        <w:commentReference w:id="59"/>
      </w:r>
      <w:r w:rsidR="00303BD7">
        <w:rPr>
          <w:rFonts w:asciiTheme="majorBidi" w:hAnsiTheme="majorBidi" w:cstheme="majorBidi"/>
          <w:sz w:val="24"/>
          <w:szCs w:val="24"/>
        </w:rPr>
        <w:t xml:space="preserve"> 3). </w:t>
      </w:r>
      <w:r w:rsidRPr="005A4358">
        <w:rPr>
          <w:rFonts w:asciiTheme="majorBidi" w:hAnsiTheme="majorBidi" w:cstheme="majorBidi"/>
          <w:sz w:val="24"/>
          <w:szCs w:val="24"/>
        </w:rPr>
        <w:t xml:space="preserve">Similar results were obtained in </w:t>
      </w:r>
      <w:r w:rsidR="00303BD7">
        <w:rPr>
          <w:rFonts w:asciiTheme="majorBidi" w:hAnsiTheme="majorBidi" w:cstheme="majorBidi"/>
          <w:sz w:val="24"/>
          <w:szCs w:val="24"/>
        </w:rPr>
        <w:t>a</w:t>
      </w:r>
      <w:r w:rsidRPr="005A4358">
        <w:rPr>
          <w:rFonts w:asciiTheme="majorBidi" w:hAnsiTheme="majorBidi" w:cstheme="majorBidi"/>
          <w:sz w:val="24"/>
          <w:szCs w:val="24"/>
        </w:rPr>
        <w:t xml:space="preserve"> previous study </w:t>
      </w:r>
      <w:r w:rsidR="009E506C" w:rsidRPr="009E506C">
        <w:rPr>
          <w:rFonts w:asciiTheme="majorBidi" w:hAnsiTheme="majorBidi" w:cstheme="majorBidi"/>
          <w:b/>
          <w:bCs/>
          <w:sz w:val="24"/>
          <w:szCs w:val="24"/>
          <w:vertAlign w:val="superscript"/>
        </w:rPr>
        <w:t>(</w:t>
      </w:r>
      <w:r w:rsidR="00A93E40">
        <w:rPr>
          <w:rFonts w:asciiTheme="majorBidi" w:hAnsiTheme="majorBidi" w:cstheme="majorBidi"/>
          <w:b/>
          <w:bCs/>
          <w:sz w:val="24"/>
          <w:szCs w:val="24"/>
          <w:vertAlign w:val="superscript"/>
        </w:rPr>
        <w:t>29</w:t>
      </w:r>
      <w:r w:rsidR="009E506C" w:rsidRPr="009E506C">
        <w:rPr>
          <w:rFonts w:asciiTheme="majorBidi" w:hAnsiTheme="majorBidi" w:cstheme="majorBidi"/>
          <w:b/>
          <w:bCs/>
          <w:sz w:val="24"/>
          <w:szCs w:val="24"/>
          <w:vertAlign w:val="superscript"/>
        </w:rPr>
        <w:t>)</w:t>
      </w:r>
      <w:r w:rsidR="009E506C">
        <w:rPr>
          <w:rFonts w:asciiTheme="majorBidi" w:hAnsiTheme="majorBidi" w:cstheme="majorBidi"/>
          <w:color w:val="4F81BD" w:themeColor="accent1"/>
          <w:sz w:val="24"/>
          <w:szCs w:val="24"/>
        </w:rPr>
        <w:t xml:space="preserve">. </w:t>
      </w:r>
      <w:r>
        <w:rPr>
          <w:rFonts w:asciiTheme="majorBidi" w:hAnsiTheme="majorBidi" w:cstheme="majorBidi"/>
          <w:sz w:val="24"/>
          <w:szCs w:val="24"/>
        </w:rPr>
        <w:t>In addition, r</w:t>
      </w:r>
      <w:r w:rsidR="00B43750">
        <w:rPr>
          <w:rFonts w:asciiTheme="majorBidi" w:hAnsiTheme="majorBidi" w:cstheme="majorBidi"/>
          <w:sz w:val="24"/>
          <w:szCs w:val="24"/>
        </w:rPr>
        <w:t>esistance was also seen with c</w:t>
      </w:r>
      <w:r w:rsidRPr="005A4358">
        <w:rPr>
          <w:rFonts w:asciiTheme="majorBidi" w:hAnsiTheme="majorBidi" w:cstheme="majorBidi"/>
          <w:sz w:val="24"/>
          <w:szCs w:val="24"/>
        </w:rPr>
        <w:t>efuroxime (</w:t>
      </w:r>
      <w:r>
        <w:rPr>
          <w:rFonts w:asciiTheme="majorBidi" w:hAnsiTheme="majorBidi" w:cstheme="majorBidi"/>
          <w:sz w:val="24"/>
          <w:szCs w:val="24"/>
        </w:rPr>
        <w:t>91%), doxycyclin</w:t>
      </w:r>
      <w:r w:rsidRPr="005A4358">
        <w:rPr>
          <w:rFonts w:asciiTheme="majorBidi" w:hAnsiTheme="majorBidi" w:cstheme="majorBidi"/>
          <w:sz w:val="24"/>
          <w:szCs w:val="24"/>
        </w:rPr>
        <w:t xml:space="preserve"> (</w:t>
      </w:r>
      <w:r>
        <w:rPr>
          <w:rFonts w:asciiTheme="majorBidi" w:hAnsiTheme="majorBidi" w:cstheme="majorBidi"/>
          <w:sz w:val="24"/>
          <w:szCs w:val="24"/>
        </w:rPr>
        <w:t>91</w:t>
      </w:r>
      <w:r w:rsidRPr="005A4358">
        <w:rPr>
          <w:rFonts w:asciiTheme="majorBidi" w:hAnsiTheme="majorBidi" w:cstheme="majorBidi"/>
          <w:sz w:val="24"/>
          <w:szCs w:val="24"/>
        </w:rPr>
        <w:t>.</w:t>
      </w:r>
      <w:r>
        <w:rPr>
          <w:rFonts w:asciiTheme="majorBidi" w:hAnsiTheme="majorBidi" w:cstheme="majorBidi"/>
          <w:sz w:val="24"/>
          <w:szCs w:val="24"/>
        </w:rPr>
        <w:t>2</w:t>
      </w:r>
      <w:r w:rsidRPr="005A4358">
        <w:rPr>
          <w:rFonts w:asciiTheme="majorBidi" w:hAnsiTheme="majorBidi" w:cstheme="majorBidi"/>
          <w:sz w:val="24"/>
          <w:szCs w:val="24"/>
        </w:rPr>
        <w:t>%)</w:t>
      </w:r>
      <w:r>
        <w:rPr>
          <w:rFonts w:asciiTheme="majorBidi" w:hAnsiTheme="majorBidi" w:cstheme="majorBidi"/>
          <w:sz w:val="24"/>
          <w:szCs w:val="24"/>
        </w:rPr>
        <w:t>,</w:t>
      </w:r>
      <w:r w:rsidRPr="005A4358">
        <w:rPr>
          <w:rFonts w:asciiTheme="majorBidi" w:hAnsiTheme="majorBidi" w:cstheme="majorBidi"/>
          <w:sz w:val="24"/>
          <w:szCs w:val="24"/>
        </w:rPr>
        <w:t xml:space="preserve"> and erythromycin (</w:t>
      </w:r>
      <w:r>
        <w:rPr>
          <w:rFonts w:asciiTheme="majorBidi" w:hAnsiTheme="majorBidi" w:cstheme="majorBidi"/>
          <w:sz w:val="24"/>
          <w:szCs w:val="24"/>
        </w:rPr>
        <w:t>71.5</w:t>
      </w:r>
      <w:r w:rsidRPr="005A4358">
        <w:rPr>
          <w:rFonts w:asciiTheme="majorBidi" w:hAnsiTheme="majorBidi" w:cstheme="majorBidi"/>
          <w:sz w:val="24"/>
          <w:szCs w:val="24"/>
        </w:rPr>
        <w:t>%). Gentamicin is a most commonly used drug, because of its low cost and syne</w:t>
      </w:r>
      <w:r>
        <w:rPr>
          <w:rFonts w:asciiTheme="majorBidi" w:hAnsiTheme="majorBidi" w:cstheme="majorBidi"/>
          <w:sz w:val="24"/>
          <w:szCs w:val="24"/>
        </w:rPr>
        <w:t>rgistic activity with beta-lacta</w:t>
      </w:r>
      <w:r w:rsidRPr="005A4358">
        <w:rPr>
          <w:rFonts w:asciiTheme="majorBidi" w:hAnsiTheme="majorBidi" w:cstheme="majorBidi"/>
          <w:sz w:val="24"/>
          <w:szCs w:val="24"/>
        </w:rPr>
        <w:t xml:space="preserve">m antibiotics. In the present </w:t>
      </w:r>
      <w:commentRangeStart w:id="60"/>
      <w:r w:rsidRPr="005A4358">
        <w:rPr>
          <w:rFonts w:asciiTheme="majorBidi" w:hAnsiTheme="majorBidi" w:cstheme="majorBidi"/>
          <w:sz w:val="24"/>
          <w:szCs w:val="24"/>
        </w:rPr>
        <w:t>study</w:t>
      </w:r>
      <w:r>
        <w:rPr>
          <w:rFonts w:asciiTheme="majorBidi" w:hAnsiTheme="majorBidi" w:cstheme="majorBidi"/>
          <w:sz w:val="24"/>
          <w:szCs w:val="24"/>
        </w:rPr>
        <w:t>,94</w:t>
      </w:r>
      <w:r w:rsidRPr="005A4358">
        <w:rPr>
          <w:rFonts w:asciiTheme="majorBidi" w:hAnsiTheme="majorBidi" w:cstheme="majorBidi"/>
          <w:sz w:val="24"/>
          <w:szCs w:val="24"/>
        </w:rPr>
        <w:t xml:space="preserve">% </w:t>
      </w:r>
      <w:commentRangeEnd w:id="60"/>
      <w:r w:rsidR="000861A8">
        <w:rPr>
          <w:rStyle w:val="CommentReference"/>
        </w:rPr>
        <w:commentReference w:id="60"/>
      </w:r>
      <w:r>
        <w:rPr>
          <w:rFonts w:asciiTheme="majorBidi" w:hAnsiTheme="majorBidi" w:cstheme="majorBidi"/>
          <w:sz w:val="24"/>
          <w:szCs w:val="24"/>
        </w:rPr>
        <w:t xml:space="preserve">of gentamicin </w:t>
      </w:r>
      <w:r w:rsidRPr="005A4358">
        <w:rPr>
          <w:rFonts w:asciiTheme="majorBidi" w:hAnsiTheme="majorBidi" w:cstheme="majorBidi"/>
          <w:sz w:val="24"/>
          <w:szCs w:val="24"/>
        </w:rPr>
        <w:t xml:space="preserve">resistance was seen, which </w:t>
      </w:r>
      <w:r w:rsidR="00B43750">
        <w:rPr>
          <w:rFonts w:asciiTheme="majorBidi" w:hAnsiTheme="majorBidi" w:cstheme="majorBidi"/>
          <w:sz w:val="24"/>
          <w:szCs w:val="24"/>
        </w:rPr>
        <w:t>was</w:t>
      </w:r>
      <w:r w:rsidRPr="005A4358">
        <w:rPr>
          <w:rFonts w:asciiTheme="majorBidi" w:hAnsiTheme="majorBidi" w:cstheme="majorBidi"/>
          <w:sz w:val="24"/>
          <w:szCs w:val="24"/>
        </w:rPr>
        <w:t xml:space="preserve"> slightly higher than </w:t>
      </w:r>
      <w:r w:rsidR="00B43750">
        <w:rPr>
          <w:rFonts w:asciiTheme="majorBidi" w:hAnsiTheme="majorBidi" w:cstheme="majorBidi"/>
          <w:sz w:val="24"/>
          <w:szCs w:val="24"/>
        </w:rPr>
        <w:t>a</w:t>
      </w:r>
      <w:r w:rsidRPr="005A4358">
        <w:rPr>
          <w:rFonts w:asciiTheme="majorBidi" w:hAnsiTheme="majorBidi" w:cstheme="majorBidi"/>
          <w:sz w:val="24"/>
          <w:szCs w:val="24"/>
        </w:rPr>
        <w:t xml:space="preserve"> previous study</w:t>
      </w:r>
      <w:r w:rsidR="00125C6D" w:rsidRPr="00125C6D">
        <w:rPr>
          <w:rFonts w:asciiTheme="majorBidi" w:hAnsiTheme="majorBidi" w:cstheme="majorBidi"/>
          <w:b/>
          <w:bCs/>
          <w:sz w:val="24"/>
          <w:szCs w:val="24"/>
          <w:vertAlign w:val="superscript"/>
        </w:rPr>
        <w:t>(</w:t>
      </w:r>
      <w:r w:rsidR="00A93E40">
        <w:rPr>
          <w:rFonts w:asciiTheme="majorBidi" w:hAnsiTheme="majorBidi" w:cstheme="majorBidi"/>
          <w:b/>
          <w:bCs/>
          <w:sz w:val="24"/>
          <w:szCs w:val="24"/>
          <w:vertAlign w:val="superscript"/>
        </w:rPr>
        <w:t>30</w:t>
      </w:r>
      <w:r w:rsidR="00125C6D" w:rsidRPr="00125C6D">
        <w:rPr>
          <w:rFonts w:asciiTheme="majorBidi" w:hAnsiTheme="majorBidi" w:cstheme="majorBidi"/>
          <w:b/>
          <w:bCs/>
          <w:sz w:val="24"/>
          <w:szCs w:val="24"/>
          <w:vertAlign w:val="superscript"/>
        </w:rPr>
        <w:t>)</w:t>
      </w:r>
      <w:r w:rsidR="00B43750">
        <w:rPr>
          <w:rFonts w:asciiTheme="majorBidi" w:hAnsiTheme="majorBidi" w:cstheme="majorBidi"/>
          <w:sz w:val="24"/>
          <w:szCs w:val="24"/>
        </w:rPr>
        <w:t xml:space="preserve">. </w:t>
      </w:r>
      <w:r w:rsidRPr="00F93311">
        <w:rPr>
          <w:rFonts w:asciiTheme="majorBidi" w:hAnsiTheme="majorBidi" w:cstheme="majorBidi"/>
          <w:sz w:val="24"/>
          <w:szCs w:val="24"/>
        </w:rPr>
        <w:t xml:space="preserve">Most common reason for multidrug resistant MRSA is indiscriminate use of antibiotics without drug sensitivity testing which may be due to lack of advanced laboratory facilities or negligence on the part of medical practitioners or patients poor economic status. </w:t>
      </w:r>
      <w:r w:rsidR="00B43750">
        <w:rPr>
          <w:rFonts w:asciiTheme="majorBidi" w:hAnsiTheme="majorBidi" w:cstheme="majorBidi"/>
          <w:sz w:val="24"/>
          <w:szCs w:val="24"/>
        </w:rPr>
        <w:t xml:space="preserve">Also </w:t>
      </w:r>
      <w:r w:rsidR="00B43750" w:rsidRPr="00F86609">
        <w:rPr>
          <w:rFonts w:asciiTheme="majorBidi" w:hAnsiTheme="majorBidi" w:cstheme="majorBidi"/>
          <w:color w:val="000000"/>
          <w:sz w:val="24"/>
          <w:szCs w:val="24"/>
        </w:rPr>
        <w:t>this</w:t>
      </w:r>
      <w:r w:rsidRPr="00F86609">
        <w:rPr>
          <w:rFonts w:asciiTheme="majorBidi" w:hAnsiTheme="majorBidi" w:cstheme="majorBidi"/>
          <w:color w:val="000000"/>
          <w:sz w:val="24"/>
          <w:szCs w:val="24"/>
        </w:rPr>
        <w:t xml:space="preserve"> is due to the fact that MRSA is often multidrugresistant</w:t>
      </w:r>
      <w:r w:rsidR="00D52F4D" w:rsidRPr="00D52F4D">
        <w:rPr>
          <w:rFonts w:asciiTheme="majorBidi" w:hAnsiTheme="majorBidi" w:cstheme="majorBidi"/>
          <w:b/>
          <w:bCs/>
          <w:color w:val="000000"/>
          <w:sz w:val="24"/>
          <w:szCs w:val="24"/>
          <w:vertAlign w:val="superscript"/>
        </w:rPr>
        <w:t>(</w:t>
      </w:r>
      <w:r w:rsidR="00901751">
        <w:rPr>
          <w:rFonts w:asciiTheme="majorBidi" w:hAnsiTheme="majorBidi" w:cstheme="majorBidi"/>
          <w:b/>
          <w:bCs/>
          <w:color w:val="000000"/>
          <w:sz w:val="24"/>
          <w:szCs w:val="24"/>
          <w:vertAlign w:val="superscript"/>
        </w:rPr>
        <w:t>6</w:t>
      </w:r>
      <w:r w:rsidR="00D52F4D" w:rsidRPr="00D52F4D">
        <w:rPr>
          <w:rFonts w:asciiTheme="majorBidi" w:hAnsiTheme="majorBidi" w:cstheme="majorBidi"/>
          <w:b/>
          <w:bCs/>
          <w:color w:val="000000"/>
          <w:sz w:val="24"/>
          <w:szCs w:val="24"/>
          <w:vertAlign w:val="superscript"/>
        </w:rPr>
        <w:t>)</w:t>
      </w:r>
      <w:r w:rsidRPr="00F86609">
        <w:rPr>
          <w:rFonts w:asciiTheme="majorBidi" w:hAnsiTheme="majorBidi" w:cstheme="majorBidi"/>
          <w:color w:val="000000"/>
          <w:sz w:val="24"/>
          <w:szCs w:val="24"/>
        </w:rPr>
        <w:t>.</w:t>
      </w:r>
    </w:p>
    <w:p w:rsidR="00840D33" w:rsidRPr="001F593D" w:rsidRDefault="005566AC" w:rsidP="001F593D">
      <w:pPr>
        <w:autoSpaceDE w:val="0"/>
        <w:autoSpaceDN w:val="0"/>
        <w:bidi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sz w:val="24"/>
          <w:szCs w:val="24"/>
        </w:rPr>
        <w:t>Although v</w:t>
      </w:r>
      <w:r w:rsidRPr="00F70CF5">
        <w:rPr>
          <w:rFonts w:asciiTheme="majorBidi" w:hAnsiTheme="majorBidi" w:cstheme="majorBidi"/>
          <w:sz w:val="24"/>
          <w:szCs w:val="24"/>
        </w:rPr>
        <w:t>ancomycin seems to be the only antimicrobial agent which showed 100% sensitivity and may be used as the drug of choice for treating multidrug-resistant MRSA infections</w:t>
      </w:r>
      <w:r>
        <w:rPr>
          <w:rFonts w:asciiTheme="majorBidi" w:hAnsiTheme="majorBidi" w:cstheme="majorBidi"/>
          <w:sz w:val="24"/>
          <w:szCs w:val="24"/>
        </w:rPr>
        <w:t>, v</w:t>
      </w:r>
      <w:r w:rsidRPr="00F70CF5">
        <w:rPr>
          <w:rFonts w:asciiTheme="majorBidi" w:hAnsiTheme="majorBidi" w:cstheme="majorBidi"/>
          <w:sz w:val="24"/>
          <w:szCs w:val="24"/>
        </w:rPr>
        <w:t>ancomycin is not a co</w:t>
      </w:r>
      <w:commentRangeStart w:id="61"/>
      <w:r w:rsidRPr="00F70CF5">
        <w:rPr>
          <w:rFonts w:asciiTheme="majorBidi" w:hAnsiTheme="majorBidi" w:cstheme="majorBidi"/>
          <w:sz w:val="24"/>
          <w:szCs w:val="24"/>
        </w:rPr>
        <w:t>mmonlyprescribe</w:t>
      </w:r>
      <w:commentRangeEnd w:id="61"/>
      <w:r w:rsidR="000861A8">
        <w:rPr>
          <w:rStyle w:val="CommentReference"/>
        </w:rPr>
        <w:commentReference w:id="61"/>
      </w:r>
      <w:r w:rsidRPr="00F70CF5">
        <w:rPr>
          <w:rFonts w:asciiTheme="majorBidi" w:hAnsiTheme="majorBidi" w:cstheme="majorBidi"/>
          <w:sz w:val="24"/>
          <w:szCs w:val="24"/>
        </w:rPr>
        <w:t xml:space="preserve">d drug, which is almost due to the higher </w:t>
      </w:r>
      <w:r>
        <w:rPr>
          <w:rFonts w:asciiTheme="majorBidi" w:hAnsiTheme="majorBidi" w:cstheme="majorBidi"/>
          <w:sz w:val="24"/>
          <w:szCs w:val="24"/>
        </w:rPr>
        <w:t>nephrotoxic</w:t>
      </w:r>
      <w:r w:rsidRPr="00F70CF5">
        <w:rPr>
          <w:rFonts w:asciiTheme="majorBidi" w:hAnsiTheme="majorBidi" w:cstheme="majorBidi"/>
          <w:sz w:val="24"/>
          <w:szCs w:val="24"/>
        </w:rPr>
        <w:t xml:space="preserve"> antibiotic and its unavailability in many parts of the country.</w:t>
      </w:r>
      <w:r w:rsidR="00B43750">
        <w:rPr>
          <w:rFonts w:asciiTheme="majorBidi" w:hAnsiTheme="majorBidi" w:cstheme="majorBidi"/>
          <w:color w:val="000000"/>
          <w:sz w:val="24"/>
          <w:szCs w:val="24"/>
        </w:rPr>
        <w:t xml:space="preserve">The </w:t>
      </w:r>
      <w:r w:rsidR="00B43750" w:rsidRPr="00BB6D21">
        <w:rPr>
          <w:rFonts w:asciiTheme="majorBidi" w:hAnsiTheme="majorBidi" w:cstheme="majorBidi"/>
          <w:color w:val="000000"/>
          <w:sz w:val="24"/>
          <w:szCs w:val="24"/>
        </w:rPr>
        <w:t>control</w:t>
      </w:r>
      <w:r w:rsidRPr="00BB6D21">
        <w:rPr>
          <w:rFonts w:asciiTheme="majorBidi" w:hAnsiTheme="majorBidi" w:cstheme="majorBidi"/>
          <w:color w:val="000000"/>
          <w:sz w:val="24"/>
          <w:szCs w:val="24"/>
        </w:rPr>
        <w:t xml:space="preserve"> of </w:t>
      </w:r>
      <w:r w:rsidR="00B43750">
        <w:rPr>
          <w:rFonts w:asciiTheme="majorBidi" w:hAnsiTheme="majorBidi" w:cstheme="majorBidi"/>
          <w:color w:val="000000"/>
          <w:sz w:val="24"/>
          <w:szCs w:val="24"/>
        </w:rPr>
        <w:t xml:space="preserve">MRSA </w:t>
      </w:r>
      <w:r w:rsidRPr="00BB6D21">
        <w:rPr>
          <w:rFonts w:asciiTheme="majorBidi" w:hAnsiTheme="majorBidi" w:cstheme="majorBidi"/>
          <w:color w:val="000000"/>
          <w:sz w:val="24"/>
          <w:szCs w:val="24"/>
        </w:rPr>
        <w:t>transmission seems to be the only hope</w:t>
      </w:r>
      <w:r w:rsidR="00B43750">
        <w:rPr>
          <w:rFonts w:asciiTheme="majorBidi" w:hAnsiTheme="majorBidi" w:cstheme="majorBidi"/>
          <w:color w:val="000000"/>
          <w:sz w:val="24"/>
          <w:szCs w:val="24"/>
        </w:rPr>
        <w:t xml:space="preserve"> to</w:t>
      </w:r>
      <w:r w:rsidR="00B43750" w:rsidRPr="00B43750">
        <w:rPr>
          <w:rFonts w:asciiTheme="majorBidi" w:hAnsiTheme="majorBidi" w:cstheme="majorBidi"/>
          <w:color w:val="000000"/>
          <w:sz w:val="24"/>
          <w:szCs w:val="24"/>
        </w:rPr>
        <w:t xml:space="preserve"> complete eradication of MRSA</w:t>
      </w:r>
      <w:r w:rsidR="00A042B4">
        <w:rPr>
          <w:rFonts w:asciiTheme="majorBidi" w:hAnsiTheme="majorBidi" w:cstheme="majorBidi"/>
          <w:color w:val="000000"/>
          <w:sz w:val="24"/>
          <w:szCs w:val="24"/>
        </w:rPr>
        <w:t xml:space="preserve">. The </w:t>
      </w:r>
      <w:r w:rsidRPr="00BB6D21">
        <w:rPr>
          <w:rFonts w:asciiTheme="majorBidi" w:hAnsiTheme="majorBidi" w:cstheme="majorBidi"/>
          <w:color w:val="000000"/>
          <w:sz w:val="24"/>
          <w:szCs w:val="24"/>
        </w:rPr>
        <w:t xml:space="preserve">most effective way to control MRSA is good hand hygiene </w:t>
      </w:r>
      <w:r w:rsidR="002C1F6C" w:rsidRPr="002C1F6C">
        <w:rPr>
          <w:rFonts w:asciiTheme="majorBidi" w:hAnsiTheme="majorBidi" w:cstheme="majorBidi"/>
          <w:color w:val="000000"/>
          <w:sz w:val="24"/>
          <w:szCs w:val="24"/>
        </w:rPr>
        <w:t xml:space="preserve">along with environmental cleaning </w:t>
      </w:r>
      <w:r w:rsidR="002C1F6C">
        <w:rPr>
          <w:rFonts w:asciiTheme="majorBidi" w:hAnsiTheme="majorBidi" w:cstheme="majorBidi"/>
          <w:color w:val="000000"/>
          <w:sz w:val="24"/>
          <w:szCs w:val="24"/>
        </w:rPr>
        <w:t>of hospital rooms</w:t>
      </w:r>
      <w:r w:rsidRPr="00BB6D21">
        <w:rPr>
          <w:rFonts w:asciiTheme="majorBidi" w:hAnsiTheme="majorBidi" w:cstheme="majorBidi"/>
          <w:color w:val="000000"/>
          <w:sz w:val="24"/>
          <w:szCs w:val="24"/>
        </w:rPr>
        <w:t xml:space="preserve">to reduce nosocomial rates of infection, </w:t>
      </w:r>
      <w:r w:rsidR="00BD3528" w:rsidRPr="00BD3528">
        <w:rPr>
          <w:rFonts w:asciiTheme="majorBidi" w:hAnsiTheme="majorBidi" w:cstheme="majorBidi"/>
          <w:b/>
          <w:bCs/>
          <w:color w:val="000000"/>
          <w:sz w:val="24"/>
          <w:szCs w:val="24"/>
          <w:vertAlign w:val="superscript"/>
        </w:rPr>
        <w:t>(7)</w:t>
      </w:r>
      <w:r w:rsidRPr="00BB6D21">
        <w:rPr>
          <w:rFonts w:asciiTheme="majorBidi" w:hAnsiTheme="majorBidi" w:cstheme="majorBidi"/>
          <w:color w:val="000000"/>
          <w:sz w:val="24"/>
          <w:szCs w:val="24"/>
        </w:rPr>
        <w:t>.</w:t>
      </w:r>
      <w:r w:rsidR="00D2221A">
        <w:rPr>
          <w:rFonts w:asciiTheme="majorBidi" w:hAnsiTheme="majorBidi" w:cstheme="majorBidi"/>
          <w:color w:val="000000"/>
          <w:sz w:val="24"/>
          <w:szCs w:val="24"/>
        </w:rPr>
        <w:t xml:space="preserve">The results of current study </w:t>
      </w:r>
      <w:r w:rsidRPr="002463B0">
        <w:rPr>
          <w:rFonts w:asciiTheme="majorBidi" w:hAnsiTheme="majorBidi" w:cstheme="majorBidi"/>
          <w:color w:val="000000"/>
          <w:sz w:val="24"/>
          <w:szCs w:val="24"/>
        </w:rPr>
        <w:t xml:space="preserve">showed </w:t>
      </w:r>
      <w:r w:rsidR="00D2221A" w:rsidRPr="00D2221A">
        <w:rPr>
          <w:rFonts w:asciiTheme="majorBidi" w:hAnsiTheme="majorBidi" w:cstheme="majorBidi"/>
          <w:color w:val="000000"/>
          <w:sz w:val="24"/>
          <w:szCs w:val="24"/>
        </w:rPr>
        <w:t>that</w:t>
      </w:r>
      <w:r w:rsidR="00D2221A" w:rsidRPr="002463B0">
        <w:rPr>
          <w:rFonts w:asciiTheme="majorBidi" w:hAnsiTheme="majorBidi" w:cstheme="majorBidi"/>
          <w:color w:val="000000"/>
          <w:sz w:val="24"/>
          <w:szCs w:val="24"/>
        </w:rPr>
        <w:t>there</w:t>
      </w:r>
      <w:r w:rsidRPr="002463B0">
        <w:rPr>
          <w:rFonts w:asciiTheme="majorBidi" w:hAnsiTheme="majorBidi" w:cstheme="majorBidi"/>
          <w:color w:val="000000"/>
          <w:sz w:val="24"/>
          <w:szCs w:val="24"/>
        </w:rPr>
        <w:t xml:space="preserve">were </w:t>
      </w:r>
      <w:commentRangeEnd w:id="58"/>
      <w:r w:rsidR="00020C3B">
        <w:rPr>
          <w:rStyle w:val="CommentReference"/>
        </w:rPr>
        <w:commentReference w:id="58"/>
      </w:r>
      <w:r w:rsidRPr="002463B0">
        <w:rPr>
          <w:rFonts w:asciiTheme="majorBidi" w:hAnsiTheme="majorBidi" w:cstheme="majorBidi"/>
          <w:color w:val="000000"/>
          <w:sz w:val="24"/>
          <w:szCs w:val="24"/>
        </w:rPr>
        <w:t xml:space="preserve">highly susceptible to </w:t>
      </w:r>
      <w:r>
        <w:rPr>
          <w:rFonts w:asciiTheme="majorBidi" w:hAnsiTheme="majorBidi" w:cstheme="majorBidi"/>
          <w:color w:val="000000"/>
          <w:sz w:val="24"/>
          <w:szCs w:val="24"/>
        </w:rPr>
        <w:lastRenderedPageBreak/>
        <w:t xml:space="preserve">newer drugs such as </w:t>
      </w:r>
      <w:commentRangeStart w:id="62"/>
      <w:r>
        <w:rPr>
          <w:rFonts w:asciiTheme="majorBidi" w:hAnsiTheme="majorBidi" w:cstheme="majorBidi"/>
          <w:color w:val="000000"/>
          <w:sz w:val="24"/>
          <w:szCs w:val="24"/>
        </w:rPr>
        <w:t>linezolid.</w:t>
      </w:r>
      <w:r w:rsidRPr="000C091D">
        <w:rPr>
          <w:rFonts w:asciiTheme="majorBidi" w:hAnsiTheme="majorBidi" w:cstheme="majorBidi"/>
          <w:color w:val="000000"/>
          <w:sz w:val="24"/>
          <w:szCs w:val="24"/>
        </w:rPr>
        <w:t>This</w:t>
      </w:r>
      <w:commentRangeEnd w:id="62"/>
      <w:r w:rsidR="00AB562D">
        <w:rPr>
          <w:rStyle w:val="CommentReference"/>
        </w:rPr>
        <w:commentReference w:id="62"/>
      </w:r>
      <w:r w:rsidRPr="000C091D">
        <w:rPr>
          <w:rFonts w:asciiTheme="majorBidi" w:hAnsiTheme="majorBidi" w:cstheme="majorBidi"/>
          <w:color w:val="000000"/>
          <w:sz w:val="24"/>
          <w:szCs w:val="24"/>
        </w:rPr>
        <w:t xml:space="preserve"> finding differs from a study done by Arianpoor et al. in Iran which showed 5.5% of MRSA isolates were resistant to linezolid</w:t>
      </w:r>
      <w:r w:rsidR="00A40D97" w:rsidRPr="0071354C">
        <w:rPr>
          <w:rFonts w:asciiTheme="majorBidi" w:hAnsiTheme="majorBidi" w:cstheme="majorBidi"/>
          <w:b/>
          <w:bCs/>
          <w:color w:val="000000"/>
          <w:sz w:val="24"/>
          <w:szCs w:val="24"/>
          <w:vertAlign w:val="superscript"/>
        </w:rPr>
        <w:t>(</w:t>
      </w:r>
      <w:r w:rsidR="00A93E40">
        <w:rPr>
          <w:rFonts w:asciiTheme="majorBidi" w:hAnsiTheme="majorBidi" w:cstheme="majorBidi"/>
          <w:b/>
          <w:bCs/>
          <w:color w:val="000000"/>
          <w:sz w:val="24"/>
          <w:szCs w:val="24"/>
          <w:vertAlign w:val="superscript"/>
        </w:rPr>
        <w:t>19</w:t>
      </w:r>
      <w:r w:rsidR="00A40D97" w:rsidRPr="0071354C">
        <w:rPr>
          <w:rFonts w:asciiTheme="majorBidi" w:hAnsiTheme="majorBidi" w:cstheme="majorBidi"/>
          <w:b/>
          <w:bCs/>
          <w:color w:val="000000"/>
          <w:sz w:val="24"/>
          <w:szCs w:val="24"/>
          <w:vertAlign w:val="superscript"/>
        </w:rPr>
        <w:t>)</w:t>
      </w:r>
      <w:r>
        <w:rPr>
          <w:rFonts w:asciiTheme="majorBidi" w:hAnsiTheme="majorBidi" w:cstheme="majorBidi"/>
          <w:color w:val="000000"/>
          <w:sz w:val="24"/>
          <w:szCs w:val="24"/>
        </w:rPr>
        <w:t>.</w:t>
      </w:r>
    </w:p>
    <w:p w:rsidR="005566AC" w:rsidRPr="00840D33" w:rsidRDefault="005566AC" w:rsidP="00840D33">
      <w:pPr>
        <w:autoSpaceDE w:val="0"/>
        <w:autoSpaceDN w:val="0"/>
        <w:bidi w:val="0"/>
        <w:adjustRightInd w:val="0"/>
        <w:spacing w:after="0" w:line="360" w:lineRule="auto"/>
        <w:jc w:val="both"/>
        <w:rPr>
          <w:rFonts w:asciiTheme="majorBidi" w:hAnsiTheme="majorBidi" w:cstheme="majorBidi"/>
          <w:b/>
          <w:bCs/>
          <w:sz w:val="28"/>
          <w:szCs w:val="28"/>
        </w:rPr>
      </w:pPr>
      <w:r w:rsidRPr="00840D33">
        <w:rPr>
          <w:rFonts w:asciiTheme="majorBidi" w:hAnsiTheme="majorBidi" w:cstheme="majorBidi"/>
          <w:b/>
          <w:bCs/>
          <w:sz w:val="28"/>
          <w:szCs w:val="28"/>
        </w:rPr>
        <w:t xml:space="preserve">5. Conclusion and </w:t>
      </w:r>
      <w:commentRangeStart w:id="63"/>
      <w:r w:rsidRPr="00840D33">
        <w:rPr>
          <w:rFonts w:asciiTheme="majorBidi" w:hAnsiTheme="majorBidi" w:cstheme="majorBidi"/>
          <w:b/>
          <w:bCs/>
          <w:sz w:val="28"/>
          <w:szCs w:val="28"/>
        </w:rPr>
        <w:t>recommendations:</w:t>
      </w:r>
    </w:p>
    <w:p w:rsidR="005566AC" w:rsidRPr="00577E42" w:rsidRDefault="008511C6" w:rsidP="008511C6">
      <w:pPr>
        <w:autoSpaceDE w:val="0"/>
        <w:autoSpaceDN w:val="0"/>
        <w:bidi w:val="0"/>
        <w:adjustRightInd w:val="0"/>
        <w:spacing w:after="0" w:line="360" w:lineRule="auto"/>
        <w:jc w:val="both"/>
        <w:rPr>
          <w:rFonts w:asciiTheme="majorBidi" w:hAnsiTheme="majorBidi" w:cstheme="majorBidi"/>
          <w:sz w:val="24"/>
          <w:szCs w:val="24"/>
        </w:rPr>
      </w:pPr>
      <w:r w:rsidRPr="008511C6">
        <w:rPr>
          <w:rFonts w:asciiTheme="majorBidi" w:hAnsiTheme="majorBidi" w:cstheme="majorBidi"/>
          <w:sz w:val="24"/>
          <w:szCs w:val="24"/>
        </w:rPr>
        <w:t xml:space="preserve">The present study showed a </w:t>
      </w:r>
      <w:r>
        <w:rPr>
          <w:rFonts w:asciiTheme="majorBidi" w:hAnsiTheme="majorBidi" w:cstheme="majorBidi"/>
          <w:sz w:val="24"/>
          <w:szCs w:val="24"/>
        </w:rPr>
        <w:t>low</w:t>
      </w:r>
      <w:r w:rsidRPr="008511C6">
        <w:rPr>
          <w:rFonts w:asciiTheme="majorBidi" w:hAnsiTheme="majorBidi" w:cstheme="majorBidi"/>
          <w:sz w:val="24"/>
          <w:szCs w:val="24"/>
        </w:rPr>
        <w:t xml:space="preserve"> level prevalence of MRSA</w:t>
      </w:r>
      <w:r w:rsidR="009909BA" w:rsidRPr="009909BA">
        <w:rPr>
          <w:rFonts w:asciiTheme="majorBidi" w:hAnsiTheme="majorBidi" w:cstheme="majorBidi"/>
          <w:sz w:val="24"/>
          <w:szCs w:val="24"/>
        </w:rPr>
        <w:t xml:space="preserve">. </w:t>
      </w:r>
      <w:commentRangeStart w:id="64"/>
      <w:r w:rsidR="00191040">
        <w:rPr>
          <w:rFonts w:asciiTheme="majorBidi" w:hAnsiTheme="majorBidi" w:cstheme="majorBidi"/>
          <w:sz w:val="24"/>
          <w:szCs w:val="24"/>
        </w:rPr>
        <w:t>Also</w:t>
      </w:r>
      <w:r w:rsidR="009909BA" w:rsidRPr="008511C6">
        <w:rPr>
          <w:rFonts w:asciiTheme="majorBidi" w:hAnsiTheme="majorBidi" w:cstheme="majorBidi"/>
          <w:sz w:val="24"/>
          <w:szCs w:val="24"/>
        </w:rPr>
        <w:t>MRSA</w:t>
      </w:r>
      <w:r w:rsidR="009909BA" w:rsidRPr="009909BA">
        <w:rPr>
          <w:rFonts w:asciiTheme="majorBidi" w:hAnsiTheme="majorBidi" w:cstheme="majorBidi"/>
          <w:sz w:val="24"/>
          <w:szCs w:val="24"/>
        </w:rPr>
        <w:t>isolat</w:t>
      </w:r>
      <w:commentRangeEnd w:id="64"/>
      <w:r w:rsidR="000861A8">
        <w:rPr>
          <w:rStyle w:val="CommentReference"/>
        </w:rPr>
        <w:commentReference w:id="64"/>
      </w:r>
      <w:r w:rsidR="009909BA" w:rsidRPr="009909BA">
        <w:rPr>
          <w:rFonts w:asciiTheme="majorBidi" w:hAnsiTheme="majorBidi" w:cstheme="majorBidi"/>
          <w:sz w:val="24"/>
          <w:szCs w:val="24"/>
        </w:rPr>
        <w:t xml:space="preserve">es were highly susceptible to </w:t>
      </w:r>
      <w:r w:rsidR="009909BA">
        <w:rPr>
          <w:rFonts w:asciiTheme="majorBidi" w:hAnsiTheme="majorBidi" w:cstheme="majorBidi"/>
          <w:sz w:val="24"/>
          <w:szCs w:val="24"/>
        </w:rPr>
        <w:t xml:space="preserve">newer drugs such as linezolid and to </w:t>
      </w:r>
      <w:r w:rsidR="009909BA" w:rsidRPr="009909BA">
        <w:rPr>
          <w:rFonts w:asciiTheme="majorBidi" w:hAnsiTheme="majorBidi" w:cstheme="majorBidi"/>
          <w:sz w:val="24"/>
          <w:szCs w:val="24"/>
        </w:rPr>
        <w:t xml:space="preserve">vancomycin </w:t>
      </w:r>
      <w:r w:rsidR="009909BA">
        <w:rPr>
          <w:rFonts w:asciiTheme="majorBidi" w:hAnsiTheme="majorBidi" w:cstheme="majorBidi"/>
          <w:sz w:val="24"/>
          <w:szCs w:val="24"/>
        </w:rPr>
        <w:t xml:space="preserve">which </w:t>
      </w:r>
      <w:r w:rsidR="009909BA" w:rsidRPr="009909BA">
        <w:rPr>
          <w:rFonts w:asciiTheme="majorBidi" w:hAnsiTheme="majorBidi" w:cstheme="majorBidi"/>
          <w:sz w:val="24"/>
          <w:szCs w:val="24"/>
        </w:rPr>
        <w:t>is not a commonly prescribed drug due to the higher nephrotoxic antibiotic.</w:t>
      </w:r>
      <w:r w:rsidR="009909BA">
        <w:rPr>
          <w:rFonts w:asciiTheme="majorBidi" w:hAnsiTheme="majorBidi" w:cstheme="majorBidi"/>
          <w:sz w:val="24"/>
          <w:szCs w:val="24"/>
        </w:rPr>
        <w:t xml:space="preserve">Also </w:t>
      </w:r>
      <w:r w:rsidR="004E2834">
        <w:rPr>
          <w:rFonts w:asciiTheme="majorBidi" w:hAnsiTheme="majorBidi" w:cstheme="majorBidi"/>
          <w:sz w:val="24"/>
          <w:szCs w:val="24"/>
        </w:rPr>
        <w:t xml:space="preserve">this </w:t>
      </w:r>
      <w:r w:rsidR="005566AC" w:rsidRPr="00521E9F">
        <w:rPr>
          <w:rFonts w:asciiTheme="majorBidi" w:hAnsiTheme="majorBidi" w:cstheme="majorBidi"/>
          <w:sz w:val="24"/>
          <w:szCs w:val="24"/>
        </w:rPr>
        <w:t xml:space="preserve">study showed that </w:t>
      </w:r>
      <w:r w:rsidR="007B4BFD">
        <w:rPr>
          <w:rFonts w:asciiTheme="majorBidi" w:hAnsiTheme="majorBidi" w:cstheme="majorBidi"/>
          <w:sz w:val="24"/>
          <w:szCs w:val="24"/>
        </w:rPr>
        <w:t>ICU and s</w:t>
      </w:r>
      <w:commentRangeStart w:id="65"/>
      <w:r w:rsidR="007B4BFD">
        <w:rPr>
          <w:rFonts w:asciiTheme="majorBidi" w:hAnsiTheme="majorBidi" w:cstheme="majorBidi"/>
          <w:sz w:val="24"/>
          <w:szCs w:val="24"/>
        </w:rPr>
        <w:t>urgicalwards</w:t>
      </w:r>
      <w:r w:rsidR="005566AC" w:rsidRPr="00521E9F">
        <w:rPr>
          <w:rFonts w:asciiTheme="majorBidi" w:hAnsiTheme="majorBidi" w:cstheme="majorBidi"/>
          <w:sz w:val="24"/>
          <w:szCs w:val="24"/>
        </w:rPr>
        <w:t xml:space="preserve"> </w:t>
      </w:r>
      <w:commentRangeEnd w:id="65"/>
      <w:r w:rsidR="000861A8">
        <w:rPr>
          <w:rStyle w:val="CommentReference"/>
        </w:rPr>
        <w:commentReference w:id="65"/>
      </w:r>
      <w:r w:rsidR="005566AC" w:rsidRPr="00521E9F">
        <w:rPr>
          <w:rFonts w:asciiTheme="majorBidi" w:hAnsiTheme="majorBidi" w:cstheme="majorBidi"/>
          <w:sz w:val="24"/>
          <w:szCs w:val="24"/>
        </w:rPr>
        <w:t>had the highest proportion of MRSA isolates</w:t>
      </w:r>
      <w:r w:rsidR="004E2834">
        <w:rPr>
          <w:rFonts w:asciiTheme="majorBidi" w:hAnsiTheme="majorBidi" w:cstheme="majorBidi"/>
          <w:sz w:val="24"/>
          <w:szCs w:val="24"/>
        </w:rPr>
        <w:t xml:space="preserve"> of hospital departments</w:t>
      </w:r>
      <w:r>
        <w:rPr>
          <w:rFonts w:asciiTheme="majorBidi" w:hAnsiTheme="majorBidi" w:cstheme="majorBidi"/>
          <w:sz w:val="24"/>
          <w:szCs w:val="24"/>
        </w:rPr>
        <w:t xml:space="preserve">. </w:t>
      </w:r>
      <w:r w:rsidR="005566AC" w:rsidRPr="00577E42">
        <w:rPr>
          <w:rFonts w:asciiTheme="majorBidi" w:hAnsiTheme="majorBidi" w:cstheme="majorBidi"/>
          <w:sz w:val="24"/>
          <w:szCs w:val="24"/>
        </w:rPr>
        <w:t>Information from this study may be used in future as abaseline for follow-up to the susceptibility trend of variousdrugs to be used for the treatment of S. aureus infections</w:t>
      </w:r>
      <w:r w:rsidR="005566AC" w:rsidRPr="00577E42">
        <w:rPr>
          <w:rFonts w:asciiTheme="majorBidi" w:hAnsiTheme="majorBidi" w:cs="Times New Roman"/>
          <w:sz w:val="24"/>
          <w:szCs w:val="24"/>
          <w:rtl/>
        </w:rPr>
        <w:t>.</w:t>
      </w:r>
      <w:r w:rsidR="005566AC" w:rsidRPr="00577E42">
        <w:rPr>
          <w:rFonts w:asciiTheme="majorBidi" w:hAnsiTheme="majorBidi" w:cstheme="majorBidi"/>
          <w:sz w:val="24"/>
          <w:szCs w:val="24"/>
        </w:rPr>
        <w:t xml:space="preserve">Routine screening of MRSA and regular </w:t>
      </w:r>
      <w:commentRangeStart w:id="66"/>
      <w:r w:rsidR="005566AC" w:rsidRPr="00577E42">
        <w:rPr>
          <w:rFonts w:asciiTheme="majorBidi" w:hAnsiTheme="majorBidi" w:cstheme="majorBidi"/>
          <w:sz w:val="24"/>
          <w:szCs w:val="24"/>
        </w:rPr>
        <w:t>studiesshoul</w:t>
      </w:r>
      <w:commentRangeEnd w:id="66"/>
      <w:r w:rsidR="000861A8">
        <w:rPr>
          <w:rStyle w:val="CommentReference"/>
        </w:rPr>
        <w:commentReference w:id="66"/>
      </w:r>
      <w:r w:rsidR="005566AC" w:rsidRPr="00577E42">
        <w:rPr>
          <w:rFonts w:asciiTheme="majorBidi" w:hAnsiTheme="majorBidi" w:cstheme="majorBidi"/>
          <w:sz w:val="24"/>
          <w:szCs w:val="24"/>
        </w:rPr>
        <w:t xml:space="preserve">d be conducted to </w:t>
      </w:r>
      <w:r w:rsidR="009909BA">
        <w:rPr>
          <w:rFonts w:asciiTheme="majorBidi" w:hAnsiTheme="majorBidi" w:cstheme="majorBidi"/>
          <w:sz w:val="24"/>
          <w:szCs w:val="24"/>
        </w:rPr>
        <w:t xml:space="preserve">predict the </w:t>
      </w:r>
      <w:r>
        <w:rPr>
          <w:rFonts w:asciiTheme="majorBidi" w:hAnsiTheme="majorBidi" w:cstheme="majorBidi"/>
          <w:sz w:val="24"/>
          <w:szCs w:val="24"/>
        </w:rPr>
        <w:t>trend</w:t>
      </w:r>
      <w:r w:rsidR="005566AC" w:rsidRPr="00577E42">
        <w:rPr>
          <w:rFonts w:asciiTheme="majorBidi" w:hAnsiTheme="majorBidi" w:cstheme="majorBidi"/>
          <w:sz w:val="24"/>
          <w:szCs w:val="24"/>
        </w:rPr>
        <w:t xml:space="preserve"> of </w:t>
      </w:r>
      <w:commentRangeEnd w:id="63"/>
      <w:r w:rsidR="00020C3B">
        <w:rPr>
          <w:rStyle w:val="CommentReference"/>
        </w:rPr>
        <w:commentReference w:id="63"/>
      </w:r>
      <w:r w:rsidR="005566AC" w:rsidRPr="00577E42">
        <w:rPr>
          <w:rFonts w:asciiTheme="majorBidi" w:hAnsiTheme="majorBidi" w:cstheme="majorBidi"/>
          <w:sz w:val="24"/>
          <w:szCs w:val="24"/>
        </w:rPr>
        <w:t>MRSA</w:t>
      </w:r>
      <w:r w:rsidR="005566AC" w:rsidRPr="00577E42">
        <w:rPr>
          <w:rFonts w:asciiTheme="majorBidi" w:hAnsiTheme="majorBidi" w:cs="Times New Roman"/>
          <w:sz w:val="24"/>
          <w:szCs w:val="24"/>
          <w:rtl/>
        </w:rPr>
        <w:t>.</w:t>
      </w:r>
    </w:p>
    <w:p w:rsidR="004542AC" w:rsidRPr="004542AC" w:rsidRDefault="004542AC" w:rsidP="004542AC">
      <w:pPr>
        <w:autoSpaceDE w:val="0"/>
        <w:autoSpaceDN w:val="0"/>
        <w:bidi w:val="0"/>
        <w:adjustRightInd w:val="0"/>
        <w:spacing w:after="0" w:line="360" w:lineRule="auto"/>
        <w:jc w:val="both"/>
        <w:rPr>
          <w:rFonts w:asciiTheme="majorBidi" w:hAnsiTheme="majorBidi" w:cstheme="majorBidi"/>
          <w:sz w:val="24"/>
          <w:szCs w:val="24"/>
        </w:rPr>
      </w:pPr>
      <w:r w:rsidRPr="004542AC">
        <w:rPr>
          <w:rFonts w:asciiTheme="majorBidi" w:hAnsiTheme="majorBidi" w:cstheme="majorBidi"/>
          <w:b/>
          <w:bCs/>
          <w:sz w:val="24"/>
          <w:szCs w:val="24"/>
        </w:rPr>
        <w:t xml:space="preserve">Conflict of interest </w:t>
      </w:r>
    </w:p>
    <w:p w:rsidR="004542AC" w:rsidRPr="004542AC" w:rsidRDefault="004542AC" w:rsidP="004542AC">
      <w:pPr>
        <w:autoSpaceDE w:val="0"/>
        <w:autoSpaceDN w:val="0"/>
        <w:bidi w:val="0"/>
        <w:adjustRightInd w:val="0"/>
        <w:spacing w:after="0" w:line="360" w:lineRule="auto"/>
        <w:jc w:val="both"/>
        <w:rPr>
          <w:rFonts w:asciiTheme="majorBidi" w:hAnsiTheme="majorBidi" w:cstheme="majorBidi"/>
          <w:sz w:val="24"/>
          <w:szCs w:val="24"/>
          <w:rtl/>
          <w:lang w:bidi="ar-EG"/>
        </w:rPr>
      </w:pPr>
      <w:r w:rsidRPr="004542AC">
        <w:rPr>
          <w:rFonts w:asciiTheme="majorBidi" w:hAnsiTheme="majorBidi" w:cstheme="majorBidi"/>
          <w:sz w:val="24"/>
          <w:szCs w:val="24"/>
        </w:rPr>
        <w:t>The authors declare that they have no competing interests</w:t>
      </w:r>
      <w:r>
        <w:rPr>
          <w:rFonts w:asciiTheme="majorBidi" w:hAnsiTheme="majorBidi" w:cstheme="majorBidi"/>
          <w:sz w:val="24"/>
          <w:szCs w:val="24"/>
        </w:rPr>
        <w:t>.</w:t>
      </w:r>
      <w:bookmarkStart w:id="67" w:name="_GoBack"/>
      <w:bookmarkEnd w:id="67"/>
    </w:p>
    <w:p w:rsidR="004542AC" w:rsidRDefault="004542AC" w:rsidP="0018454D">
      <w:pPr>
        <w:bidi w:val="0"/>
        <w:spacing w:line="360" w:lineRule="auto"/>
        <w:jc w:val="both"/>
        <w:rPr>
          <w:rFonts w:asciiTheme="majorBidi" w:hAnsiTheme="majorBidi" w:cstheme="majorBidi"/>
          <w:sz w:val="24"/>
          <w:szCs w:val="24"/>
          <w:lang w:bidi="ar-EG"/>
        </w:rPr>
      </w:pPr>
    </w:p>
    <w:p w:rsidR="0018454D" w:rsidRPr="0018454D" w:rsidRDefault="0018454D" w:rsidP="004542AC">
      <w:pPr>
        <w:bidi w:val="0"/>
        <w:spacing w:line="360" w:lineRule="auto"/>
        <w:jc w:val="both"/>
        <w:rPr>
          <w:rFonts w:asciiTheme="majorBidi" w:hAnsiTheme="majorBidi" w:cstheme="majorBidi"/>
          <w:b/>
          <w:bCs/>
          <w:color w:val="000000" w:themeColor="text1"/>
          <w:sz w:val="28"/>
          <w:szCs w:val="28"/>
          <w:lang w:bidi="ar-EG"/>
        </w:rPr>
      </w:pPr>
      <w:commentRangeStart w:id="68"/>
      <w:r w:rsidRPr="0018454D">
        <w:rPr>
          <w:rFonts w:asciiTheme="majorBidi" w:hAnsiTheme="majorBidi" w:cstheme="majorBidi"/>
          <w:b/>
          <w:bCs/>
          <w:color w:val="000000" w:themeColor="text1"/>
          <w:sz w:val="28"/>
          <w:szCs w:val="28"/>
        </w:rPr>
        <w:t>Re</w:t>
      </w:r>
      <w:commentRangeStart w:id="69"/>
      <w:r w:rsidRPr="0018454D">
        <w:rPr>
          <w:rFonts w:asciiTheme="majorBidi" w:hAnsiTheme="majorBidi" w:cstheme="majorBidi"/>
          <w:b/>
          <w:bCs/>
          <w:color w:val="000000" w:themeColor="text1"/>
          <w:sz w:val="28"/>
          <w:szCs w:val="28"/>
        </w:rPr>
        <w:t>ference</w:t>
      </w:r>
      <w:commentRangeEnd w:id="69"/>
      <w:r w:rsidR="00CA2290">
        <w:rPr>
          <w:rStyle w:val="CommentReference"/>
        </w:rPr>
        <w:commentReference w:id="69"/>
      </w:r>
      <w:r w:rsidRPr="0018454D">
        <w:rPr>
          <w:rFonts w:asciiTheme="majorBidi" w:hAnsiTheme="majorBidi" w:cstheme="majorBidi"/>
          <w:b/>
          <w:bCs/>
          <w:color w:val="000000" w:themeColor="text1"/>
          <w:sz w:val="28"/>
          <w:szCs w:val="28"/>
        </w:rPr>
        <w:t>s:</w:t>
      </w:r>
      <w:commentRangeEnd w:id="68"/>
      <w:r w:rsidR="000861A8">
        <w:rPr>
          <w:rStyle w:val="CommentReference"/>
        </w:rPr>
        <w:commentReference w:id="68"/>
      </w:r>
    </w:p>
    <w:p w:rsidR="0018454D" w:rsidRPr="0018454D" w:rsidRDefault="0097069A" w:rsidP="00351738">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lang w:bidi="ar-EG"/>
        </w:rPr>
        <w:t>Perwaiz S, QamaruddinBarakzi Q</w:t>
      </w:r>
      <w:r w:rsidR="0018454D" w:rsidRPr="0018454D">
        <w:rPr>
          <w:rFonts w:asciiTheme="majorBidi" w:hAnsiTheme="majorBidi" w:cstheme="majorBidi"/>
          <w:color w:val="000000" w:themeColor="text1"/>
          <w:sz w:val="24"/>
          <w:szCs w:val="24"/>
          <w:lang w:bidi="ar-EG"/>
        </w:rPr>
        <w:t>, Farooqi</w:t>
      </w:r>
      <w:r>
        <w:rPr>
          <w:rFonts w:asciiTheme="majorBidi" w:hAnsiTheme="majorBidi" w:cstheme="majorBidi"/>
          <w:color w:val="000000" w:themeColor="text1"/>
          <w:sz w:val="24"/>
          <w:szCs w:val="24"/>
          <w:lang w:bidi="ar-EG"/>
        </w:rPr>
        <w:t xml:space="preserve"> BJ</w:t>
      </w:r>
      <w:r w:rsidR="0018454D" w:rsidRPr="0018454D">
        <w:rPr>
          <w:rFonts w:asciiTheme="majorBidi" w:hAnsiTheme="majorBidi" w:cstheme="majorBidi"/>
          <w:color w:val="000000" w:themeColor="text1"/>
          <w:sz w:val="24"/>
          <w:szCs w:val="24"/>
          <w:lang w:bidi="ar-EG"/>
        </w:rPr>
        <w:t>, Khursheed</w:t>
      </w:r>
      <w:r>
        <w:rPr>
          <w:rFonts w:asciiTheme="majorBidi" w:hAnsiTheme="majorBidi" w:cstheme="majorBidi"/>
          <w:color w:val="000000" w:themeColor="text1"/>
          <w:sz w:val="24"/>
          <w:szCs w:val="24"/>
          <w:lang w:bidi="ar-EG"/>
        </w:rPr>
        <w:t xml:space="preserve"> N</w:t>
      </w:r>
      <w:r w:rsidR="0018454D" w:rsidRPr="0018454D">
        <w:rPr>
          <w:rFonts w:asciiTheme="majorBidi" w:hAnsiTheme="majorBidi" w:cstheme="majorBidi"/>
          <w:color w:val="000000" w:themeColor="text1"/>
          <w:sz w:val="24"/>
          <w:szCs w:val="24"/>
          <w:lang w:bidi="ar-EG"/>
        </w:rPr>
        <w:t>, Sabir</w:t>
      </w:r>
      <w:r>
        <w:rPr>
          <w:rFonts w:asciiTheme="majorBidi" w:hAnsiTheme="majorBidi" w:cstheme="majorBidi"/>
          <w:color w:val="000000" w:themeColor="text1"/>
          <w:sz w:val="24"/>
          <w:szCs w:val="24"/>
          <w:lang w:bidi="ar-EG"/>
        </w:rPr>
        <w:t xml:space="preserve"> N. </w:t>
      </w:r>
      <w:r w:rsidR="0018454D" w:rsidRPr="0018454D">
        <w:rPr>
          <w:rFonts w:asciiTheme="majorBidi" w:hAnsiTheme="majorBidi" w:cstheme="majorBidi"/>
          <w:color w:val="000000" w:themeColor="text1"/>
          <w:sz w:val="24"/>
          <w:szCs w:val="24"/>
          <w:lang w:bidi="ar-EG"/>
        </w:rPr>
        <w:t>Antimicrobial susceptibility pattern of clinical isolates of Methicillin Resistant Staphylococcus aureus</w:t>
      </w:r>
      <w:r w:rsidR="00FF7073">
        <w:rPr>
          <w:rFonts w:asciiTheme="majorBidi" w:hAnsiTheme="majorBidi" w:cstheme="majorBidi"/>
          <w:color w:val="000000" w:themeColor="text1"/>
          <w:sz w:val="24"/>
          <w:szCs w:val="24"/>
          <w:lang w:bidi="ar-EG"/>
        </w:rPr>
        <w:t>.</w:t>
      </w:r>
      <w:r w:rsidR="0018454D" w:rsidRPr="0018454D">
        <w:rPr>
          <w:rFonts w:asciiTheme="majorBidi" w:hAnsiTheme="majorBidi" w:cstheme="majorBidi"/>
          <w:color w:val="000000" w:themeColor="text1"/>
          <w:sz w:val="24"/>
          <w:szCs w:val="24"/>
          <w:lang w:bidi="ar-EG"/>
        </w:rPr>
        <w:t xml:space="preserve"> Karachi.</w:t>
      </w:r>
      <w:r w:rsidRPr="0097069A">
        <w:rPr>
          <w:rFonts w:asciiTheme="majorBidi" w:hAnsiTheme="majorBidi" w:cstheme="majorBidi"/>
          <w:color w:val="000000" w:themeColor="text1"/>
          <w:sz w:val="24"/>
          <w:szCs w:val="24"/>
          <w:lang w:bidi="ar-EG"/>
        </w:rPr>
        <w:t xml:space="preserve"> 2007</w:t>
      </w:r>
      <w:r w:rsidR="00351738">
        <w:rPr>
          <w:rFonts w:asciiTheme="majorBidi" w:hAnsiTheme="majorBidi" w:cstheme="majorBidi"/>
          <w:color w:val="000000" w:themeColor="text1"/>
          <w:sz w:val="24"/>
          <w:szCs w:val="24"/>
          <w:lang w:bidi="ar-EG"/>
        </w:rPr>
        <w:t>; 57:</w:t>
      </w:r>
      <w:r w:rsidR="0018454D" w:rsidRPr="0018454D">
        <w:rPr>
          <w:rFonts w:asciiTheme="majorBidi" w:hAnsiTheme="majorBidi" w:cstheme="majorBidi"/>
          <w:color w:val="000000" w:themeColor="text1"/>
          <w:sz w:val="24"/>
          <w:szCs w:val="24"/>
          <w:lang w:bidi="ar-EG"/>
        </w:rPr>
        <w:t xml:space="preserve"> 1</w:t>
      </w:r>
      <w:r>
        <w:rPr>
          <w:rFonts w:asciiTheme="majorBidi" w:hAnsiTheme="majorBidi" w:cstheme="majorBidi"/>
          <w:color w:val="000000" w:themeColor="text1"/>
          <w:sz w:val="24"/>
          <w:szCs w:val="24"/>
          <w:lang w:bidi="ar-EG"/>
        </w:rPr>
        <w:t>.</w:t>
      </w:r>
    </w:p>
    <w:p w:rsidR="0018454D" w:rsidRPr="0018454D" w:rsidRDefault="0018454D" w:rsidP="0018454D">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Maple PAC, Hamilton- Miller JMT, Brumfitt W. Worldwide antibiotic resistance in methicillin resistant Staphylococcus aureus. Lancet</w:t>
      </w:r>
      <w:r w:rsidR="00FF7073">
        <w:rPr>
          <w:rFonts w:asciiTheme="majorBidi" w:hAnsiTheme="majorBidi" w:cstheme="majorBidi"/>
          <w:color w:val="000000" w:themeColor="text1"/>
          <w:sz w:val="24"/>
          <w:szCs w:val="24"/>
          <w:lang w:bidi="ar-EG"/>
        </w:rPr>
        <w:t>.</w:t>
      </w:r>
      <w:r w:rsidRPr="0018454D">
        <w:rPr>
          <w:rFonts w:asciiTheme="majorBidi" w:hAnsiTheme="majorBidi" w:cstheme="majorBidi"/>
          <w:color w:val="000000" w:themeColor="text1"/>
          <w:sz w:val="24"/>
          <w:szCs w:val="24"/>
          <w:lang w:bidi="ar-EG"/>
        </w:rPr>
        <w:t xml:space="preserve"> 1989; 1:537-40. </w:t>
      </w:r>
    </w:p>
    <w:p w:rsidR="0018454D" w:rsidRPr="0018454D" w:rsidRDefault="00351738" w:rsidP="00351738">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Pr>
          <w:rFonts w:asciiTheme="majorBidi" w:hAnsiTheme="majorBidi" w:cstheme="majorBidi"/>
          <w:color w:val="000000" w:themeColor="text1"/>
          <w:sz w:val="24"/>
          <w:szCs w:val="24"/>
          <w:lang w:bidi="ar-EG"/>
        </w:rPr>
        <w:t>Jarvis WR, Schlosser J, Chinn RY, Tweeten, S,</w:t>
      </w:r>
      <w:r w:rsidR="001C49E6">
        <w:rPr>
          <w:rFonts w:asciiTheme="majorBidi" w:hAnsiTheme="majorBidi" w:cstheme="majorBidi"/>
          <w:color w:val="000000" w:themeColor="text1"/>
          <w:sz w:val="24"/>
          <w:szCs w:val="24"/>
          <w:lang w:bidi="ar-EG"/>
        </w:rPr>
        <w:t xml:space="preserve"> and Jackson, M</w:t>
      </w:r>
      <w:r w:rsidR="0018454D" w:rsidRPr="0018454D">
        <w:rPr>
          <w:rFonts w:asciiTheme="majorBidi" w:hAnsiTheme="majorBidi" w:cstheme="majorBidi"/>
          <w:color w:val="000000" w:themeColor="text1"/>
          <w:sz w:val="24"/>
          <w:szCs w:val="24"/>
          <w:lang w:bidi="ar-EG"/>
        </w:rPr>
        <w:t xml:space="preserve">. National prevalence of methicillin-resistant </w:t>
      </w:r>
      <w:commentRangeStart w:id="70"/>
      <w:r w:rsidR="0018454D" w:rsidRPr="0018454D">
        <w:rPr>
          <w:rFonts w:asciiTheme="majorBidi" w:hAnsiTheme="majorBidi" w:cstheme="majorBidi"/>
          <w:color w:val="000000" w:themeColor="text1"/>
          <w:sz w:val="24"/>
          <w:szCs w:val="24"/>
          <w:lang w:bidi="ar-EG"/>
        </w:rPr>
        <w:t xml:space="preserve">Staphylococcus aureus </w:t>
      </w:r>
      <w:commentRangeEnd w:id="70"/>
      <w:r w:rsidR="000861A8">
        <w:rPr>
          <w:rStyle w:val="CommentReference"/>
        </w:rPr>
        <w:commentReference w:id="70"/>
      </w:r>
      <w:r w:rsidR="0018454D" w:rsidRPr="0018454D">
        <w:rPr>
          <w:rFonts w:asciiTheme="majorBidi" w:hAnsiTheme="majorBidi" w:cstheme="majorBidi"/>
          <w:color w:val="000000" w:themeColor="text1"/>
          <w:sz w:val="24"/>
          <w:szCs w:val="24"/>
          <w:lang w:bidi="ar-EG"/>
        </w:rPr>
        <w:t>in inpatients at US health care facilities. Am. J</w:t>
      </w:r>
      <w:r>
        <w:rPr>
          <w:rFonts w:asciiTheme="majorBidi" w:hAnsiTheme="majorBidi" w:cstheme="majorBidi"/>
          <w:color w:val="000000" w:themeColor="text1"/>
          <w:sz w:val="24"/>
          <w:szCs w:val="24"/>
          <w:lang w:bidi="ar-EG"/>
        </w:rPr>
        <w:t xml:space="preserve"> Infect </w:t>
      </w:r>
      <w:r w:rsidR="0018454D" w:rsidRPr="0018454D">
        <w:rPr>
          <w:rFonts w:asciiTheme="majorBidi" w:hAnsiTheme="majorBidi" w:cstheme="majorBidi"/>
          <w:color w:val="000000" w:themeColor="text1"/>
          <w:sz w:val="24"/>
          <w:szCs w:val="24"/>
          <w:lang w:bidi="ar-EG"/>
        </w:rPr>
        <w:t>Control.</w:t>
      </w:r>
      <w:r w:rsidR="001C49E6" w:rsidRPr="001C49E6">
        <w:rPr>
          <w:rFonts w:asciiTheme="majorBidi" w:hAnsiTheme="majorBidi" w:cstheme="majorBidi"/>
          <w:color w:val="000000" w:themeColor="text1"/>
          <w:sz w:val="24"/>
          <w:szCs w:val="24"/>
          <w:lang w:bidi="ar-EG"/>
        </w:rPr>
        <w:t xml:space="preserve"> 2007</w:t>
      </w:r>
      <w:r w:rsidR="001C49E6">
        <w:rPr>
          <w:rFonts w:asciiTheme="majorBidi" w:hAnsiTheme="majorBidi" w:cstheme="majorBidi"/>
          <w:color w:val="000000" w:themeColor="text1"/>
          <w:sz w:val="24"/>
          <w:szCs w:val="24"/>
          <w:lang w:bidi="ar-EG"/>
        </w:rPr>
        <w:t>; 35</w:t>
      </w:r>
      <w:r w:rsidR="0018454D" w:rsidRPr="0018454D">
        <w:rPr>
          <w:rFonts w:asciiTheme="majorBidi" w:hAnsiTheme="majorBidi" w:cstheme="majorBidi"/>
          <w:color w:val="000000" w:themeColor="text1"/>
          <w:sz w:val="24"/>
          <w:szCs w:val="24"/>
          <w:lang w:bidi="ar-EG"/>
        </w:rPr>
        <w:t>: 631- 637.</w:t>
      </w:r>
    </w:p>
    <w:p w:rsidR="0018454D" w:rsidRPr="0018454D" w:rsidRDefault="0018454D" w:rsidP="003F193F">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Kumari N,</w:t>
      </w:r>
      <w:r w:rsidR="003F193F">
        <w:rPr>
          <w:rFonts w:asciiTheme="majorBidi" w:hAnsiTheme="majorBidi" w:cstheme="majorBidi"/>
          <w:color w:val="000000" w:themeColor="text1"/>
          <w:sz w:val="24"/>
          <w:szCs w:val="24"/>
          <w:lang w:bidi="ar-EG"/>
        </w:rPr>
        <w:t xml:space="preserve">Mohapatra TM, Singh YI. </w:t>
      </w:r>
      <w:r w:rsidRPr="0018454D">
        <w:rPr>
          <w:rFonts w:asciiTheme="majorBidi" w:hAnsiTheme="majorBidi" w:cstheme="majorBidi"/>
          <w:color w:val="000000" w:themeColor="text1"/>
          <w:sz w:val="24"/>
          <w:szCs w:val="24"/>
          <w:lang w:bidi="ar-EG"/>
        </w:rPr>
        <w:t>Prevalence of Methicillin-Resistant Staphylococcus Aureus (MRSA) in a Tertiary-Care Hospital. J Nepal Med Assoc</w:t>
      </w:r>
      <w:r w:rsidR="003F193F">
        <w:rPr>
          <w:rFonts w:asciiTheme="majorBidi" w:hAnsiTheme="majorBidi" w:cstheme="majorBidi"/>
          <w:color w:val="000000" w:themeColor="text1"/>
          <w:sz w:val="24"/>
          <w:szCs w:val="24"/>
          <w:lang w:bidi="ar-EG"/>
        </w:rPr>
        <w:t>.</w:t>
      </w:r>
      <w:r w:rsidRPr="0018454D">
        <w:rPr>
          <w:rFonts w:asciiTheme="majorBidi" w:hAnsiTheme="majorBidi" w:cstheme="majorBidi"/>
          <w:color w:val="000000" w:themeColor="text1"/>
          <w:sz w:val="24"/>
          <w:szCs w:val="24"/>
          <w:lang w:bidi="ar-EG"/>
        </w:rPr>
        <w:t xml:space="preserve"> 2008;47(170):53-6    </w:t>
      </w:r>
    </w:p>
    <w:p w:rsidR="0018454D" w:rsidRPr="0018454D" w:rsidRDefault="0018454D" w:rsidP="000C63D5">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Dickinson E. Mortality from methicillin– resistant Staphylococcus aureus in England and Wales: analysis of death certificates. BMJ</w:t>
      </w:r>
      <w:r w:rsidR="000C63D5">
        <w:rPr>
          <w:rFonts w:asciiTheme="majorBidi" w:hAnsiTheme="majorBidi" w:cstheme="majorBidi"/>
          <w:color w:val="000000" w:themeColor="text1"/>
          <w:sz w:val="24"/>
          <w:szCs w:val="24"/>
          <w:lang w:bidi="ar-EG"/>
        </w:rPr>
        <w:t xml:space="preserve">. </w:t>
      </w:r>
      <w:r w:rsidR="00A4677F">
        <w:rPr>
          <w:rFonts w:asciiTheme="majorBidi" w:hAnsiTheme="majorBidi" w:cstheme="majorBidi"/>
          <w:color w:val="000000" w:themeColor="text1"/>
          <w:sz w:val="24"/>
          <w:szCs w:val="24"/>
          <w:lang w:bidi="ar-EG"/>
        </w:rPr>
        <w:t>2002;</w:t>
      </w:r>
      <w:r w:rsidRPr="0018454D">
        <w:rPr>
          <w:rFonts w:asciiTheme="majorBidi" w:hAnsiTheme="majorBidi" w:cstheme="majorBidi"/>
          <w:color w:val="000000" w:themeColor="text1"/>
          <w:sz w:val="24"/>
          <w:szCs w:val="24"/>
          <w:lang w:bidi="ar-EG"/>
        </w:rPr>
        <w:t>325:1390-1.</w:t>
      </w:r>
    </w:p>
    <w:p w:rsidR="0018454D" w:rsidRPr="0018454D" w:rsidRDefault="0018454D" w:rsidP="00BC6561">
      <w:pPr>
        <w:numPr>
          <w:ilvl w:val="0"/>
          <w:numId w:val="2"/>
        </w:numPr>
        <w:bidi w:val="0"/>
        <w:spacing w:line="360" w:lineRule="auto"/>
        <w:contextualSpacing/>
        <w:jc w:val="both"/>
        <w:rPr>
          <w:rFonts w:asciiTheme="majorBidi" w:hAnsiTheme="majorBidi" w:cstheme="majorBidi"/>
          <w:strike/>
          <w:color w:val="000000" w:themeColor="text1"/>
          <w:sz w:val="24"/>
          <w:szCs w:val="24"/>
          <w:lang w:bidi="ar-EG"/>
        </w:rPr>
      </w:pPr>
      <w:r w:rsidRPr="0018454D">
        <w:rPr>
          <w:rFonts w:asciiTheme="majorBidi" w:hAnsiTheme="majorBidi" w:cstheme="majorBidi"/>
          <w:color w:val="000000" w:themeColor="text1"/>
          <w:sz w:val="24"/>
          <w:szCs w:val="24"/>
          <w:lang w:bidi="ar-EG"/>
        </w:rPr>
        <w:t>MIR</w:t>
      </w:r>
      <w:r w:rsidR="000C63D5">
        <w:rPr>
          <w:rFonts w:asciiTheme="majorBidi" w:hAnsiTheme="majorBidi" w:cstheme="majorBidi"/>
          <w:color w:val="000000" w:themeColor="text1"/>
          <w:sz w:val="24"/>
          <w:szCs w:val="24"/>
          <w:lang w:bidi="ar-EG"/>
        </w:rPr>
        <w:t xml:space="preserve"> BA, Srikanth. </w:t>
      </w:r>
      <w:commentRangeStart w:id="71"/>
      <w:r w:rsidR="000C63D5">
        <w:rPr>
          <w:rFonts w:asciiTheme="majorBidi" w:hAnsiTheme="majorBidi" w:cstheme="majorBidi"/>
          <w:color w:val="000000" w:themeColor="text1"/>
          <w:sz w:val="24"/>
          <w:szCs w:val="24"/>
          <w:lang w:bidi="ar-EG"/>
        </w:rPr>
        <w:t>Pr</w:t>
      </w:r>
      <w:r w:rsidR="000C63D5" w:rsidRPr="0018454D">
        <w:rPr>
          <w:rFonts w:asciiTheme="majorBidi" w:hAnsiTheme="majorBidi" w:cstheme="majorBidi"/>
          <w:color w:val="000000" w:themeColor="text1"/>
          <w:sz w:val="24"/>
          <w:szCs w:val="24"/>
          <w:lang w:bidi="ar-EG"/>
        </w:rPr>
        <w:t>evalence</w:t>
      </w:r>
      <w:r w:rsidR="000C63D5">
        <w:rPr>
          <w:rFonts w:asciiTheme="majorBidi" w:hAnsiTheme="majorBidi" w:cstheme="majorBidi"/>
          <w:color w:val="000000" w:themeColor="text1"/>
          <w:sz w:val="24"/>
          <w:szCs w:val="24"/>
          <w:lang w:bidi="ar-EG"/>
        </w:rPr>
        <w:t>and</w:t>
      </w:r>
      <w:r w:rsidR="000C63D5" w:rsidRPr="0018454D">
        <w:rPr>
          <w:rFonts w:asciiTheme="majorBidi" w:hAnsiTheme="majorBidi" w:cstheme="majorBidi"/>
          <w:color w:val="000000" w:themeColor="text1"/>
          <w:sz w:val="24"/>
          <w:szCs w:val="24"/>
          <w:lang w:bidi="ar-EG"/>
        </w:rPr>
        <w:t>A</w:t>
      </w:r>
      <w:r w:rsidR="000C63D5">
        <w:rPr>
          <w:rFonts w:asciiTheme="majorBidi" w:hAnsiTheme="majorBidi" w:cstheme="majorBidi"/>
          <w:color w:val="000000" w:themeColor="text1"/>
          <w:sz w:val="24"/>
          <w:szCs w:val="24"/>
          <w:lang w:bidi="ar-EG"/>
        </w:rPr>
        <w:t>nt</w:t>
      </w:r>
      <w:r w:rsidR="000C63D5" w:rsidRPr="0018454D">
        <w:rPr>
          <w:rFonts w:asciiTheme="majorBidi" w:hAnsiTheme="majorBidi" w:cstheme="majorBidi"/>
          <w:color w:val="000000" w:themeColor="text1"/>
          <w:sz w:val="24"/>
          <w:szCs w:val="24"/>
          <w:lang w:bidi="ar-EG"/>
        </w:rPr>
        <w:t>imicrobialS</w:t>
      </w:r>
      <w:r w:rsidR="000C63D5">
        <w:rPr>
          <w:rFonts w:asciiTheme="majorBidi" w:hAnsiTheme="majorBidi" w:cstheme="majorBidi"/>
          <w:color w:val="000000" w:themeColor="text1"/>
          <w:sz w:val="24"/>
          <w:szCs w:val="24"/>
          <w:lang w:bidi="ar-EG"/>
        </w:rPr>
        <w:t>us</w:t>
      </w:r>
      <w:r w:rsidR="000C63D5" w:rsidRPr="0018454D">
        <w:rPr>
          <w:rFonts w:asciiTheme="majorBidi" w:hAnsiTheme="majorBidi" w:cstheme="majorBidi"/>
          <w:color w:val="000000" w:themeColor="text1"/>
          <w:sz w:val="24"/>
          <w:szCs w:val="24"/>
          <w:lang w:bidi="ar-EG"/>
        </w:rPr>
        <w:t>ceptibili</w:t>
      </w:r>
      <w:commentRangeEnd w:id="71"/>
      <w:r w:rsidR="00AB562D">
        <w:rPr>
          <w:rStyle w:val="CommentReference"/>
        </w:rPr>
        <w:commentReference w:id="71"/>
      </w:r>
      <w:r w:rsidR="000C63D5" w:rsidRPr="0018454D">
        <w:rPr>
          <w:rFonts w:asciiTheme="majorBidi" w:hAnsiTheme="majorBidi" w:cstheme="majorBidi"/>
          <w:color w:val="000000" w:themeColor="text1"/>
          <w:sz w:val="24"/>
          <w:szCs w:val="24"/>
          <w:lang w:bidi="ar-EG"/>
        </w:rPr>
        <w:t>ty</w:t>
      </w:r>
      <w:r w:rsidR="000C63D5">
        <w:rPr>
          <w:rFonts w:asciiTheme="majorBidi" w:hAnsiTheme="majorBidi" w:cstheme="majorBidi"/>
          <w:color w:val="000000" w:themeColor="text1"/>
          <w:sz w:val="24"/>
          <w:szCs w:val="24"/>
          <w:lang w:bidi="ar-EG"/>
        </w:rPr>
        <w:t xml:space="preserve"> OF Methicillin Resista</w:t>
      </w:r>
      <w:r w:rsidR="000C63D5" w:rsidRPr="0018454D">
        <w:rPr>
          <w:rFonts w:asciiTheme="majorBidi" w:hAnsiTheme="majorBidi" w:cstheme="majorBidi"/>
          <w:color w:val="000000" w:themeColor="text1"/>
          <w:sz w:val="24"/>
          <w:szCs w:val="24"/>
          <w:lang w:bidi="ar-EG"/>
        </w:rPr>
        <w:t>nt</w:t>
      </w:r>
      <w:r w:rsidR="000C63D5">
        <w:rPr>
          <w:rFonts w:asciiTheme="majorBidi" w:hAnsiTheme="majorBidi" w:cstheme="majorBidi"/>
          <w:color w:val="000000" w:themeColor="text1"/>
          <w:sz w:val="24"/>
          <w:szCs w:val="24"/>
          <w:lang w:bidi="ar-EG"/>
        </w:rPr>
        <w:t xml:space="preserve"> Staphyl</w:t>
      </w:r>
      <w:r w:rsidR="000C63D5" w:rsidRPr="0018454D">
        <w:rPr>
          <w:rFonts w:asciiTheme="majorBidi" w:hAnsiTheme="majorBidi" w:cstheme="majorBidi"/>
          <w:color w:val="000000" w:themeColor="text1"/>
          <w:sz w:val="24"/>
          <w:szCs w:val="24"/>
          <w:lang w:bidi="ar-EG"/>
        </w:rPr>
        <w:t>ococcus</w:t>
      </w:r>
      <w:r w:rsidRPr="0018454D">
        <w:rPr>
          <w:rFonts w:asciiTheme="majorBidi" w:hAnsiTheme="majorBidi" w:cstheme="majorBidi"/>
          <w:color w:val="000000" w:themeColor="text1"/>
          <w:sz w:val="24"/>
          <w:szCs w:val="24"/>
          <w:lang w:bidi="ar-EG"/>
        </w:rPr>
        <w:t xml:space="preserve"> </w:t>
      </w:r>
      <w:commentRangeStart w:id="72"/>
      <w:r w:rsidRPr="0018454D">
        <w:rPr>
          <w:rFonts w:asciiTheme="majorBidi" w:hAnsiTheme="majorBidi" w:cstheme="majorBidi"/>
          <w:color w:val="000000" w:themeColor="text1"/>
          <w:sz w:val="24"/>
          <w:szCs w:val="24"/>
          <w:lang w:bidi="ar-EG"/>
        </w:rPr>
        <w:t>A</w:t>
      </w:r>
      <w:r w:rsidR="000C63D5">
        <w:rPr>
          <w:rFonts w:asciiTheme="majorBidi" w:hAnsiTheme="majorBidi" w:cstheme="majorBidi"/>
          <w:color w:val="000000" w:themeColor="text1"/>
          <w:sz w:val="24"/>
          <w:szCs w:val="24"/>
          <w:lang w:bidi="ar-EG"/>
        </w:rPr>
        <w:t>ureusand</w:t>
      </w:r>
      <w:r w:rsidR="000C63D5" w:rsidRPr="0018454D">
        <w:rPr>
          <w:rFonts w:asciiTheme="majorBidi" w:hAnsiTheme="majorBidi" w:cstheme="majorBidi"/>
          <w:color w:val="000000" w:themeColor="text1"/>
          <w:sz w:val="24"/>
          <w:szCs w:val="24"/>
          <w:lang w:bidi="ar-EG"/>
        </w:rPr>
        <w:t>C</w:t>
      </w:r>
      <w:r w:rsidR="000C63D5">
        <w:rPr>
          <w:rFonts w:asciiTheme="majorBidi" w:hAnsiTheme="majorBidi" w:cstheme="majorBidi"/>
          <w:color w:val="000000" w:themeColor="text1"/>
          <w:sz w:val="24"/>
          <w:szCs w:val="24"/>
          <w:lang w:bidi="ar-EG"/>
        </w:rPr>
        <w:t>oa</w:t>
      </w:r>
      <w:r w:rsidR="000C63D5" w:rsidRPr="0018454D">
        <w:rPr>
          <w:rFonts w:asciiTheme="majorBidi" w:hAnsiTheme="majorBidi" w:cstheme="majorBidi"/>
          <w:color w:val="000000" w:themeColor="text1"/>
          <w:sz w:val="24"/>
          <w:szCs w:val="24"/>
          <w:lang w:bidi="ar-EG"/>
        </w:rPr>
        <w:t>gulase</w:t>
      </w:r>
      <w:commentRangeEnd w:id="72"/>
      <w:r w:rsidR="00AB562D">
        <w:rPr>
          <w:rStyle w:val="CommentReference"/>
        </w:rPr>
        <w:commentReference w:id="72"/>
      </w:r>
      <w:r w:rsidR="00BC6561">
        <w:rPr>
          <w:rFonts w:asciiTheme="majorBidi" w:hAnsiTheme="majorBidi" w:cstheme="majorBidi"/>
          <w:color w:val="000000" w:themeColor="text1"/>
          <w:sz w:val="24"/>
          <w:szCs w:val="24"/>
          <w:lang w:bidi="ar-EG"/>
        </w:rPr>
        <w:t>-Neg</w:t>
      </w:r>
      <w:r w:rsidR="00BC6561" w:rsidRPr="0018454D">
        <w:rPr>
          <w:rFonts w:asciiTheme="majorBidi" w:hAnsiTheme="majorBidi" w:cstheme="majorBidi"/>
          <w:color w:val="000000" w:themeColor="text1"/>
          <w:sz w:val="24"/>
          <w:szCs w:val="24"/>
          <w:lang w:bidi="ar-EG"/>
        </w:rPr>
        <w:t>ativeS</w:t>
      </w:r>
      <w:r w:rsidR="00BC6561">
        <w:rPr>
          <w:rFonts w:asciiTheme="majorBidi" w:hAnsiTheme="majorBidi" w:cstheme="majorBidi"/>
          <w:color w:val="000000" w:themeColor="text1"/>
          <w:sz w:val="24"/>
          <w:szCs w:val="24"/>
          <w:lang w:bidi="ar-EG"/>
        </w:rPr>
        <w:t>ta</w:t>
      </w:r>
      <w:r w:rsidR="00BC6561" w:rsidRPr="0018454D">
        <w:rPr>
          <w:rFonts w:asciiTheme="majorBidi" w:hAnsiTheme="majorBidi" w:cstheme="majorBidi"/>
          <w:color w:val="000000" w:themeColor="text1"/>
          <w:sz w:val="24"/>
          <w:szCs w:val="24"/>
          <w:lang w:bidi="ar-EG"/>
        </w:rPr>
        <w:t>phylococci</w:t>
      </w:r>
      <w:r w:rsidR="00BC6561">
        <w:rPr>
          <w:rFonts w:asciiTheme="majorBidi" w:hAnsiTheme="majorBidi" w:cstheme="majorBidi"/>
          <w:color w:val="000000" w:themeColor="text1"/>
          <w:sz w:val="24"/>
          <w:szCs w:val="24"/>
          <w:lang w:bidi="ar-EG"/>
        </w:rPr>
        <w:t>in</w:t>
      </w:r>
      <w:r w:rsidR="00BC6561" w:rsidRPr="0018454D">
        <w:rPr>
          <w:rFonts w:asciiTheme="majorBidi" w:hAnsiTheme="majorBidi" w:cstheme="majorBidi"/>
          <w:color w:val="000000" w:themeColor="text1"/>
          <w:sz w:val="24"/>
          <w:szCs w:val="24"/>
          <w:lang w:bidi="ar-EG"/>
        </w:rPr>
        <w:t>aT</w:t>
      </w:r>
      <w:r w:rsidR="00BC6561">
        <w:rPr>
          <w:rFonts w:asciiTheme="majorBidi" w:hAnsiTheme="majorBidi" w:cstheme="majorBidi"/>
          <w:color w:val="000000" w:themeColor="text1"/>
          <w:sz w:val="24"/>
          <w:szCs w:val="24"/>
          <w:lang w:bidi="ar-EG"/>
        </w:rPr>
        <w:t>ertiary Care Ho</w:t>
      </w:r>
      <w:r w:rsidR="00BC6561" w:rsidRPr="0018454D">
        <w:rPr>
          <w:rFonts w:asciiTheme="majorBidi" w:hAnsiTheme="majorBidi" w:cstheme="majorBidi"/>
          <w:color w:val="000000" w:themeColor="text1"/>
          <w:sz w:val="24"/>
          <w:szCs w:val="24"/>
          <w:lang w:bidi="ar-EG"/>
        </w:rPr>
        <w:t>spital</w:t>
      </w:r>
      <w:r w:rsidRPr="0018454D">
        <w:rPr>
          <w:rFonts w:asciiTheme="majorBidi" w:hAnsiTheme="majorBidi" w:cstheme="majorBidi"/>
          <w:color w:val="000000" w:themeColor="text1"/>
          <w:sz w:val="24"/>
          <w:szCs w:val="24"/>
          <w:lang w:bidi="ar-EG"/>
        </w:rPr>
        <w:t xml:space="preserve">. </w:t>
      </w:r>
      <w:commentRangeStart w:id="73"/>
      <w:r w:rsidRPr="0018454D">
        <w:rPr>
          <w:rFonts w:asciiTheme="majorBidi" w:hAnsiTheme="majorBidi" w:cstheme="majorBidi"/>
          <w:i/>
          <w:iCs/>
          <w:color w:val="000000" w:themeColor="text1"/>
          <w:sz w:val="24"/>
          <w:szCs w:val="24"/>
          <w:lang w:bidi="ar-EG"/>
        </w:rPr>
        <w:t>Asian J Pharm Clin Res</w:t>
      </w:r>
      <w:r w:rsidR="00BC6561">
        <w:rPr>
          <w:rFonts w:asciiTheme="majorBidi" w:hAnsiTheme="majorBidi" w:cstheme="majorBidi"/>
          <w:i/>
          <w:iCs/>
          <w:color w:val="000000" w:themeColor="text1"/>
          <w:sz w:val="24"/>
          <w:szCs w:val="24"/>
          <w:lang w:bidi="ar-EG"/>
        </w:rPr>
        <w:t>.</w:t>
      </w:r>
      <w:commentRangeEnd w:id="73"/>
      <w:r w:rsidR="00020C3B">
        <w:rPr>
          <w:rStyle w:val="CommentReference"/>
        </w:rPr>
        <w:commentReference w:id="73"/>
      </w:r>
      <w:r w:rsidR="00BC6561">
        <w:rPr>
          <w:rFonts w:asciiTheme="majorBidi" w:hAnsiTheme="majorBidi" w:cstheme="majorBidi"/>
          <w:i/>
          <w:iCs/>
          <w:color w:val="000000" w:themeColor="text1"/>
          <w:sz w:val="24"/>
          <w:szCs w:val="24"/>
          <w:lang w:bidi="ar-EG"/>
        </w:rPr>
        <w:t>2013</w:t>
      </w:r>
      <w:r w:rsidR="004A0987">
        <w:rPr>
          <w:rFonts w:asciiTheme="majorBidi" w:hAnsiTheme="majorBidi" w:cstheme="majorBidi"/>
          <w:i/>
          <w:iCs/>
          <w:color w:val="000000" w:themeColor="text1"/>
          <w:sz w:val="24"/>
          <w:szCs w:val="24"/>
          <w:lang w:bidi="ar-EG"/>
        </w:rPr>
        <w:t>;</w:t>
      </w:r>
      <w:r w:rsidR="004A0987" w:rsidRPr="0018454D">
        <w:rPr>
          <w:rFonts w:asciiTheme="majorBidi" w:hAnsiTheme="majorBidi" w:cstheme="majorBidi"/>
          <w:i/>
          <w:iCs/>
          <w:color w:val="000000" w:themeColor="text1"/>
          <w:sz w:val="24"/>
          <w:szCs w:val="24"/>
          <w:lang w:bidi="ar-EG"/>
        </w:rPr>
        <w:t>6</w:t>
      </w:r>
      <w:r w:rsidR="00BC6561">
        <w:rPr>
          <w:rFonts w:asciiTheme="majorBidi" w:hAnsiTheme="majorBidi" w:cstheme="majorBidi"/>
          <w:i/>
          <w:iCs/>
          <w:color w:val="000000" w:themeColor="text1"/>
          <w:sz w:val="24"/>
          <w:szCs w:val="24"/>
          <w:lang w:bidi="ar-EG"/>
        </w:rPr>
        <w:t>(</w:t>
      </w:r>
      <w:r w:rsidRPr="0018454D">
        <w:rPr>
          <w:rFonts w:asciiTheme="majorBidi" w:hAnsiTheme="majorBidi" w:cstheme="majorBidi"/>
          <w:i/>
          <w:iCs/>
          <w:color w:val="000000" w:themeColor="text1"/>
          <w:sz w:val="24"/>
          <w:szCs w:val="24"/>
          <w:lang w:bidi="ar-EG"/>
        </w:rPr>
        <w:t>3</w:t>
      </w:r>
      <w:r w:rsidR="00BC6561">
        <w:rPr>
          <w:rFonts w:asciiTheme="majorBidi" w:hAnsiTheme="majorBidi" w:cstheme="majorBidi"/>
          <w:i/>
          <w:iCs/>
          <w:color w:val="000000" w:themeColor="text1"/>
          <w:sz w:val="24"/>
          <w:szCs w:val="24"/>
          <w:lang w:bidi="ar-EG"/>
        </w:rPr>
        <w:t>)</w:t>
      </w:r>
      <w:r w:rsidR="0095208B">
        <w:rPr>
          <w:rFonts w:asciiTheme="majorBidi" w:hAnsiTheme="majorBidi" w:cstheme="majorBidi"/>
          <w:i/>
          <w:iCs/>
          <w:color w:val="000000" w:themeColor="text1"/>
          <w:sz w:val="24"/>
          <w:szCs w:val="24"/>
          <w:lang w:bidi="ar-EG"/>
        </w:rPr>
        <w:t>:</w:t>
      </w:r>
      <w:r w:rsidRPr="0018454D">
        <w:rPr>
          <w:rFonts w:asciiTheme="majorBidi" w:hAnsiTheme="majorBidi" w:cstheme="majorBidi"/>
          <w:i/>
          <w:iCs/>
          <w:color w:val="000000" w:themeColor="text1"/>
          <w:sz w:val="24"/>
          <w:szCs w:val="24"/>
          <w:lang w:bidi="ar-EG"/>
        </w:rPr>
        <w:t>231-234</w:t>
      </w:r>
      <w:r w:rsidRPr="0018454D">
        <w:rPr>
          <w:rFonts w:asciiTheme="majorBidi" w:hAnsiTheme="majorBidi" w:cstheme="majorBidi"/>
          <w:color w:val="000000" w:themeColor="text1"/>
          <w:sz w:val="24"/>
          <w:szCs w:val="24"/>
          <w:lang w:bidi="ar-EG"/>
        </w:rPr>
        <w:t xml:space="preserve">.    </w:t>
      </w:r>
    </w:p>
    <w:p w:rsidR="0018454D" w:rsidRPr="00BC6561" w:rsidRDefault="001E4FE7" w:rsidP="00C57139">
      <w:pPr>
        <w:numPr>
          <w:ilvl w:val="0"/>
          <w:numId w:val="2"/>
        </w:numPr>
        <w:bidi w:val="0"/>
        <w:spacing w:line="360" w:lineRule="auto"/>
        <w:contextualSpacing/>
        <w:jc w:val="both"/>
        <w:rPr>
          <w:rFonts w:asciiTheme="majorBidi" w:hAnsiTheme="majorBidi" w:cstheme="majorBidi"/>
          <w:strike/>
          <w:color w:val="000000" w:themeColor="text1"/>
          <w:sz w:val="24"/>
          <w:szCs w:val="24"/>
          <w:lang w:bidi="ar-EG"/>
        </w:rPr>
      </w:pPr>
      <w:hyperlink r:id="rId15" w:history="1">
        <w:r w:rsidR="0018454D" w:rsidRPr="00BC6561">
          <w:rPr>
            <w:rFonts w:asciiTheme="majorBidi" w:hAnsiTheme="majorBidi" w:cstheme="majorBidi"/>
            <w:color w:val="000000" w:themeColor="text1"/>
            <w:sz w:val="24"/>
            <w:szCs w:val="24"/>
            <w:lang w:bidi="ar-EG"/>
          </w:rPr>
          <w:t>Mejía C</w:t>
        </w:r>
      </w:hyperlink>
      <w:r w:rsidR="0018454D" w:rsidRPr="00BC6561">
        <w:rPr>
          <w:rFonts w:asciiTheme="majorBidi" w:hAnsiTheme="majorBidi" w:cstheme="majorBidi"/>
          <w:color w:val="000000" w:themeColor="text1"/>
          <w:sz w:val="24"/>
          <w:szCs w:val="24"/>
          <w:lang w:bidi="ar-EG"/>
        </w:rPr>
        <w:t>, </w:t>
      </w:r>
      <w:hyperlink r:id="rId16" w:history="1">
        <w:r w:rsidR="0018454D" w:rsidRPr="00BC6561">
          <w:rPr>
            <w:rFonts w:asciiTheme="majorBidi" w:hAnsiTheme="majorBidi" w:cstheme="majorBidi"/>
            <w:color w:val="000000" w:themeColor="text1"/>
            <w:sz w:val="24"/>
            <w:szCs w:val="24"/>
            <w:lang w:bidi="ar-EG"/>
          </w:rPr>
          <w:t>Zurita J</w:t>
        </w:r>
      </w:hyperlink>
      <w:r w:rsidR="0018454D" w:rsidRPr="00BC6561">
        <w:rPr>
          <w:rFonts w:asciiTheme="majorBidi" w:hAnsiTheme="majorBidi" w:cstheme="majorBidi"/>
          <w:color w:val="000000" w:themeColor="text1"/>
          <w:sz w:val="24"/>
          <w:szCs w:val="24"/>
          <w:lang w:bidi="ar-EG"/>
        </w:rPr>
        <w:t>, </w:t>
      </w:r>
      <w:hyperlink r:id="rId17" w:history="1">
        <w:r w:rsidR="0018454D" w:rsidRPr="00BC6561">
          <w:rPr>
            <w:rFonts w:asciiTheme="majorBidi" w:hAnsiTheme="majorBidi" w:cstheme="majorBidi"/>
            <w:color w:val="000000" w:themeColor="text1"/>
            <w:sz w:val="24"/>
            <w:szCs w:val="24"/>
            <w:lang w:bidi="ar-EG"/>
          </w:rPr>
          <w:t>Guzmán-Blanco M</w:t>
        </w:r>
      </w:hyperlink>
      <w:r w:rsidR="0018454D" w:rsidRPr="00BC6561">
        <w:rPr>
          <w:rFonts w:asciiTheme="majorBidi" w:hAnsiTheme="majorBidi" w:cstheme="majorBidi"/>
          <w:color w:val="000000" w:themeColor="text1"/>
          <w:sz w:val="24"/>
          <w:szCs w:val="24"/>
          <w:lang w:bidi="ar-EG"/>
        </w:rPr>
        <w:t xml:space="preserve">. Epidemiology and surveillance of methicillin-resistant </w:t>
      </w:r>
      <w:commentRangeStart w:id="74"/>
      <w:r w:rsidR="0018454D" w:rsidRPr="00BC6561">
        <w:rPr>
          <w:rFonts w:asciiTheme="majorBidi" w:hAnsiTheme="majorBidi" w:cstheme="majorBidi"/>
          <w:color w:val="000000" w:themeColor="text1"/>
          <w:sz w:val="24"/>
          <w:szCs w:val="24"/>
          <w:lang w:bidi="ar-EG"/>
        </w:rPr>
        <w:t xml:space="preserve">staphylococcus aureus </w:t>
      </w:r>
      <w:commentRangeEnd w:id="74"/>
      <w:r w:rsidR="000861A8">
        <w:rPr>
          <w:rStyle w:val="CommentReference"/>
        </w:rPr>
        <w:commentReference w:id="74"/>
      </w:r>
      <w:r w:rsidR="0018454D" w:rsidRPr="00BC6561">
        <w:rPr>
          <w:rFonts w:asciiTheme="majorBidi" w:hAnsiTheme="majorBidi" w:cstheme="majorBidi"/>
          <w:color w:val="000000" w:themeColor="text1"/>
          <w:sz w:val="24"/>
          <w:szCs w:val="24"/>
          <w:lang w:bidi="ar-EG"/>
        </w:rPr>
        <w:t xml:space="preserve">in Latin America. </w:t>
      </w:r>
      <w:hyperlink r:id="rId18" w:tooltip="The Brazilian journal of infectious diseases : an official publication of the Brazilian Society of Infectious Diseases." w:history="1">
        <w:r w:rsidR="0018454D" w:rsidRPr="00BC6561">
          <w:rPr>
            <w:rFonts w:asciiTheme="majorBidi" w:hAnsiTheme="majorBidi" w:cstheme="majorBidi"/>
            <w:color w:val="000000" w:themeColor="text1"/>
            <w:sz w:val="24"/>
            <w:szCs w:val="24"/>
            <w:lang w:bidi="ar-EG"/>
          </w:rPr>
          <w:t>Braz J Infect Dis.</w:t>
        </w:r>
      </w:hyperlink>
      <w:r w:rsidR="00BC6561">
        <w:rPr>
          <w:rFonts w:asciiTheme="majorBidi" w:hAnsiTheme="majorBidi" w:cstheme="majorBidi"/>
          <w:color w:val="000000" w:themeColor="text1"/>
          <w:sz w:val="24"/>
          <w:szCs w:val="24"/>
          <w:lang w:bidi="ar-EG"/>
        </w:rPr>
        <w:t> 2010</w:t>
      </w:r>
      <w:r w:rsidR="004542AC">
        <w:rPr>
          <w:rFonts w:asciiTheme="majorBidi" w:hAnsiTheme="majorBidi" w:cstheme="majorBidi"/>
          <w:color w:val="000000" w:themeColor="text1"/>
          <w:sz w:val="24"/>
          <w:szCs w:val="24"/>
          <w:lang w:bidi="ar-EG"/>
        </w:rPr>
        <w:t>; 14</w:t>
      </w:r>
      <w:r w:rsidR="00C57139">
        <w:rPr>
          <w:rFonts w:asciiTheme="majorBidi" w:hAnsiTheme="majorBidi" w:cstheme="majorBidi"/>
          <w:color w:val="000000" w:themeColor="text1"/>
          <w:sz w:val="24"/>
          <w:szCs w:val="24"/>
          <w:lang w:bidi="ar-EG"/>
        </w:rPr>
        <w:t>(</w:t>
      </w:r>
      <w:r w:rsidR="0018454D" w:rsidRPr="00BC6561">
        <w:rPr>
          <w:rFonts w:asciiTheme="majorBidi" w:hAnsiTheme="majorBidi" w:cstheme="majorBidi"/>
          <w:color w:val="000000" w:themeColor="text1"/>
          <w:sz w:val="24"/>
          <w:szCs w:val="24"/>
          <w:lang w:bidi="ar-EG"/>
        </w:rPr>
        <w:t>2</w:t>
      </w:r>
      <w:r w:rsidR="00C57139">
        <w:rPr>
          <w:rFonts w:asciiTheme="majorBidi" w:hAnsiTheme="majorBidi" w:cstheme="majorBidi"/>
          <w:color w:val="000000" w:themeColor="text1"/>
          <w:sz w:val="24"/>
          <w:szCs w:val="24"/>
          <w:lang w:bidi="ar-EG"/>
        </w:rPr>
        <w:t>)</w:t>
      </w:r>
      <w:r w:rsidR="0018454D" w:rsidRPr="00BC6561">
        <w:rPr>
          <w:rFonts w:asciiTheme="majorBidi" w:hAnsiTheme="majorBidi" w:cstheme="majorBidi"/>
          <w:color w:val="000000" w:themeColor="text1"/>
          <w:sz w:val="24"/>
          <w:szCs w:val="24"/>
          <w:lang w:bidi="ar-EG"/>
        </w:rPr>
        <w:t xml:space="preserve">:79-86.   </w:t>
      </w:r>
    </w:p>
    <w:p w:rsidR="0018454D" w:rsidRPr="0018454D" w:rsidRDefault="0018454D" w:rsidP="00BC6561">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 xml:space="preserve">Al-Dahbi and Al-Mathkhury. Distribution of Methicillin Resistant Staphylococcus aureus in Iraqi patients and Healthcare Workers </w:t>
      </w:r>
      <w:r w:rsidR="004A0987">
        <w:rPr>
          <w:rFonts w:asciiTheme="majorBidi" w:hAnsiTheme="majorBidi" w:cstheme="majorBidi"/>
          <w:color w:val="000000" w:themeColor="text1"/>
          <w:sz w:val="24"/>
          <w:szCs w:val="24"/>
          <w:lang w:bidi="ar-EG"/>
        </w:rPr>
        <w:t>.</w:t>
      </w:r>
      <w:r w:rsidRPr="0018454D">
        <w:rPr>
          <w:rFonts w:asciiTheme="majorBidi" w:hAnsiTheme="majorBidi" w:cstheme="majorBidi"/>
          <w:color w:val="000000" w:themeColor="text1"/>
          <w:sz w:val="24"/>
          <w:szCs w:val="24"/>
          <w:lang w:bidi="ar-EG"/>
        </w:rPr>
        <w:t xml:space="preserve">Iraqi Journal of Science. </w:t>
      </w:r>
      <w:r w:rsidR="00BC6561" w:rsidRPr="0018454D">
        <w:rPr>
          <w:rFonts w:asciiTheme="majorBidi" w:hAnsiTheme="majorBidi" w:cstheme="majorBidi"/>
          <w:color w:val="000000" w:themeColor="text1"/>
          <w:sz w:val="24"/>
          <w:szCs w:val="24"/>
          <w:lang w:bidi="ar-EG"/>
        </w:rPr>
        <w:t>2013</w:t>
      </w:r>
      <w:r w:rsidR="00BC6561">
        <w:rPr>
          <w:rFonts w:asciiTheme="majorBidi" w:hAnsiTheme="majorBidi" w:cstheme="majorBidi"/>
          <w:color w:val="000000" w:themeColor="text1"/>
          <w:sz w:val="24"/>
          <w:szCs w:val="24"/>
          <w:lang w:bidi="ar-EG"/>
        </w:rPr>
        <w:t>;</w:t>
      </w:r>
      <w:r w:rsidRPr="0018454D">
        <w:rPr>
          <w:rFonts w:asciiTheme="majorBidi" w:hAnsiTheme="majorBidi" w:cstheme="majorBidi"/>
          <w:color w:val="000000" w:themeColor="text1"/>
          <w:sz w:val="24"/>
          <w:szCs w:val="24"/>
          <w:lang w:bidi="ar-EG"/>
        </w:rPr>
        <w:t>54</w:t>
      </w:r>
      <w:r w:rsidR="00BC6561">
        <w:rPr>
          <w:rFonts w:asciiTheme="majorBidi" w:hAnsiTheme="majorBidi" w:cstheme="majorBidi"/>
          <w:color w:val="000000" w:themeColor="text1"/>
          <w:sz w:val="24"/>
          <w:szCs w:val="24"/>
          <w:lang w:bidi="ar-EG"/>
        </w:rPr>
        <w:t xml:space="preserve"> (</w:t>
      </w:r>
      <w:r w:rsidRPr="0018454D">
        <w:rPr>
          <w:rFonts w:asciiTheme="majorBidi" w:hAnsiTheme="majorBidi" w:cstheme="majorBidi"/>
          <w:color w:val="000000" w:themeColor="text1"/>
          <w:sz w:val="24"/>
          <w:szCs w:val="24"/>
          <w:lang w:bidi="ar-EG"/>
        </w:rPr>
        <w:t>2</w:t>
      </w:r>
      <w:r w:rsidR="00BC6561">
        <w:rPr>
          <w:rFonts w:asciiTheme="majorBidi" w:hAnsiTheme="majorBidi" w:cstheme="majorBidi"/>
          <w:color w:val="000000" w:themeColor="text1"/>
          <w:sz w:val="24"/>
          <w:szCs w:val="24"/>
          <w:lang w:bidi="ar-EG"/>
        </w:rPr>
        <w:t>):</w:t>
      </w:r>
      <w:r w:rsidRPr="0018454D">
        <w:rPr>
          <w:rFonts w:asciiTheme="majorBidi" w:hAnsiTheme="majorBidi" w:cstheme="majorBidi"/>
          <w:color w:val="000000" w:themeColor="text1"/>
          <w:sz w:val="24"/>
          <w:szCs w:val="24"/>
          <w:lang w:bidi="ar-EG"/>
        </w:rPr>
        <w:t>293-300</w:t>
      </w:r>
    </w:p>
    <w:p w:rsidR="0018454D" w:rsidRPr="0018454D" w:rsidRDefault="0018454D" w:rsidP="008C5876">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lastRenderedPageBreak/>
        <w:t xml:space="preserve">Performance Standards for Antimicrobial Susceptibility Testing; 20th Informational Supplement, Clinical and Laboratory Standards </w:t>
      </w:r>
      <w:r w:rsidR="00AD1ED6">
        <w:rPr>
          <w:rFonts w:asciiTheme="majorBidi" w:hAnsiTheme="majorBidi" w:cstheme="majorBidi"/>
          <w:color w:val="000000" w:themeColor="text1"/>
          <w:sz w:val="24"/>
          <w:szCs w:val="24"/>
          <w:lang w:bidi="ar-EG"/>
        </w:rPr>
        <w:t>Institute (CLSI) M100-S20: 30:</w:t>
      </w:r>
      <w:r w:rsidRPr="0018454D">
        <w:rPr>
          <w:rFonts w:asciiTheme="majorBidi" w:hAnsiTheme="majorBidi" w:cstheme="majorBidi"/>
          <w:color w:val="000000" w:themeColor="text1"/>
          <w:sz w:val="24"/>
          <w:szCs w:val="24"/>
          <w:lang w:bidi="ar-EG"/>
        </w:rPr>
        <w:t>1: Clinical and Labo</w:t>
      </w:r>
      <w:r w:rsidR="00EB7A70">
        <w:rPr>
          <w:rFonts w:asciiTheme="majorBidi" w:hAnsiTheme="majorBidi" w:cstheme="majorBidi"/>
          <w:color w:val="000000" w:themeColor="text1"/>
          <w:sz w:val="24"/>
          <w:szCs w:val="24"/>
          <w:lang w:bidi="ar-EG"/>
        </w:rPr>
        <w:t>ratory Standards Institute; 2012</w:t>
      </w:r>
      <w:r w:rsidRPr="0018454D">
        <w:rPr>
          <w:rFonts w:asciiTheme="majorBidi" w:hAnsiTheme="majorBidi" w:cstheme="majorBidi"/>
          <w:color w:val="000000" w:themeColor="text1"/>
          <w:sz w:val="24"/>
          <w:szCs w:val="24"/>
          <w:lang w:bidi="ar-EG"/>
        </w:rPr>
        <w:t xml:space="preserve">. </w:t>
      </w:r>
    </w:p>
    <w:p w:rsidR="00733F14" w:rsidRPr="00733F14" w:rsidRDefault="0018454D" w:rsidP="0018454D">
      <w:pPr>
        <w:numPr>
          <w:ilvl w:val="0"/>
          <w:numId w:val="2"/>
        </w:numPr>
        <w:bidi w:val="0"/>
        <w:spacing w:line="360" w:lineRule="auto"/>
        <w:contextualSpacing/>
        <w:jc w:val="both"/>
        <w:rPr>
          <w:rFonts w:asciiTheme="majorBidi" w:hAnsiTheme="majorBidi" w:cstheme="majorBidi"/>
          <w:strike/>
          <w:color w:val="000000" w:themeColor="text1"/>
          <w:sz w:val="24"/>
          <w:szCs w:val="24"/>
          <w:lang w:bidi="ar-EG"/>
        </w:rPr>
      </w:pPr>
      <w:r w:rsidRPr="0018454D">
        <w:rPr>
          <w:rFonts w:asciiTheme="majorBidi" w:hAnsiTheme="majorBidi" w:cstheme="majorBidi"/>
          <w:color w:val="000000" w:themeColor="text1"/>
          <w:sz w:val="24"/>
          <w:szCs w:val="24"/>
          <w:lang w:bidi="ar-EG"/>
        </w:rPr>
        <w:t>Kanaga EL. Antimicrobial susceptibility of bacteria that cause wound sepsis in the pa</w:t>
      </w:r>
      <w:commentRangeStart w:id="75"/>
      <w:r w:rsidRPr="0018454D">
        <w:rPr>
          <w:rFonts w:asciiTheme="majorBidi" w:hAnsiTheme="majorBidi" w:cstheme="majorBidi"/>
          <w:color w:val="000000" w:themeColor="text1"/>
          <w:sz w:val="24"/>
          <w:szCs w:val="24"/>
          <w:lang w:bidi="ar-EG"/>
        </w:rPr>
        <w:t>ediatricsurgic</w:t>
      </w:r>
      <w:commentRangeEnd w:id="75"/>
      <w:r w:rsidR="000861A8">
        <w:rPr>
          <w:rStyle w:val="CommentReference"/>
        </w:rPr>
        <w:commentReference w:id="75"/>
      </w:r>
      <w:r w:rsidRPr="0018454D">
        <w:rPr>
          <w:rFonts w:asciiTheme="majorBidi" w:hAnsiTheme="majorBidi" w:cstheme="majorBidi"/>
          <w:color w:val="000000" w:themeColor="text1"/>
          <w:sz w:val="24"/>
          <w:szCs w:val="24"/>
          <w:lang w:bidi="ar-EG"/>
        </w:rPr>
        <w:t>a</w:t>
      </w:r>
      <w:r w:rsidR="008C5876" w:rsidRPr="0018454D">
        <w:rPr>
          <w:rFonts w:asciiTheme="majorBidi" w:hAnsiTheme="majorBidi" w:cstheme="majorBidi"/>
          <w:color w:val="000000" w:themeColor="text1"/>
          <w:sz w:val="24"/>
          <w:szCs w:val="24"/>
          <w:lang w:bidi="ar-EG"/>
        </w:rPr>
        <w:t xml:space="preserve">. Wayne, PA </w:t>
      </w:r>
      <w:r w:rsidRPr="0018454D">
        <w:rPr>
          <w:rFonts w:asciiTheme="majorBidi" w:hAnsiTheme="majorBidi" w:cstheme="majorBidi"/>
          <w:color w:val="000000" w:themeColor="text1"/>
          <w:sz w:val="24"/>
          <w:szCs w:val="24"/>
          <w:lang w:bidi="ar-EG"/>
        </w:rPr>
        <w:t>l patients at Ke</w:t>
      </w:r>
      <w:r w:rsidR="008C5876">
        <w:rPr>
          <w:rFonts w:asciiTheme="majorBidi" w:hAnsiTheme="majorBidi" w:cstheme="majorBidi"/>
          <w:color w:val="000000" w:themeColor="text1"/>
          <w:sz w:val="24"/>
          <w:szCs w:val="24"/>
          <w:lang w:bidi="ar-EG"/>
        </w:rPr>
        <w:t xml:space="preserve">nyatta national hospital. 2014; </w:t>
      </w:r>
      <w:r w:rsidRPr="0018454D">
        <w:rPr>
          <w:rFonts w:asciiTheme="majorBidi" w:hAnsiTheme="majorBidi" w:cstheme="majorBidi"/>
          <w:color w:val="000000" w:themeColor="text1"/>
          <w:sz w:val="24"/>
          <w:szCs w:val="24"/>
          <w:lang w:bidi="ar-EG"/>
        </w:rPr>
        <w:t xml:space="preserve">http://erepo sitory.uonbi .ac.ke/handl e/11295 /95412. Accessed 7 Sept 2017. </w:t>
      </w:r>
    </w:p>
    <w:p w:rsidR="0018454D" w:rsidRPr="0018454D" w:rsidRDefault="0018454D" w:rsidP="00733F14">
      <w:pPr>
        <w:numPr>
          <w:ilvl w:val="0"/>
          <w:numId w:val="2"/>
        </w:numPr>
        <w:bidi w:val="0"/>
        <w:spacing w:line="360" w:lineRule="auto"/>
        <w:contextualSpacing/>
        <w:jc w:val="both"/>
        <w:rPr>
          <w:rFonts w:asciiTheme="majorBidi" w:hAnsiTheme="majorBidi" w:cstheme="majorBidi"/>
          <w:strike/>
          <w:color w:val="000000" w:themeColor="text1"/>
          <w:sz w:val="24"/>
          <w:szCs w:val="24"/>
          <w:lang w:bidi="ar-EG"/>
        </w:rPr>
      </w:pPr>
      <w:r w:rsidRPr="0018454D">
        <w:rPr>
          <w:rFonts w:asciiTheme="majorBidi" w:hAnsiTheme="majorBidi" w:cstheme="majorBidi"/>
          <w:color w:val="000000" w:themeColor="text1"/>
          <w:sz w:val="24"/>
          <w:szCs w:val="24"/>
          <w:lang w:bidi="ar-EG"/>
        </w:rPr>
        <w:t xml:space="preserve">Soltani R, Khalili H, Rasoolinejad M, Abdollahi A. Antimicrobial susceptibility pattern of </w:t>
      </w:r>
      <w:commentRangeStart w:id="76"/>
      <w:r w:rsidRPr="0018454D">
        <w:rPr>
          <w:rFonts w:asciiTheme="majorBidi" w:hAnsiTheme="majorBidi" w:cstheme="majorBidi"/>
          <w:color w:val="000000" w:themeColor="text1"/>
          <w:sz w:val="24"/>
          <w:szCs w:val="24"/>
          <w:lang w:bidi="ar-EG"/>
        </w:rPr>
        <w:t xml:space="preserve">Staphylococcus aureus </w:t>
      </w:r>
      <w:commentRangeEnd w:id="76"/>
      <w:r w:rsidR="000861A8">
        <w:rPr>
          <w:rStyle w:val="CommentReference"/>
        </w:rPr>
        <w:commentReference w:id="76"/>
      </w:r>
      <w:r w:rsidRPr="0018454D">
        <w:rPr>
          <w:rFonts w:asciiTheme="majorBidi" w:hAnsiTheme="majorBidi" w:cstheme="majorBidi"/>
          <w:color w:val="000000" w:themeColor="text1"/>
          <w:sz w:val="24"/>
          <w:szCs w:val="24"/>
          <w:lang w:bidi="ar-EG"/>
        </w:rPr>
        <w:t xml:space="preserve">strains isolated from hospitalized patients in Tehran, Iran. Iran J Pharm Sci. 2010; 6:125–32. </w:t>
      </w:r>
    </w:p>
    <w:p w:rsidR="0018454D" w:rsidRPr="0018454D" w:rsidRDefault="0018454D" w:rsidP="0018454D">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Obiazi HAK, Ekundayo AO, Ukwandu NCD. Prevalence and antibiotic susceptibility pattern of Staphylococcus aureus from clinical isolates grown at 37 and 44 °C from Irrua, Nigeria. African J Microbiol Res. 2007; 1:57–60.</w:t>
      </w:r>
    </w:p>
    <w:p w:rsidR="0018454D" w:rsidRPr="0018454D" w:rsidRDefault="0018454D" w:rsidP="0018454D">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 xml:space="preserve">Ojulong J, Mwambu TP, Joloba M, Bwanga F, Kaddu-Mulindwa DH. Relative prevalence of methicilline resistant </w:t>
      </w:r>
      <w:r w:rsidRPr="0018454D">
        <w:rPr>
          <w:rFonts w:asciiTheme="majorBidi" w:hAnsiTheme="majorBidi" w:cstheme="majorBidi"/>
          <w:i/>
          <w:iCs/>
          <w:color w:val="000000" w:themeColor="text1"/>
          <w:sz w:val="24"/>
          <w:szCs w:val="24"/>
          <w:lang w:bidi="ar-EG"/>
        </w:rPr>
        <w:t>Staphylococcus a</w:t>
      </w:r>
      <w:commentRangeStart w:id="77"/>
      <w:r w:rsidRPr="0018454D">
        <w:rPr>
          <w:rFonts w:asciiTheme="majorBidi" w:hAnsiTheme="majorBidi" w:cstheme="majorBidi"/>
          <w:i/>
          <w:iCs/>
          <w:color w:val="000000" w:themeColor="text1"/>
          <w:sz w:val="24"/>
          <w:szCs w:val="24"/>
          <w:lang w:bidi="ar-EG"/>
        </w:rPr>
        <w:t>ureus</w:t>
      </w:r>
      <w:r w:rsidRPr="0018454D">
        <w:rPr>
          <w:rFonts w:asciiTheme="majorBidi" w:hAnsiTheme="majorBidi" w:cstheme="majorBidi"/>
          <w:color w:val="000000" w:themeColor="text1"/>
          <w:sz w:val="24"/>
          <w:szCs w:val="24"/>
          <w:lang w:bidi="ar-EG"/>
        </w:rPr>
        <w:t>an</w:t>
      </w:r>
      <w:commentRangeEnd w:id="77"/>
      <w:r w:rsidR="00AB562D">
        <w:rPr>
          <w:rStyle w:val="CommentReference"/>
        </w:rPr>
        <w:commentReference w:id="77"/>
      </w:r>
      <w:r w:rsidRPr="0018454D">
        <w:rPr>
          <w:rFonts w:asciiTheme="majorBidi" w:hAnsiTheme="majorBidi" w:cstheme="majorBidi"/>
          <w:color w:val="000000" w:themeColor="text1"/>
          <w:sz w:val="24"/>
          <w:szCs w:val="24"/>
          <w:lang w:bidi="ar-EG"/>
        </w:rPr>
        <w:t>d its susceptibility pattern in Mulago Hospital, Kampala, Uganda. Tanzan J Health Res. 2009; 11:149</w:t>
      </w:r>
      <w:r w:rsidRPr="0018454D">
        <w:rPr>
          <w:rFonts w:asciiTheme="majorBidi" w:hAnsiTheme="majorBidi" w:cstheme="majorBidi" w:hint="cs"/>
          <w:color w:val="000000" w:themeColor="text1"/>
          <w:sz w:val="24"/>
          <w:szCs w:val="24"/>
          <w:lang w:bidi="ar-EG"/>
        </w:rPr>
        <w:t>–</w:t>
      </w:r>
      <w:r w:rsidRPr="0018454D">
        <w:rPr>
          <w:rFonts w:asciiTheme="majorBidi" w:hAnsiTheme="majorBidi" w:cstheme="majorBidi"/>
          <w:color w:val="000000" w:themeColor="text1"/>
          <w:sz w:val="24"/>
          <w:szCs w:val="24"/>
          <w:lang w:bidi="ar-EG"/>
        </w:rPr>
        <w:t>53.</w:t>
      </w:r>
    </w:p>
    <w:p w:rsidR="0018454D" w:rsidRPr="0018454D" w:rsidRDefault="0018454D" w:rsidP="0018454D">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 xml:space="preserve">Dibah S, Arzanlou M, Jannati E, Shapouri R. Prevalence and antimicrobial resistance pattern of methicillin resistant </w:t>
      </w:r>
      <w:commentRangeStart w:id="78"/>
      <w:r w:rsidRPr="0018454D">
        <w:rPr>
          <w:rFonts w:asciiTheme="majorBidi" w:hAnsiTheme="majorBidi" w:cstheme="majorBidi"/>
          <w:color w:val="000000" w:themeColor="text1"/>
          <w:sz w:val="24"/>
          <w:szCs w:val="24"/>
          <w:lang w:bidi="ar-EG"/>
        </w:rPr>
        <w:t xml:space="preserve">Staphylococcus aureus </w:t>
      </w:r>
      <w:commentRangeEnd w:id="78"/>
      <w:r w:rsidR="000861A8">
        <w:rPr>
          <w:rStyle w:val="CommentReference"/>
        </w:rPr>
        <w:commentReference w:id="78"/>
      </w:r>
      <w:r w:rsidRPr="0018454D">
        <w:rPr>
          <w:rFonts w:asciiTheme="majorBidi" w:hAnsiTheme="majorBidi" w:cstheme="majorBidi"/>
          <w:color w:val="000000" w:themeColor="text1"/>
          <w:sz w:val="24"/>
          <w:szCs w:val="24"/>
          <w:lang w:bidi="ar-EG"/>
        </w:rPr>
        <w:t>(</w:t>
      </w:r>
      <w:r w:rsidR="00017026" w:rsidRPr="0018454D">
        <w:rPr>
          <w:rFonts w:asciiTheme="majorBidi" w:hAnsiTheme="majorBidi" w:cstheme="majorBidi"/>
          <w:color w:val="000000" w:themeColor="text1"/>
          <w:sz w:val="24"/>
          <w:szCs w:val="24"/>
          <w:lang w:bidi="ar-EG"/>
        </w:rPr>
        <w:t>MRSA</w:t>
      </w:r>
      <w:r w:rsidR="00017026">
        <w:rPr>
          <w:rFonts w:asciiTheme="majorBidi" w:hAnsiTheme="majorBidi" w:cs="Times New Roman" w:hint="cs"/>
          <w:color w:val="000000" w:themeColor="text1"/>
          <w:sz w:val="24"/>
          <w:szCs w:val="24"/>
          <w:rtl/>
          <w:lang w:bidi="ar-EG"/>
        </w:rPr>
        <w:t xml:space="preserve"> (</w:t>
      </w:r>
      <w:r w:rsidR="00017026" w:rsidRPr="0018454D">
        <w:rPr>
          <w:rFonts w:asciiTheme="majorBidi" w:hAnsiTheme="majorBidi" w:cs="Times New Roman" w:hint="cs"/>
          <w:color w:val="000000" w:themeColor="text1"/>
          <w:sz w:val="24"/>
          <w:szCs w:val="24"/>
          <w:lang w:bidi="ar-EG"/>
        </w:rPr>
        <w:t>strains</w:t>
      </w:r>
      <w:r w:rsidRPr="0018454D">
        <w:rPr>
          <w:rFonts w:asciiTheme="majorBidi" w:hAnsiTheme="majorBidi" w:cstheme="majorBidi"/>
          <w:color w:val="000000" w:themeColor="text1"/>
          <w:sz w:val="24"/>
          <w:szCs w:val="24"/>
          <w:lang w:bidi="ar-EG"/>
        </w:rPr>
        <w:t xml:space="preserve"> isolated from clinical specimens in Ardabil, Iran. Iran J Microbiol</w:t>
      </w:r>
      <w:r w:rsidRPr="0018454D">
        <w:rPr>
          <w:rFonts w:asciiTheme="majorBidi" w:hAnsiTheme="majorBidi" w:cs="Times New Roman"/>
          <w:color w:val="000000" w:themeColor="text1"/>
          <w:sz w:val="24"/>
          <w:szCs w:val="24"/>
          <w:rtl/>
          <w:lang w:bidi="ar-EG"/>
        </w:rPr>
        <w:t>.</w:t>
      </w:r>
      <w:r w:rsidRPr="0018454D">
        <w:rPr>
          <w:rFonts w:asciiTheme="majorBidi" w:hAnsiTheme="majorBidi" w:cstheme="majorBidi"/>
          <w:color w:val="000000" w:themeColor="text1"/>
          <w:sz w:val="24"/>
          <w:szCs w:val="24"/>
          <w:lang w:bidi="ar-EG"/>
        </w:rPr>
        <w:t>2014; 6:163–8.</w:t>
      </w:r>
    </w:p>
    <w:p w:rsidR="0018454D" w:rsidRPr="0018454D" w:rsidRDefault="0018454D" w:rsidP="0018454D">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Funke G, Funke-Kissling P. Performance of the new VITEK 2 GP card for identification of medically relevant Gram-positive cocci in a routine clinical laboratory. J ClinMicrobiol. 2005; 43:84–8.</w:t>
      </w:r>
    </w:p>
    <w:p w:rsidR="0018454D" w:rsidRPr="0018454D" w:rsidRDefault="0018454D" w:rsidP="0018454D">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 xml:space="preserve">Omuse G, Kabera B, Revathi G. Low prevalence of methicillin resistant </w:t>
      </w:r>
      <w:r w:rsidRPr="0018454D">
        <w:rPr>
          <w:rFonts w:asciiTheme="majorBidi" w:hAnsiTheme="majorBidi" w:cstheme="majorBidi"/>
          <w:i/>
          <w:iCs/>
          <w:color w:val="000000" w:themeColor="text1"/>
          <w:sz w:val="24"/>
          <w:szCs w:val="24"/>
          <w:lang w:bidi="ar-EG"/>
        </w:rPr>
        <w:t xml:space="preserve">Staphylococcus aureus </w:t>
      </w:r>
      <w:r w:rsidRPr="0018454D">
        <w:rPr>
          <w:rFonts w:asciiTheme="majorBidi" w:hAnsiTheme="majorBidi" w:cstheme="majorBidi"/>
          <w:color w:val="000000" w:themeColor="text1"/>
          <w:sz w:val="24"/>
          <w:szCs w:val="24"/>
          <w:lang w:bidi="ar-EG"/>
        </w:rPr>
        <w:t>as determined by an automated identification system in two private hospitals in Nairobi, Kenya: a cross sectional study. BMC Infect Dis. 2014; 14:669.</w:t>
      </w:r>
    </w:p>
    <w:p w:rsidR="0018454D" w:rsidRPr="0018454D" w:rsidRDefault="0018454D" w:rsidP="0018454D">
      <w:pPr>
        <w:numPr>
          <w:ilvl w:val="0"/>
          <w:numId w:val="2"/>
        </w:numPr>
        <w:bidi w:val="0"/>
        <w:spacing w:line="360" w:lineRule="auto"/>
        <w:contextualSpacing/>
        <w:jc w:val="both"/>
        <w:rPr>
          <w:rFonts w:asciiTheme="majorBidi" w:hAnsiTheme="majorBidi" w:cstheme="majorBidi"/>
          <w:color w:val="000000" w:themeColor="text1"/>
          <w:sz w:val="24"/>
          <w:szCs w:val="24"/>
          <w:lang w:bidi="ar-EG"/>
        </w:rPr>
      </w:pPr>
      <w:r w:rsidRPr="0018454D">
        <w:rPr>
          <w:rFonts w:asciiTheme="majorBidi" w:hAnsiTheme="majorBidi" w:cstheme="majorBidi"/>
          <w:color w:val="000000" w:themeColor="text1"/>
          <w:sz w:val="24"/>
          <w:szCs w:val="24"/>
          <w:lang w:bidi="ar-EG"/>
        </w:rPr>
        <w:t>Wertheim HFL, Vos MC, Boelens HAM, Voss A, Vandenbroucke-</w:t>
      </w:r>
      <w:r w:rsidR="00017026">
        <w:rPr>
          <w:rFonts w:asciiTheme="majorBidi" w:hAnsiTheme="majorBidi" w:cstheme="majorBidi"/>
          <w:color w:val="000000" w:themeColor="text1"/>
          <w:sz w:val="24"/>
          <w:szCs w:val="24"/>
          <w:lang w:bidi="ar-EG"/>
        </w:rPr>
        <w:t>Grauls CMJE, Meester MHM.</w:t>
      </w:r>
      <w:r w:rsidRPr="0018454D">
        <w:rPr>
          <w:rFonts w:asciiTheme="majorBidi" w:hAnsiTheme="majorBidi" w:cstheme="majorBidi"/>
          <w:color w:val="000000" w:themeColor="text1"/>
          <w:sz w:val="24"/>
          <w:szCs w:val="24"/>
          <w:lang w:bidi="ar-EG"/>
        </w:rPr>
        <w:t xml:space="preserve"> Low prevalence of methicillin-resistant </w:t>
      </w:r>
      <w:r w:rsidRPr="0018454D">
        <w:rPr>
          <w:rFonts w:asciiTheme="majorBidi" w:hAnsiTheme="majorBidi" w:cstheme="majorBidi"/>
          <w:i/>
          <w:iCs/>
          <w:color w:val="000000" w:themeColor="text1"/>
          <w:sz w:val="24"/>
          <w:szCs w:val="24"/>
          <w:lang w:bidi="ar-EG"/>
        </w:rPr>
        <w:t xml:space="preserve">Staphylococcusaureus </w:t>
      </w:r>
      <w:r w:rsidRPr="0018454D">
        <w:rPr>
          <w:rFonts w:asciiTheme="majorBidi" w:hAnsiTheme="majorBidi" w:cstheme="majorBidi"/>
          <w:color w:val="000000" w:themeColor="text1"/>
          <w:sz w:val="24"/>
          <w:szCs w:val="24"/>
          <w:lang w:bidi="ar-EG"/>
        </w:rPr>
        <w:t>(MRSA) at hospital admission in the Netherlands: the value of search and destroy and restrictive antibiotic use. J Hosp Infect. 2004; 56:321</w:t>
      </w:r>
      <w:r w:rsidRPr="0018454D">
        <w:rPr>
          <w:rFonts w:asciiTheme="majorBidi" w:hAnsiTheme="majorBidi" w:cstheme="majorBidi" w:hint="cs"/>
          <w:color w:val="000000" w:themeColor="text1"/>
          <w:sz w:val="24"/>
          <w:szCs w:val="24"/>
          <w:lang w:bidi="ar-EG"/>
        </w:rPr>
        <w:t>–</w:t>
      </w:r>
      <w:r w:rsidRPr="0018454D">
        <w:rPr>
          <w:rFonts w:asciiTheme="majorBidi" w:hAnsiTheme="majorBidi" w:cstheme="majorBidi"/>
          <w:color w:val="000000" w:themeColor="text1"/>
          <w:sz w:val="24"/>
          <w:szCs w:val="24"/>
          <w:lang w:bidi="ar-EG"/>
        </w:rPr>
        <w:t>5.</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heme="majorBidi" w:hAnsiTheme="majorBidi" w:cstheme="majorBidi"/>
          <w:color w:val="000000" w:themeColor="text1"/>
          <w:sz w:val="24"/>
          <w:szCs w:val="24"/>
        </w:rPr>
      </w:pPr>
      <w:r w:rsidRPr="0018454D">
        <w:rPr>
          <w:rFonts w:asciiTheme="majorBidi" w:hAnsiTheme="majorBidi" w:cstheme="majorBidi"/>
          <w:color w:val="000000" w:themeColor="text1"/>
          <w:sz w:val="24"/>
          <w:szCs w:val="24"/>
        </w:rPr>
        <w:t xml:space="preserve">Crowley E, Bird P, Fisher K, Goetz </w:t>
      </w:r>
      <w:r w:rsidR="00017026">
        <w:rPr>
          <w:rFonts w:asciiTheme="majorBidi" w:hAnsiTheme="majorBidi" w:cstheme="majorBidi"/>
          <w:color w:val="000000" w:themeColor="text1"/>
          <w:sz w:val="24"/>
          <w:szCs w:val="24"/>
        </w:rPr>
        <w:t>K, Boyle M, Benzinger MJJ</w:t>
      </w:r>
      <w:r w:rsidRPr="0018454D">
        <w:rPr>
          <w:rFonts w:asciiTheme="majorBidi" w:hAnsiTheme="majorBidi" w:cstheme="majorBidi"/>
          <w:color w:val="000000" w:themeColor="text1"/>
          <w:sz w:val="24"/>
          <w:szCs w:val="24"/>
        </w:rPr>
        <w:t>. Evaluation of the VITEK 2 gram positive (GP) microbial identification test card: collaborative study. J AOAC Int. 2012; 95:1425</w:t>
      </w:r>
      <w:r w:rsidRPr="0018454D">
        <w:rPr>
          <w:rFonts w:asciiTheme="majorBidi" w:hAnsiTheme="majorBidi" w:cstheme="majorBidi" w:hint="cs"/>
          <w:color w:val="000000" w:themeColor="text1"/>
          <w:sz w:val="24"/>
          <w:szCs w:val="24"/>
        </w:rPr>
        <w:t>–</w:t>
      </w:r>
      <w:r w:rsidRPr="0018454D">
        <w:rPr>
          <w:rFonts w:asciiTheme="majorBidi" w:hAnsiTheme="majorBidi" w:cstheme="majorBidi"/>
          <w:color w:val="000000" w:themeColor="text1"/>
          <w:sz w:val="24"/>
          <w:szCs w:val="24"/>
        </w:rPr>
        <w:t xml:space="preserve">32. </w:t>
      </w:r>
    </w:p>
    <w:p w:rsidR="0018454D" w:rsidRPr="0018454D" w:rsidRDefault="00017026" w:rsidP="0018454D">
      <w:pPr>
        <w:numPr>
          <w:ilvl w:val="0"/>
          <w:numId w:val="2"/>
        </w:numPr>
        <w:autoSpaceDE w:val="0"/>
        <w:autoSpaceDN w:val="0"/>
        <w:bidi w:val="0"/>
        <w:adjustRightInd w:val="0"/>
        <w:spacing w:after="0" w:line="360" w:lineRule="auto"/>
        <w:contextualSpacing/>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Joshi S</w:t>
      </w:r>
      <w:r w:rsidR="0018454D" w:rsidRPr="0018454D">
        <w:rPr>
          <w:rFonts w:asciiTheme="majorBidi" w:hAnsiTheme="majorBidi" w:cstheme="majorBidi"/>
          <w:color w:val="000000" w:themeColor="text1"/>
          <w:sz w:val="24"/>
          <w:szCs w:val="24"/>
        </w:rPr>
        <w:t xml:space="preserve">. Methicillin resistant </w:t>
      </w:r>
      <w:r w:rsidR="0018454D" w:rsidRPr="0018454D">
        <w:rPr>
          <w:rFonts w:asciiTheme="majorBidi" w:hAnsiTheme="majorBidi" w:cstheme="majorBidi"/>
          <w:i/>
          <w:iCs/>
          <w:color w:val="000000" w:themeColor="text1"/>
          <w:sz w:val="24"/>
          <w:szCs w:val="24"/>
        </w:rPr>
        <w:t xml:space="preserve">Staphylococcus aureus </w:t>
      </w:r>
      <w:r w:rsidR="0018454D" w:rsidRPr="0018454D">
        <w:rPr>
          <w:rFonts w:asciiTheme="majorBidi" w:hAnsiTheme="majorBidi" w:cstheme="majorBidi"/>
          <w:color w:val="000000" w:themeColor="text1"/>
          <w:sz w:val="24"/>
          <w:szCs w:val="24"/>
        </w:rPr>
        <w:t>(MRSA) in India: prevalence &amp; susceptibility pattern. Indian J Med Res. 2013; 137:363</w:t>
      </w:r>
      <w:r w:rsidR="0018454D" w:rsidRPr="0018454D">
        <w:rPr>
          <w:rFonts w:asciiTheme="majorBidi" w:hAnsiTheme="majorBidi" w:cstheme="majorBidi" w:hint="cs"/>
          <w:color w:val="000000" w:themeColor="text1"/>
          <w:sz w:val="24"/>
          <w:szCs w:val="24"/>
        </w:rPr>
        <w:t>–</w:t>
      </w:r>
      <w:r w:rsidR="0018454D" w:rsidRPr="0018454D">
        <w:rPr>
          <w:rFonts w:asciiTheme="majorBidi" w:hAnsiTheme="majorBidi" w:cstheme="majorBidi"/>
          <w:color w:val="000000" w:themeColor="text1"/>
          <w:sz w:val="24"/>
          <w:szCs w:val="24"/>
        </w:rPr>
        <w:t>9.</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heme="majorBidi" w:hAnsiTheme="majorBidi" w:cstheme="majorBidi"/>
          <w:color w:val="000000" w:themeColor="text1"/>
          <w:sz w:val="24"/>
          <w:szCs w:val="24"/>
        </w:rPr>
      </w:pPr>
      <w:r w:rsidRPr="0018454D">
        <w:rPr>
          <w:rFonts w:asciiTheme="majorBidi" w:hAnsiTheme="majorBidi" w:cstheme="majorBidi"/>
          <w:color w:val="000000" w:themeColor="text1"/>
          <w:sz w:val="24"/>
          <w:szCs w:val="24"/>
        </w:rPr>
        <w:t xml:space="preserve">Arianpoor A, Estaji F, Naderinasab M, Askari E. Antimicrobial susceptibility pattern of </w:t>
      </w:r>
      <w:r w:rsidRPr="0018454D">
        <w:rPr>
          <w:rFonts w:asciiTheme="majorBidi" w:hAnsiTheme="majorBidi" w:cstheme="majorBidi"/>
          <w:i/>
          <w:iCs/>
          <w:color w:val="000000" w:themeColor="text1"/>
          <w:sz w:val="24"/>
          <w:szCs w:val="24"/>
        </w:rPr>
        <w:t xml:space="preserve">Staphylococcus aureus </w:t>
      </w:r>
      <w:r w:rsidRPr="0018454D">
        <w:rPr>
          <w:rFonts w:asciiTheme="majorBidi" w:hAnsiTheme="majorBidi" w:cstheme="majorBidi"/>
          <w:color w:val="000000" w:themeColor="text1"/>
          <w:sz w:val="24"/>
          <w:szCs w:val="24"/>
        </w:rPr>
        <w:t>Isolates against newly marketed antibiotics. J Ayub Med Coll Abbottabad. 2015; 3:3</w:t>
      </w:r>
      <w:r w:rsidRPr="0018454D">
        <w:rPr>
          <w:rFonts w:asciiTheme="majorBidi" w:hAnsiTheme="majorBidi" w:cstheme="majorBidi" w:hint="cs"/>
          <w:color w:val="000000" w:themeColor="text1"/>
          <w:sz w:val="24"/>
          <w:szCs w:val="24"/>
        </w:rPr>
        <w:t>–</w:t>
      </w:r>
      <w:r w:rsidRPr="0018454D">
        <w:rPr>
          <w:rFonts w:asciiTheme="majorBidi" w:hAnsiTheme="majorBidi" w:cstheme="majorBidi"/>
          <w:color w:val="000000" w:themeColor="text1"/>
          <w:sz w:val="24"/>
          <w:szCs w:val="24"/>
        </w:rPr>
        <w:t xml:space="preserve">6.   </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heme="majorBidi" w:hAnsiTheme="majorBidi" w:cstheme="majorBidi"/>
          <w:color w:val="000000" w:themeColor="text1"/>
          <w:sz w:val="24"/>
          <w:szCs w:val="24"/>
        </w:rPr>
      </w:pPr>
      <w:r w:rsidRPr="0018454D">
        <w:rPr>
          <w:rFonts w:asciiTheme="majorBidi" w:hAnsiTheme="majorBidi" w:cstheme="majorBidi"/>
          <w:color w:val="000000" w:themeColor="text1"/>
          <w:sz w:val="24"/>
          <w:szCs w:val="24"/>
        </w:rPr>
        <w:lastRenderedPageBreak/>
        <w:t xml:space="preserve">Rayner C, Munckhof WJ. Antibiotics currently used in the treatment of infections caused by </w:t>
      </w:r>
      <w:r w:rsidRPr="0018454D">
        <w:rPr>
          <w:rFonts w:asciiTheme="majorBidi" w:hAnsiTheme="majorBidi" w:cstheme="majorBidi"/>
          <w:i/>
          <w:iCs/>
          <w:color w:val="000000" w:themeColor="text1"/>
          <w:sz w:val="24"/>
          <w:szCs w:val="24"/>
        </w:rPr>
        <w:t>Staphylococcus aureus</w:t>
      </w:r>
      <w:r w:rsidRPr="0018454D">
        <w:rPr>
          <w:rFonts w:asciiTheme="majorBidi" w:hAnsiTheme="majorBidi" w:cstheme="majorBidi"/>
          <w:color w:val="000000" w:themeColor="text1"/>
          <w:sz w:val="24"/>
          <w:szCs w:val="24"/>
        </w:rPr>
        <w:t>. Intern Med J. 2005; 35(Suppl 2):3</w:t>
      </w:r>
      <w:r w:rsidRPr="0018454D">
        <w:rPr>
          <w:rFonts w:asciiTheme="majorBidi" w:hAnsiTheme="majorBidi" w:cstheme="majorBidi" w:hint="cs"/>
          <w:color w:val="000000" w:themeColor="text1"/>
          <w:sz w:val="24"/>
          <w:szCs w:val="24"/>
        </w:rPr>
        <w:t>–</w:t>
      </w:r>
      <w:r w:rsidRPr="0018454D">
        <w:rPr>
          <w:rFonts w:asciiTheme="majorBidi" w:hAnsiTheme="majorBidi" w:cstheme="majorBidi"/>
          <w:color w:val="000000" w:themeColor="text1"/>
          <w:sz w:val="24"/>
          <w:szCs w:val="24"/>
        </w:rPr>
        <w:t xml:space="preserve">16., </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heme="majorBidi" w:hAnsiTheme="majorBidi" w:cstheme="majorBidi"/>
          <w:color w:val="000000" w:themeColor="text1"/>
          <w:sz w:val="24"/>
          <w:szCs w:val="24"/>
        </w:rPr>
      </w:pPr>
      <w:r w:rsidRPr="0018454D">
        <w:rPr>
          <w:rFonts w:asciiTheme="majorBidi" w:hAnsiTheme="majorBidi" w:cstheme="majorBidi"/>
          <w:color w:val="000000" w:themeColor="text1"/>
          <w:sz w:val="24"/>
          <w:szCs w:val="24"/>
        </w:rPr>
        <w:t xml:space="preserve">Sanchez Garcia M, De la Torre MA, Morales G, Pelaez B, Tolon MJ, Domingo S, et al. Clinical outbreak of linezolid-resistant </w:t>
      </w:r>
      <w:commentRangeStart w:id="79"/>
      <w:r w:rsidRPr="0018454D">
        <w:rPr>
          <w:rFonts w:asciiTheme="majorBidi" w:hAnsiTheme="majorBidi" w:cstheme="majorBidi"/>
          <w:color w:val="000000" w:themeColor="text1"/>
          <w:sz w:val="24"/>
          <w:szCs w:val="24"/>
        </w:rPr>
        <w:t xml:space="preserve">Staphylococcus aureus </w:t>
      </w:r>
      <w:commentRangeEnd w:id="79"/>
      <w:r w:rsidR="000861A8">
        <w:rPr>
          <w:rStyle w:val="CommentReference"/>
        </w:rPr>
        <w:commentReference w:id="79"/>
      </w:r>
      <w:r w:rsidRPr="0018454D">
        <w:rPr>
          <w:rFonts w:asciiTheme="majorBidi" w:hAnsiTheme="majorBidi" w:cstheme="majorBidi"/>
          <w:color w:val="000000" w:themeColor="text1"/>
          <w:sz w:val="24"/>
          <w:szCs w:val="24"/>
        </w:rPr>
        <w:t>in an intensive care unit. JAMA. 2010; 303(22):2260– 4.</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heme="majorBidi" w:hAnsiTheme="majorBidi" w:cstheme="majorBidi"/>
          <w:color w:val="000000" w:themeColor="text1"/>
          <w:sz w:val="24"/>
          <w:szCs w:val="24"/>
        </w:rPr>
      </w:pPr>
      <w:r w:rsidRPr="0018454D">
        <w:rPr>
          <w:rFonts w:asciiTheme="majorBidi" w:hAnsiTheme="majorBidi" w:cstheme="majorBidi"/>
          <w:color w:val="000000" w:themeColor="text1"/>
          <w:sz w:val="24"/>
          <w:szCs w:val="24"/>
        </w:rPr>
        <w:t xml:space="preserve">Panlilio AL, Culver DH, Gaynes RP, Banerjee S, Henderson TS, Tolson JS.. Methicillin-resistant </w:t>
      </w:r>
      <w:commentRangeStart w:id="80"/>
      <w:r w:rsidRPr="0018454D">
        <w:rPr>
          <w:rFonts w:asciiTheme="majorBidi" w:hAnsiTheme="majorBidi" w:cstheme="majorBidi"/>
          <w:color w:val="000000" w:themeColor="text1"/>
          <w:sz w:val="24"/>
          <w:szCs w:val="24"/>
        </w:rPr>
        <w:t xml:space="preserve">Staphylococcus aureus </w:t>
      </w:r>
      <w:commentRangeEnd w:id="80"/>
      <w:r w:rsidR="000861A8">
        <w:rPr>
          <w:rStyle w:val="CommentReference"/>
        </w:rPr>
        <w:commentReference w:id="80"/>
      </w:r>
      <w:r w:rsidRPr="0018454D">
        <w:rPr>
          <w:rFonts w:asciiTheme="majorBidi" w:hAnsiTheme="majorBidi" w:cstheme="majorBidi"/>
          <w:color w:val="000000" w:themeColor="text1"/>
          <w:sz w:val="24"/>
          <w:szCs w:val="24"/>
        </w:rPr>
        <w:t>in US hospitals, 1975-1991. Infect Control HospEpidemiol 1992; 13:582-6.</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imes New Roman" w:eastAsia="Calibri" w:hAnsi="Times New Roman" w:cs="Times New Roman"/>
          <w:color w:val="000000" w:themeColor="text1"/>
          <w:sz w:val="24"/>
          <w:szCs w:val="24"/>
        </w:rPr>
      </w:pPr>
      <w:r w:rsidRPr="0018454D">
        <w:rPr>
          <w:rFonts w:asciiTheme="majorBidi" w:hAnsiTheme="majorBidi" w:cstheme="majorBidi"/>
          <w:color w:val="000000" w:themeColor="text1"/>
          <w:sz w:val="24"/>
          <w:szCs w:val="24"/>
        </w:rPr>
        <w:t>Latif S, Anwar MS, Chaudary NA. Susceptibility Pattern of Nosocomial Methicillin Resistant Staphylococcus Aureus (MRSA) Isolates to Vancomycin and other Anti-Staphylococcal Antibiotics. Biomedica</w:t>
      </w:r>
      <w:r w:rsidR="00017026">
        <w:rPr>
          <w:rFonts w:asciiTheme="majorBidi" w:hAnsiTheme="majorBidi" w:cstheme="majorBidi"/>
          <w:color w:val="000000" w:themeColor="text1"/>
          <w:sz w:val="24"/>
          <w:szCs w:val="24"/>
        </w:rPr>
        <w:t>.</w:t>
      </w:r>
      <w:r w:rsidRPr="0018454D">
        <w:rPr>
          <w:rFonts w:asciiTheme="majorBidi" w:hAnsiTheme="majorBidi" w:cstheme="majorBidi"/>
          <w:color w:val="000000" w:themeColor="text1"/>
          <w:sz w:val="24"/>
          <w:szCs w:val="24"/>
        </w:rPr>
        <w:t xml:space="preserve"> 2000</w:t>
      </w:r>
      <w:r w:rsidR="00017026" w:rsidRPr="0018454D">
        <w:rPr>
          <w:rFonts w:asciiTheme="majorBidi" w:hAnsiTheme="majorBidi" w:cstheme="majorBidi"/>
          <w:color w:val="000000" w:themeColor="text1"/>
          <w:sz w:val="24"/>
          <w:szCs w:val="24"/>
        </w:rPr>
        <w:t>; 16</w:t>
      </w:r>
      <w:r w:rsidRPr="0018454D">
        <w:rPr>
          <w:rFonts w:asciiTheme="majorBidi" w:hAnsiTheme="majorBidi" w:cstheme="majorBidi"/>
          <w:color w:val="000000" w:themeColor="text1"/>
          <w:sz w:val="24"/>
          <w:szCs w:val="24"/>
        </w:rPr>
        <w:t xml:space="preserve">: 32-5. 17. </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imes New Roman" w:eastAsia="Calibri" w:hAnsi="Times New Roman" w:cs="Times New Roman"/>
          <w:color w:val="000000" w:themeColor="text1"/>
          <w:sz w:val="24"/>
          <w:szCs w:val="24"/>
        </w:rPr>
      </w:pPr>
      <w:r w:rsidRPr="0018454D">
        <w:rPr>
          <w:rFonts w:asciiTheme="majorBidi" w:hAnsiTheme="majorBidi" w:cstheme="majorBidi"/>
          <w:color w:val="000000" w:themeColor="text1"/>
          <w:sz w:val="24"/>
          <w:szCs w:val="24"/>
        </w:rPr>
        <w:t>Bukhari MH, Iqbal A, Khatoon N, Iqbal N, Naeem S, Qureshi GR, et al. A</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imes New Roman" w:eastAsia="Calibri" w:hAnsi="Times New Roman" w:cs="Times New Roman"/>
          <w:color w:val="000000" w:themeColor="text1"/>
          <w:sz w:val="24"/>
          <w:szCs w:val="24"/>
        </w:rPr>
      </w:pPr>
      <w:r w:rsidRPr="0018454D">
        <w:rPr>
          <w:rFonts w:ascii="Times New Roman" w:eastAsia="Calibri" w:hAnsi="Times New Roman" w:cs="Times New Roman"/>
          <w:color w:val="000000" w:themeColor="text1"/>
          <w:sz w:val="24"/>
          <w:szCs w:val="24"/>
        </w:rPr>
        <w:t xml:space="preserve">Saikia L, Nath R Choudhary B, Sarkar M. Prevalence and antimicrobial susceptibility pattern of methicillin resistant </w:t>
      </w:r>
      <w:commentRangeStart w:id="81"/>
      <w:r w:rsidRPr="0018454D">
        <w:rPr>
          <w:rFonts w:ascii="Times New Roman" w:eastAsia="Calibri" w:hAnsi="Times New Roman" w:cs="Times New Roman"/>
          <w:color w:val="000000" w:themeColor="text1"/>
          <w:sz w:val="24"/>
          <w:szCs w:val="24"/>
        </w:rPr>
        <w:t xml:space="preserve">Staphylococcus aureus </w:t>
      </w:r>
      <w:commentRangeEnd w:id="81"/>
      <w:r w:rsidR="000861A8">
        <w:rPr>
          <w:rStyle w:val="CommentReference"/>
        </w:rPr>
        <w:commentReference w:id="81"/>
      </w:r>
      <w:r w:rsidRPr="0018454D">
        <w:rPr>
          <w:rFonts w:ascii="Times New Roman" w:eastAsia="Calibri" w:hAnsi="Times New Roman" w:cs="Times New Roman"/>
          <w:color w:val="000000" w:themeColor="text1"/>
          <w:sz w:val="24"/>
          <w:szCs w:val="24"/>
        </w:rPr>
        <w:t>in Assam. Indian J Crit Care Med</w:t>
      </w:r>
      <w:r w:rsidR="00017026">
        <w:rPr>
          <w:rFonts w:ascii="Times New Roman" w:eastAsia="Calibri" w:hAnsi="Times New Roman" w:cs="Times New Roman"/>
          <w:color w:val="000000" w:themeColor="text1"/>
          <w:sz w:val="24"/>
          <w:szCs w:val="24"/>
        </w:rPr>
        <w:t>.</w:t>
      </w:r>
      <w:r w:rsidRPr="0018454D">
        <w:rPr>
          <w:rFonts w:ascii="Times New Roman" w:eastAsia="Calibri" w:hAnsi="Times New Roman" w:cs="Times New Roman"/>
          <w:color w:val="000000" w:themeColor="text1"/>
          <w:sz w:val="24"/>
          <w:szCs w:val="24"/>
        </w:rPr>
        <w:t xml:space="preserve"> 2009;13:156-8</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imes New Roman" w:eastAsia="Calibri" w:hAnsi="Times New Roman" w:cs="Times New Roman"/>
          <w:strike/>
          <w:color w:val="000000" w:themeColor="text1"/>
          <w:sz w:val="24"/>
          <w:szCs w:val="24"/>
        </w:rPr>
      </w:pPr>
      <w:r w:rsidRPr="0018454D">
        <w:rPr>
          <w:rFonts w:ascii="Times New Roman" w:eastAsia="Calibri" w:hAnsi="Times New Roman" w:cs="Times New Roman"/>
          <w:color w:val="000000" w:themeColor="text1"/>
          <w:sz w:val="24"/>
          <w:szCs w:val="24"/>
        </w:rPr>
        <w:t xml:space="preserve">Kumari N, Mohapatra TM, Singh YI. Prevalence of Methicillin-Resistant </w:t>
      </w:r>
      <w:commentRangeStart w:id="82"/>
      <w:r w:rsidRPr="0018454D">
        <w:rPr>
          <w:rFonts w:ascii="Times New Roman" w:eastAsia="Calibri" w:hAnsi="Times New Roman" w:cs="Times New Roman"/>
          <w:color w:val="000000" w:themeColor="text1"/>
          <w:sz w:val="24"/>
          <w:szCs w:val="24"/>
        </w:rPr>
        <w:t xml:space="preserve">Staphylococcus aureus </w:t>
      </w:r>
      <w:commentRangeEnd w:id="82"/>
      <w:r w:rsidR="000861A8">
        <w:rPr>
          <w:rStyle w:val="CommentReference"/>
        </w:rPr>
        <w:commentReference w:id="82"/>
      </w:r>
      <w:r w:rsidRPr="0018454D">
        <w:rPr>
          <w:rFonts w:ascii="Times New Roman" w:eastAsia="Calibri" w:hAnsi="Times New Roman" w:cs="Times New Roman"/>
          <w:color w:val="000000" w:themeColor="text1"/>
          <w:sz w:val="24"/>
          <w:szCs w:val="24"/>
        </w:rPr>
        <w:t>(MRSA) in a Tertiary-Care Hospital in Eastern Nepal. J Nepal Med Assoc</w:t>
      </w:r>
      <w:r w:rsidR="00017026">
        <w:rPr>
          <w:rFonts w:ascii="Times New Roman" w:eastAsia="Calibri" w:hAnsi="Times New Roman" w:cs="Times New Roman"/>
          <w:color w:val="000000" w:themeColor="text1"/>
          <w:sz w:val="24"/>
          <w:szCs w:val="24"/>
        </w:rPr>
        <w:t>.</w:t>
      </w:r>
      <w:r w:rsidRPr="0018454D">
        <w:rPr>
          <w:rFonts w:ascii="Times New Roman" w:eastAsia="Calibri" w:hAnsi="Times New Roman" w:cs="Times New Roman"/>
          <w:color w:val="000000" w:themeColor="text1"/>
          <w:sz w:val="24"/>
          <w:szCs w:val="24"/>
        </w:rPr>
        <w:t xml:space="preserve"> 2008;47(170):53-6   </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imes New Roman" w:eastAsia="Calibri" w:hAnsi="Times New Roman" w:cs="Times New Roman"/>
          <w:color w:val="000000" w:themeColor="text1"/>
          <w:sz w:val="24"/>
          <w:szCs w:val="24"/>
        </w:rPr>
      </w:pPr>
      <w:r w:rsidRPr="0018454D">
        <w:rPr>
          <w:rFonts w:ascii="Times New Roman" w:eastAsia="Calibri" w:hAnsi="Times New Roman" w:cs="Times New Roman"/>
          <w:color w:val="000000" w:themeColor="text1"/>
          <w:sz w:val="24"/>
          <w:szCs w:val="24"/>
        </w:rPr>
        <w:t>Dominique S, Blanc, et al. Epidemiology of methicillin resistant Staphylococcus aureus:results of a nation- wide survey in Switzerland. Swiss Med wkly 2002; 132:223-9.</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imes New Roman" w:eastAsia="Calibri" w:hAnsi="Times New Roman" w:cs="Times New Roman"/>
          <w:color w:val="000000" w:themeColor="text1"/>
          <w:sz w:val="24"/>
          <w:szCs w:val="24"/>
        </w:rPr>
      </w:pPr>
      <w:r w:rsidRPr="0018454D">
        <w:rPr>
          <w:rFonts w:ascii="Times New Roman" w:eastAsia="Calibri" w:hAnsi="Times New Roman" w:cs="Times New Roman"/>
          <w:color w:val="000000" w:themeColor="text1"/>
          <w:sz w:val="24"/>
          <w:szCs w:val="24"/>
        </w:rPr>
        <w:t>Vandenbroucke-Grauls C. Epidemiology of staphylococcal infections–a European perspective. JAC 1994; 6:67-70.</w:t>
      </w:r>
    </w:p>
    <w:p w:rsidR="0018454D" w:rsidRPr="0018454D" w:rsidRDefault="00017026" w:rsidP="006D2FD9">
      <w:pPr>
        <w:numPr>
          <w:ilvl w:val="0"/>
          <w:numId w:val="2"/>
        </w:numPr>
        <w:autoSpaceDE w:val="0"/>
        <w:autoSpaceDN w:val="0"/>
        <w:bidi w:val="0"/>
        <w:adjustRightInd w:val="0"/>
        <w:spacing w:after="0" w:line="360" w:lineRule="auto"/>
        <w:contextualSpacing/>
        <w:jc w:val="both"/>
        <w:rPr>
          <w:rFonts w:ascii="Times New Roman" w:eastAsia="Calibri" w:hAnsi="Times New Roman" w:cs="Times New Roman"/>
          <w:color w:val="000000" w:themeColor="text1"/>
          <w:sz w:val="24"/>
          <w:szCs w:val="24"/>
        </w:rPr>
      </w:pPr>
      <w:r w:rsidRPr="006D2FD9">
        <w:rPr>
          <w:rFonts w:ascii="Times New Roman" w:eastAsia="Calibri" w:hAnsi="Times New Roman" w:cs="Times New Roman"/>
          <w:color w:val="000000" w:themeColor="text1"/>
          <w:sz w:val="24"/>
          <w:szCs w:val="24"/>
        </w:rPr>
        <w:t>Begum</w:t>
      </w:r>
      <w:r>
        <w:rPr>
          <w:rFonts w:ascii="Times New Roman" w:eastAsia="Calibri" w:hAnsi="Times New Roman" w:cs="Times New Roman"/>
          <w:color w:val="000000" w:themeColor="text1"/>
          <w:sz w:val="24"/>
          <w:szCs w:val="24"/>
        </w:rPr>
        <w:t xml:space="preserve"> ES</w:t>
      </w:r>
      <w:r w:rsidR="0018454D" w:rsidRPr="0018454D">
        <w:rPr>
          <w:rFonts w:ascii="Times New Roman" w:eastAsia="Calibri" w:hAnsi="Times New Roman" w:cs="Times New Roman"/>
          <w:color w:val="000000" w:themeColor="text1"/>
          <w:sz w:val="24"/>
          <w:szCs w:val="24"/>
        </w:rPr>
        <w:t>, Anbumani</w:t>
      </w:r>
      <w:r w:rsidR="006D2FD9" w:rsidRPr="006D2FD9">
        <w:rPr>
          <w:rFonts w:ascii="Times New Roman" w:eastAsia="Calibri" w:hAnsi="Times New Roman" w:cs="Times New Roman"/>
          <w:color w:val="000000" w:themeColor="text1"/>
          <w:sz w:val="24"/>
          <w:szCs w:val="24"/>
        </w:rPr>
        <w:t>N.</w:t>
      </w:r>
      <w:r w:rsidR="0018454D" w:rsidRPr="0018454D">
        <w:rPr>
          <w:rFonts w:ascii="Times New Roman" w:eastAsia="Calibri" w:hAnsi="Times New Roman" w:cs="Times New Roman"/>
          <w:color w:val="000000" w:themeColor="text1"/>
          <w:sz w:val="24"/>
          <w:szCs w:val="24"/>
        </w:rPr>
        <w:t>, Kalyani</w:t>
      </w:r>
      <w:r w:rsidR="006D2FD9" w:rsidRPr="006D2FD9">
        <w:rPr>
          <w:rFonts w:ascii="Times New Roman" w:eastAsia="Calibri" w:hAnsi="Times New Roman" w:cs="Times New Roman"/>
          <w:color w:val="000000" w:themeColor="text1"/>
          <w:sz w:val="24"/>
          <w:szCs w:val="24"/>
        </w:rPr>
        <w:t>J.</w:t>
      </w:r>
      <w:r w:rsidR="0018454D" w:rsidRPr="0018454D">
        <w:rPr>
          <w:rFonts w:ascii="Times New Roman" w:eastAsia="Calibri" w:hAnsi="Times New Roman" w:cs="Times New Roman"/>
          <w:color w:val="000000" w:themeColor="text1"/>
          <w:sz w:val="24"/>
          <w:szCs w:val="24"/>
        </w:rPr>
        <w:t>, Mallika</w:t>
      </w:r>
      <w:r w:rsidR="006D2FD9">
        <w:rPr>
          <w:rFonts w:ascii="Times New Roman" w:eastAsia="Calibri" w:hAnsi="Times New Roman" w:cs="Times New Roman"/>
          <w:color w:val="000000" w:themeColor="text1"/>
          <w:sz w:val="24"/>
          <w:szCs w:val="24"/>
        </w:rPr>
        <w:t xml:space="preserve"> M</w:t>
      </w:r>
      <w:r w:rsidR="0018454D" w:rsidRPr="0018454D">
        <w:rPr>
          <w:rFonts w:ascii="Times New Roman" w:eastAsia="Calibri" w:hAnsi="Times New Roman" w:cs="Times New Roman"/>
          <w:color w:val="000000" w:themeColor="text1"/>
          <w:sz w:val="24"/>
          <w:szCs w:val="24"/>
        </w:rPr>
        <w:t>. Prevalence and antimicrobial susceptibility pattern of Coagulase-negative Staphylococcus. International Journal of Medicine and Public Health</w:t>
      </w:r>
      <w:r>
        <w:rPr>
          <w:rFonts w:ascii="Times New Roman" w:eastAsia="Calibri" w:hAnsi="Times New Roman" w:cs="Times New Roman"/>
          <w:color w:val="000000" w:themeColor="text1"/>
          <w:sz w:val="24"/>
          <w:szCs w:val="24"/>
        </w:rPr>
        <w:t>.</w:t>
      </w:r>
      <w:r w:rsidR="0018454D" w:rsidRPr="0018454D">
        <w:rPr>
          <w:rFonts w:ascii="Times New Roman" w:eastAsia="Calibri" w:hAnsi="Times New Roman" w:cs="Times New Roman"/>
          <w:color w:val="000000" w:themeColor="text1"/>
          <w:sz w:val="24"/>
          <w:szCs w:val="24"/>
        </w:rPr>
        <w:t xml:space="preserve"> 2011; 1(4):59-62.</w:t>
      </w:r>
    </w:p>
    <w:p w:rsidR="0018454D" w:rsidRPr="0018454D" w:rsidRDefault="0018454D" w:rsidP="0018454D">
      <w:pPr>
        <w:numPr>
          <w:ilvl w:val="0"/>
          <w:numId w:val="2"/>
        </w:numPr>
        <w:autoSpaceDE w:val="0"/>
        <w:autoSpaceDN w:val="0"/>
        <w:bidi w:val="0"/>
        <w:adjustRightInd w:val="0"/>
        <w:spacing w:after="0" w:line="360" w:lineRule="auto"/>
        <w:contextualSpacing/>
        <w:jc w:val="both"/>
        <w:rPr>
          <w:rFonts w:ascii="Times New Roman" w:eastAsia="Calibri" w:hAnsi="Times New Roman" w:cs="Times New Roman"/>
          <w:color w:val="000000" w:themeColor="text1"/>
          <w:sz w:val="24"/>
          <w:szCs w:val="24"/>
        </w:rPr>
      </w:pPr>
      <w:r w:rsidRPr="0018454D">
        <w:rPr>
          <w:rFonts w:ascii="Times New Roman" w:eastAsia="Calibri" w:hAnsi="Times New Roman" w:cs="Times New Roman"/>
          <w:color w:val="000000" w:themeColor="text1"/>
          <w:sz w:val="24"/>
          <w:szCs w:val="24"/>
        </w:rPr>
        <w:t xml:space="preserve">IrumPerveen, Abdul Majid, SobiaKnawal, IffatNaz, ShamaSehar, Safia Ahmed et.al. Prevalence and Antimicrobial Susceptibility Pattern of Methicillin-Resistant </w:t>
      </w:r>
      <w:commentRangeStart w:id="83"/>
      <w:r w:rsidRPr="0018454D">
        <w:rPr>
          <w:rFonts w:ascii="Times New Roman" w:eastAsia="Calibri" w:hAnsi="Times New Roman" w:cs="Times New Roman"/>
          <w:color w:val="000000" w:themeColor="text1"/>
          <w:sz w:val="24"/>
          <w:szCs w:val="24"/>
        </w:rPr>
        <w:t xml:space="preserve">Staphylococcus aureus </w:t>
      </w:r>
      <w:commentRangeEnd w:id="83"/>
      <w:r w:rsidR="000861A8">
        <w:rPr>
          <w:rStyle w:val="CommentReference"/>
        </w:rPr>
        <w:commentReference w:id="83"/>
      </w:r>
      <w:r w:rsidRPr="0018454D">
        <w:rPr>
          <w:rFonts w:ascii="Times New Roman" w:eastAsia="Calibri" w:hAnsi="Times New Roman" w:cs="Times New Roman"/>
          <w:color w:val="000000" w:themeColor="text1"/>
          <w:sz w:val="24"/>
          <w:szCs w:val="24"/>
        </w:rPr>
        <w:t>and Coagulase-Negative Staphylococci in Rawalpindi, Pakistan. Br J Med Med Res 2013; 3(1):198-209.</w:t>
      </w:r>
    </w:p>
    <w:p w:rsidR="0018454D" w:rsidRPr="00381B08" w:rsidRDefault="0018454D" w:rsidP="0018454D">
      <w:pPr>
        <w:autoSpaceDE w:val="0"/>
        <w:autoSpaceDN w:val="0"/>
        <w:bidi w:val="0"/>
        <w:adjustRightInd w:val="0"/>
        <w:spacing w:after="0" w:line="360" w:lineRule="auto"/>
        <w:jc w:val="both"/>
        <w:rPr>
          <w:rFonts w:asciiTheme="majorBidi" w:hAnsiTheme="majorBidi" w:cstheme="majorBidi"/>
          <w:sz w:val="24"/>
          <w:szCs w:val="24"/>
        </w:rPr>
      </w:pPr>
    </w:p>
    <w:p w:rsidR="00F27F54" w:rsidRPr="00F27F54" w:rsidRDefault="00F27F54" w:rsidP="00F27F54">
      <w:pPr>
        <w:autoSpaceDE w:val="0"/>
        <w:autoSpaceDN w:val="0"/>
        <w:bidi w:val="0"/>
        <w:adjustRightInd w:val="0"/>
        <w:spacing w:after="0" w:line="240" w:lineRule="auto"/>
        <w:rPr>
          <w:rFonts w:ascii="Times New Roman" w:eastAsia="Times New Roman" w:hAnsi="Times New Roman" w:cs="Times New Roman"/>
          <w:sz w:val="24"/>
          <w:szCs w:val="24"/>
        </w:rPr>
      </w:pPr>
    </w:p>
    <w:p w:rsidR="00F27F54" w:rsidRPr="00F27F54" w:rsidRDefault="00F27F54" w:rsidP="00F27F54">
      <w:pPr>
        <w:autoSpaceDE w:val="0"/>
        <w:autoSpaceDN w:val="0"/>
        <w:bidi w:val="0"/>
        <w:adjustRightInd w:val="0"/>
        <w:spacing w:after="0" w:line="240" w:lineRule="auto"/>
        <w:rPr>
          <w:rFonts w:ascii="Times New Roman" w:eastAsia="Times New Roman" w:hAnsi="Times New Roman" w:cs="Times New Roman"/>
          <w:sz w:val="24"/>
          <w:szCs w:val="24"/>
        </w:rPr>
      </w:pPr>
    </w:p>
    <w:p w:rsidR="00F27F54" w:rsidRPr="00F27F54" w:rsidRDefault="00F27F54" w:rsidP="00F27F54">
      <w:pPr>
        <w:autoSpaceDE w:val="0"/>
        <w:autoSpaceDN w:val="0"/>
        <w:bidi w:val="0"/>
        <w:adjustRightInd w:val="0"/>
        <w:spacing w:after="0" w:line="240" w:lineRule="auto"/>
        <w:rPr>
          <w:rFonts w:ascii="Times New Roman" w:eastAsia="Times New Roman" w:hAnsi="Times New Roman" w:cs="Times New Roman"/>
          <w:sz w:val="24"/>
          <w:szCs w:val="24"/>
        </w:rPr>
      </w:pPr>
    </w:p>
    <w:p w:rsidR="00F27F54" w:rsidRPr="00F27F54" w:rsidRDefault="00F27F54" w:rsidP="00F27F54">
      <w:pPr>
        <w:autoSpaceDE w:val="0"/>
        <w:autoSpaceDN w:val="0"/>
        <w:bidi w:val="0"/>
        <w:adjustRightInd w:val="0"/>
        <w:spacing w:after="0" w:line="400" w:lineRule="atLeast"/>
        <w:rPr>
          <w:rFonts w:ascii="Times New Roman" w:eastAsia="Times New Roman" w:hAnsi="Times New Roman" w:cs="Times New Roman"/>
          <w:sz w:val="24"/>
          <w:szCs w:val="24"/>
        </w:rPr>
      </w:pPr>
    </w:p>
    <w:p w:rsidR="00F27F54" w:rsidRPr="00F27F54" w:rsidRDefault="00F27F54" w:rsidP="00F27F54">
      <w:pPr>
        <w:autoSpaceDE w:val="0"/>
        <w:autoSpaceDN w:val="0"/>
        <w:bidi w:val="0"/>
        <w:adjustRightInd w:val="0"/>
        <w:spacing w:after="0" w:line="400" w:lineRule="atLeast"/>
        <w:rPr>
          <w:rFonts w:ascii="Times New Roman" w:eastAsia="Times New Roman" w:hAnsi="Times New Roman" w:cs="Times New Roman"/>
          <w:sz w:val="24"/>
          <w:szCs w:val="24"/>
        </w:rPr>
      </w:pPr>
    </w:p>
    <w:p w:rsidR="00F27F54" w:rsidRPr="00F27F54" w:rsidRDefault="00F27F54" w:rsidP="00F27F54">
      <w:pPr>
        <w:autoSpaceDE w:val="0"/>
        <w:autoSpaceDN w:val="0"/>
        <w:bidi w:val="0"/>
        <w:adjustRightInd w:val="0"/>
        <w:spacing w:after="0" w:line="240" w:lineRule="auto"/>
        <w:rPr>
          <w:rFonts w:ascii="Times New Roman" w:eastAsia="Times New Roman" w:hAnsi="Times New Roman" w:cs="Times New Roman"/>
          <w:sz w:val="24"/>
          <w:szCs w:val="24"/>
        </w:rPr>
      </w:pPr>
    </w:p>
    <w:p w:rsidR="007A56C2" w:rsidRPr="007A56C2" w:rsidRDefault="007A56C2" w:rsidP="007A56C2">
      <w:pPr>
        <w:autoSpaceDE w:val="0"/>
        <w:autoSpaceDN w:val="0"/>
        <w:bidi w:val="0"/>
        <w:adjustRightInd w:val="0"/>
        <w:spacing w:after="0" w:line="360" w:lineRule="auto"/>
        <w:jc w:val="both"/>
        <w:rPr>
          <w:rFonts w:asciiTheme="majorBidi" w:hAnsiTheme="majorBidi" w:cstheme="majorBidi"/>
          <w:sz w:val="24"/>
          <w:szCs w:val="24"/>
        </w:rPr>
      </w:pPr>
    </w:p>
    <w:p w:rsidR="007A56C2" w:rsidRPr="007A56C2" w:rsidRDefault="007A56C2" w:rsidP="007A56C2">
      <w:pPr>
        <w:autoSpaceDE w:val="0"/>
        <w:autoSpaceDN w:val="0"/>
        <w:bidi w:val="0"/>
        <w:adjustRightInd w:val="0"/>
        <w:spacing w:after="0" w:line="360" w:lineRule="auto"/>
        <w:jc w:val="both"/>
        <w:rPr>
          <w:rFonts w:asciiTheme="majorBidi" w:hAnsiTheme="majorBidi" w:cstheme="majorBidi"/>
          <w:sz w:val="24"/>
          <w:szCs w:val="24"/>
        </w:rPr>
      </w:pPr>
    </w:p>
    <w:p w:rsidR="00B559D7" w:rsidRPr="00B559D7" w:rsidRDefault="00B559D7" w:rsidP="00B559D7">
      <w:pPr>
        <w:bidi w:val="0"/>
        <w:spacing w:line="360" w:lineRule="auto"/>
        <w:jc w:val="both"/>
        <w:rPr>
          <w:rFonts w:asciiTheme="majorBidi" w:hAnsiTheme="majorBidi" w:cstheme="majorBidi"/>
          <w:color w:val="C00000"/>
          <w:sz w:val="28"/>
          <w:szCs w:val="28"/>
          <w:lang w:bidi="ar-EG"/>
        </w:rPr>
      </w:pPr>
    </w:p>
    <w:sectPr w:rsidR="00B559D7" w:rsidRPr="00B559D7" w:rsidSect="00C61093">
      <w:headerReference w:type="even" r:id="rId19"/>
      <w:headerReference w:type="default" r:id="rId20"/>
      <w:footerReference w:type="even" r:id="rId21"/>
      <w:footerReference w:type="default" r:id="rId22"/>
      <w:headerReference w:type="first" r:id="rId23"/>
      <w:footerReference w:type="first" r:id="rId24"/>
      <w:pgSz w:w="11906" w:h="16838"/>
      <w:pgMar w:top="180" w:right="1800" w:bottom="270" w:left="1800" w:header="165" w:footer="93"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4T14:51:00Z" w:initials="K">
    <w:p w:rsidR="00B34990" w:rsidRDefault="00B34990" w:rsidP="00B3499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34990" w:rsidRPr="00B07E1A" w:rsidRDefault="00B34990" w:rsidP="00B3499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B34990" w:rsidRPr="00E41274" w:rsidRDefault="00B34990" w:rsidP="00B3499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B34990" w:rsidRDefault="00B34990">
      <w:pPr>
        <w:pStyle w:val="CommentText"/>
      </w:pPr>
    </w:p>
  </w:comment>
  <w:comment w:id="1" w:author="Kapil" w:date="2021-04-24T15:51:00Z" w:initials="K">
    <w:p w:rsidR="00C46482" w:rsidRDefault="00C46482" w:rsidP="00C46482">
      <w:pPr>
        <w:spacing w:after="0"/>
        <w:rPr>
          <w:rFonts w:ascii="Bookman Old Style" w:hAnsi="Bookman Old Style" w:cs="Times New Roman"/>
        </w:rPr>
      </w:pPr>
      <w:r>
        <w:rPr>
          <w:rStyle w:val="CommentReference"/>
        </w:rPr>
        <w:annotationRef/>
      </w:r>
      <w:r w:rsidRPr="00E97B30">
        <w:rPr>
          <w:rFonts w:ascii="Bookman Old Style" w:hAnsi="Bookman Old Style" w:cs="Times New Roman"/>
        </w:rPr>
        <w:t>The paper is well prepared, the work is nourishing. After I receive comments for the points I mention, I recommend to accept submissio</w:t>
      </w:r>
      <w:r>
        <w:rPr>
          <w:rFonts w:ascii="Bookman Old Style" w:hAnsi="Bookman Old Style" w:cs="Times New Roman"/>
        </w:rPr>
        <w:t>n.</w:t>
      </w:r>
    </w:p>
    <w:p w:rsidR="00C46482" w:rsidRDefault="00C46482">
      <w:pPr>
        <w:pStyle w:val="CommentText"/>
      </w:pPr>
    </w:p>
  </w:comment>
  <w:comment w:id="2" w:author="kapil chauhan" w:date="2019-10-14T12:33:00Z" w:initials="kc">
    <w:p w:rsidR="000861A8" w:rsidRDefault="000861A8">
      <w:pPr>
        <w:pStyle w:val="CommentText"/>
      </w:pPr>
      <w:r>
        <w:rPr>
          <w:rStyle w:val="CommentReference"/>
        </w:rPr>
        <w:annotationRef/>
      </w:r>
    </w:p>
    <w:p w:rsidR="000861A8" w:rsidRDefault="000861A8">
      <w:pPr>
        <w:pStyle w:val="CommentText"/>
      </w:pPr>
      <w:r>
        <w:t>Please check journal specifications for abstract</w:t>
      </w:r>
    </w:p>
  </w:comment>
  <w:comment w:id="4" w:author="kapil chauhan" w:date="2019-10-14T12:34:00Z" w:initials="kc">
    <w:p w:rsidR="000861A8" w:rsidRDefault="000861A8">
      <w:pPr>
        <w:pStyle w:val="CommentText"/>
        <w:rPr>
          <w:rtl/>
        </w:rPr>
      </w:pPr>
      <w:r>
        <w:rPr>
          <w:rStyle w:val="CommentReference"/>
        </w:rPr>
        <w:annotationRef/>
      </w:r>
    </w:p>
    <w:p w:rsidR="000861A8" w:rsidRDefault="000861A8">
      <w:pPr>
        <w:pStyle w:val="CommentText"/>
      </w:pPr>
      <w:r>
        <w:rPr>
          <w:rtl/>
        </w:rPr>
        <w:t>Italics</w:t>
      </w:r>
    </w:p>
  </w:comment>
  <w:comment w:id="3" w:author="Kapil" w:date="2021-04-24T14:37:00Z" w:initials="K">
    <w:p w:rsidR="006D4092" w:rsidRDefault="006D4092">
      <w:pPr>
        <w:pStyle w:val="CommentText"/>
      </w:pPr>
      <w:r>
        <w:rPr>
          <w:rStyle w:val="CommentReference"/>
        </w:rPr>
        <w:annotationRef/>
      </w:r>
      <w:r w:rsidRPr="005E10D1">
        <w:rPr>
          <w:rFonts w:cs="B Titr"/>
          <w:bCs/>
          <w:sz w:val="24"/>
        </w:rPr>
        <w:t>Article can be published after some minor changes</w:t>
      </w:r>
    </w:p>
  </w:comment>
  <w:comment w:id="6" w:author="kapil chauhan" w:date="2019-10-14T12:36:00Z" w:initials="kc">
    <w:p w:rsidR="000861A8" w:rsidRDefault="000861A8">
      <w:pPr>
        <w:pStyle w:val="CommentText"/>
      </w:pPr>
      <w:r>
        <w:rPr>
          <w:rStyle w:val="CommentReference"/>
        </w:rPr>
        <w:annotationRef/>
      </w:r>
      <w:r>
        <w:rPr>
          <w:rtl/>
        </w:rPr>
        <w:t>Spacing</w:t>
      </w:r>
    </w:p>
  </w:comment>
  <w:comment w:id="7" w:author="kapil chauhan" w:date="2019-10-14T12:36:00Z" w:initials="kc">
    <w:p w:rsidR="000861A8" w:rsidRDefault="000861A8">
      <w:pPr>
        <w:pStyle w:val="CommentText"/>
      </w:pPr>
      <w:r>
        <w:rPr>
          <w:rStyle w:val="CommentReference"/>
        </w:rPr>
        <w:annotationRef/>
      </w:r>
      <w:r>
        <w:rPr>
          <w:rtl/>
        </w:rPr>
        <w:t>Spacing</w:t>
      </w:r>
    </w:p>
  </w:comment>
  <w:comment w:id="8" w:author="kapil chauhan" w:date="2019-10-14T12:36:00Z" w:initials="kc">
    <w:p w:rsidR="000861A8" w:rsidRDefault="000861A8">
      <w:pPr>
        <w:pStyle w:val="CommentText"/>
      </w:pPr>
      <w:r>
        <w:rPr>
          <w:rStyle w:val="CommentReference"/>
        </w:rPr>
        <w:annotationRef/>
      </w:r>
      <w:r>
        <w:rPr>
          <w:rtl/>
        </w:rPr>
        <w:t>Spacing</w:t>
      </w:r>
    </w:p>
  </w:comment>
  <w:comment w:id="9" w:author="kapil chauhan" w:date="2019-10-14T12:36:00Z" w:initials="kc">
    <w:p w:rsidR="000861A8" w:rsidRDefault="000861A8">
      <w:pPr>
        <w:pStyle w:val="CommentText"/>
      </w:pPr>
      <w:r>
        <w:rPr>
          <w:rStyle w:val="CommentReference"/>
        </w:rPr>
        <w:annotationRef/>
      </w:r>
      <w:r>
        <w:rPr>
          <w:rtl/>
        </w:rPr>
        <w:t>Spacing</w:t>
      </w:r>
    </w:p>
  </w:comment>
  <w:comment w:id="5" w:author="Kapil" w:date="2021-04-24T15:43:00Z" w:initials="K">
    <w:p w:rsidR="00020C3B" w:rsidRDefault="00020C3B" w:rsidP="00020C3B">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020C3B" w:rsidRDefault="00020C3B">
      <w:pPr>
        <w:pStyle w:val="CommentText"/>
      </w:pPr>
    </w:p>
  </w:comment>
  <w:comment w:id="10" w:author="kapil chauhan" w:date="2019-10-14T12:37:00Z" w:initials="kc">
    <w:p w:rsidR="000861A8" w:rsidRDefault="000861A8">
      <w:pPr>
        <w:pStyle w:val="CommentText"/>
        <w:rPr>
          <w:rtl/>
        </w:rPr>
      </w:pPr>
      <w:r>
        <w:rPr>
          <w:rStyle w:val="CommentReference"/>
        </w:rPr>
        <w:annotationRef/>
      </w:r>
    </w:p>
    <w:p w:rsidR="000861A8" w:rsidRDefault="000861A8">
      <w:pPr>
        <w:pStyle w:val="CommentText"/>
        <w:rPr>
          <w:rtl/>
        </w:rPr>
      </w:pPr>
      <w:r>
        <w:rPr>
          <w:rtl/>
        </w:rPr>
        <w:t>?Italics</w:t>
      </w:r>
    </w:p>
    <w:p w:rsidR="000861A8" w:rsidRDefault="000861A8">
      <w:pPr>
        <w:pStyle w:val="CommentText"/>
      </w:pPr>
      <w:r>
        <w:rPr>
          <w:rtl/>
        </w:rPr>
        <w:t>Arrange alphabetically</w:t>
      </w:r>
    </w:p>
  </w:comment>
  <w:comment w:id="12" w:author="Kapil" w:date="2021-04-24T17:52:00Z" w:initials="K">
    <w:p w:rsidR="00AB562D" w:rsidRDefault="00AB562D">
      <w:pPr>
        <w:pStyle w:val="CommentText"/>
      </w:pPr>
      <w:r>
        <w:rPr>
          <w:rStyle w:val="CommentReference"/>
        </w:rPr>
        <w:annotationRef/>
      </w:r>
      <w:r>
        <w:rPr>
          <w:rFonts w:asciiTheme="majorBidi" w:hAnsiTheme="majorBidi" w:cstheme="majorBidi"/>
          <w:color w:val="C00000"/>
          <w:sz w:val="24"/>
          <w:szCs w:val="24"/>
        </w:rPr>
        <w:t>Remove numbering from main headings</w:t>
      </w:r>
    </w:p>
  </w:comment>
  <w:comment w:id="11" w:author="Kapil" w:date="2021-04-24T17:51:00Z" w:initials="K">
    <w:p w:rsidR="00AB562D" w:rsidRDefault="00AB562D">
      <w:pPr>
        <w:pStyle w:val="CommentText"/>
      </w:pPr>
      <w:r>
        <w:rPr>
          <w:rStyle w:val="CommentReference"/>
        </w:rPr>
        <w:annotationRef/>
      </w:r>
    </w:p>
  </w:comment>
  <w:comment w:id="13" w:author="kapil chauhan" w:date="2019-10-14T12:34: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14" w:author="Kapil" w:date="2021-04-24T15:43:00Z" w:initials="K">
    <w:p w:rsidR="00020C3B" w:rsidRDefault="00020C3B" w:rsidP="00020C3B">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020C3B" w:rsidRDefault="00020C3B">
      <w:pPr>
        <w:pStyle w:val="CommentText"/>
      </w:pPr>
    </w:p>
  </w:comment>
  <w:comment w:id="16" w:author="kapil chauhan" w:date="2019-10-14T12:37:00Z" w:initials="kc">
    <w:p w:rsidR="000861A8" w:rsidRDefault="000861A8">
      <w:pPr>
        <w:pStyle w:val="CommentText"/>
      </w:pPr>
      <w:r>
        <w:rPr>
          <w:rStyle w:val="CommentReference"/>
        </w:rPr>
        <w:annotationRef/>
      </w:r>
      <w:r>
        <w:rPr>
          <w:rtl/>
        </w:rPr>
        <w:t>Spacing</w:t>
      </w:r>
    </w:p>
  </w:comment>
  <w:comment w:id="17" w:author="kapil chauhan" w:date="2019-10-14T12:37:00Z" w:initials="kc">
    <w:p w:rsidR="000861A8" w:rsidRDefault="000861A8">
      <w:pPr>
        <w:pStyle w:val="CommentText"/>
      </w:pPr>
      <w:r>
        <w:rPr>
          <w:rStyle w:val="CommentReference"/>
        </w:rPr>
        <w:annotationRef/>
      </w:r>
      <w:r>
        <w:rPr>
          <w:rtl/>
        </w:rPr>
        <w:t>Spacing</w:t>
      </w:r>
    </w:p>
  </w:comment>
  <w:comment w:id="18" w:author="kapil chauhan" w:date="2019-10-14T12:37:00Z" w:initials="kc">
    <w:p w:rsidR="000861A8" w:rsidRDefault="000861A8">
      <w:pPr>
        <w:pStyle w:val="CommentText"/>
      </w:pPr>
      <w:r>
        <w:rPr>
          <w:rStyle w:val="CommentReference"/>
        </w:rPr>
        <w:annotationRef/>
      </w:r>
      <w:r>
        <w:rPr>
          <w:rtl/>
        </w:rPr>
        <w:t>Spacing</w:t>
      </w:r>
    </w:p>
  </w:comment>
  <w:comment w:id="19" w:author="kapil chauhan" w:date="2019-10-14T12:37:00Z" w:initials="kc">
    <w:p w:rsidR="000861A8" w:rsidRDefault="000861A8">
      <w:pPr>
        <w:pStyle w:val="CommentText"/>
      </w:pPr>
      <w:r>
        <w:rPr>
          <w:rStyle w:val="CommentReference"/>
        </w:rPr>
        <w:annotationRef/>
      </w:r>
      <w:r>
        <w:rPr>
          <w:rtl/>
        </w:rPr>
        <w:t>Spacing</w:t>
      </w:r>
    </w:p>
  </w:comment>
  <w:comment w:id="20" w:author="kapil chauhan" w:date="2019-10-14T12:37:00Z" w:initials="kc">
    <w:p w:rsidR="000861A8" w:rsidRDefault="000861A8">
      <w:pPr>
        <w:pStyle w:val="CommentText"/>
      </w:pPr>
      <w:r>
        <w:rPr>
          <w:rStyle w:val="CommentReference"/>
        </w:rPr>
        <w:annotationRef/>
      </w:r>
      <w:r>
        <w:rPr>
          <w:rtl/>
        </w:rPr>
        <w:t>Spacing</w:t>
      </w:r>
    </w:p>
  </w:comment>
  <w:comment w:id="15" w:author="Kapil" w:date="2021-04-24T15:44:00Z" w:initials="K">
    <w:p w:rsidR="00020C3B" w:rsidRPr="00CF1B05" w:rsidRDefault="00020C3B" w:rsidP="00020C3B">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article</w:t>
      </w:r>
      <w:r w:rsidRPr="00CF1B05">
        <w:rPr>
          <w:rFonts w:ascii="Bookman Old Style" w:hAnsi="Bookman Old Style" w:cs="Times New Roman"/>
        </w:rPr>
        <w:t xml:space="preserve"> reflects sufficient competence in the survey of literature for discussion with the pertinent references</w:t>
      </w:r>
      <w:r>
        <w:rPr>
          <w:rFonts w:ascii="Bookman Old Style" w:hAnsi="Bookman Old Style" w:cs="Times New Roman"/>
        </w:rPr>
        <w:t xml:space="preserve"> </w:t>
      </w:r>
      <w:r w:rsidRPr="00CF1B05">
        <w:rPr>
          <w:rFonts w:ascii="Bookman Old Style" w:hAnsi="Bookman Old Style" w:cs="Times New Roman"/>
        </w:rPr>
        <w:t xml:space="preserve">and publications. This </w:t>
      </w:r>
      <w:r>
        <w:rPr>
          <w:rFonts w:ascii="Bookman Old Style" w:hAnsi="Bookman Old Style" w:cs="Times New Roman"/>
        </w:rPr>
        <w:t>article</w:t>
      </w:r>
      <w:r w:rsidRPr="00CF1B05">
        <w:rPr>
          <w:rFonts w:ascii="Bookman Old Style" w:hAnsi="Bookman Old Style" w:cs="Times New Roman"/>
        </w:rPr>
        <w:t xml:space="preserve"> also covers the research area sufficiently with suitable evidences and documentation of</w:t>
      </w:r>
      <w:r>
        <w:rPr>
          <w:rFonts w:ascii="Bookman Old Style" w:hAnsi="Bookman Old Style" w:cs="Times New Roman"/>
        </w:rPr>
        <w:t xml:space="preserve"> </w:t>
      </w:r>
      <w:r w:rsidRPr="00CF1B05">
        <w:rPr>
          <w:rFonts w:ascii="Bookman Old Style" w:hAnsi="Bookman Old Style" w:cs="Times New Roman"/>
        </w:rPr>
        <w:t>statements.</w:t>
      </w:r>
    </w:p>
    <w:p w:rsidR="00020C3B" w:rsidRDefault="00020C3B">
      <w:pPr>
        <w:pStyle w:val="CommentText"/>
      </w:pPr>
    </w:p>
  </w:comment>
  <w:comment w:id="21" w:author="Kapil" w:date="2021-04-24T17:52:00Z" w:initials="K">
    <w:p w:rsidR="00AB562D" w:rsidRDefault="00AB562D">
      <w:pPr>
        <w:pStyle w:val="CommentText"/>
      </w:pPr>
      <w:r>
        <w:rPr>
          <w:rStyle w:val="CommentReference"/>
        </w:rPr>
        <w:annotationRef/>
      </w:r>
      <w:r>
        <w:rPr>
          <w:rFonts w:asciiTheme="majorBidi" w:hAnsiTheme="majorBidi" w:cstheme="majorBidi"/>
          <w:color w:val="C00000"/>
          <w:sz w:val="24"/>
          <w:szCs w:val="24"/>
        </w:rPr>
        <w:t>Remove numbering from main headings</w:t>
      </w:r>
    </w:p>
  </w:comment>
  <w:comment w:id="23" w:author="kapil chauhan" w:date="2019-10-14T12:34: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25" w:author="kapil chauhan" w:date="2019-10-14T12:37:00Z" w:initials="kc">
    <w:p w:rsidR="000861A8" w:rsidRDefault="000861A8">
      <w:pPr>
        <w:pStyle w:val="CommentText"/>
      </w:pPr>
      <w:r>
        <w:rPr>
          <w:rStyle w:val="CommentReference"/>
        </w:rPr>
        <w:annotationRef/>
      </w:r>
      <w:r>
        <w:rPr>
          <w:rtl/>
        </w:rPr>
        <w:t>Spacing</w:t>
      </w:r>
    </w:p>
  </w:comment>
  <w:comment w:id="24" w:author="Kapil" w:date="2021-04-24T15:48:00Z" w:initials="K">
    <w:p w:rsidR="00020C3B" w:rsidRDefault="00020C3B" w:rsidP="00020C3B">
      <w:pPr>
        <w:spacing w:after="0"/>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r>
        <w:rPr>
          <w:rFonts w:ascii="Bookman Old Style" w:hAnsi="Bookman Old Style" w:cs="Times New Roman"/>
        </w:rPr>
        <w:t>.</w:t>
      </w:r>
    </w:p>
    <w:p w:rsidR="00020C3B" w:rsidRDefault="00020C3B">
      <w:pPr>
        <w:pStyle w:val="CommentText"/>
      </w:pPr>
    </w:p>
  </w:comment>
  <w:comment w:id="22" w:author="Kapil" w:date="2021-04-24T15:44:00Z" w:initials="K">
    <w:p w:rsidR="00020C3B" w:rsidRDefault="00020C3B" w:rsidP="00020C3B">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020C3B" w:rsidRDefault="00020C3B">
      <w:pPr>
        <w:pStyle w:val="CommentText"/>
      </w:pPr>
    </w:p>
  </w:comment>
  <w:comment w:id="26" w:author="kapil chauhan" w:date="2019-10-14T12:38:00Z" w:initials="kc">
    <w:p w:rsidR="000861A8" w:rsidRDefault="000861A8">
      <w:pPr>
        <w:pStyle w:val="CommentText"/>
      </w:pPr>
      <w:r>
        <w:rPr>
          <w:rStyle w:val="CommentReference"/>
        </w:rPr>
        <w:annotationRef/>
      </w:r>
      <w:r>
        <w:rPr>
          <w:rtl/>
        </w:rPr>
        <w:t>Spacing</w:t>
      </w:r>
    </w:p>
  </w:comment>
  <w:comment w:id="27" w:author="kapil chauhan" w:date="2019-10-14T12:38:00Z" w:initials="kc">
    <w:p w:rsidR="000861A8" w:rsidRDefault="000861A8">
      <w:pPr>
        <w:pStyle w:val="CommentText"/>
      </w:pPr>
      <w:r>
        <w:rPr>
          <w:rStyle w:val="CommentReference"/>
        </w:rPr>
        <w:annotationRef/>
      </w:r>
      <w:r>
        <w:rPr>
          <w:rtl/>
        </w:rPr>
        <w:t>and</w:t>
      </w:r>
    </w:p>
  </w:comment>
  <w:comment w:id="28" w:author="Kapil" w:date="2021-04-24T15:48:00Z" w:initials="K">
    <w:p w:rsidR="00020C3B" w:rsidRDefault="00020C3B" w:rsidP="00020C3B">
      <w:pPr>
        <w:spacing w:after="0"/>
        <w:rPr>
          <w:rFonts w:ascii="Bookman Old Style" w:hAnsi="Bookman Old Style" w:cs="Times New Roman"/>
        </w:rPr>
      </w:pPr>
      <w:r>
        <w:rPr>
          <w:rStyle w:val="CommentReference"/>
        </w:rPr>
        <w:annotationRef/>
      </w:r>
      <w:r>
        <w:rPr>
          <w:rFonts w:ascii="Bookman Old Style" w:hAnsi="Bookman Old Style" w:cs="Times New Roman"/>
        </w:rPr>
        <w:t>Please mention the reference number and year for the approval from University/institute/organization to perform the study.</w:t>
      </w:r>
    </w:p>
    <w:p w:rsidR="00020C3B" w:rsidRDefault="00020C3B">
      <w:pPr>
        <w:pStyle w:val="CommentText"/>
      </w:pPr>
    </w:p>
  </w:comment>
  <w:comment w:id="30" w:author="Kapil" w:date="2021-04-24T17:52:00Z" w:initials="K">
    <w:p w:rsidR="00AB562D" w:rsidRDefault="00AB562D">
      <w:pPr>
        <w:pStyle w:val="CommentText"/>
      </w:pPr>
      <w:r>
        <w:rPr>
          <w:rStyle w:val="CommentReference"/>
        </w:rPr>
        <w:annotationRef/>
      </w:r>
      <w:r>
        <w:rPr>
          <w:rFonts w:asciiTheme="majorBidi" w:hAnsiTheme="majorBidi" w:cstheme="majorBidi"/>
          <w:color w:val="C00000"/>
          <w:sz w:val="24"/>
          <w:szCs w:val="24"/>
        </w:rPr>
        <w:t>Remove numbering from main headings</w:t>
      </w:r>
    </w:p>
  </w:comment>
  <w:comment w:id="29" w:author="Kapil" w:date="2021-04-24T17:29:00Z" w:initials="K">
    <w:p w:rsidR="001A4A69" w:rsidRPr="00BB0FA3" w:rsidRDefault="001A4A69" w:rsidP="001A4A6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Table/Figure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1A4A69" w:rsidRDefault="001A4A69">
      <w:pPr>
        <w:pStyle w:val="CommentText"/>
      </w:pPr>
    </w:p>
  </w:comment>
  <w:comment w:id="31" w:author="kapil chauhan" w:date="2019-10-14T12:34: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32" w:author="kapil chauhan" w:date="2019-10-14T12:39:00Z" w:initials="kc">
    <w:p w:rsidR="000861A8" w:rsidRDefault="000861A8">
      <w:pPr>
        <w:pStyle w:val="CommentText"/>
      </w:pPr>
      <w:r>
        <w:rPr>
          <w:rStyle w:val="CommentReference"/>
        </w:rPr>
        <w:annotationRef/>
      </w:r>
      <w:r>
        <w:rPr>
          <w:rtl/>
        </w:rPr>
        <w:t>Spacing</w:t>
      </w:r>
    </w:p>
  </w:comment>
  <w:comment w:id="33" w:author="Kapil" w:date="2021-04-24T17:50:00Z" w:initials="K">
    <w:p w:rsidR="00BE56E5" w:rsidRPr="00F161E2" w:rsidRDefault="00BE56E5" w:rsidP="00BE56E5">
      <w:pPr>
        <w:spacing w:after="0"/>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BE56E5" w:rsidRDefault="00BE56E5">
      <w:pPr>
        <w:pStyle w:val="CommentText"/>
      </w:pPr>
    </w:p>
  </w:comment>
  <w:comment w:id="34" w:author="Kapil" w:date="2021-04-24T15:48:00Z" w:initials="K">
    <w:p w:rsidR="00020C3B" w:rsidRDefault="00020C3B" w:rsidP="00020C3B">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020C3B" w:rsidRDefault="00020C3B">
      <w:pPr>
        <w:pStyle w:val="CommentText"/>
      </w:pPr>
    </w:p>
  </w:comment>
  <w:comment w:id="35" w:author="Kapil" w:date="2021-04-24T17:53:00Z" w:initials="K">
    <w:p w:rsidR="00AB562D" w:rsidRDefault="00AB562D">
      <w:pPr>
        <w:pStyle w:val="CommentText"/>
      </w:pPr>
      <w:r>
        <w:rPr>
          <w:rStyle w:val="CommentReference"/>
        </w:rPr>
        <w:annotationRef/>
      </w:r>
      <w:r>
        <w:rPr>
          <w:rFonts w:asciiTheme="majorBidi" w:hAnsiTheme="majorBidi" w:cstheme="majorBidi"/>
          <w:color w:val="000000" w:themeColor="text1"/>
          <w:sz w:val="24"/>
          <w:szCs w:val="24"/>
          <w:lang w:bidi="ar-EG"/>
        </w:rPr>
        <w:t>spacing needed</w:t>
      </w:r>
    </w:p>
  </w:comment>
  <w:comment w:id="36" w:author="kapil chauhan" w:date="2019-10-14T12:40:00Z" w:initials="kc">
    <w:p w:rsidR="000861A8" w:rsidRDefault="000861A8">
      <w:pPr>
        <w:pStyle w:val="CommentText"/>
      </w:pPr>
      <w:r>
        <w:rPr>
          <w:rStyle w:val="CommentReference"/>
        </w:rPr>
        <w:annotationRef/>
      </w:r>
      <w:r>
        <w:rPr>
          <w:rtl/>
        </w:rPr>
        <w:t>Table</w:t>
      </w:r>
    </w:p>
  </w:comment>
  <w:comment w:id="37" w:author="kapil chauhan" w:date="2019-10-14T12:40:00Z" w:initials="kc">
    <w:p w:rsidR="000861A8" w:rsidRDefault="000861A8">
      <w:pPr>
        <w:pStyle w:val="CommentText"/>
      </w:pPr>
      <w:r>
        <w:rPr>
          <w:rStyle w:val="CommentReference"/>
        </w:rPr>
        <w:annotationRef/>
      </w:r>
      <w:r>
        <w:rPr>
          <w:rtl/>
        </w:rPr>
        <w:t>Table</w:t>
      </w:r>
    </w:p>
  </w:comment>
  <w:comment w:id="46" w:author="kapil chauhan" w:date="2019-10-14T12:40:00Z" w:initials="kc">
    <w:p w:rsidR="000861A8" w:rsidRDefault="000861A8">
      <w:pPr>
        <w:pStyle w:val="CommentText"/>
      </w:pPr>
      <w:r>
        <w:rPr>
          <w:rStyle w:val="CommentReference"/>
        </w:rPr>
        <w:annotationRef/>
      </w:r>
      <w:r>
        <w:rPr>
          <w:rtl/>
        </w:rPr>
        <w:t>Table</w:t>
      </w:r>
    </w:p>
  </w:comment>
  <w:comment w:id="48" w:author="Kapil" w:date="2021-04-24T15:50:00Z" w:initials="K">
    <w:p w:rsidR="0019491F" w:rsidRDefault="0019491F" w:rsidP="0019491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19491F" w:rsidRDefault="0019491F" w:rsidP="0019491F">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19491F" w:rsidRDefault="0019491F">
      <w:pPr>
        <w:pStyle w:val="CommentText"/>
      </w:pPr>
    </w:p>
  </w:comment>
  <w:comment w:id="49" w:author="kapil chauhan" w:date="2019-10-14T12:39:00Z" w:initials="kc">
    <w:p w:rsidR="000861A8" w:rsidRDefault="000861A8">
      <w:pPr>
        <w:pStyle w:val="CommentText"/>
      </w:pPr>
      <w:r>
        <w:rPr>
          <w:rStyle w:val="CommentReference"/>
        </w:rPr>
        <w:annotationRef/>
      </w:r>
      <w:r>
        <w:rPr>
          <w:rtl/>
        </w:rPr>
        <w:t>Spacing</w:t>
      </w:r>
    </w:p>
  </w:comment>
  <w:comment w:id="47" w:author="Kapil" w:date="2021-04-24T15:49:00Z" w:initials="K">
    <w:p w:rsidR="00020C3B" w:rsidRDefault="00020C3B" w:rsidP="00020C3B">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020C3B" w:rsidRDefault="00020C3B">
      <w:pPr>
        <w:pStyle w:val="CommentText"/>
      </w:pPr>
    </w:p>
  </w:comment>
  <w:comment w:id="50" w:author="Kapil" w:date="2021-04-24T15:46:00Z" w:initials="K">
    <w:p w:rsidR="00020C3B" w:rsidRDefault="00020C3B" w:rsidP="00020C3B">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020C3B" w:rsidRDefault="00020C3B">
      <w:pPr>
        <w:pStyle w:val="CommentText"/>
      </w:pPr>
    </w:p>
  </w:comment>
  <w:comment w:id="51" w:author="Kapil" w:date="2021-04-24T17:51:00Z" w:initials="K">
    <w:p w:rsidR="00BE56E5" w:rsidRDefault="00BE56E5" w:rsidP="00BE56E5">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BE56E5" w:rsidRDefault="00BE56E5">
      <w:pPr>
        <w:pStyle w:val="CommentText"/>
      </w:pPr>
    </w:p>
  </w:comment>
  <w:comment w:id="52" w:author="Kapil" w:date="2021-04-24T15:49:00Z" w:initials="K">
    <w:p w:rsidR="00020C3B" w:rsidRDefault="00020C3B" w:rsidP="00020C3B">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020C3B" w:rsidRDefault="00020C3B">
      <w:pPr>
        <w:pStyle w:val="CommentText"/>
      </w:pPr>
    </w:p>
  </w:comment>
  <w:comment w:id="53" w:author="Kapil" w:date="2021-04-24T17:53:00Z" w:initials="K">
    <w:p w:rsidR="00AB562D" w:rsidRDefault="00AB562D">
      <w:pPr>
        <w:pStyle w:val="CommentText"/>
      </w:pPr>
      <w:r>
        <w:rPr>
          <w:rStyle w:val="CommentReference"/>
        </w:rPr>
        <w:annotationRef/>
      </w:r>
      <w:r>
        <w:rPr>
          <w:rFonts w:asciiTheme="majorBidi" w:hAnsiTheme="majorBidi" w:cstheme="majorBidi"/>
          <w:color w:val="000000" w:themeColor="text1"/>
          <w:sz w:val="24"/>
          <w:szCs w:val="24"/>
          <w:lang w:bidi="ar-EG"/>
        </w:rPr>
        <w:t>spacing needed</w:t>
      </w:r>
    </w:p>
  </w:comment>
  <w:comment w:id="54" w:author="Kapil" w:date="2021-04-24T17:53:00Z" w:initials="K">
    <w:p w:rsidR="00AB562D" w:rsidRDefault="00AB562D">
      <w:pPr>
        <w:pStyle w:val="CommentText"/>
      </w:pPr>
      <w:r>
        <w:rPr>
          <w:rStyle w:val="CommentReference"/>
        </w:rPr>
        <w:annotationRef/>
      </w:r>
      <w:r>
        <w:rPr>
          <w:rFonts w:asciiTheme="majorBidi" w:hAnsiTheme="majorBidi" w:cstheme="majorBidi"/>
          <w:color w:val="000000" w:themeColor="text1"/>
          <w:sz w:val="24"/>
          <w:szCs w:val="24"/>
          <w:lang w:bidi="ar-EG"/>
        </w:rPr>
        <w:t>spacing needed</w:t>
      </w:r>
    </w:p>
  </w:comment>
  <w:comment w:id="55" w:author="Kapil" w:date="2021-04-24T17:53:00Z" w:initials="K">
    <w:p w:rsidR="00AB562D" w:rsidRDefault="00AB562D">
      <w:pPr>
        <w:pStyle w:val="CommentText"/>
      </w:pPr>
      <w:r>
        <w:rPr>
          <w:rStyle w:val="CommentReference"/>
        </w:rPr>
        <w:annotationRef/>
      </w:r>
      <w:r>
        <w:rPr>
          <w:rFonts w:asciiTheme="majorBidi" w:hAnsiTheme="majorBidi" w:cstheme="majorBidi"/>
          <w:color w:val="000000" w:themeColor="text1"/>
          <w:sz w:val="24"/>
          <w:szCs w:val="24"/>
          <w:lang w:bidi="ar-EG"/>
        </w:rPr>
        <w:t>spacing needed</w:t>
      </w:r>
    </w:p>
  </w:comment>
  <w:comment w:id="56" w:author="Kapil" w:date="2021-04-24T15:46:00Z" w:initials="K">
    <w:p w:rsidR="00020C3B" w:rsidRDefault="00020C3B" w:rsidP="00020C3B">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020C3B" w:rsidRDefault="00020C3B">
      <w:pPr>
        <w:pStyle w:val="CommentText"/>
      </w:pPr>
    </w:p>
  </w:comment>
  <w:comment w:id="57" w:author="Kapil" w:date="2021-04-24T15:50:00Z" w:initials="K">
    <w:p w:rsidR="0019491F" w:rsidRDefault="0019491F" w:rsidP="0019491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19491F" w:rsidRDefault="0019491F" w:rsidP="0019491F">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19491F" w:rsidRDefault="0019491F">
      <w:pPr>
        <w:pStyle w:val="CommentText"/>
      </w:pPr>
    </w:p>
  </w:comment>
  <w:comment w:id="59" w:author="kapil chauhan" w:date="2019-10-14T12:40:00Z" w:initials="kc">
    <w:p w:rsidR="000861A8" w:rsidRDefault="000861A8">
      <w:pPr>
        <w:pStyle w:val="CommentText"/>
      </w:pPr>
      <w:r>
        <w:rPr>
          <w:rStyle w:val="CommentReference"/>
        </w:rPr>
        <w:annotationRef/>
      </w:r>
      <w:r>
        <w:rPr>
          <w:rtl/>
        </w:rPr>
        <w:t>Table</w:t>
      </w:r>
    </w:p>
  </w:comment>
  <w:comment w:id="60" w:author="kapil chauhan" w:date="2019-10-14T12:41:00Z" w:initials="kc">
    <w:p w:rsidR="000861A8" w:rsidRDefault="000861A8">
      <w:pPr>
        <w:pStyle w:val="CommentText"/>
      </w:pPr>
      <w:r>
        <w:rPr>
          <w:rStyle w:val="CommentReference"/>
        </w:rPr>
        <w:annotationRef/>
      </w:r>
      <w:r>
        <w:rPr>
          <w:rtl/>
        </w:rPr>
        <w:t>spacing</w:t>
      </w:r>
    </w:p>
  </w:comment>
  <w:comment w:id="61" w:author="kapil chauhan" w:date="2019-10-14T12:39:00Z" w:initials="kc">
    <w:p w:rsidR="000861A8" w:rsidRDefault="000861A8">
      <w:pPr>
        <w:pStyle w:val="CommentText"/>
      </w:pPr>
      <w:r>
        <w:rPr>
          <w:rStyle w:val="CommentReference"/>
        </w:rPr>
        <w:annotationRef/>
      </w:r>
      <w:r>
        <w:rPr>
          <w:rtl/>
        </w:rPr>
        <w:t>Spacing</w:t>
      </w:r>
    </w:p>
  </w:comment>
  <w:comment w:id="58" w:author="Kapil" w:date="2021-04-24T15:49:00Z" w:initials="K">
    <w:p w:rsidR="00020C3B" w:rsidRDefault="00020C3B" w:rsidP="00020C3B">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020C3B" w:rsidRDefault="00020C3B">
      <w:pPr>
        <w:pStyle w:val="CommentText"/>
      </w:pPr>
    </w:p>
  </w:comment>
  <w:comment w:id="62" w:author="Kapil" w:date="2021-04-24T17:53:00Z" w:initials="K">
    <w:p w:rsidR="00AB562D" w:rsidRDefault="00AB562D">
      <w:pPr>
        <w:pStyle w:val="CommentText"/>
      </w:pPr>
      <w:r>
        <w:rPr>
          <w:rStyle w:val="CommentReference"/>
        </w:rPr>
        <w:annotationRef/>
      </w:r>
      <w:r>
        <w:rPr>
          <w:rFonts w:asciiTheme="majorBidi" w:hAnsiTheme="majorBidi" w:cstheme="majorBidi"/>
          <w:color w:val="000000" w:themeColor="text1"/>
          <w:sz w:val="24"/>
          <w:szCs w:val="24"/>
          <w:lang w:bidi="ar-EG"/>
        </w:rPr>
        <w:t>spacing needed</w:t>
      </w:r>
    </w:p>
  </w:comment>
  <w:comment w:id="64" w:author="kapil chauhan" w:date="2019-10-14T12:39:00Z" w:initials="kc">
    <w:p w:rsidR="000861A8" w:rsidRDefault="000861A8">
      <w:pPr>
        <w:pStyle w:val="CommentText"/>
      </w:pPr>
      <w:r>
        <w:rPr>
          <w:rStyle w:val="CommentReference"/>
        </w:rPr>
        <w:annotationRef/>
      </w:r>
      <w:r>
        <w:rPr>
          <w:rtl/>
        </w:rPr>
        <w:t>Spacing</w:t>
      </w:r>
    </w:p>
  </w:comment>
  <w:comment w:id="65" w:author="kapil chauhan" w:date="2019-10-14T12:39:00Z" w:initials="kc">
    <w:p w:rsidR="000861A8" w:rsidRDefault="000861A8">
      <w:pPr>
        <w:pStyle w:val="CommentText"/>
      </w:pPr>
      <w:r>
        <w:rPr>
          <w:rStyle w:val="CommentReference"/>
        </w:rPr>
        <w:annotationRef/>
      </w:r>
      <w:r>
        <w:rPr>
          <w:rtl/>
        </w:rPr>
        <w:t>Spacing</w:t>
      </w:r>
    </w:p>
  </w:comment>
  <w:comment w:id="66" w:author="kapil chauhan" w:date="2019-10-14T12:39:00Z" w:initials="kc">
    <w:p w:rsidR="000861A8" w:rsidRDefault="000861A8">
      <w:pPr>
        <w:pStyle w:val="CommentText"/>
      </w:pPr>
      <w:r>
        <w:rPr>
          <w:rStyle w:val="CommentReference"/>
        </w:rPr>
        <w:annotationRef/>
      </w:r>
      <w:r>
        <w:rPr>
          <w:rtl/>
        </w:rPr>
        <w:t>Spacing</w:t>
      </w:r>
    </w:p>
  </w:comment>
  <w:comment w:id="63" w:author="Kapil" w:date="2021-04-24T15:49:00Z" w:initials="K">
    <w:p w:rsidR="00020C3B" w:rsidRPr="000253CE" w:rsidRDefault="00020C3B" w:rsidP="00020C3B">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 Current research's limitations and recommendations for future research are</w:t>
      </w:r>
      <w:r>
        <w:rPr>
          <w:rFonts w:ascii="Bookman Old Style" w:hAnsi="Bookman Old Style" w:cs="Times New Roman"/>
        </w:rPr>
        <w:t xml:space="preserve"> </w:t>
      </w:r>
      <w:r w:rsidRPr="000253CE">
        <w:rPr>
          <w:rFonts w:ascii="Bookman Old Style" w:hAnsi="Bookman Old Style" w:cs="Times New Roman"/>
        </w:rPr>
        <w:t>reasonable and acceptable.</w:t>
      </w:r>
    </w:p>
    <w:p w:rsidR="00020C3B" w:rsidRDefault="00020C3B">
      <w:pPr>
        <w:pStyle w:val="CommentText"/>
      </w:pPr>
    </w:p>
  </w:comment>
  <w:comment w:id="69" w:author="Kapil" w:date="2021-04-24T15:19:00Z" w:initials="K">
    <w:p w:rsidR="00CA2290" w:rsidRPr="00186B8E" w:rsidRDefault="00CA2290" w:rsidP="00CA229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A2290" w:rsidRDefault="00CA2290" w:rsidP="00CA229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CA2290" w:rsidRDefault="001E4FE7" w:rsidP="00CA2290">
      <w:pPr>
        <w:spacing w:after="0" w:line="240" w:lineRule="auto"/>
        <w:jc w:val="both"/>
        <w:rPr>
          <w:rFonts w:ascii="Bookman Old Style" w:hAnsi="Bookman Old Style" w:cs="Times New Roman"/>
        </w:rPr>
      </w:pPr>
      <w:hyperlink r:id="rId3" w:history="1">
        <w:r w:rsidR="00CA2290" w:rsidRPr="006504E1">
          <w:rPr>
            <w:rStyle w:val="Hyperlink"/>
            <w:rFonts w:ascii="Bookman Old Style" w:hAnsi="Bookman Old Style" w:cs="Times New Roman"/>
          </w:rPr>
          <w:t>http://doi.org/10.22270/ujpr.v1i1.R1</w:t>
        </w:r>
      </w:hyperlink>
    </w:p>
    <w:p w:rsidR="00CA2290" w:rsidRDefault="00CA2290">
      <w:pPr>
        <w:pStyle w:val="CommentText"/>
      </w:pPr>
    </w:p>
  </w:comment>
  <w:comment w:id="68" w:author="kapil chauhan" w:date="2019-10-14T12:41:00Z" w:initials="kc">
    <w:p w:rsidR="000861A8" w:rsidRDefault="000861A8" w:rsidP="000861A8">
      <w:pPr>
        <w:spacing w:line="360" w:lineRule="auto"/>
        <w:jc w:val="both"/>
        <w:rPr>
          <w:rFonts w:cs="B Lotus"/>
          <w:color w:val="000000"/>
          <w:sz w:val="24"/>
        </w:rPr>
      </w:pPr>
      <w:r>
        <w:rPr>
          <w:rStyle w:val="CommentReference"/>
        </w:rPr>
        <w:annotationRef/>
      </w:r>
    </w:p>
    <w:p w:rsidR="000861A8" w:rsidRPr="00D10328" w:rsidRDefault="000861A8" w:rsidP="000861A8">
      <w:pPr>
        <w:spacing w:line="360" w:lineRule="auto"/>
        <w:jc w:val="both"/>
        <w:rPr>
          <w:rFonts w:cs="B Lotus"/>
          <w:color w:val="000000"/>
          <w:sz w:val="24"/>
        </w:rPr>
      </w:pPr>
      <w:r>
        <w:rPr>
          <w:rFonts w:cs="B Lotus"/>
          <w:color w:val="000000"/>
          <w:sz w:val="24"/>
        </w:rPr>
        <w:t>References are not according to journal specifications</w:t>
      </w:r>
    </w:p>
    <w:p w:rsidR="000861A8" w:rsidRDefault="000861A8">
      <w:pPr>
        <w:pStyle w:val="CommentText"/>
      </w:pPr>
    </w:p>
  </w:comment>
  <w:comment w:id="70" w:author="kapil chauhan" w:date="2019-10-14T12:34: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71" w:author="Kapil" w:date="2021-04-24T17:52:00Z" w:initials="K">
    <w:p w:rsidR="00AB562D" w:rsidRDefault="00AB562D">
      <w:pPr>
        <w:pStyle w:val="CommentText"/>
      </w:pPr>
      <w:r>
        <w:rPr>
          <w:rStyle w:val="CommentReference"/>
        </w:rPr>
        <w:annotationRef/>
      </w:r>
      <w:r>
        <w:rPr>
          <w:rFonts w:asciiTheme="majorBidi" w:hAnsiTheme="majorBidi" w:cstheme="majorBidi"/>
          <w:color w:val="000000" w:themeColor="text1"/>
          <w:sz w:val="24"/>
          <w:szCs w:val="24"/>
          <w:lang w:bidi="ar-EG"/>
        </w:rPr>
        <w:t>spacing needed</w:t>
      </w:r>
    </w:p>
  </w:comment>
  <w:comment w:id="72" w:author="Kapil" w:date="2021-04-24T17:52:00Z" w:initials="K">
    <w:p w:rsidR="00AB562D" w:rsidRDefault="00AB562D">
      <w:pPr>
        <w:pStyle w:val="CommentText"/>
      </w:pPr>
      <w:r>
        <w:rPr>
          <w:rStyle w:val="CommentReference"/>
        </w:rPr>
        <w:annotationRef/>
      </w:r>
      <w:r>
        <w:rPr>
          <w:rFonts w:asciiTheme="majorBidi" w:hAnsiTheme="majorBidi" w:cstheme="majorBidi"/>
          <w:color w:val="000000" w:themeColor="text1"/>
          <w:sz w:val="24"/>
          <w:szCs w:val="24"/>
          <w:lang w:bidi="ar-EG"/>
        </w:rPr>
        <w:t>spacing needed</w:t>
      </w:r>
    </w:p>
  </w:comment>
  <w:comment w:id="73" w:author="Kapil" w:date="2021-04-24T15:47:00Z" w:initials="K">
    <w:p w:rsidR="00020C3B" w:rsidRDefault="00020C3B">
      <w:pPr>
        <w:pStyle w:val="CommentText"/>
      </w:pPr>
      <w:r>
        <w:rPr>
          <w:rStyle w:val="CommentReference"/>
        </w:rPr>
        <w:annotationRef/>
      </w:r>
      <w:r>
        <w:rPr>
          <w:rFonts w:asciiTheme="majorBidi" w:hAnsiTheme="majorBidi" w:cstheme="majorBidi"/>
          <w:color w:val="000000" w:themeColor="text1"/>
          <w:sz w:val="24"/>
          <w:szCs w:val="24"/>
          <w:lang w:bidi="ar-EG"/>
        </w:rPr>
        <w:t>Italic?</w:t>
      </w:r>
    </w:p>
  </w:comment>
  <w:comment w:id="74" w:author="kapil chauhan" w:date="2019-10-14T12:34: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75" w:author="kapil chauhan" w:date="2019-10-14T12:39:00Z" w:initials="kc">
    <w:p w:rsidR="000861A8" w:rsidRDefault="000861A8">
      <w:pPr>
        <w:pStyle w:val="CommentText"/>
      </w:pPr>
      <w:r>
        <w:rPr>
          <w:rStyle w:val="CommentReference"/>
        </w:rPr>
        <w:annotationRef/>
      </w:r>
      <w:r>
        <w:rPr>
          <w:rtl/>
        </w:rPr>
        <w:t>Spacing</w:t>
      </w:r>
    </w:p>
  </w:comment>
  <w:comment w:id="76" w:author="kapil chauhan" w:date="2019-10-14T12:34: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77" w:author="Kapil" w:date="2021-04-24T17:52:00Z" w:initials="K">
    <w:p w:rsidR="00AB562D" w:rsidRDefault="00AB562D">
      <w:pPr>
        <w:pStyle w:val="CommentText"/>
      </w:pPr>
      <w:r>
        <w:rPr>
          <w:rStyle w:val="CommentReference"/>
        </w:rPr>
        <w:annotationRef/>
      </w:r>
      <w:r>
        <w:rPr>
          <w:rFonts w:asciiTheme="majorBidi" w:hAnsiTheme="majorBidi" w:cstheme="majorBidi"/>
          <w:color w:val="000000" w:themeColor="text1"/>
          <w:sz w:val="24"/>
          <w:szCs w:val="24"/>
          <w:lang w:bidi="ar-EG"/>
        </w:rPr>
        <w:t>spacing needed</w:t>
      </w:r>
    </w:p>
  </w:comment>
  <w:comment w:id="78" w:author="kapil chauhan" w:date="2019-10-14T12:35: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79" w:author="kapil chauhan" w:date="2019-10-14T12:35: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80" w:author="kapil chauhan" w:date="2019-10-14T12:35: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81" w:author="kapil chauhan" w:date="2019-10-14T12:35: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82" w:author="kapil chauhan" w:date="2019-10-14T12:35: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 w:id="83" w:author="kapil chauhan" w:date="2019-10-14T12:35:00Z" w:initials="kc">
    <w:p w:rsidR="000861A8" w:rsidRDefault="000861A8" w:rsidP="000861A8">
      <w:pPr>
        <w:pStyle w:val="CommentText"/>
      </w:pPr>
      <w:r>
        <w:rPr>
          <w:rStyle w:val="CommentReference"/>
        </w:rPr>
        <w:annotationRef/>
      </w:r>
      <w:r>
        <w:rPr>
          <w:rtl/>
        </w:rPr>
        <w:t>Italics</w:t>
      </w:r>
    </w:p>
    <w:p w:rsidR="000861A8" w:rsidRDefault="000861A8">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090" w:rsidRDefault="008E1090" w:rsidP="00C61093">
      <w:pPr>
        <w:spacing w:after="0" w:line="240" w:lineRule="auto"/>
      </w:pPr>
      <w:r>
        <w:separator/>
      </w:r>
    </w:p>
  </w:endnote>
  <w:endnote w:type="continuationSeparator" w:id="1">
    <w:p w:rsidR="008E1090" w:rsidRDefault="008E1090" w:rsidP="00C610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Univers-Medium">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WarnockPro-Regular">
    <w:altName w:val="Times New Roman"/>
    <w:panose1 w:val="00000000000000000000"/>
    <w:charset w:val="B2"/>
    <w:family w:val="roman"/>
    <w:notTrueType/>
    <w:pitch w:val="default"/>
    <w:sig w:usb0="00002000" w:usb1="00000000" w:usb2="00000000"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23" w:rsidRDefault="00833A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23" w:rsidRDefault="00833A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23" w:rsidRDefault="00833A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090" w:rsidRDefault="008E1090" w:rsidP="00C61093">
      <w:pPr>
        <w:spacing w:after="0" w:line="240" w:lineRule="auto"/>
      </w:pPr>
      <w:r>
        <w:separator/>
      </w:r>
    </w:p>
  </w:footnote>
  <w:footnote w:type="continuationSeparator" w:id="1">
    <w:p w:rsidR="008E1090" w:rsidRDefault="008E1090" w:rsidP="00C610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93" w:rsidRDefault="001E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3761" o:spid="_x0000_s4098" type="#_x0000_t136" style="position:absolute;left:0;text-align:left;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93" w:rsidRDefault="001E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3762" o:spid="_x0000_s4099" type="#_x0000_t136" style="position:absolute;left:0;text-align:left;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93" w:rsidRDefault="001E4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3760" o:spid="_x0000_s4097" type="#_x0000_t136" style="position:absolute;left:0;text-align:left;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B6F6F"/>
    <w:multiLevelType w:val="hybridMultilevel"/>
    <w:tmpl w:val="1A7A0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41E1945"/>
    <w:multiLevelType w:val="hybridMultilevel"/>
    <w:tmpl w:val="2E40C45A"/>
    <w:lvl w:ilvl="0" w:tplc="489CEF36">
      <w:start w:val="1"/>
      <w:numFmt w:val="decimal"/>
      <w:lvlText w:val="%1."/>
      <w:lvlJc w:val="left"/>
      <w:pPr>
        <w:ind w:left="360" w:hanging="360"/>
      </w:pPr>
      <w:rPr>
        <w:rFonts w:hint="default"/>
        <w:b/>
        <w:bCs/>
        <w:strike w:val="0"/>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colormenu v:ext="edit" fillcolor="#0070c0"/>
    </o:shapedefaults>
    <o:shapelayout v:ext="edit">
      <o:idmap v:ext="edit" data="4"/>
    </o:shapelayout>
  </w:hdrShapeDefaults>
  <w:footnotePr>
    <w:footnote w:id="0"/>
    <w:footnote w:id="1"/>
  </w:footnotePr>
  <w:endnotePr>
    <w:endnote w:id="0"/>
    <w:endnote w:id="1"/>
  </w:endnotePr>
  <w:compat/>
  <w:rsids>
    <w:rsidRoot w:val="001D54E2"/>
    <w:rsid w:val="00000A91"/>
    <w:rsid w:val="00015AD0"/>
    <w:rsid w:val="00017026"/>
    <w:rsid w:val="00020C3B"/>
    <w:rsid w:val="0003107C"/>
    <w:rsid w:val="00040238"/>
    <w:rsid w:val="0005053B"/>
    <w:rsid w:val="00057A2C"/>
    <w:rsid w:val="000861A8"/>
    <w:rsid w:val="000A1F58"/>
    <w:rsid w:val="000B2117"/>
    <w:rsid w:val="000B359F"/>
    <w:rsid w:val="000B4C84"/>
    <w:rsid w:val="000C0E50"/>
    <w:rsid w:val="000C63D5"/>
    <w:rsid w:val="000D5ED8"/>
    <w:rsid w:val="000F19DD"/>
    <w:rsid w:val="00125C6D"/>
    <w:rsid w:val="001355D1"/>
    <w:rsid w:val="00137D36"/>
    <w:rsid w:val="00143B9E"/>
    <w:rsid w:val="0018454D"/>
    <w:rsid w:val="0018639B"/>
    <w:rsid w:val="00191040"/>
    <w:rsid w:val="0019491F"/>
    <w:rsid w:val="0019799E"/>
    <w:rsid w:val="001A4A69"/>
    <w:rsid w:val="001C49E6"/>
    <w:rsid w:val="001C6994"/>
    <w:rsid w:val="001D54E2"/>
    <w:rsid w:val="001E2CB8"/>
    <w:rsid w:val="001E4FE7"/>
    <w:rsid w:val="001E5272"/>
    <w:rsid w:val="001E7B19"/>
    <w:rsid w:val="001F593D"/>
    <w:rsid w:val="001F70CE"/>
    <w:rsid w:val="00202700"/>
    <w:rsid w:val="0025009F"/>
    <w:rsid w:val="0025686D"/>
    <w:rsid w:val="002628B9"/>
    <w:rsid w:val="00277F00"/>
    <w:rsid w:val="0028276A"/>
    <w:rsid w:val="002B11A1"/>
    <w:rsid w:val="002C1F6C"/>
    <w:rsid w:val="00303BD7"/>
    <w:rsid w:val="003121EC"/>
    <w:rsid w:val="00333A0C"/>
    <w:rsid w:val="003470BB"/>
    <w:rsid w:val="00351738"/>
    <w:rsid w:val="0036488D"/>
    <w:rsid w:val="00370802"/>
    <w:rsid w:val="00383F5A"/>
    <w:rsid w:val="00395652"/>
    <w:rsid w:val="003C42EC"/>
    <w:rsid w:val="003F10ED"/>
    <w:rsid w:val="003F193F"/>
    <w:rsid w:val="003F3C66"/>
    <w:rsid w:val="003F3E05"/>
    <w:rsid w:val="00403550"/>
    <w:rsid w:val="004107B7"/>
    <w:rsid w:val="0041110F"/>
    <w:rsid w:val="00413D63"/>
    <w:rsid w:val="00445A9E"/>
    <w:rsid w:val="00447D64"/>
    <w:rsid w:val="004542AC"/>
    <w:rsid w:val="00462F74"/>
    <w:rsid w:val="0046556D"/>
    <w:rsid w:val="00487914"/>
    <w:rsid w:val="004A0987"/>
    <w:rsid w:val="004A6E8D"/>
    <w:rsid w:val="004E1B9E"/>
    <w:rsid w:val="004E2834"/>
    <w:rsid w:val="004E4191"/>
    <w:rsid w:val="004F1AD9"/>
    <w:rsid w:val="005007C5"/>
    <w:rsid w:val="00510B6D"/>
    <w:rsid w:val="005155A0"/>
    <w:rsid w:val="00521BF4"/>
    <w:rsid w:val="0052479C"/>
    <w:rsid w:val="00527EBE"/>
    <w:rsid w:val="005332F3"/>
    <w:rsid w:val="00551601"/>
    <w:rsid w:val="005566AC"/>
    <w:rsid w:val="00561B25"/>
    <w:rsid w:val="00567BFF"/>
    <w:rsid w:val="00570AC4"/>
    <w:rsid w:val="005933E5"/>
    <w:rsid w:val="005B1A03"/>
    <w:rsid w:val="005B2689"/>
    <w:rsid w:val="005C18B3"/>
    <w:rsid w:val="005C3AF0"/>
    <w:rsid w:val="005C7576"/>
    <w:rsid w:val="005D01BE"/>
    <w:rsid w:val="005D6DB3"/>
    <w:rsid w:val="005D7617"/>
    <w:rsid w:val="00606442"/>
    <w:rsid w:val="006158B8"/>
    <w:rsid w:val="00636F22"/>
    <w:rsid w:val="00637011"/>
    <w:rsid w:val="006413B2"/>
    <w:rsid w:val="0064281A"/>
    <w:rsid w:val="00646741"/>
    <w:rsid w:val="00660768"/>
    <w:rsid w:val="00665FEF"/>
    <w:rsid w:val="006704CD"/>
    <w:rsid w:val="00680EE8"/>
    <w:rsid w:val="00686F3C"/>
    <w:rsid w:val="00692467"/>
    <w:rsid w:val="00692C87"/>
    <w:rsid w:val="006957A6"/>
    <w:rsid w:val="006A28D0"/>
    <w:rsid w:val="006A69B5"/>
    <w:rsid w:val="006B20C7"/>
    <w:rsid w:val="006C1386"/>
    <w:rsid w:val="006D2FD9"/>
    <w:rsid w:val="006D4092"/>
    <w:rsid w:val="006D49F4"/>
    <w:rsid w:val="006F5E1D"/>
    <w:rsid w:val="00706C37"/>
    <w:rsid w:val="0071354C"/>
    <w:rsid w:val="007161EF"/>
    <w:rsid w:val="0072175E"/>
    <w:rsid w:val="00733F14"/>
    <w:rsid w:val="007432C1"/>
    <w:rsid w:val="00746C2D"/>
    <w:rsid w:val="007477BB"/>
    <w:rsid w:val="007574AD"/>
    <w:rsid w:val="0076638E"/>
    <w:rsid w:val="00776958"/>
    <w:rsid w:val="00782731"/>
    <w:rsid w:val="00790A92"/>
    <w:rsid w:val="00795D94"/>
    <w:rsid w:val="007A01CB"/>
    <w:rsid w:val="007A1253"/>
    <w:rsid w:val="007A56C2"/>
    <w:rsid w:val="007B4BFD"/>
    <w:rsid w:val="007D03DD"/>
    <w:rsid w:val="007E4588"/>
    <w:rsid w:val="008020A9"/>
    <w:rsid w:val="00806AED"/>
    <w:rsid w:val="0080744E"/>
    <w:rsid w:val="00812D83"/>
    <w:rsid w:val="00833A23"/>
    <w:rsid w:val="00840D33"/>
    <w:rsid w:val="00843646"/>
    <w:rsid w:val="00850924"/>
    <w:rsid w:val="008511C6"/>
    <w:rsid w:val="00857756"/>
    <w:rsid w:val="00882F04"/>
    <w:rsid w:val="008858DB"/>
    <w:rsid w:val="00892298"/>
    <w:rsid w:val="008C5876"/>
    <w:rsid w:val="008D11A3"/>
    <w:rsid w:val="008E1090"/>
    <w:rsid w:val="008E1176"/>
    <w:rsid w:val="008E1E12"/>
    <w:rsid w:val="008E2AC4"/>
    <w:rsid w:val="008F331C"/>
    <w:rsid w:val="00901751"/>
    <w:rsid w:val="00904A3E"/>
    <w:rsid w:val="00913F9F"/>
    <w:rsid w:val="009330CC"/>
    <w:rsid w:val="00935A73"/>
    <w:rsid w:val="00937EED"/>
    <w:rsid w:val="00951829"/>
    <w:rsid w:val="0095208B"/>
    <w:rsid w:val="0097069A"/>
    <w:rsid w:val="009707F4"/>
    <w:rsid w:val="00970FE1"/>
    <w:rsid w:val="009715EA"/>
    <w:rsid w:val="0098277E"/>
    <w:rsid w:val="00984C58"/>
    <w:rsid w:val="00984F36"/>
    <w:rsid w:val="009909BA"/>
    <w:rsid w:val="0099406C"/>
    <w:rsid w:val="009A2FF8"/>
    <w:rsid w:val="009B37E5"/>
    <w:rsid w:val="009C4185"/>
    <w:rsid w:val="009E1CA5"/>
    <w:rsid w:val="009E506C"/>
    <w:rsid w:val="009F79A7"/>
    <w:rsid w:val="00A042B4"/>
    <w:rsid w:val="00A114C0"/>
    <w:rsid w:val="00A1197F"/>
    <w:rsid w:val="00A17F8D"/>
    <w:rsid w:val="00A33732"/>
    <w:rsid w:val="00A40D97"/>
    <w:rsid w:val="00A4677F"/>
    <w:rsid w:val="00A51F37"/>
    <w:rsid w:val="00A708F7"/>
    <w:rsid w:val="00A829AC"/>
    <w:rsid w:val="00A93E40"/>
    <w:rsid w:val="00AB562D"/>
    <w:rsid w:val="00AC5324"/>
    <w:rsid w:val="00AD1ED6"/>
    <w:rsid w:val="00AE2EE7"/>
    <w:rsid w:val="00AE47FA"/>
    <w:rsid w:val="00AF4571"/>
    <w:rsid w:val="00B019DC"/>
    <w:rsid w:val="00B12BE4"/>
    <w:rsid w:val="00B1485E"/>
    <w:rsid w:val="00B3096F"/>
    <w:rsid w:val="00B34990"/>
    <w:rsid w:val="00B41AD9"/>
    <w:rsid w:val="00B43750"/>
    <w:rsid w:val="00B465F8"/>
    <w:rsid w:val="00B54E5C"/>
    <w:rsid w:val="00B559D7"/>
    <w:rsid w:val="00B71FFC"/>
    <w:rsid w:val="00B9121B"/>
    <w:rsid w:val="00BB24F4"/>
    <w:rsid w:val="00BB45CD"/>
    <w:rsid w:val="00BC6561"/>
    <w:rsid w:val="00BD2492"/>
    <w:rsid w:val="00BD3528"/>
    <w:rsid w:val="00BD7837"/>
    <w:rsid w:val="00BE56E5"/>
    <w:rsid w:val="00C22DDD"/>
    <w:rsid w:val="00C42DD4"/>
    <w:rsid w:val="00C43792"/>
    <w:rsid w:val="00C46482"/>
    <w:rsid w:val="00C5710F"/>
    <w:rsid w:val="00C57139"/>
    <w:rsid w:val="00C61093"/>
    <w:rsid w:val="00CA004A"/>
    <w:rsid w:val="00CA2290"/>
    <w:rsid w:val="00CA73D4"/>
    <w:rsid w:val="00CB17D6"/>
    <w:rsid w:val="00CD16CE"/>
    <w:rsid w:val="00CE78F6"/>
    <w:rsid w:val="00D2221A"/>
    <w:rsid w:val="00D25356"/>
    <w:rsid w:val="00D302D3"/>
    <w:rsid w:val="00D45520"/>
    <w:rsid w:val="00D52F4D"/>
    <w:rsid w:val="00D56220"/>
    <w:rsid w:val="00D61C51"/>
    <w:rsid w:val="00D66D38"/>
    <w:rsid w:val="00D94DBE"/>
    <w:rsid w:val="00DA50D5"/>
    <w:rsid w:val="00DB2595"/>
    <w:rsid w:val="00DB2D95"/>
    <w:rsid w:val="00DB68DC"/>
    <w:rsid w:val="00DE12A6"/>
    <w:rsid w:val="00DE255C"/>
    <w:rsid w:val="00DE3499"/>
    <w:rsid w:val="00DF0254"/>
    <w:rsid w:val="00DF6C88"/>
    <w:rsid w:val="00E054FF"/>
    <w:rsid w:val="00E066A6"/>
    <w:rsid w:val="00E06A33"/>
    <w:rsid w:val="00E15AFF"/>
    <w:rsid w:val="00E332B4"/>
    <w:rsid w:val="00E60750"/>
    <w:rsid w:val="00E678DB"/>
    <w:rsid w:val="00E71A0C"/>
    <w:rsid w:val="00E72E78"/>
    <w:rsid w:val="00E85182"/>
    <w:rsid w:val="00E9725E"/>
    <w:rsid w:val="00E977C7"/>
    <w:rsid w:val="00EA49C6"/>
    <w:rsid w:val="00EB1F3D"/>
    <w:rsid w:val="00EB4EA2"/>
    <w:rsid w:val="00EB7A70"/>
    <w:rsid w:val="00EE2D7C"/>
    <w:rsid w:val="00EE7229"/>
    <w:rsid w:val="00EF61F8"/>
    <w:rsid w:val="00F10A1E"/>
    <w:rsid w:val="00F17970"/>
    <w:rsid w:val="00F26F0A"/>
    <w:rsid w:val="00F27F54"/>
    <w:rsid w:val="00F73390"/>
    <w:rsid w:val="00F76585"/>
    <w:rsid w:val="00F80625"/>
    <w:rsid w:val="00FA0656"/>
    <w:rsid w:val="00FA4336"/>
    <w:rsid w:val="00FA5887"/>
    <w:rsid w:val="00FA749F"/>
    <w:rsid w:val="00FC0EF3"/>
    <w:rsid w:val="00FC383D"/>
    <w:rsid w:val="00FD4716"/>
    <w:rsid w:val="00FD7A50"/>
    <w:rsid w:val="00FE0138"/>
    <w:rsid w:val="00FE6F79"/>
    <w:rsid w:val="00FF520D"/>
    <w:rsid w:val="00FF7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3314">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3E"/>
    <w:pPr>
      <w:bidi/>
    </w:pPr>
  </w:style>
  <w:style w:type="paragraph" w:styleId="Heading1">
    <w:name w:val="heading 1"/>
    <w:basedOn w:val="Normal"/>
    <w:next w:val="Normal"/>
    <w:link w:val="Heading1Char"/>
    <w:uiPriority w:val="9"/>
    <w:qFormat/>
    <w:rsid w:val="00665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B3"/>
    <w:pPr>
      <w:ind w:left="720"/>
      <w:contextualSpacing/>
    </w:pPr>
  </w:style>
  <w:style w:type="paragraph" w:customStyle="1" w:styleId="Default">
    <w:name w:val="Default"/>
    <w:rsid w:val="008E1E12"/>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semiHidden/>
    <w:unhideWhenUsed/>
    <w:rsid w:val="00665FEF"/>
    <w:rPr>
      <w:color w:val="0000FF"/>
      <w:u w:val="single"/>
    </w:rPr>
  </w:style>
  <w:style w:type="character" w:customStyle="1" w:styleId="Heading1Char">
    <w:name w:val="Heading 1 Char"/>
    <w:basedOn w:val="DefaultParagraphFont"/>
    <w:link w:val="Heading1"/>
    <w:uiPriority w:val="9"/>
    <w:rsid w:val="00665FEF"/>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F27F54"/>
  </w:style>
  <w:style w:type="paragraph" w:customStyle="1" w:styleId="Footer1">
    <w:name w:val="Footer1"/>
    <w:basedOn w:val="Normal"/>
    <w:next w:val="Footer"/>
    <w:link w:val="FooterChar"/>
    <w:uiPriority w:val="99"/>
    <w:unhideWhenUsed/>
    <w:rsid w:val="00F27F54"/>
    <w:pPr>
      <w:tabs>
        <w:tab w:val="center" w:pos="4153"/>
        <w:tab w:val="right" w:pos="8306"/>
      </w:tabs>
      <w:spacing w:after="0" w:line="240" w:lineRule="auto"/>
    </w:pPr>
  </w:style>
  <w:style w:type="character" w:customStyle="1" w:styleId="FooterChar">
    <w:name w:val="Footer Char"/>
    <w:basedOn w:val="DefaultParagraphFont"/>
    <w:link w:val="Footer1"/>
    <w:uiPriority w:val="99"/>
    <w:rsid w:val="00F27F54"/>
  </w:style>
  <w:style w:type="table" w:customStyle="1" w:styleId="TableGrid1">
    <w:name w:val="Table Grid1"/>
    <w:basedOn w:val="TableNormal"/>
    <w:next w:val="TableGrid"/>
    <w:rsid w:val="00F27F5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semiHidden/>
    <w:unhideWhenUsed/>
    <w:rsid w:val="00F27F54"/>
    <w:pPr>
      <w:tabs>
        <w:tab w:val="center" w:pos="4153"/>
        <w:tab w:val="right" w:pos="8306"/>
      </w:tabs>
      <w:spacing w:after="0" w:line="240" w:lineRule="auto"/>
    </w:pPr>
  </w:style>
  <w:style w:type="character" w:customStyle="1" w:styleId="FooterChar1">
    <w:name w:val="Footer Char1"/>
    <w:basedOn w:val="DefaultParagraphFont"/>
    <w:link w:val="Footer"/>
    <w:uiPriority w:val="99"/>
    <w:semiHidden/>
    <w:rsid w:val="00F27F54"/>
  </w:style>
  <w:style w:type="table" w:styleId="TableGrid">
    <w:name w:val="Table Grid"/>
    <w:basedOn w:val="TableNormal"/>
    <w:uiPriority w:val="59"/>
    <w:rsid w:val="00F27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54"/>
    <w:rPr>
      <w:rFonts w:ascii="Tahoma" w:hAnsi="Tahoma" w:cs="Tahoma"/>
      <w:sz w:val="16"/>
      <w:szCs w:val="16"/>
    </w:rPr>
  </w:style>
  <w:style w:type="paragraph" w:styleId="Header">
    <w:name w:val="header"/>
    <w:basedOn w:val="Normal"/>
    <w:link w:val="HeaderChar"/>
    <w:uiPriority w:val="99"/>
    <w:semiHidden/>
    <w:unhideWhenUsed/>
    <w:rsid w:val="00C610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093"/>
  </w:style>
  <w:style w:type="character" w:customStyle="1" w:styleId="hps">
    <w:name w:val="hps"/>
    <w:rsid w:val="000861A8"/>
  </w:style>
  <w:style w:type="paragraph" w:styleId="Title">
    <w:name w:val="Title"/>
    <w:basedOn w:val="Normal"/>
    <w:next w:val="Normal"/>
    <w:link w:val="TitleChar"/>
    <w:uiPriority w:val="10"/>
    <w:qFormat/>
    <w:rsid w:val="000861A8"/>
    <w:pPr>
      <w:spacing w:after="0" w:line="240" w:lineRule="auto"/>
      <w:contextualSpacing/>
    </w:pPr>
    <w:rPr>
      <w:rFonts w:asciiTheme="majorHAnsi" w:eastAsiaTheme="majorEastAsia" w:hAnsiTheme="majorHAnsi" w:cstheme="majorBidi"/>
      <w:spacing w:val="-10"/>
      <w:kern w:val="28"/>
      <w:sz w:val="56"/>
      <w:szCs w:val="56"/>
      <w:lang w:bidi="fa-IR"/>
    </w:rPr>
  </w:style>
  <w:style w:type="character" w:customStyle="1" w:styleId="TitleChar">
    <w:name w:val="Title Char"/>
    <w:basedOn w:val="DefaultParagraphFont"/>
    <w:link w:val="Title"/>
    <w:uiPriority w:val="10"/>
    <w:rsid w:val="000861A8"/>
    <w:rPr>
      <w:rFonts w:asciiTheme="majorHAnsi" w:eastAsiaTheme="majorEastAsia" w:hAnsiTheme="majorHAnsi" w:cstheme="majorBidi"/>
      <w:spacing w:val="-10"/>
      <w:kern w:val="28"/>
      <w:sz w:val="56"/>
      <w:szCs w:val="56"/>
      <w:lang w:bidi="fa-IR"/>
    </w:rPr>
  </w:style>
  <w:style w:type="character" w:styleId="CommentReference">
    <w:name w:val="annotation reference"/>
    <w:basedOn w:val="DefaultParagraphFont"/>
    <w:uiPriority w:val="99"/>
    <w:semiHidden/>
    <w:unhideWhenUsed/>
    <w:rsid w:val="000861A8"/>
    <w:rPr>
      <w:sz w:val="16"/>
      <w:szCs w:val="16"/>
    </w:rPr>
  </w:style>
  <w:style w:type="paragraph" w:styleId="CommentText">
    <w:name w:val="annotation text"/>
    <w:basedOn w:val="Normal"/>
    <w:link w:val="CommentTextChar"/>
    <w:uiPriority w:val="99"/>
    <w:semiHidden/>
    <w:unhideWhenUsed/>
    <w:rsid w:val="000861A8"/>
    <w:pPr>
      <w:spacing w:line="240" w:lineRule="auto"/>
    </w:pPr>
    <w:rPr>
      <w:sz w:val="20"/>
      <w:szCs w:val="20"/>
    </w:rPr>
  </w:style>
  <w:style w:type="character" w:customStyle="1" w:styleId="CommentTextChar">
    <w:name w:val="Comment Text Char"/>
    <w:basedOn w:val="DefaultParagraphFont"/>
    <w:link w:val="CommentText"/>
    <w:uiPriority w:val="99"/>
    <w:semiHidden/>
    <w:rsid w:val="000861A8"/>
    <w:rPr>
      <w:sz w:val="20"/>
      <w:szCs w:val="20"/>
    </w:rPr>
  </w:style>
  <w:style w:type="paragraph" w:styleId="CommentSubject">
    <w:name w:val="annotation subject"/>
    <w:basedOn w:val="CommentText"/>
    <w:next w:val="CommentText"/>
    <w:link w:val="CommentSubjectChar"/>
    <w:uiPriority w:val="99"/>
    <w:semiHidden/>
    <w:unhideWhenUsed/>
    <w:rsid w:val="000861A8"/>
    <w:rPr>
      <w:b/>
      <w:bCs/>
    </w:rPr>
  </w:style>
  <w:style w:type="character" w:customStyle="1" w:styleId="CommentSubjectChar">
    <w:name w:val="Comment Subject Char"/>
    <w:basedOn w:val="CommentTextChar"/>
    <w:link w:val="CommentSubject"/>
    <w:uiPriority w:val="99"/>
    <w:semiHidden/>
    <w:rsid w:val="000861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65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8B3"/>
    <w:pPr>
      <w:ind w:left="720"/>
      <w:contextualSpacing/>
    </w:pPr>
  </w:style>
  <w:style w:type="paragraph" w:customStyle="1" w:styleId="Default">
    <w:name w:val="Default"/>
    <w:rsid w:val="008E1E12"/>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semiHidden/>
    <w:unhideWhenUsed/>
    <w:rsid w:val="00665FEF"/>
    <w:rPr>
      <w:color w:val="0000FF"/>
      <w:u w:val="single"/>
    </w:rPr>
  </w:style>
  <w:style w:type="character" w:customStyle="1" w:styleId="Heading1Char">
    <w:name w:val="Heading 1 Char"/>
    <w:basedOn w:val="DefaultParagraphFont"/>
    <w:link w:val="Heading1"/>
    <w:uiPriority w:val="9"/>
    <w:rsid w:val="00665FEF"/>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F27F54"/>
  </w:style>
  <w:style w:type="paragraph" w:customStyle="1" w:styleId="Footer1">
    <w:name w:val="Footer1"/>
    <w:basedOn w:val="Normal"/>
    <w:next w:val="Footer"/>
    <w:link w:val="FooterChar"/>
    <w:uiPriority w:val="99"/>
    <w:unhideWhenUsed/>
    <w:rsid w:val="00F27F54"/>
    <w:pPr>
      <w:tabs>
        <w:tab w:val="center" w:pos="4153"/>
        <w:tab w:val="right" w:pos="8306"/>
      </w:tabs>
      <w:spacing w:after="0" w:line="240" w:lineRule="auto"/>
    </w:pPr>
  </w:style>
  <w:style w:type="character" w:customStyle="1" w:styleId="FooterChar">
    <w:name w:val="Footer Char"/>
    <w:basedOn w:val="DefaultParagraphFont"/>
    <w:link w:val="Footer1"/>
    <w:uiPriority w:val="99"/>
    <w:rsid w:val="00F27F54"/>
  </w:style>
  <w:style w:type="table" w:customStyle="1" w:styleId="TableGrid1">
    <w:name w:val="Table Grid1"/>
    <w:basedOn w:val="TableNormal"/>
    <w:next w:val="TableGrid"/>
    <w:rsid w:val="00F27F5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semiHidden/>
    <w:unhideWhenUsed/>
    <w:rsid w:val="00F27F54"/>
    <w:pPr>
      <w:tabs>
        <w:tab w:val="center" w:pos="4153"/>
        <w:tab w:val="right" w:pos="8306"/>
      </w:tabs>
      <w:spacing w:after="0" w:line="240" w:lineRule="auto"/>
    </w:pPr>
  </w:style>
  <w:style w:type="character" w:customStyle="1" w:styleId="FooterChar1">
    <w:name w:val="Footer Char1"/>
    <w:basedOn w:val="DefaultParagraphFont"/>
    <w:link w:val="Footer"/>
    <w:uiPriority w:val="99"/>
    <w:semiHidden/>
    <w:rsid w:val="00F27F54"/>
  </w:style>
  <w:style w:type="table" w:styleId="TableGrid">
    <w:name w:val="Table Grid"/>
    <w:basedOn w:val="TableNormal"/>
    <w:uiPriority w:val="59"/>
    <w:rsid w:val="00F27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012041">
      <w:bodyDiv w:val="1"/>
      <w:marLeft w:val="0"/>
      <w:marRight w:val="0"/>
      <w:marTop w:val="0"/>
      <w:marBottom w:val="0"/>
      <w:divBdr>
        <w:top w:val="none" w:sz="0" w:space="0" w:color="auto"/>
        <w:left w:val="none" w:sz="0" w:space="0" w:color="auto"/>
        <w:bottom w:val="none" w:sz="0" w:space="0" w:color="auto"/>
        <w:right w:val="none" w:sz="0" w:space="0" w:color="auto"/>
      </w:divBdr>
    </w:div>
    <w:div w:id="1135685040">
      <w:bodyDiv w:val="1"/>
      <w:marLeft w:val="0"/>
      <w:marRight w:val="0"/>
      <w:marTop w:val="0"/>
      <w:marBottom w:val="0"/>
      <w:divBdr>
        <w:top w:val="none" w:sz="0" w:space="0" w:color="auto"/>
        <w:left w:val="none" w:sz="0" w:space="0" w:color="auto"/>
        <w:bottom w:val="none" w:sz="0" w:space="0" w:color="auto"/>
        <w:right w:val="none" w:sz="0" w:space="0" w:color="auto"/>
      </w:divBdr>
    </w:div>
    <w:div w:id="11485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hyperlink" Target="https://www.ncbi.nlm.nih.gov/pubmed/2118092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hyperlink" Target="https://www.ncbi.nlm.nih.gov/pubmed/?term=Guzm%C3%A1n-Blanco%20M%5BAuthor%5D&amp;cauthor=true&amp;cauthor_uid=211809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ubmed/?term=Zurita%20J%5BAuthor%5D&amp;cauthor=true&amp;cauthor_uid=2118092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ncbi.nlm.nih.gov/pubmed/?term=Mej%C3%ADa%20C%5BAuthor%5D&amp;cauthor=true&amp;cauthor_uid=21180928"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oter" Target="footer2.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ell\Documents\Bluetooth%20Folder\stat.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1605;&#1604;&#1601;&#1575;&#1578;&#1610;%202\&#1575;&#1604;&#1576;&#1581;&#1579;%20&#1575;&#1604;&#1593;&#1604;&#1605;&#1610;\&#1576;&#1581;&#1579;%20&#1583;%20&#1593;&#1604;&#1610;%20&#1575;&#1604;&#1610;&#1581;&#1608;&#1610;\&#1575;&#1604;&#1606;&#1578;&#1575;&#1574;&#1580;%20&#1575;&#1588;&#1603;&#1575;&#160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1605;&#1604;&#1601;&#1575;&#1578;&#1610;%202\&#1575;&#1604;&#1576;&#1581;&#1579;%20&#1575;&#1604;&#1593;&#1604;&#1605;&#1610;\&#1576;&#1581;&#1579;%20&#1583;%20&#1593;&#1604;&#1610;%20&#1575;&#1604;&#1610;&#1581;&#1608;&#1610;\&#1575;&#1604;&#1606;&#1578;&#1575;&#1574;&#1580;%20&#1575;&#1588;&#1603;&#1575;&#160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1605;&#1604;&#1601;&#1575;&#1578;&#1610;%202\&#1575;&#1604;&#1576;&#1581;&#1579;%20&#1575;&#1604;&#1593;&#1604;&#1605;&#1610;\&#1576;&#1581;&#1579;%20&#1583;%20&#1593;&#1604;&#1610;%20&#1575;&#1604;&#1610;&#1581;&#1608;&#1610;\&#1575;&#1604;&#1606;&#1578;&#1575;&#1574;&#1580;%20&#1575;&#1588;&#1603;&#1575;&#16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1605;&#1604;&#1601;&#1575;&#1578;&#1610;%202\&#1575;&#1604;&#1576;&#1581;&#1579;%20&#1575;&#1604;&#1593;&#1604;&#1605;&#1610;\&#1576;&#1581;&#1579;%20&#1583;%20&#1593;&#1604;&#1610;%20&#1575;&#1604;&#1610;&#1581;&#1608;&#1610;\&#1575;&#1604;&#1606;&#1578;&#1575;&#1574;&#1580;%20&#1575;&#1588;&#1603;&#1575;&#1604;.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plotArea>
      <c:layout/>
      <c:bar3DChart>
        <c:barDir val="col"/>
        <c:grouping val="stacked"/>
        <c:ser>
          <c:idx val="0"/>
          <c:order val="0"/>
          <c:dLbls>
            <c:spPr>
              <a:noFill/>
              <a:ln>
                <a:noFill/>
              </a:ln>
              <a:effectLst/>
            </c:spPr>
            <c:txPr>
              <a:bodyPr/>
              <a:lstStyle/>
              <a:p>
                <a:pPr>
                  <a:defRPr lang="ar-EG"/>
                </a:pPr>
                <a:endParaRPr lang="en-US"/>
              </a:p>
            </c:txPr>
            <c:showVal val="1"/>
            <c:extLst>
              <c:ext xmlns:c15="http://schemas.microsoft.com/office/drawing/2012/chart" uri="{CE6537A1-D6FC-4f65-9D91-7224C49458BB}">
                <c15:layout/>
                <c15:showLeaderLines val="0"/>
              </c:ext>
            </c:extLst>
          </c:dLbls>
          <c:cat>
            <c:strRef>
              <c:f>Sheet1!$H$46:$N$46</c:f>
              <c:strCache>
                <c:ptCount val="7"/>
                <c:pt idx="0">
                  <c:v>Urine</c:v>
                </c:pt>
                <c:pt idx="1">
                  <c:v>Semen</c:v>
                </c:pt>
                <c:pt idx="2">
                  <c:v>CSF</c:v>
                </c:pt>
                <c:pt idx="3">
                  <c:v>Respirotary Isolates</c:v>
                </c:pt>
                <c:pt idx="4">
                  <c:v>Blood</c:v>
                </c:pt>
                <c:pt idx="5">
                  <c:v>Pus</c:v>
                </c:pt>
                <c:pt idx="6">
                  <c:v>Swap</c:v>
                </c:pt>
              </c:strCache>
            </c:strRef>
          </c:cat>
          <c:val>
            <c:numRef>
              <c:f>Sheet1!$H$47:$N$47</c:f>
              <c:numCache>
                <c:formatCode>General</c:formatCode>
                <c:ptCount val="7"/>
                <c:pt idx="0">
                  <c:v>11</c:v>
                </c:pt>
                <c:pt idx="1">
                  <c:v>3</c:v>
                </c:pt>
                <c:pt idx="2">
                  <c:v>1</c:v>
                </c:pt>
                <c:pt idx="3">
                  <c:v>37</c:v>
                </c:pt>
                <c:pt idx="4">
                  <c:v>16</c:v>
                </c:pt>
                <c:pt idx="5">
                  <c:v>81</c:v>
                </c:pt>
                <c:pt idx="6">
                  <c:v>50</c:v>
                </c:pt>
              </c:numCache>
            </c:numRef>
          </c:val>
        </c:ser>
        <c:shape val="box"/>
        <c:axId val="113010176"/>
        <c:axId val="114287360"/>
        <c:axId val="0"/>
      </c:bar3DChart>
      <c:catAx>
        <c:axId val="113010176"/>
        <c:scaling>
          <c:orientation val="maxMin"/>
        </c:scaling>
        <c:axPos val="b"/>
        <c:numFmt formatCode="General" sourceLinked="0"/>
        <c:tickLblPos val="nextTo"/>
        <c:txPr>
          <a:bodyPr/>
          <a:lstStyle/>
          <a:p>
            <a:pPr>
              <a:defRPr lang="ar-EG" b="1">
                <a:cs typeface="+mj-cs"/>
              </a:defRPr>
            </a:pPr>
            <a:endParaRPr lang="en-US"/>
          </a:p>
        </c:txPr>
        <c:crossAx val="114287360"/>
        <c:crosses val="autoZero"/>
        <c:auto val="1"/>
        <c:lblAlgn val="ctr"/>
        <c:lblOffset val="100"/>
      </c:catAx>
      <c:valAx>
        <c:axId val="114287360"/>
        <c:scaling>
          <c:orientation val="minMax"/>
        </c:scaling>
        <c:delete val="1"/>
        <c:axPos val="r"/>
        <c:majorGridlines/>
        <c:numFmt formatCode="General" sourceLinked="1"/>
        <c:tickLblPos val="none"/>
        <c:crossAx val="113010176"/>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autoTitleDeleted val="1"/>
    <c:view3D>
      <c:rotX val="75"/>
      <c:rotY val="360"/>
      <c:perspective val="30"/>
    </c:view3D>
    <c:plotArea>
      <c:layout>
        <c:manualLayout>
          <c:layoutTarget val="inner"/>
          <c:xMode val="edge"/>
          <c:yMode val="edge"/>
          <c:x val="0.33983800412045401"/>
          <c:y val="0.17573782443861183"/>
          <c:w val="0.63865661953546327"/>
          <c:h val="0.75079286964129632"/>
        </c:manualLayout>
      </c:layout>
      <c:pie3DChart>
        <c:varyColors val="1"/>
        <c:ser>
          <c:idx val="0"/>
          <c:order val="0"/>
          <c:tx>
            <c:strRef>
              <c:f>ورقة1!$B$1</c:f>
              <c:strCache>
                <c:ptCount val="1"/>
                <c:pt idx="0">
                  <c:v>F</c:v>
                </c:pt>
              </c:strCache>
            </c:strRef>
          </c:tx>
          <c:explosion val="25"/>
          <c:dLbls>
            <c:spPr>
              <a:noFill/>
              <a:ln>
                <a:noFill/>
              </a:ln>
              <a:effectLst/>
            </c:spPr>
            <c:txPr>
              <a:bodyPr/>
              <a:lstStyle/>
              <a:p>
                <a:pPr>
                  <a:defRPr lang="ar-EG"/>
                </a:pPr>
                <a:endParaRPr lang="en-US"/>
              </a:p>
            </c:txPr>
            <c:showVal val="1"/>
            <c:showPercent val="1"/>
            <c:showLeaderLines val="1"/>
            <c:extLst>
              <c:ext xmlns:c15="http://schemas.microsoft.com/office/drawing/2012/chart" uri="{CE6537A1-D6FC-4f65-9D91-7224C49458BB}">
                <c15:layout/>
              </c:ext>
            </c:extLst>
          </c:dLbls>
          <c:cat>
            <c:strRef>
              <c:f>ورقة1!$A$2:$A$6</c:f>
              <c:strCache>
                <c:ptCount val="5"/>
                <c:pt idx="0">
                  <c:v>1 - 15 years</c:v>
                </c:pt>
                <c:pt idx="1">
                  <c:v>16 - 30 years</c:v>
                </c:pt>
                <c:pt idx="2">
                  <c:v>31 - 45 years</c:v>
                </c:pt>
                <c:pt idx="3">
                  <c:v>46 - 60 years</c:v>
                </c:pt>
                <c:pt idx="4">
                  <c:v>more than 60 years</c:v>
                </c:pt>
              </c:strCache>
            </c:strRef>
          </c:cat>
          <c:val>
            <c:numRef>
              <c:f>ورقة1!$B$2:$B$6</c:f>
              <c:numCache>
                <c:formatCode>###0</c:formatCode>
                <c:ptCount val="5"/>
                <c:pt idx="0">
                  <c:v>2</c:v>
                </c:pt>
                <c:pt idx="1">
                  <c:v>6</c:v>
                </c:pt>
                <c:pt idx="2">
                  <c:v>7</c:v>
                </c:pt>
                <c:pt idx="3">
                  <c:v>12</c:v>
                </c:pt>
                <c:pt idx="4">
                  <c:v>8</c:v>
                </c:pt>
              </c:numCache>
            </c:numRef>
          </c:val>
        </c:ser>
        <c:ser>
          <c:idx val="1"/>
          <c:order val="1"/>
          <c:tx>
            <c:strRef>
              <c:f>ورقة1!$C$1</c:f>
              <c:strCache>
                <c:ptCount val="1"/>
                <c:pt idx="0">
                  <c:v>%</c:v>
                </c:pt>
              </c:strCache>
            </c:strRef>
          </c:tx>
          <c:explosion val="25"/>
          <c:dLbls>
            <c:spPr>
              <a:noFill/>
              <a:ln>
                <a:noFill/>
              </a:ln>
              <a:effectLst/>
            </c:spPr>
            <c:txPr>
              <a:bodyPr/>
              <a:lstStyle/>
              <a:p>
                <a:pPr>
                  <a:defRPr lang="ar-EG"/>
                </a:pPr>
                <a:endParaRPr lang="en-US"/>
              </a:p>
            </c:txPr>
            <c:showVal val="1"/>
            <c:showLeaderLines val="1"/>
            <c:extLst>
              <c:ext xmlns:c15="http://schemas.microsoft.com/office/drawing/2012/chart" uri="{CE6537A1-D6FC-4f65-9D91-7224C49458BB}"/>
            </c:extLst>
          </c:dLbls>
          <c:cat>
            <c:strRef>
              <c:f>ورقة1!$A$2:$A$6</c:f>
              <c:strCache>
                <c:ptCount val="5"/>
                <c:pt idx="0">
                  <c:v>1 - 15 years</c:v>
                </c:pt>
                <c:pt idx="1">
                  <c:v>16 - 30 years</c:v>
                </c:pt>
                <c:pt idx="2">
                  <c:v>31 - 45 years</c:v>
                </c:pt>
                <c:pt idx="3">
                  <c:v>46 - 60 years</c:v>
                </c:pt>
                <c:pt idx="4">
                  <c:v>more than 60 years</c:v>
                </c:pt>
              </c:strCache>
            </c:strRef>
          </c:cat>
          <c:val>
            <c:numRef>
              <c:f>ورقة1!$C$2:$C$6</c:f>
              <c:numCache>
                <c:formatCode>###0.0</c:formatCode>
                <c:ptCount val="5"/>
                <c:pt idx="0">
                  <c:v>5.7142857142857055</c:v>
                </c:pt>
                <c:pt idx="1">
                  <c:v>17.142857142857196</c:v>
                </c:pt>
                <c:pt idx="2">
                  <c:v>20</c:v>
                </c:pt>
                <c:pt idx="3">
                  <c:v>34.285714285714285</c:v>
                </c:pt>
                <c:pt idx="4">
                  <c:v>22.857142857142829</c:v>
                </c:pt>
              </c:numCache>
            </c:numRef>
          </c:val>
        </c:ser>
        <c:dLbls>
          <c:showVal val="1"/>
        </c:dLbls>
      </c:pie3DChart>
    </c:plotArea>
    <c:legend>
      <c:legendPos val="l"/>
      <c:layout>
        <c:manualLayout>
          <c:xMode val="edge"/>
          <c:yMode val="edge"/>
          <c:x val="0.25089605734767095"/>
          <c:y val="0.37843102945465218"/>
          <c:w val="0.27501801522121588"/>
          <c:h val="0.47461905803441234"/>
        </c:manualLayout>
      </c:layout>
      <c:txPr>
        <a:bodyPr/>
        <a:lstStyle/>
        <a:p>
          <a:pPr>
            <a:defRPr lang="ar-EG"/>
          </a:pPr>
          <a:endParaRPr lang="en-US"/>
        </a:p>
      </c:txPr>
    </c:legend>
    <c:plotVisOnly val="1"/>
    <c:dispBlanksAs val="zero"/>
  </c:chart>
  <c:spPr>
    <a:solidFill>
      <a:schemeClr val="bg1">
        <a:lumMod val="85000"/>
      </a:schemeClr>
    </a:solidFill>
    <a:ln>
      <a:solidFill>
        <a:srgbClr val="C00000"/>
      </a:solidFill>
    </a:ln>
  </c:spPr>
  <c:txPr>
    <a:bodyPr/>
    <a:lstStyle/>
    <a:p>
      <a:pPr>
        <a:defRPr sz="1200" b="1">
          <a:cs typeface="+mj-cs"/>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autoTitleDeleted val="1"/>
    <c:view3D>
      <c:rotX val="30"/>
      <c:rotY val="360"/>
      <c:perspective val="30"/>
    </c:view3D>
    <c:plotArea>
      <c:layout>
        <c:manualLayout>
          <c:layoutTarget val="inner"/>
          <c:xMode val="edge"/>
          <c:yMode val="edge"/>
          <c:x val="0.21002586770516501"/>
          <c:y val="0.22876895596383789"/>
          <c:w val="0.78127234998152095"/>
          <c:h val="0.73493912219306101"/>
        </c:manualLayout>
      </c:layout>
      <c:pie3DChart>
        <c:varyColors val="1"/>
        <c:ser>
          <c:idx val="0"/>
          <c:order val="0"/>
          <c:tx>
            <c:strRef>
              <c:f>ورقة1!$A$2</c:f>
              <c:strCache>
                <c:ptCount val="1"/>
                <c:pt idx="0">
                  <c:v>F</c:v>
                </c:pt>
              </c:strCache>
            </c:strRef>
          </c:tx>
          <c:explosion val="25"/>
          <c:dLbls>
            <c:spPr>
              <a:noFill/>
              <a:ln>
                <a:noFill/>
              </a:ln>
              <a:effectLst/>
            </c:spPr>
            <c:txPr>
              <a:bodyPr/>
              <a:lstStyle/>
              <a:p>
                <a:pPr>
                  <a:defRPr lang="ar-EG"/>
                </a:pPr>
                <a:endParaRPr lang="en-US"/>
              </a:p>
            </c:txPr>
            <c:showVal val="1"/>
            <c:showPercent val="1"/>
            <c:showLeaderLines val="1"/>
            <c:extLst>
              <c:ext xmlns:c15="http://schemas.microsoft.com/office/drawing/2012/chart" uri="{CE6537A1-D6FC-4f65-9D91-7224C49458BB}">
                <c15:layout/>
              </c:ext>
            </c:extLst>
          </c:dLbls>
          <c:cat>
            <c:strRef>
              <c:f>ورقة1!$B$1:$C$1</c:f>
              <c:strCache>
                <c:ptCount val="2"/>
                <c:pt idx="0">
                  <c:v>male</c:v>
                </c:pt>
                <c:pt idx="1">
                  <c:v>femal</c:v>
                </c:pt>
              </c:strCache>
            </c:strRef>
          </c:cat>
          <c:val>
            <c:numRef>
              <c:f>ورقة1!$B$2:$C$2</c:f>
              <c:numCache>
                <c:formatCode>###0</c:formatCode>
                <c:ptCount val="2"/>
                <c:pt idx="0">
                  <c:v>29</c:v>
                </c:pt>
                <c:pt idx="1">
                  <c:v>6</c:v>
                </c:pt>
              </c:numCache>
            </c:numRef>
          </c:val>
        </c:ser>
        <c:ser>
          <c:idx val="1"/>
          <c:order val="1"/>
          <c:tx>
            <c:strRef>
              <c:f>ورقة1!$A$3</c:f>
              <c:strCache>
                <c:ptCount val="1"/>
                <c:pt idx="0">
                  <c:v>%</c:v>
                </c:pt>
              </c:strCache>
            </c:strRef>
          </c:tx>
          <c:explosion val="25"/>
          <c:dLbls>
            <c:spPr>
              <a:noFill/>
              <a:ln>
                <a:noFill/>
              </a:ln>
              <a:effectLst/>
            </c:spPr>
            <c:txPr>
              <a:bodyPr/>
              <a:lstStyle/>
              <a:p>
                <a:pPr>
                  <a:defRPr lang="ar-EG"/>
                </a:pPr>
                <a:endParaRPr lang="en-US"/>
              </a:p>
            </c:txPr>
            <c:showVal val="1"/>
            <c:showLeaderLines val="1"/>
            <c:extLst>
              <c:ext xmlns:c15="http://schemas.microsoft.com/office/drawing/2012/chart" uri="{CE6537A1-D6FC-4f65-9D91-7224C49458BB}"/>
            </c:extLst>
          </c:dLbls>
          <c:cat>
            <c:strRef>
              <c:f>ورقة1!$B$1:$C$1</c:f>
              <c:strCache>
                <c:ptCount val="2"/>
                <c:pt idx="0">
                  <c:v>male</c:v>
                </c:pt>
                <c:pt idx="1">
                  <c:v>femal</c:v>
                </c:pt>
              </c:strCache>
            </c:strRef>
          </c:cat>
          <c:val>
            <c:numRef>
              <c:f>ورقة1!$B$3:$C$3</c:f>
              <c:numCache>
                <c:formatCode>###0.0</c:formatCode>
                <c:ptCount val="2"/>
                <c:pt idx="0">
                  <c:v>82.857142857142819</c:v>
                </c:pt>
                <c:pt idx="1">
                  <c:v>17.142857142857196</c:v>
                </c:pt>
              </c:numCache>
            </c:numRef>
          </c:val>
        </c:ser>
        <c:dLbls>
          <c:showVal val="1"/>
        </c:dLbls>
      </c:pie3DChart>
    </c:plotArea>
    <c:legend>
      <c:legendPos val="l"/>
      <c:layout>
        <c:manualLayout>
          <c:xMode val="edge"/>
          <c:yMode val="edge"/>
          <c:x val="0.22634240308210976"/>
          <c:y val="0.45134907435773997"/>
          <c:w val="0.11423067661931142"/>
          <c:h val="0.18993901994252169"/>
        </c:manualLayout>
      </c:layout>
      <c:txPr>
        <a:bodyPr/>
        <a:lstStyle/>
        <a:p>
          <a:pPr>
            <a:defRPr lang="ar-EG"/>
          </a:pPr>
          <a:endParaRPr lang="en-US"/>
        </a:p>
      </c:txPr>
    </c:legend>
    <c:plotVisOnly val="1"/>
    <c:dispBlanksAs val="zero"/>
  </c:chart>
  <c:spPr>
    <a:solidFill>
      <a:schemeClr val="bg1">
        <a:lumMod val="85000"/>
      </a:schemeClr>
    </a:solidFill>
    <a:ln>
      <a:solidFill>
        <a:srgbClr val="C00000"/>
      </a:solidFill>
    </a:ln>
  </c:spPr>
  <c:txPr>
    <a:bodyPr/>
    <a:lstStyle/>
    <a:p>
      <a:pPr>
        <a:defRPr sz="1200" b="1">
          <a:cs typeface="+mj-cs"/>
        </a:defRPr>
      </a:pPr>
      <a:endParaRPr lang="en-US"/>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6"/>
  <c:clrMapOvr bg1="lt1" tx1="dk1" bg2="lt2" tx2="dk2" accent1="accent1" accent2="accent2" accent3="accent3" accent4="accent4" accent5="accent5" accent6="accent6" hlink="hlink" folHlink="folHlink"/>
  <c:chart>
    <c:autoTitleDeleted val="1"/>
    <c:view3D>
      <c:rotX val="30"/>
      <c:rotY val="360"/>
      <c:perspective val="30"/>
    </c:view3D>
    <c:plotArea>
      <c:layout>
        <c:manualLayout>
          <c:layoutTarget val="inner"/>
          <c:xMode val="edge"/>
          <c:yMode val="edge"/>
          <c:x val="0.33131200130038529"/>
          <c:y val="9.7223699496579344E-2"/>
          <c:w val="0.66868799869961781"/>
          <c:h val="0.85031728410997809"/>
        </c:manualLayout>
      </c:layout>
      <c:pie3DChart>
        <c:varyColors val="1"/>
        <c:ser>
          <c:idx val="0"/>
          <c:order val="0"/>
          <c:tx>
            <c:strRef>
              <c:f>'[النتائج اشكال.xlsx]ورقة1'!$B$2</c:f>
              <c:strCache>
                <c:ptCount val="1"/>
                <c:pt idx="0">
                  <c:v>Frequency</c:v>
                </c:pt>
              </c:strCache>
            </c:strRef>
          </c:tx>
          <c:explosion val="25"/>
          <c:dLbls>
            <c:spPr>
              <a:noFill/>
              <a:ln>
                <a:noFill/>
              </a:ln>
              <a:effectLst/>
            </c:spPr>
            <c:txPr>
              <a:bodyPr/>
              <a:lstStyle/>
              <a:p>
                <a:pPr>
                  <a:defRPr lang="ar-EG" sz="1200"/>
                </a:pPr>
                <a:endParaRPr lang="en-US"/>
              </a:p>
            </c:txPr>
            <c:showVal val="1"/>
            <c:showPercent val="1"/>
            <c:showLeaderLines val="1"/>
            <c:extLst>
              <c:ext xmlns:c15="http://schemas.microsoft.com/office/drawing/2012/chart" uri="{CE6537A1-D6FC-4f65-9D91-7224C49458BB}">
                <c15:layout/>
              </c:ext>
            </c:extLst>
          </c:dLbls>
          <c:cat>
            <c:strRef>
              <c:f>'[النتائج اشكال.xlsx]ورقة1'!$A$3:$A$7</c:f>
              <c:strCache>
                <c:ptCount val="5"/>
                <c:pt idx="0">
                  <c:v>medical department</c:v>
                </c:pt>
                <c:pt idx="1">
                  <c:v>surgical department</c:v>
                </c:pt>
                <c:pt idx="2">
                  <c:v>ICU department</c:v>
                </c:pt>
                <c:pt idx="3">
                  <c:v>nurological deasises</c:v>
                </c:pt>
                <c:pt idx="4">
                  <c:v>laboratory department</c:v>
                </c:pt>
              </c:strCache>
            </c:strRef>
          </c:cat>
          <c:val>
            <c:numRef>
              <c:f>'[النتائج اشكال.xlsx]ورقة1'!$B$3:$B$7</c:f>
              <c:numCache>
                <c:formatCode>###0</c:formatCode>
                <c:ptCount val="5"/>
                <c:pt idx="0">
                  <c:v>6</c:v>
                </c:pt>
                <c:pt idx="1">
                  <c:v>10</c:v>
                </c:pt>
                <c:pt idx="2">
                  <c:v>10</c:v>
                </c:pt>
                <c:pt idx="3">
                  <c:v>3</c:v>
                </c:pt>
                <c:pt idx="4">
                  <c:v>6</c:v>
                </c:pt>
              </c:numCache>
            </c:numRef>
          </c:val>
        </c:ser>
        <c:ser>
          <c:idx val="1"/>
          <c:order val="1"/>
          <c:tx>
            <c:strRef>
              <c:f>'[النتائج اشكال.xlsx]ورقة1'!$C$2</c:f>
              <c:strCache>
                <c:ptCount val="1"/>
                <c:pt idx="0">
                  <c:v>Percent</c:v>
                </c:pt>
              </c:strCache>
            </c:strRef>
          </c:tx>
          <c:explosion val="25"/>
          <c:dLbls>
            <c:spPr>
              <a:noFill/>
              <a:ln>
                <a:noFill/>
              </a:ln>
              <a:effectLst/>
            </c:spPr>
            <c:txPr>
              <a:bodyPr/>
              <a:lstStyle/>
              <a:p>
                <a:pPr>
                  <a:defRPr lang="ar-EG"/>
                </a:pPr>
                <a:endParaRPr lang="en-US"/>
              </a:p>
            </c:txPr>
            <c:showVal val="1"/>
            <c:showLeaderLines val="1"/>
            <c:extLst>
              <c:ext xmlns:c15="http://schemas.microsoft.com/office/drawing/2012/chart" uri="{CE6537A1-D6FC-4f65-9D91-7224C49458BB}"/>
            </c:extLst>
          </c:dLbls>
          <c:cat>
            <c:strRef>
              <c:f>'[النتائج اشكال.xlsx]ورقة1'!$A$3:$A$7</c:f>
              <c:strCache>
                <c:ptCount val="5"/>
                <c:pt idx="0">
                  <c:v>medical department</c:v>
                </c:pt>
                <c:pt idx="1">
                  <c:v>surgical department</c:v>
                </c:pt>
                <c:pt idx="2">
                  <c:v>ICU department</c:v>
                </c:pt>
                <c:pt idx="3">
                  <c:v>nurological deasises</c:v>
                </c:pt>
                <c:pt idx="4">
                  <c:v>laboratory department</c:v>
                </c:pt>
              </c:strCache>
            </c:strRef>
          </c:cat>
          <c:val>
            <c:numRef>
              <c:f>'[النتائج اشكال.xlsx]ورقة1'!$C$3:$C$7</c:f>
              <c:numCache>
                <c:formatCode>###0.0</c:formatCode>
                <c:ptCount val="5"/>
                <c:pt idx="0">
                  <c:v>17.142857142857196</c:v>
                </c:pt>
                <c:pt idx="1">
                  <c:v>28.571428571428569</c:v>
                </c:pt>
                <c:pt idx="2">
                  <c:v>28.571428571428569</c:v>
                </c:pt>
                <c:pt idx="3">
                  <c:v>8.5714285714285712</c:v>
                </c:pt>
                <c:pt idx="4">
                  <c:v>17.142857142857196</c:v>
                </c:pt>
              </c:numCache>
            </c:numRef>
          </c:val>
        </c:ser>
        <c:dLbls>
          <c:showVal val="1"/>
        </c:dLbls>
      </c:pie3DChart>
    </c:plotArea>
    <c:legend>
      <c:legendPos val="l"/>
      <c:layout>
        <c:manualLayout>
          <c:xMode val="edge"/>
          <c:yMode val="edge"/>
          <c:x val="6.3145112325440178E-2"/>
          <c:y val="0.28466072888429989"/>
          <c:w val="0.32431096386175962"/>
          <c:h val="0.44816488102921648"/>
        </c:manualLayout>
      </c:layout>
      <c:txPr>
        <a:bodyPr/>
        <a:lstStyle/>
        <a:p>
          <a:pPr>
            <a:defRPr lang="ar-EG" sz="1200"/>
          </a:pPr>
          <a:endParaRPr lang="en-US"/>
        </a:p>
      </c:txPr>
    </c:legend>
    <c:plotVisOnly val="1"/>
    <c:dispBlanksAs val="zero"/>
  </c:chart>
  <c:spPr>
    <a:solidFill>
      <a:schemeClr val="bg1">
        <a:lumMod val="85000"/>
      </a:schemeClr>
    </a:solidFill>
    <a:ln>
      <a:solidFill>
        <a:srgbClr val="C00000"/>
      </a:solidFill>
    </a:ln>
  </c:spPr>
  <c:txPr>
    <a:bodyPr/>
    <a:lstStyle/>
    <a:p>
      <a:pPr>
        <a:defRPr sz="1400" b="1">
          <a:cs typeface="+mj-cs"/>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otY val="340"/>
      <c:rAngAx val="1"/>
    </c:view3D>
    <c:plotArea>
      <c:layout/>
      <c:bar3DChart>
        <c:barDir val="col"/>
        <c:grouping val="stacked"/>
        <c:ser>
          <c:idx val="0"/>
          <c:order val="0"/>
          <c:tx>
            <c:strRef>
              <c:f>ورقة1!$B$1</c:f>
              <c:strCache>
                <c:ptCount val="1"/>
                <c:pt idx="0">
                  <c:v>Frequency</c:v>
                </c:pt>
              </c:strCache>
            </c:strRef>
          </c:tx>
          <c:dLbls>
            <c:spPr>
              <a:noFill/>
              <a:ln>
                <a:noFill/>
              </a:ln>
              <a:effectLst/>
            </c:spPr>
            <c:txPr>
              <a:bodyPr/>
              <a:lstStyle/>
              <a:p>
                <a:pPr>
                  <a:defRPr lang="ar-EG"/>
                </a:pPr>
                <a:endParaRPr lang="en-US"/>
              </a:p>
            </c:txPr>
            <c:showVal val="1"/>
            <c:extLst>
              <c:ext xmlns:c15="http://schemas.microsoft.com/office/drawing/2012/chart" uri="{CE6537A1-D6FC-4f65-9D91-7224C49458BB}">
                <c15:layout/>
                <c15:showLeaderLines val="0"/>
              </c:ext>
            </c:extLst>
          </c:dLbls>
          <c:cat>
            <c:strRef>
              <c:f>ورقة1!$A$2:$A$5</c:f>
              <c:strCache>
                <c:ptCount val="4"/>
                <c:pt idx="0">
                  <c:v>sputum culture</c:v>
                </c:pt>
                <c:pt idx="1">
                  <c:v>blood culture</c:v>
                </c:pt>
                <c:pt idx="2">
                  <c:v>pus for culture</c:v>
                </c:pt>
                <c:pt idx="3">
                  <c:v>wound swab for culture</c:v>
                </c:pt>
              </c:strCache>
            </c:strRef>
          </c:cat>
          <c:val>
            <c:numRef>
              <c:f>ورقة1!$B$2:$B$5</c:f>
              <c:numCache>
                <c:formatCode>###0</c:formatCode>
                <c:ptCount val="4"/>
                <c:pt idx="0">
                  <c:v>18</c:v>
                </c:pt>
                <c:pt idx="1">
                  <c:v>2</c:v>
                </c:pt>
                <c:pt idx="2">
                  <c:v>3</c:v>
                </c:pt>
                <c:pt idx="3">
                  <c:v>12</c:v>
                </c:pt>
              </c:numCache>
            </c:numRef>
          </c:val>
        </c:ser>
        <c:ser>
          <c:idx val="1"/>
          <c:order val="1"/>
          <c:tx>
            <c:strRef>
              <c:f>ورقة1!$C$1</c:f>
              <c:strCache>
                <c:ptCount val="1"/>
                <c:pt idx="0">
                  <c:v>Percent</c:v>
                </c:pt>
              </c:strCache>
            </c:strRef>
          </c:tx>
          <c:dLbls>
            <c:dLbl>
              <c:idx val="0"/>
              <c:layout>
                <c:manualLayout>
                  <c:x val="1.0722960705180669E-2"/>
                  <c:y val="-0.27314814814814814"/>
                </c:manualLayout>
              </c:layout>
              <c:showVal val="1"/>
              <c:extLst>
                <c:ext xmlns:c15="http://schemas.microsoft.com/office/drawing/2012/chart" uri="{CE6537A1-D6FC-4f65-9D91-7224C49458BB}">
                  <c15:layout/>
                </c:ext>
              </c:extLst>
            </c:dLbl>
            <c:dLbl>
              <c:idx val="1"/>
              <c:layout>
                <c:manualLayout>
                  <c:x val="1.3888888888888944E-2"/>
                  <c:y val="-9.7222222222222224E-2"/>
                </c:manualLayout>
              </c:layout>
              <c:showVal val="1"/>
              <c:extLst>
                <c:ext xmlns:c15="http://schemas.microsoft.com/office/drawing/2012/chart" uri="{CE6537A1-D6FC-4f65-9D91-7224C49458BB}">
                  <c15:layout/>
                </c:ext>
              </c:extLst>
            </c:dLbl>
            <c:dLbl>
              <c:idx val="2"/>
              <c:layout>
                <c:manualLayout>
                  <c:x val="1.6666666666666701E-2"/>
                  <c:y val="-9.7222222222222224E-2"/>
                </c:manualLayout>
              </c:layout>
              <c:showVal val="1"/>
              <c:extLst>
                <c:ext xmlns:c15="http://schemas.microsoft.com/office/drawing/2012/chart" uri="{CE6537A1-D6FC-4f65-9D91-7224C49458BB}">
                  <c15:layout/>
                </c:ext>
              </c:extLst>
            </c:dLbl>
            <c:dLbl>
              <c:idx val="3"/>
              <c:layout>
                <c:manualLayout>
                  <c:x val="1.3889107611548598E-2"/>
                  <c:y val="-0.19907407407407407"/>
                </c:manualLayout>
              </c:layout>
              <c:showVal val="1"/>
              <c:extLst>
                <c:ext xmlns:c15="http://schemas.microsoft.com/office/drawing/2012/chart" uri="{CE6537A1-D6FC-4f65-9D91-7224C49458BB}">
                  <c15:layout/>
                </c:ext>
              </c:extLst>
            </c:dLbl>
            <c:spPr>
              <a:noFill/>
              <a:ln>
                <a:noFill/>
              </a:ln>
              <a:effectLst/>
            </c:spPr>
            <c:txPr>
              <a:bodyPr/>
              <a:lstStyle/>
              <a:p>
                <a:pPr>
                  <a:defRPr lang="ar-EG"/>
                </a:pPr>
                <a:endParaRPr lang="en-US"/>
              </a:p>
            </c:txPr>
            <c:showVal val="1"/>
            <c:extLst>
              <c:ext xmlns:c15="http://schemas.microsoft.com/office/drawing/2012/chart" uri="{CE6537A1-D6FC-4f65-9D91-7224C49458BB}">
                <c15:showLeaderLines val="0"/>
              </c:ext>
            </c:extLst>
          </c:dLbls>
          <c:cat>
            <c:strRef>
              <c:f>ورقة1!$A$2:$A$5</c:f>
              <c:strCache>
                <c:ptCount val="4"/>
                <c:pt idx="0">
                  <c:v>sputum culture</c:v>
                </c:pt>
                <c:pt idx="1">
                  <c:v>blood culture</c:v>
                </c:pt>
                <c:pt idx="2">
                  <c:v>pus for culture</c:v>
                </c:pt>
                <c:pt idx="3">
                  <c:v>wound swab for culture</c:v>
                </c:pt>
              </c:strCache>
            </c:strRef>
          </c:cat>
          <c:val>
            <c:numRef>
              <c:f>ورقة1!$C$2:$C$5</c:f>
              <c:numCache>
                <c:formatCode>###0.0</c:formatCode>
                <c:ptCount val="4"/>
                <c:pt idx="0">
                  <c:v>51.428571428571537</c:v>
                </c:pt>
                <c:pt idx="1">
                  <c:v>5.7142857142857055</c:v>
                </c:pt>
                <c:pt idx="2">
                  <c:v>8.5714285714285712</c:v>
                </c:pt>
                <c:pt idx="3">
                  <c:v>34.285714285714285</c:v>
                </c:pt>
              </c:numCache>
            </c:numRef>
          </c:val>
        </c:ser>
        <c:dLbls>
          <c:showVal val="1"/>
        </c:dLbls>
        <c:gapWidth val="70"/>
        <c:gapDepth val="130"/>
        <c:shape val="box"/>
        <c:axId val="193766528"/>
        <c:axId val="193768064"/>
        <c:axId val="0"/>
      </c:bar3DChart>
      <c:catAx>
        <c:axId val="193766528"/>
        <c:scaling>
          <c:orientation val="maxMin"/>
        </c:scaling>
        <c:axPos val="b"/>
        <c:numFmt formatCode="General" sourceLinked="0"/>
        <c:tickLblPos val="nextTo"/>
        <c:txPr>
          <a:bodyPr/>
          <a:lstStyle/>
          <a:p>
            <a:pPr>
              <a:defRPr lang="ar-EG"/>
            </a:pPr>
            <a:endParaRPr lang="en-US"/>
          </a:p>
        </c:txPr>
        <c:crossAx val="193768064"/>
        <c:crosses val="autoZero"/>
        <c:auto val="1"/>
        <c:lblAlgn val="ctr"/>
        <c:lblOffset val="100"/>
      </c:catAx>
      <c:valAx>
        <c:axId val="193768064"/>
        <c:scaling>
          <c:orientation val="minMax"/>
        </c:scaling>
        <c:axPos val="r"/>
        <c:majorGridlines/>
        <c:numFmt formatCode="###0" sourceLinked="1"/>
        <c:tickLblPos val="nextTo"/>
        <c:txPr>
          <a:bodyPr/>
          <a:lstStyle/>
          <a:p>
            <a:pPr>
              <a:defRPr lang="ar-EG"/>
            </a:pPr>
            <a:endParaRPr lang="en-US"/>
          </a:p>
        </c:txPr>
        <c:crossAx val="193766528"/>
        <c:crosses val="autoZero"/>
        <c:crossBetween val="between"/>
      </c:valAx>
    </c:plotArea>
    <c:legend>
      <c:legendPos val="l"/>
      <c:layout>
        <c:manualLayout>
          <c:xMode val="edge"/>
          <c:yMode val="edge"/>
          <c:x val="9.080047789725236E-2"/>
          <c:y val="0.38655766987460033"/>
          <c:w val="0.16948626045400272"/>
          <c:h val="0.18984762321376492"/>
        </c:manualLayout>
      </c:layout>
      <c:txPr>
        <a:bodyPr/>
        <a:lstStyle/>
        <a:p>
          <a:pPr>
            <a:defRPr lang="ar-EG"/>
          </a:pPr>
          <a:endParaRPr lang="en-US"/>
        </a:p>
      </c:txPr>
    </c:legend>
    <c:plotVisOnly val="1"/>
    <c:dispBlanksAs val="gap"/>
  </c:chart>
  <c:spPr>
    <a:solidFill>
      <a:schemeClr val="bg1">
        <a:lumMod val="85000"/>
      </a:schemeClr>
    </a:solidFill>
    <a:ln>
      <a:solidFill>
        <a:srgbClr val="C00000"/>
      </a:solidFill>
    </a:ln>
  </c:spPr>
  <c:txPr>
    <a:bodyPr/>
    <a:lstStyle/>
    <a:p>
      <a:pPr>
        <a:defRPr sz="1200" b="1">
          <a:cs typeface="+mj-cs"/>
        </a:defRPr>
      </a:pPr>
      <a:endParaRPr lang="en-US"/>
    </a:p>
  </c:txPr>
  <c:externalData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0.23658</cdr:x>
      <cdr:y>0.57319</cdr:y>
    </cdr:from>
    <cdr:to>
      <cdr:x>0.26547</cdr:x>
      <cdr:y>0.61487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47775" y="1571625"/>
          <a:ext cx="152381" cy="114286"/>
        </a:xfrm>
        <a:prstGeom xmlns:a="http://schemas.openxmlformats.org/drawingml/2006/main" prst="rect">
          <a:avLst/>
        </a:prstGeom>
      </cdr:spPr>
    </cdr:pic>
  </cdr:relSizeAnchor>
  <cdr:relSizeAnchor xmlns:cdr="http://schemas.openxmlformats.org/drawingml/2006/chartDrawing">
    <cdr:from>
      <cdr:x>0.18962</cdr:x>
      <cdr:y>0.44466</cdr:y>
    </cdr:from>
    <cdr:to>
      <cdr:x>0.3413</cdr:x>
      <cdr:y>0.64959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000125" y="1219200"/>
          <a:ext cx="800000" cy="56190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TotalTime>
  <Pages>13</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Kapil</cp:lastModifiedBy>
  <cp:revision>19</cp:revision>
  <cp:lastPrinted>2019-10-14T07:12:00Z</cp:lastPrinted>
  <dcterms:created xsi:type="dcterms:W3CDTF">2018-07-05T11:05:00Z</dcterms:created>
  <dcterms:modified xsi:type="dcterms:W3CDTF">2021-04-25T00:53:00Z</dcterms:modified>
</cp:coreProperties>
</file>