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01" w:rsidRPr="006C1E68" w:rsidRDefault="001B3001" w:rsidP="001B3001">
      <w:pPr>
        <w:shd w:val="clear" w:color="auto" w:fill="00B050"/>
        <w:jc w:val="center"/>
        <w:rPr>
          <w:b/>
          <w:bCs/>
          <w:color w:val="FFFFFF"/>
          <w:sz w:val="28"/>
          <w:szCs w:val="28"/>
        </w:rPr>
      </w:pPr>
      <w:r w:rsidRPr="006C1E68">
        <w:rPr>
          <w:b/>
          <w:bCs/>
          <w:color w:val="FFFFFF"/>
          <w:sz w:val="28"/>
          <w:szCs w:val="28"/>
        </w:rPr>
        <w:t>Reviewer’s Comments</w:t>
      </w:r>
    </w:p>
    <w:p w:rsidR="00556C45" w:rsidRDefault="00556C45" w:rsidP="0035582B">
      <w:pPr>
        <w:autoSpaceDE w:val="0"/>
        <w:autoSpaceDN w:val="0"/>
        <w:adjustRightInd w:val="0"/>
        <w:spacing w:line="480" w:lineRule="auto"/>
        <w:jc w:val="center"/>
        <w:rPr>
          <w:b/>
        </w:rPr>
      </w:pPr>
      <w:commentRangeStart w:id="0"/>
      <w:r>
        <w:rPr>
          <w:b/>
          <w:noProof/>
        </w:rPr>
        <w:drawing>
          <wp:inline distT="0" distB="0" distL="0" distR="0">
            <wp:extent cx="5337877" cy="183603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6819" cy="1835668"/>
                    </a:xfrm>
                    <a:prstGeom prst="rect">
                      <a:avLst/>
                    </a:prstGeom>
                    <a:noFill/>
                    <a:ln w="9525">
                      <a:noFill/>
                      <a:miter lim="800000"/>
                      <a:headEnd/>
                      <a:tailEnd/>
                    </a:ln>
                  </pic:spPr>
                </pic:pic>
              </a:graphicData>
            </a:graphic>
          </wp:inline>
        </w:drawing>
      </w:r>
      <w:commentRangeEnd w:id="0"/>
      <w:r w:rsidR="00D92DCA">
        <w:rPr>
          <w:rStyle w:val="CommentReference"/>
        </w:rPr>
        <w:commentReference w:id="0"/>
      </w:r>
    </w:p>
    <w:p w:rsidR="00EE7CF9" w:rsidRDefault="000D3706" w:rsidP="0035582B">
      <w:pPr>
        <w:autoSpaceDE w:val="0"/>
        <w:autoSpaceDN w:val="0"/>
        <w:adjustRightInd w:val="0"/>
        <w:spacing w:line="480" w:lineRule="auto"/>
        <w:jc w:val="center"/>
        <w:rPr>
          <w:b/>
        </w:rPr>
      </w:pPr>
      <w:r w:rsidRPr="00F272B5">
        <w:rPr>
          <w:b/>
        </w:rPr>
        <w:t>HEPATOPROTECTIVE</w:t>
      </w:r>
      <w:r>
        <w:rPr>
          <w:b/>
        </w:rPr>
        <w:t xml:space="preserve"> ACTIVITY</w:t>
      </w:r>
      <w:r w:rsidRPr="00F272B5">
        <w:rPr>
          <w:b/>
        </w:rPr>
        <w:t xml:space="preserve"> OF </w:t>
      </w:r>
      <w:commentRangeStart w:id="1"/>
      <w:r w:rsidRPr="00860AEF">
        <w:rPr>
          <w:b/>
          <w:i/>
        </w:rPr>
        <w:t>ASPARGUS</w:t>
      </w:r>
      <w:commentRangeEnd w:id="1"/>
      <w:r w:rsidR="00222AC6">
        <w:rPr>
          <w:rStyle w:val="CommentReference"/>
        </w:rPr>
        <w:commentReference w:id="1"/>
      </w:r>
      <w:r w:rsidRPr="00860AEF">
        <w:rPr>
          <w:b/>
          <w:i/>
        </w:rPr>
        <w:t xml:space="preserve"> RACEMOSUS</w:t>
      </w:r>
      <w:r w:rsidRPr="00391C0B">
        <w:t xml:space="preserve"> </w:t>
      </w:r>
      <w:r>
        <w:rPr>
          <w:b/>
        </w:rPr>
        <w:t>ROOT EXTRACT</w:t>
      </w:r>
      <w:r w:rsidRPr="00F272B5">
        <w:rPr>
          <w:b/>
        </w:rPr>
        <w:t xml:space="preserve"> </w:t>
      </w:r>
      <w:commentRangeStart w:id="2"/>
      <w:r>
        <w:rPr>
          <w:b/>
        </w:rPr>
        <w:t xml:space="preserve">ON </w:t>
      </w:r>
      <w:r w:rsidRPr="00F272B5">
        <w:rPr>
          <w:b/>
        </w:rPr>
        <w:t xml:space="preserve">LIPOPOLYSACCHARIDE INDUCED </w:t>
      </w:r>
      <w:commentRangeEnd w:id="2"/>
      <w:r w:rsidR="00AC7A7F">
        <w:rPr>
          <w:rStyle w:val="CommentReference"/>
        </w:rPr>
        <w:commentReference w:id="2"/>
      </w:r>
      <w:r w:rsidRPr="00F272B5">
        <w:rPr>
          <w:b/>
        </w:rPr>
        <w:t>OXIDATIVE STRESS IN RATS</w:t>
      </w:r>
    </w:p>
    <w:p w:rsidR="00B502C1" w:rsidRPr="005A6A7E" w:rsidRDefault="00B502C1" w:rsidP="0035582B">
      <w:pPr>
        <w:spacing w:line="480" w:lineRule="auto"/>
        <w:jc w:val="both"/>
      </w:pPr>
    </w:p>
    <w:p w:rsidR="00EE7CF9" w:rsidRPr="00391C0B" w:rsidRDefault="007E48DD" w:rsidP="0035582B">
      <w:pPr>
        <w:spacing w:line="360" w:lineRule="auto"/>
        <w:jc w:val="both"/>
        <w:rPr>
          <w:b/>
        </w:rPr>
      </w:pPr>
      <w:r w:rsidRPr="00391C0B">
        <w:rPr>
          <w:b/>
        </w:rPr>
        <w:t>ABSTRACT</w:t>
      </w:r>
    </w:p>
    <w:p w:rsidR="00EE7CF9" w:rsidRPr="00546F8C" w:rsidRDefault="00EE7CF9" w:rsidP="0035582B">
      <w:pPr>
        <w:autoSpaceDE w:val="0"/>
        <w:autoSpaceDN w:val="0"/>
        <w:adjustRightInd w:val="0"/>
        <w:spacing w:line="360" w:lineRule="auto"/>
        <w:jc w:val="both"/>
      </w:pPr>
      <w:r w:rsidRPr="00391C0B">
        <w:rPr>
          <w:rFonts w:eastAsia="Calibri"/>
        </w:rPr>
        <w:t xml:space="preserve"> </w:t>
      </w:r>
      <w:commentRangeStart w:id="3"/>
      <w:r>
        <w:rPr>
          <w:rFonts w:eastAsia="Calibri"/>
        </w:rPr>
        <w:t>L</w:t>
      </w:r>
      <w:r w:rsidRPr="00391C0B">
        <w:rPr>
          <w:rFonts w:eastAsia="Calibri"/>
        </w:rPr>
        <w:t>ipopolysaccharide (endoto</w:t>
      </w:r>
      <w:r>
        <w:rPr>
          <w:rFonts w:eastAsia="Calibri"/>
        </w:rPr>
        <w:t>xin) produces</w:t>
      </w:r>
      <w:r w:rsidRPr="00391C0B">
        <w:rPr>
          <w:rFonts w:eastAsia="Calibri"/>
        </w:rPr>
        <w:t xml:space="preserve"> an inflammatory condition </w:t>
      </w:r>
      <w:r>
        <w:rPr>
          <w:rFonts w:eastAsia="Calibri"/>
        </w:rPr>
        <w:t xml:space="preserve">leading </w:t>
      </w:r>
      <w:r w:rsidRPr="00391C0B">
        <w:rPr>
          <w:rFonts w:eastAsia="Calibri"/>
        </w:rPr>
        <w:t>to multiple organ failure.</w:t>
      </w:r>
      <w:r w:rsidRPr="00391C0B">
        <w:t xml:space="preserve"> LPS most potent bacterial products</w:t>
      </w:r>
      <w:r>
        <w:t xml:space="preserve"> is used for </w:t>
      </w:r>
      <w:r w:rsidRPr="00391C0B">
        <w:t>induction of host oxidative stress responses and liver injury</w:t>
      </w:r>
      <w:r>
        <w:t>. P</w:t>
      </w:r>
      <w:r w:rsidRPr="00391C0B">
        <w:t xml:space="preserve">resent study was undertaken to investigate the effect </w:t>
      </w:r>
      <w:r>
        <w:t xml:space="preserve">of </w:t>
      </w:r>
      <w:r w:rsidRPr="00391C0B">
        <w:rPr>
          <w:i/>
        </w:rPr>
        <w:t>Asparagus racemosus</w:t>
      </w:r>
      <w:r w:rsidRPr="00391C0B">
        <w:t xml:space="preserve"> Willd</w:t>
      </w:r>
      <w:r w:rsidRPr="00391C0B">
        <w:rPr>
          <w:i/>
        </w:rPr>
        <w:t>.</w:t>
      </w:r>
      <w:r>
        <w:rPr>
          <w:i/>
        </w:rPr>
        <w:t xml:space="preserve"> </w:t>
      </w:r>
      <w:r>
        <w:t>r</w:t>
      </w:r>
      <w:r w:rsidRPr="00546F8C">
        <w:t>oot extract</w:t>
      </w:r>
      <w:r w:rsidRPr="00391C0B">
        <w:t xml:space="preserve"> in lipopolysaccharide (LPS</w:t>
      </w:r>
      <w:r>
        <w:t xml:space="preserve">) induced oxidative stress in rats </w:t>
      </w:r>
      <w:r w:rsidRPr="00391C0B">
        <w:t xml:space="preserve"> </w:t>
      </w:r>
      <w:r>
        <w:t>by measuring</w:t>
      </w:r>
      <w:r w:rsidRPr="00391C0B">
        <w:t xml:space="preserve"> oxidative stress markers, nitric oxide</w:t>
      </w:r>
      <w:r>
        <w:t>, liver function test</w:t>
      </w:r>
      <w:r w:rsidRPr="00391C0B">
        <w:t xml:space="preserve"> and cytokines. </w:t>
      </w:r>
    </w:p>
    <w:p w:rsidR="00EE7CF9" w:rsidRPr="00391C0B" w:rsidRDefault="00EE7CF9" w:rsidP="0035582B">
      <w:pPr>
        <w:autoSpaceDE w:val="0"/>
        <w:autoSpaceDN w:val="0"/>
        <w:adjustRightInd w:val="0"/>
        <w:spacing w:line="360" w:lineRule="auto"/>
        <w:jc w:val="both"/>
      </w:pPr>
      <w:r w:rsidRPr="00391C0B">
        <w:t>The obtained data show</w:t>
      </w:r>
      <w:r>
        <w:t>ed</w:t>
      </w:r>
      <w:r w:rsidRPr="00391C0B">
        <w:t xml:space="preserve"> that LPS</w:t>
      </w:r>
      <w:r>
        <w:t xml:space="preserve"> administration</w:t>
      </w:r>
      <w:r w:rsidRPr="00391C0B">
        <w:t xml:space="preserve"> </w:t>
      </w:r>
      <w:r>
        <w:t>significantly</w:t>
      </w:r>
      <w:r w:rsidRPr="00391C0B">
        <w:t xml:space="preserve"> reduced glutathione (GSH), superoxide dismutase (SOD) and catalase (CAT)</w:t>
      </w:r>
      <w:r>
        <w:t xml:space="preserve">, </w:t>
      </w:r>
      <w:r w:rsidRPr="00391C0B">
        <w:rPr>
          <w:lang w:val="en-IN" w:eastAsia="en-IN"/>
        </w:rPr>
        <w:t>total cholesterol</w:t>
      </w:r>
      <w:r>
        <w:rPr>
          <w:lang w:val="en-IN" w:eastAsia="en-IN"/>
        </w:rPr>
        <w:t xml:space="preserve"> (TC)</w:t>
      </w:r>
      <w:r w:rsidRPr="00391C0B">
        <w:rPr>
          <w:lang w:val="en-IN" w:eastAsia="en-IN"/>
        </w:rPr>
        <w:t xml:space="preserve"> and albumin</w:t>
      </w:r>
      <w:r>
        <w:rPr>
          <w:lang w:val="en-IN" w:eastAsia="en-IN"/>
        </w:rPr>
        <w:t xml:space="preserve"> (ALB).</w:t>
      </w:r>
      <w:r w:rsidRPr="00391C0B">
        <w:rPr>
          <w:lang w:val="en-IN" w:eastAsia="en-IN"/>
        </w:rPr>
        <w:t xml:space="preserve"> </w:t>
      </w:r>
      <w:r>
        <w:rPr>
          <w:lang w:val="en-IN" w:eastAsia="en-IN"/>
        </w:rPr>
        <w:t xml:space="preserve">  There was s</w:t>
      </w:r>
      <w:r>
        <w:t>ignificant increase in  malondialdehyde (MDA), cytokines</w:t>
      </w:r>
      <w:r w:rsidRPr="00391C0B">
        <w:t xml:space="preserve"> act</w:t>
      </w:r>
      <w:r>
        <w:t>ivity,</w:t>
      </w:r>
      <w:r w:rsidRPr="00391C0B">
        <w:t xml:space="preserve"> serum </w:t>
      </w:r>
      <w:r w:rsidRPr="00391C0B">
        <w:rPr>
          <w:lang w:val="en-IN" w:eastAsia="en-IN"/>
        </w:rPr>
        <w:t>aspartate transaminase</w:t>
      </w:r>
      <w:r>
        <w:rPr>
          <w:lang w:val="en-IN" w:eastAsia="en-IN"/>
        </w:rPr>
        <w:t>(AST)</w:t>
      </w:r>
      <w:r w:rsidRPr="00391C0B">
        <w:rPr>
          <w:lang w:val="en-IN" w:eastAsia="en-IN"/>
        </w:rPr>
        <w:t>, alanine transaminase</w:t>
      </w:r>
      <w:r>
        <w:rPr>
          <w:lang w:val="en-IN" w:eastAsia="en-IN"/>
        </w:rPr>
        <w:t>(ALT), alkaline phosphate (ALP),</w:t>
      </w:r>
      <w:r w:rsidRPr="00391C0B">
        <w:rPr>
          <w:rFonts w:eastAsia="BPKBL H+ MTSY"/>
        </w:rPr>
        <w:t xml:space="preserve"> </w:t>
      </w:r>
      <w:r w:rsidRPr="00391C0B">
        <w:rPr>
          <w:lang w:val="en-IN" w:eastAsia="en-IN"/>
        </w:rPr>
        <w:t xml:space="preserve">total bilirubin </w:t>
      </w:r>
      <w:r>
        <w:rPr>
          <w:lang w:val="en-IN" w:eastAsia="en-IN"/>
        </w:rPr>
        <w:t>(TB) and nitric oxide(NO)</w:t>
      </w:r>
      <w:r>
        <w:t>.</w:t>
      </w:r>
      <w:r w:rsidRPr="00391C0B">
        <w:t xml:space="preserve"> </w:t>
      </w:r>
      <w:r>
        <w:t xml:space="preserve"> The m</w:t>
      </w:r>
      <w:r w:rsidRPr="00391C0B">
        <w:t xml:space="preserve">ethanolic extract of </w:t>
      </w:r>
      <w:r w:rsidRPr="00391C0B">
        <w:rPr>
          <w:i/>
        </w:rPr>
        <w:t xml:space="preserve">Asparagus   racemosus </w:t>
      </w:r>
      <w:r w:rsidRPr="00391C0B">
        <w:t>(MEAR) administration significantly (P&lt;0.05) reduced LPS-induced oxidative</w:t>
      </w:r>
      <w:r>
        <w:t xml:space="preserve"> stress by </w:t>
      </w:r>
      <w:r w:rsidRPr="00391C0B">
        <w:t xml:space="preserve"> n</w:t>
      </w:r>
      <w:r>
        <w:t>ormalizing liver GSH</w:t>
      </w:r>
      <w:r w:rsidRPr="00391C0B">
        <w:t xml:space="preserve">, </w:t>
      </w:r>
      <w:r>
        <w:t>SOD, CAT, MDA,  NO, cytokines</w:t>
      </w:r>
      <w:r w:rsidRPr="00391C0B">
        <w:rPr>
          <w:lang w:val="en-IN" w:eastAsia="en-IN"/>
        </w:rPr>
        <w:t xml:space="preserve"> </w:t>
      </w:r>
      <w:r>
        <w:t xml:space="preserve">and liver function markers. MEAR significantly increased </w:t>
      </w:r>
      <w:r>
        <w:rPr>
          <w:lang w:val="en-IN" w:eastAsia="en-IN"/>
        </w:rPr>
        <w:t>ALB</w:t>
      </w:r>
      <w:r w:rsidRPr="00391C0B">
        <w:rPr>
          <w:lang w:val="en-IN" w:eastAsia="en-IN"/>
        </w:rPr>
        <w:t xml:space="preserve"> and </w:t>
      </w:r>
      <w:r>
        <w:rPr>
          <w:lang w:val="en-IN" w:eastAsia="en-IN"/>
        </w:rPr>
        <w:t>TC</w:t>
      </w:r>
      <w:r w:rsidRPr="00391C0B">
        <w:rPr>
          <w:lang w:val="en-IN" w:eastAsia="en-IN"/>
        </w:rPr>
        <w:t xml:space="preserve"> level.</w:t>
      </w:r>
      <w:r>
        <w:rPr>
          <w:lang w:val="en-IN" w:eastAsia="en-IN"/>
        </w:rPr>
        <w:t xml:space="preserve"> </w:t>
      </w:r>
      <w:commentRangeStart w:id="4"/>
      <w:r>
        <w:rPr>
          <w:lang w:val="en-IN" w:eastAsia="en-IN"/>
        </w:rPr>
        <w:t>Our</w:t>
      </w:r>
      <w:commentRangeEnd w:id="4"/>
      <w:r w:rsidR="00AC7A7F">
        <w:rPr>
          <w:rStyle w:val="CommentReference"/>
        </w:rPr>
        <w:commentReference w:id="4"/>
      </w:r>
      <w:r>
        <w:rPr>
          <w:lang w:val="en-IN" w:eastAsia="en-IN"/>
        </w:rPr>
        <w:t xml:space="preserve"> results suggest that MEAR protects the liver against liver toxicity induced by LPS.</w:t>
      </w:r>
    </w:p>
    <w:p w:rsidR="00EE7CF9" w:rsidRDefault="00EE7CF9" w:rsidP="0035582B">
      <w:pPr>
        <w:spacing w:line="360" w:lineRule="auto"/>
        <w:jc w:val="both"/>
        <w:rPr>
          <w:rFonts w:eastAsia="Calibri"/>
          <w:bCs/>
        </w:rPr>
      </w:pPr>
      <w:r w:rsidRPr="00391C0B">
        <w:rPr>
          <w:rFonts w:eastAsia="Calibri"/>
          <w:b/>
          <w:bCs/>
        </w:rPr>
        <w:t xml:space="preserve">Key words: </w:t>
      </w:r>
      <w:commentRangeStart w:id="5"/>
      <w:r w:rsidRPr="00391C0B">
        <w:rPr>
          <w:rFonts w:eastAsia="Calibri"/>
          <w:bCs/>
          <w:i/>
        </w:rPr>
        <w:t>Asparagus racemosus</w:t>
      </w:r>
      <w:r w:rsidRPr="00391C0B">
        <w:rPr>
          <w:rFonts w:eastAsia="Calibri"/>
          <w:bCs/>
        </w:rPr>
        <w:t>,</w:t>
      </w:r>
      <w:r w:rsidR="00927873" w:rsidRPr="00927873">
        <w:rPr>
          <w:rFonts w:eastAsia="Calibri"/>
          <w:bCs/>
        </w:rPr>
        <w:t xml:space="preserve"> </w:t>
      </w:r>
      <w:r w:rsidR="00927873" w:rsidRPr="00391C0B">
        <w:rPr>
          <w:rFonts w:eastAsia="Calibri"/>
          <w:bCs/>
        </w:rPr>
        <w:t>Cytokine</w:t>
      </w:r>
      <w:r w:rsidR="00927873">
        <w:rPr>
          <w:rFonts w:eastAsia="Calibri"/>
          <w:bCs/>
        </w:rPr>
        <w:t>,</w:t>
      </w:r>
      <w:r w:rsidRPr="00391C0B">
        <w:rPr>
          <w:rFonts w:eastAsia="Calibri"/>
          <w:bCs/>
        </w:rPr>
        <w:t xml:space="preserve"> Oxidative stress, Hepatoprotective, Lipopolysaccharide, Quercetin</w:t>
      </w:r>
      <w:commentRangeEnd w:id="5"/>
      <w:r w:rsidR="007E7F2E">
        <w:rPr>
          <w:rStyle w:val="CommentReference"/>
        </w:rPr>
        <w:commentReference w:id="5"/>
      </w:r>
      <w:r w:rsidR="00927873">
        <w:rPr>
          <w:rFonts w:eastAsia="Calibri"/>
          <w:bCs/>
        </w:rPr>
        <w:t>.</w:t>
      </w:r>
    </w:p>
    <w:commentRangeEnd w:id="3"/>
    <w:p w:rsidR="00EE7CF9" w:rsidRPr="00391C0B" w:rsidRDefault="001B3001" w:rsidP="0035582B">
      <w:pPr>
        <w:spacing w:line="360" w:lineRule="auto"/>
        <w:jc w:val="both"/>
        <w:rPr>
          <w:rFonts w:eastAsia="Calibri"/>
          <w:bCs/>
        </w:rPr>
      </w:pPr>
      <w:r>
        <w:rPr>
          <w:rStyle w:val="CommentReference"/>
        </w:rPr>
        <w:commentReference w:id="3"/>
      </w:r>
    </w:p>
    <w:p w:rsidR="007E48DD" w:rsidRDefault="007E48DD" w:rsidP="0035582B">
      <w:pPr>
        <w:autoSpaceDE w:val="0"/>
        <w:autoSpaceDN w:val="0"/>
        <w:adjustRightInd w:val="0"/>
        <w:spacing w:line="360" w:lineRule="auto"/>
        <w:jc w:val="both"/>
        <w:rPr>
          <w:rFonts w:eastAsia="Calibri"/>
          <w:b/>
          <w:bCs/>
        </w:rPr>
      </w:pPr>
      <w:r w:rsidRPr="00E37C82">
        <w:rPr>
          <w:rFonts w:eastAsia="Calibri"/>
          <w:b/>
          <w:bCs/>
        </w:rPr>
        <w:t>INTRODUCTION</w:t>
      </w:r>
      <w:r w:rsidR="00EE7CF9" w:rsidRPr="00E37C82">
        <w:rPr>
          <w:rFonts w:eastAsia="Calibri"/>
          <w:b/>
          <w:bCs/>
        </w:rPr>
        <w:t xml:space="preserve"> </w:t>
      </w:r>
    </w:p>
    <w:p w:rsidR="00EE7CF9" w:rsidRPr="00E37C82" w:rsidRDefault="00EE7CF9" w:rsidP="0035582B">
      <w:pPr>
        <w:autoSpaceDE w:val="0"/>
        <w:autoSpaceDN w:val="0"/>
        <w:adjustRightInd w:val="0"/>
        <w:spacing w:line="360" w:lineRule="auto"/>
        <w:jc w:val="both"/>
        <w:rPr>
          <w:rFonts w:eastAsia="Calibri"/>
          <w:vertAlign w:val="superscript"/>
        </w:rPr>
      </w:pPr>
      <w:commentRangeStart w:id="6"/>
      <w:commentRangeStart w:id="7"/>
      <w:r w:rsidRPr="00E37C82">
        <w:rPr>
          <w:rFonts w:eastAsia="Calibri"/>
        </w:rPr>
        <w:t xml:space="preserve">LPS, gram-negative bacterial endotoxin induced hepatic failure has lead to high mortality. The severity of subsequent organ damage might depend on the difference between excess production of </w:t>
      </w:r>
      <w:smartTag w:uri="urn:schemas-microsoft-com:office:smarttags" w:element="stockticker">
        <w:r w:rsidRPr="00E37C82">
          <w:rPr>
            <w:rFonts w:eastAsia="Calibri"/>
          </w:rPr>
          <w:t>ROS</w:t>
        </w:r>
      </w:smartTag>
      <w:r w:rsidRPr="00E37C82">
        <w:rPr>
          <w:rFonts w:eastAsia="Calibri"/>
        </w:rPr>
        <w:t xml:space="preserve"> and antioxidant defenses </w:t>
      </w:r>
      <w:r>
        <w:rPr>
          <w:rFonts w:eastAsia="Calibri"/>
          <w:vertAlign w:val="superscript"/>
        </w:rPr>
        <w:t>1</w:t>
      </w:r>
      <w:r w:rsidRPr="00EE7CF9">
        <w:rPr>
          <w:rFonts w:eastAsia="Calibri"/>
          <w:vertAlign w:val="superscript"/>
        </w:rPr>
        <w:t>-3</w:t>
      </w:r>
      <w:r w:rsidRPr="00E37C82">
        <w:rPr>
          <w:rFonts w:eastAsia="Calibri"/>
        </w:rPr>
        <w:t>.</w:t>
      </w:r>
    </w:p>
    <w:p w:rsidR="00EE7CF9" w:rsidRPr="00E37C82" w:rsidRDefault="00EE7CF9" w:rsidP="0035582B">
      <w:pPr>
        <w:spacing w:line="360" w:lineRule="auto"/>
        <w:jc w:val="both"/>
      </w:pPr>
      <w:r w:rsidRPr="00462980">
        <w:rPr>
          <w:rFonts w:eastAsia="Calibri"/>
        </w:rPr>
        <w:t>L</w:t>
      </w:r>
      <w:r w:rsidRPr="00391C0B">
        <w:t>PS binds to</w:t>
      </w:r>
      <w:r>
        <w:t xml:space="preserve"> liver</w:t>
      </w:r>
      <w:r w:rsidRPr="00391C0B">
        <w:t xml:space="preserve"> pro</w:t>
      </w:r>
      <w:r>
        <w:t xml:space="preserve">teins, producing </w:t>
      </w:r>
      <w:r w:rsidRPr="00391C0B">
        <w:t xml:space="preserve"> </w:t>
      </w:r>
      <w:commentRangeEnd w:id="7"/>
      <w:r w:rsidR="00D92DCA">
        <w:rPr>
          <w:rStyle w:val="CommentReference"/>
        </w:rPr>
        <w:commentReference w:id="7"/>
      </w:r>
      <w:r w:rsidRPr="00391C0B">
        <w:t>oxygen free radicals and proinflammatory cytokines</w:t>
      </w:r>
      <w:r>
        <w:t xml:space="preserve"> </w:t>
      </w:r>
      <w:r w:rsidRPr="00EE7CF9">
        <w:rPr>
          <w:vertAlign w:val="superscript"/>
        </w:rPr>
        <w:t>4</w:t>
      </w:r>
      <w:r w:rsidRPr="00391C0B">
        <w:t xml:space="preserve">. Release of these toxic mediators is the contributing factor to most of LPS toxicity in the liver and </w:t>
      </w:r>
      <w:r w:rsidRPr="00391C0B">
        <w:lastRenderedPageBreak/>
        <w:t>in the systemic circulation</w:t>
      </w:r>
      <w:r>
        <w:t xml:space="preserve"> </w:t>
      </w:r>
      <w:r w:rsidRPr="00EE7CF9">
        <w:rPr>
          <w:vertAlign w:val="superscript"/>
        </w:rPr>
        <w:t>5-6</w:t>
      </w:r>
      <w:r w:rsidRPr="008E6C2D">
        <w:t>.</w:t>
      </w:r>
      <w:r w:rsidRPr="00391C0B">
        <w:t xml:space="preserve"> LPS</w:t>
      </w:r>
      <w:r>
        <w:t xml:space="preserve"> after</w:t>
      </w:r>
      <w:r w:rsidRPr="00391C0B">
        <w:t xml:space="preserve"> b</w:t>
      </w:r>
      <w:r>
        <w:t>inding to immune cells initiate</w:t>
      </w:r>
      <w:r w:rsidRPr="00391C0B">
        <w:t xml:space="preserve"> a cascade of events that up-regulate expression of the inflammatory cytokines including TNF-α,</w:t>
      </w:r>
      <w:r w:rsidRPr="00391C0B">
        <w:rPr>
          <w:lang w:val="en-IN" w:eastAsia="en-IN"/>
        </w:rPr>
        <w:t xml:space="preserve"> IL-6 </w:t>
      </w:r>
      <w:r w:rsidRPr="00391C0B">
        <w:t xml:space="preserve">and </w:t>
      </w:r>
      <w:r w:rsidRPr="00391C0B">
        <w:rPr>
          <w:lang w:val="en-IN" w:eastAsia="en-IN"/>
        </w:rPr>
        <w:t xml:space="preserve">IL-1β. </w:t>
      </w:r>
      <w:r w:rsidRPr="00391C0B">
        <w:t xml:space="preserve"> TNF- α and other cytokines </w:t>
      </w:r>
      <w:r>
        <w:t>stimulate</w:t>
      </w:r>
      <w:r w:rsidRPr="00391C0B">
        <w:t xml:space="preserve"> the production of reactive oxygen species (</w:t>
      </w:r>
      <w:smartTag w:uri="urn:schemas-microsoft-com:office:smarttags" w:element="stockticker">
        <w:r w:rsidRPr="00391C0B">
          <w:t>ROS</w:t>
        </w:r>
      </w:smartTag>
      <w:r w:rsidRPr="00391C0B">
        <w:t>) and reactive nitrogen intermediates (RNIs) by activated macrophages causing liver</w:t>
      </w:r>
      <w:r>
        <w:t xml:space="preserve"> damage </w:t>
      </w:r>
      <w:r w:rsidRPr="00EE7CF9">
        <w:rPr>
          <w:vertAlign w:val="superscript"/>
        </w:rPr>
        <w:t>7</w:t>
      </w:r>
      <w:r w:rsidRPr="00391C0B">
        <w:t>.</w:t>
      </w:r>
      <w:r>
        <w:t xml:space="preserve"> T</w:t>
      </w:r>
      <w:r w:rsidRPr="00391C0B">
        <w:t xml:space="preserve">he oxidative </w:t>
      </w:r>
      <w:r>
        <w:t>stress generated induces</w:t>
      </w:r>
      <w:r w:rsidRPr="00391C0B">
        <w:t xml:space="preserve"> a rapid alteration in the antioxidant systems by depleting the cellular stores of endogenous a</w:t>
      </w:r>
      <w:r>
        <w:t>ntioxidants such as GSH, SOD</w:t>
      </w:r>
      <w:r w:rsidRPr="00C109D1">
        <w:t xml:space="preserve"> </w:t>
      </w:r>
      <w:r>
        <w:t xml:space="preserve">and CAT </w:t>
      </w:r>
      <w:r w:rsidRPr="00EE7CF9">
        <w:rPr>
          <w:vertAlign w:val="superscript"/>
        </w:rPr>
        <w:t>8</w:t>
      </w:r>
      <w:r w:rsidRPr="00391C0B">
        <w:t>.</w:t>
      </w:r>
      <w:r>
        <w:t xml:space="preserve"> </w:t>
      </w:r>
      <w:r w:rsidRPr="00391C0B">
        <w:rPr>
          <w:rFonts w:eastAsia="Calibri"/>
        </w:rPr>
        <w:t xml:space="preserve">The liver </w:t>
      </w:r>
      <w:r>
        <w:rPr>
          <w:rFonts w:eastAsia="Calibri"/>
        </w:rPr>
        <w:t xml:space="preserve">plays </w:t>
      </w:r>
      <w:r w:rsidRPr="00391C0B">
        <w:rPr>
          <w:rFonts w:eastAsia="Calibri"/>
        </w:rPr>
        <w:t>very</w:t>
      </w:r>
      <w:r>
        <w:rPr>
          <w:rFonts w:eastAsia="Calibri"/>
        </w:rPr>
        <w:t xml:space="preserve"> important role </w:t>
      </w:r>
      <w:r w:rsidRPr="00391C0B">
        <w:rPr>
          <w:rFonts w:eastAsia="Calibri"/>
        </w:rPr>
        <w:t xml:space="preserve">in the defense </w:t>
      </w:r>
      <w:r>
        <w:rPr>
          <w:rFonts w:eastAsia="Calibri"/>
        </w:rPr>
        <w:t xml:space="preserve">against LPS induced </w:t>
      </w:r>
      <w:r w:rsidRPr="00391C0B">
        <w:rPr>
          <w:rFonts w:eastAsia="Calibri"/>
        </w:rPr>
        <w:t>toxicity</w:t>
      </w:r>
      <w:commentRangeEnd w:id="6"/>
      <w:r w:rsidR="00AC7A7F">
        <w:rPr>
          <w:rStyle w:val="CommentReference"/>
        </w:rPr>
        <w:commentReference w:id="6"/>
      </w:r>
      <w:r>
        <w:rPr>
          <w:rFonts w:eastAsia="Calibri"/>
        </w:rPr>
        <w:t>.</w:t>
      </w:r>
    </w:p>
    <w:p w:rsidR="00EE7CF9" w:rsidRPr="00391C0B" w:rsidRDefault="00EE7CF9" w:rsidP="0035582B">
      <w:pPr>
        <w:autoSpaceDE w:val="0"/>
        <w:autoSpaceDN w:val="0"/>
        <w:adjustRightInd w:val="0"/>
        <w:spacing w:line="360" w:lineRule="auto"/>
        <w:jc w:val="both"/>
        <w:rPr>
          <w:rFonts w:eastAsia="Calibri"/>
          <w:vertAlign w:val="superscript"/>
        </w:rPr>
      </w:pPr>
      <w:commentRangeStart w:id="8"/>
      <w:r w:rsidRPr="00391C0B">
        <w:rPr>
          <w:rFonts w:eastAsia="Calibri"/>
        </w:rPr>
        <w:t xml:space="preserve">The aim of the present study was to assess the   liver damage in LPS administered rats and the </w:t>
      </w:r>
      <w:r>
        <w:rPr>
          <w:rFonts w:eastAsia="Calibri"/>
        </w:rPr>
        <w:t xml:space="preserve"> hepatoprotective </w:t>
      </w:r>
      <w:r w:rsidRPr="00391C0B">
        <w:rPr>
          <w:rFonts w:eastAsia="Calibri"/>
        </w:rPr>
        <w:t xml:space="preserve">effect of root of </w:t>
      </w:r>
      <w:r w:rsidRPr="00391C0B">
        <w:rPr>
          <w:rFonts w:eastAsia="Calibri"/>
          <w:i/>
        </w:rPr>
        <w:t>Asparagus racemosus</w:t>
      </w:r>
      <w:r w:rsidRPr="00391C0B">
        <w:rPr>
          <w:rFonts w:eastAsia="Calibri"/>
        </w:rPr>
        <w:t>.</w:t>
      </w:r>
      <w:commentRangeEnd w:id="8"/>
      <w:r w:rsidR="00222AC6">
        <w:rPr>
          <w:rStyle w:val="CommentReference"/>
        </w:rPr>
        <w:commentReference w:id="8"/>
      </w:r>
    </w:p>
    <w:p w:rsidR="00EE7CF9" w:rsidRPr="00391C0B" w:rsidRDefault="00EE7CF9" w:rsidP="0035582B">
      <w:pPr>
        <w:autoSpaceDE w:val="0"/>
        <w:autoSpaceDN w:val="0"/>
        <w:adjustRightInd w:val="0"/>
        <w:spacing w:line="360" w:lineRule="auto"/>
        <w:jc w:val="both"/>
        <w:rPr>
          <w:rFonts w:eastAsia="Calibri"/>
          <w:vertAlign w:val="superscript"/>
        </w:rPr>
      </w:pPr>
    </w:p>
    <w:p w:rsidR="00EE7CF9" w:rsidRPr="00391C0B" w:rsidRDefault="007E48DD" w:rsidP="0035582B">
      <w:pPr>
        <w:spacing w:line="360" w:lineRule="auto"/>
        <w:jc w:val="both"/>
      </w:pPr>
      <w:r w:rsidRPr="00391C0B">
        <w:rPr>
          <w:b/>
          <w:bCs/>
        </w:rPr>
        <w:t>MATERIALS AND METHODS</w:t>
      </w:r>
      <w:r w:rsidRPr="00391C0B">
        <w:t xml:space="preserve"> </w:t>
      </w:r>
    </w:p>
    <w:p w:rsidR="00EE7CF9" w:rsidRPr="00913C95" w:rsidRDefault="00EE7CF9" w:rsidP="0035582B">
      <w:pPr>
        <w:autoSpaceDE w:val="0"/>
        <w:autoSpaceDN w:val="0"/>
        <w:adjustRightInd w:val="0"/>
        <w:spacing w:line="360" w:lineRule="auto"/>
        <w:jc w:val="both"/>
        <w:rPr>
          <w:rFonts w:eastAsia="Calibri"/>
          <w:b/>
        </w:rPr>
      </w:pPr>
      <w:r w:rsidRPr="00913C95">
        <w:rPr>
          <w:rFonts w:eastAsia="Calibri"/>
          <w:b/>
          <w:bCs/>
        </w:rPr>
        <w:t xml:space="preserve"> </w:t>
      </w:r>
      <w:commentRangeStart w:id="9"/>
      <w:r w:rsidRPr="00913C95">
        <w:rPr>
          <w:rFonts w:eastAsia="Calibri"/>
          <w:b/>
        </w:rPr>
        <w:t>Plant material and extract MEAR preparation</w:t>
      </w:r>
    </w:p>
    <w:p w:rsidR="00EE7CF9" w:rsidRPr="00391C0B" w:rsidRDefault="00EE7CF9" w:rsidP="0035582B">
      <w:pPr>
        <w:autoSpaceDE w:val="0"/>
        <w:autoSpaceDN w:val="0"/>
        <w:adjustRightInd w:val="0"/>
        <w:spacing w:line="360" w:lineRule="auto"/>
        <w:jc w:val="both"/>
        <w:rPr>
          <w:rFonts w:eastAsia="Calibri"/>
        </w:rPr>
      </w:pPr>
      <w:r w:rsidRPr="00391C0B">
        <w:rPr>
          <w:rFonts w:eastAsia="Calibri"/>
        </w:rPr>
        <w:t xml:space="preserve">Root of </w:t>
      </w:r>
      <w:r w:rsidRPr="00391C0B">
        <w:rPr>
          <w:rFonts w:eastAsia="Calibri"/>
          <w:i/>
        </w:rPr>
        <w:t xml:space="preserve">Asparagus racemosus </w:t>
      </w:r>
      <w:r w:rsidRPr="00391C0B">
        <w:rPr>
          <w:rFonts w:eastAsia="Calibri"/>
        </w:rPr>
        <w:t xml:space="preserve">Willd. </w:t>
      </w:r>
      <w:r w:rsidRPr="00391C0B">
        <w:rPr>
          <w:rFonts w:eastAsia="Calibri"/>
          <w:i/>
          <w:iCs/>
        </w:rPr>
        <w:t xml:space="preserve"> </w:t>
      </w:r>
      <w:r w:rsidRPr="00391C0B">
        <w:rPr>
          <w:rFonts w:eastAsia="Calibri"/>
        </w:rPr>
        <w:t xml:space="preserve">was collected from Hamdard dawakhana, Lucknow in </w:t>
      </w:r>
    </w:p>
    <w:p w:rsidR="00EE7CF9" w:rsidRPr="00391C0B" w:rsidRDefault="00EE7CF9" w:rsidP="0035582B">
      <w:pPr>
        <w:autoSpaceDE w:val="0"/>
        <w:autoSpaceDN w:val="0"/>
        <w:adjustRightInd w:val="0"/>
        <w:spacing w:line="360" w:lineRule="auto"/>
        <w:jc w:val="both"/>
      </w:pPr>
      <w:r w:rsidRPr="00391C0B">
        <w:rPr>
          <w:rFonts w:eastAsia="Calibri"/>
        </w:rPr>
        <w:t xml:space="preserve">2011. The plant material was identified and authenticated by a taxonomist of National Botanical Research Institute (NBRI) Lucknow and the voucher specimen number </w:t>
      </w:r>
      <w:r w:rsidRPr="00391C0B">
        <w:t>NBRI-SOP-202</w:t>
      </w:r>
      <w:r w:rsidRPr="00391C0B">
        <w:rPr>
          <w:rFonts w:eastAsia="Calibri"/>
        </w:rPr>
        <w:t xml:space="preserve"> was deposited in the departmental herbarium. </w:t>
      </w:r>
      <w:r w:rsidRPr="00391C0B">
        <w:t xml:space="preserve">The plant </w:t>
      </w:r>
      <w:r w:rsidRPr="00391C0B">
        <w:rPr>
          <w:i/>
        </w:rPr>
        <w:t>Asparagus racemosus was</w:t>
      </w:r>
      <w:r w:rsidRPr="00391C0B">
        <w:t xml:space="preserve"> air-dried and pulverized. </w:t>
      </w:r>
      <w:r>
        <w:t xml:space="preserve"> The powdered material (</w:t>
      </w:r>
      <w:r w:rsidRPr="00391C0B">
        <w:t>500 g</w:t>
      </w:r>
      <w:r>
        <w:t>m)</w:t>
      </w:r>
      <w:r w:rsidRPr="00391C0B">
        <w:t xml:space="preserve"> </w:t>
      </w:r>
      <w:r>
        <w:t>was</w:t>
      </w:r>
      <w:r w:rsidRPr="00391C0B">
        <w:t xml:space="preserve"> packed in muslin cloth and subjected to soxhlet extractor</w:t>
      </w:r>
      <w:r>
        <w:t xml:space="preserve"> with </w:t>
      </w:r>
      <w:r w:rsidRPr="0011275F">
        <w:t>methanol</w:t>
      </w:r>
      <w:r w:rsidRPr="00391C0B">
        <w:t xml:space="preserve"> for</w:t>
      </w:r>
      <w:r>
        <w:t xml:space="preserve"> </w:t>
      </w:r>
      <w:r w:rsidRPr="00391C0B">
        <w:t>continuous</w:t>
      </w:r>
      <w:r>
        <w:t xml:space="preserve"> hot extraction for </w:t>
      </w:r>
      <w:r w:rsidRPr="00391C0B">
        <w:t xml:space="preserve">72 hrs separately. There after methanolic extract of plant </w:t>
      </w:r>
      <w:r>
        <w:t xml:space="preserve">was </w:t>
      </w:r>
      <w:r w:rsidRPr="00391C0B">
        <w:t xml:space="preserve">filtered through Whatman paper no. 42 and the resultant filtrates </w:t>
      </w:r>
      <w:r>
        <w:t>was</w:t>
      </w:r>
      <w:r w:rsidRPr="00391C0B">
        <w:t xml:space="preserve"> concentrated under reduced pressure and finally vacuum dried</w:t>
      </w:r>
      <w:r w:rsidR="003A3271" w:rsidRPr="003A3271">
        <w:rPr>
          <w:vertAlign w:val="superscript"/>
        </w:rPr>
        <w:t>9</w:t>
      </w:r>
      <w:r w:rsidRPr="00391C0B">
        <w:t>. The yield of the methanolic extract was 10.4%.</w:t>
      </w:r>
    </w:p>
    <w:commentRangeEnd w:id="9"/>
    <w:p w:rsidR="00EE7CF9" w:rsidRPr="00913C95" w:rsidRDefault="00AC7A7F" w:rsidP="0035582B">
      <w:pPr>
        <w:spacing w:line="360" w:lineRule="auto"/>
        <w:jc w:val="both"/>
        <w:rPr>
          <w:b/>
        </w:rPr>
      </w:pPr>
      <w:r>
        <w:rPr>
          <w:rStyle w:val="CommentReference"/>
        </w:rPr>
        <w:commentReference w:id="9"/>
      </w:r>
      <w:r w:rsidR="00EE7CF9" w:rsidRPr="00913C95">
        <w:rPr>
          <w:b/>
        </w:rPr>
        <w:t xml:space="preserve"> Animals</w:t>
      </w:r>
    </w:p>
    <w:p w:rsidR="00EE7CF9" w:rsidRPr="0035582B" w:rsidRDefault="00EE7CF9" w:rsidP="0035582B">
      <w:pPr>
        <w:pStyle w:val="NormalWeb"/>
        <w:spacing w:before="77" w:beforeAutospacing="0" w:after="0" w:afterAutospacing="0" w:line="360" w:lineRule="auto"/>
        <w:jc w:val="both"/>
        <w:textAlignment w:val="baseline"/>
      </w:pPr>
      <w:commentRangeStart w:id="10"/>
      <w:r w:rsidRPr="00391C0B">
        <w:t xml:space="preserve">Adult male Sprague Dawley (SD) rats weighing 150–180 g were used in this study. They were kept in polyacrylic cages in group of 7 and maintained under standard housing condition (room temperature 25±1 °C and humidity </w:t>
      </w:r>
      <w:r>
        <w:t>(</w:t>
      </w:r>
      <w:r w:rsidRPr="00391C0B">
        <w:t>60–65%) with 12 h light and dark cycle. The f</w:t>
      </w:r>
      <w:r>
        <w:t>ood and water were available ad</w:t>
      </w:r>
      <w:r w:rsidRPr="00391C0B">
        <w:t xml:space="preserve">libitum. The animals were procured from the Division of Laboratory Animal, Central Drug Research Institute, Lucknow, India. Experiments were performed as per internationally ethical standards, after obtaining clearance from animal ethics committee of the Integral University under Committee for the Purpose of Control and Supervision of Experiments on Animals, </w:t>
      </w:r>
      <w:r w:rsidRPr="00391C0B">
        <w:rPr>
          <w:rFonts w:eastAsia="+mn-ea"/>
          <w:kern w:val="24"/>
        </w:rPr>
        <w:t>CPCSEA No-IU/Pharm/Ph.D/CPCSEA/12/03</w:t>
      </w:r>
      <w:r w:rsidRPr="00391C0B">
        <w:t xml:space="preserve">. Each group (control as well as treated) consists of 6 </w:t>
      </w:r>
      <w:commentRangeEnd w:id="10"/>
      <w:r w:rsidR="00AC7A7F">
        <w:rPr>
          <w:rStyle w:val="CommentReference"/>
        </w:rPr>
        <w:commentReference w:id="10"/>
      </w:r>
      <w:r w:rsidRPr="00391C0B">
        <w:t>rats.</w:t>
      </w:r>
    </w:p>
    <w:p w:rsidR="00EE7CF9" w:rsidRPr="007259DC" w:rsidRDefault="00EE7CF9" w:rsidP="0035582B">
      <w:pPr>
        <w:autoSpaceDE w:val="0"/>
        <w:autoSpaceDN w:val="0"/>
        <w:adjustRightInd w:val="0"/>
        <w:spacing w:line="360" w:lineRule="auto"/>
        <w:jc w:val="both"/>
        <w:rPr>
          <w:rFonts w:eastAsia="Calibri"/>
          <w:b/>
          <w:iCs/>
        </w:rPr>
      </w:pPr>
      <w:r w:rsidRPr="00913C95">
        <w:rPr>
          <w:rFonts w:eastAsia="Calibri"/>
          <w:b/>
          <w:iCs/>
        </w:rPr>
        <w:t xml:space="preserve"> Drugs and Chemicals</w:t>
      </w:r>
    </w:p>
    <w:p w:rsidR="00EE7CF9" w:rsidRDefault="00EE7CF9" w:rsidP="0035582B">
      <w:pPr>
        <w:autoSpaceDE w:val="0"/>
        <w:autoSpaceDN w:val="0"/>
        <w:adjustRightInd w:val="0"/>
        <w:spacing w:line="360" w:lineRule="auto"/>
        <w:jc w:val="both"/>
        <w:rPr>
          <w:rFonts w:eastAsia="Calibri"/>
        </w:rPr>
      </w:pPr>
      <w:r w:rsidRPr="00391C0B">
        <w:rPr>
          <w:rFonts w:eastAsia="Calibri"/>
        </w:rPr>
        <w:t>Thiobarbituric acid (TB</w:t>
      </w:r>
      <w:r>
        <w:rPr>
          <w:rFonts w:eastAsia="Calibri"/>
        </w:rPr>
        <w:t>A),</w:t>
      </w:r>
      <w:r w:rsidRPr="00391C0B">
        <w:rPr>
          <w:rFonts w:eastAsia="Calibri"/>
        </w:rPr>
        <w:t xml:space="preserve"> 2,6,-di-ter</w:t>
      </w:r>
      <w:r>
        <w:rPr>
          <w:rFonts w:eastAsia="Calibri"/>
        </w:rPr>
        <w:t>t-butyl-4-hydroxy-toluene (BHT), trichloroacetic acid (TCA),</w:t>
      </w:r>
      <w:r w:rsidRPr="00391C0B">
        <w:rPr>
          <w:rFonts w:eastAsia="Calibri"/>
        </w:rPr>
        <w:t xml:space="preserve"> Hydrogen peroxide (H</w:t>
      </w:r>
      <w:r w:rsidRPr="00391C0B">
        <w:rPr>
          <w:rFonts w:eastAsia="Calibri"/>
          <w:vertAlign w:val="subscript"/>
        </w:rPr>
        <w:t>2</w:t>
      </w:r>
      <w:r w:rsidRPr="00391C0B">
        <w:rPr>
          <w:rFonts w:eastAsia="Calibri"/>
        </w:rPr>
        <w:t>O</w:t>
      </w:r>
      <w:r w:rsidRPr="00391C0B">
        <w:rPr>
          <w:rFonts w:eastAsia="Calibri"/>
          <w:vertAlign w:val="subscript"/>
        </w:rPr>
        <w:t>2</w:t>
      </w:r>
      <w:r>
        <w:rPr>
          <w:rFonts w:eastAsia="Calibri"/>
        </w:rPr>
        <w:t xml:space="preserve">), EDTA, Tris buffer, </w:t>
      </w:r>
      <w:r w:rsidRPr="00391C0B">
        <w:t xml:space="preserve"> Pota</w:t>
      </w:r>
      <w:r>
        <w:t>ssium dihydrogenortho phosphate,</w:t>
      </w:r>
      <w:r w:rsidRPr="00391C0B">
        <w:t xml:space="preserve"> Disodium hydrogen ortho phosphate </w:t>
      </w:r>
      <w:r>
        <w:rPr>
          <w:rFonts w:eastAsia="Calibri"/>
        </w:rPr>
        <w:t>were obtained from CDH, Mumbai.</w:t>
      </w:r>
    </w:p>
    <w:p w:rsidR="00EE7CF9" w:rsidRDefault="00EE7CF9" w:rsidP="0035582B">
      <w:pPr>
        <w:autoSpaceDE w:val="0"/>
        <w:autoSpaceDN w:val="0"/>
        <w:adjustRightInd w:val="0"/>
        <w:spacing w:line="360" w:lineRule="auto"/>
        <w:jc w:val="both"/>
      </w:pPr>
      <w:r w:rsidRPr="00391C0B">
        <w:rPr>
          <w:lang w:val="sv-SE"/>
        </w:rPr>
        <w:lastRenderedPageBreak/>
        <w:t xml:space="preserve"> NADPH;</w:t>
      </w:r>
      <w:r>
        <w:t xml:space="preserve"> DTNB</w:t>
      </w:r>
      <w:r>
        <w:rPr>
          <w:rFonts w:eastAsia="Calibri"/>
        </w:rPr>
        <w:t xml:space="preserve">:- </w:t>
      </w:r>
      <w:r w:rsidRPr="00391C0B">
        <w:t>Hi</w:t>
      </w:r>
      <w:r>
        <w:t xml:space="preserve"> Media, Mumbai. </w:t>
      </w:r>
    </w:p>
    <w:p w:rsidR="00EE7CF9" w:rsidRDefault="00EE7CF9" w:rsidP="0035582B">
      <w:pPr>
        <w:autoSpaceDE w:val="0"/>
        <w:autoSpaceDN w:val="0"/>
        <w:adjustRightInd w:val="0"/>
        <w:spacing w:line="360" w:lineRule="auto"/>
        <w:jc w:val="both"/>
      </w:pPr>
      <w:r>
        <w:t>Cytokine ELISA kits:-</w:t>
      </w:r>
      <w:r w:rsidRPr="00391C0B">
        <w:t>eBio</w:t>
      </w:r>
      <w:r>
        <w:t>science and Cayman Chemical USA</w:t>
      </w:r>
    </w:p>
    <w:p w:rsidR="00EE7CF9" w:rsidRDefault="00EE7CF9" w:rsidP="0035582B">
      <w:pPr>
        <w:autoSpaceDE w:val="0"/>
        <w:autoSpaceDN w:val="0"/>
        <w:adjustRightInd w:val="0"/>
        <w:spacing w:line="360" w:lineRule="auto"/>
        <w:jc w:val="both"/>
        <w:rPr>
          <w:bCs/>
        </w:rPr>
      </w:pPr>
      <w:r w:rsidRPr="00391C0B">
        <w:t xml:space="preserve"> </w:t>
      </w:r>
      <w:r w:rsidRPr="00391C0B">
        <w:rPr>
          <w:bCs/>
        </w:rPr>
        <w:t xml:space="preserve">Lipopolysaccharide Serotype E. coli 0111:B4 </w:t>
      </w:r>
      <w:r>
        <w:rPr>
          <w:bCs/>
        </w:rPr>
        <w:t>:-</w:t>
      </w:r>
      <w:r w:rsidRPr="00391C0B">
        <w:rPr>
          <w:bCs/>
        </w:rPr>
        <w:t xml:space="preserve"> Sigma Chemicals, USA</w:t>
      </w:r>
    </w:p>
    <w:p w:rsidR="00EE7CF9" w:rsidRPr="00391C0B" w:rsidRDefault="00EE7CF9" w:rsidP="0035582B">
      <w:pPr>
        <w:autoSpaceDE w:val="0"/>
        <w:autoSpaceDN w:val="0"/>
        <w:adjustRightInd w:val="0"/>
        <w:spacing w:line="360" w:lineRule="auto"/>
        <w:jc w:val="both"/>
        <w:rPr>
          <w:bCs/>
        </w:rPr>
      </w:pPr>
      <w:r w:rsidRPr="00391C0B">
        <w:rPr>
          <w:bCs/>
        </w:rPr>
        <w:t>Q</w:t>
      </w:r>
      <w:r>
        <w:rPr>
          <w:bCs/>
        </w:rPr>
        <w:t>uercetin:-</w:t>
      </w:r>
      <w:r w:rsidRPr="00391C0B">
        <w:rPr>
          <w:bCs/>
        </w:rPr>
        <w:t xml:space="preserve"> Total herb solution Mumbai</w:t>
      </w:r>
    </w:p>
    <w:p w:rsidR="00EE7CF9" w:rsidRPr="00913C95" w:rsidRDefault="00EE7CF9" w:rsidP="0035582B">
      <w:pPr>
        <w:autoSpaceDE w:val="0"/>
        <w:autoSpaceDN w:val="0"/>
        <w:adjustRightInd w:val="0"/>
        <w:spacing w:line="360" w:lineRule="auto"/>
        <w:jc w:val="both"/>
        <w:rPr>
          <w:b/>
          <w:bCs/>
        </w:rPr>
      </w:pPr>
    </w:p>
    <w:p w:rsidR="00EE7CF9" w:rsidRPr="00913C95" w:rsidRDefault="00EE7CF9" w:rsidP="0035582B">
      <w:pPr>
        <w:autoSpaceDE w:val="0"/>
        <w:autoSpaceDN w:val="0"/>
        <w:adjustRightInd w:val="0"/>
        <w:spacing w:line="360" w:lineRule="auto"/>
        <w:jc w:val="both"/>
        <w:rPr>
          <w:rFonts w:eastAsia="Calibri"/>
          <w:b/>
          <w:bCs/>
        </w:rPr>
      </w:pPr>
      <w:r w:rsidRPr="00913C95">
        <w:rPr>
          <w:rFonts w:eastAsia="Calibri"/>
          <w:b/>
          <w:bCs/>
        </w:rPr>
        <w:t xml:space="preserve"> Toxicity studies</w:t>
      </w:r>
    </w:p>
    <w:p w:rsidR="00EE7CF9" w:rsidRPr="00956CCB" w:rsidRDefault="00EE7CF9" w:rsidP="0035582B">
      <w:pPr>
        <w:autoSpaceDE w:val="0"/>
        <w:autoSpaceDN w:val="0"/>
        <w:adjustRightInd w:val="0"/>
        <w:spacing w:line="360" w:lineRule="auto"/>
        <w:jc w:val="both"/>
        <w:rPr>
          <w:rFonts w:eastAsia="Calibri"/>
        </w:rPr>
      </w:pPr>
      <w:commentRangeStart w:id="11"/>
      <w:r w:rsidRPr="00391C0B">
        <w:rPr>
          <w:rFonts w:eastAsia="Calibri"/>
        </w:rPr>
        <w:t xml:space="preserve">An acute </w:t>
      </w:r>
      <w:commentRangeStart w:id="12"/>
      <w:r w:rsidRPr="00391C0B">
        <w:rPr>
          <w:rFonts w:eastAsia="Calibri"/>
        </w:rPr>
        <w:t xml:space="preserve">toxicity study was performed for </w:t>
      </w:r>
      <w:r w:rsidRPr="00391C0B">
        <w:rPr>
          <w:rFonts w:eastAsia="Calibri"/>
          <w:i/>
        </w:rPr>
        <w:t>Asparagus racemosus</w:t>
      </w:r>
      <w:r w:rsidRPr="00391C0B">
        <w:rPr>
          <w:rFonts w:eastAsia="Calibri"/>
        </w:rPr>
        <w:t xml:space="preserve"> according to the Organisation for Economic Co-operation and Development guidelines</w:t>
      </w:r>
      <w:r>
        <w:rPr>
          <w:rFonts w:eastAsia="Calibri"/>
        </w:rPr>
        <w:t xml:space="preserve"> </w:t>
      </w:r>
      <w:r w:rsidRPr="00391C0B">
        <w:rPr>
          <w:rFonts w:eastAsia="Calibri"/>
        </w:rPr>
        <w:t>by</w:t>
      </w:r>
      <w:r>
        <w:rPr>
          <w:rFonts w:eastAsia="Calibri"/>
        </w:rPr>
        <w:t xml:space="preserve"> </w:t>
      </w:r>
      <w:r w:rsidRPr="00391C0B">
        <w:rPr>
          <w:rFonts w:eastAsia="Calibri"/>
        </w:rPr>
        <w:t>acute toxic classic method</w:t>
      </w:r>
      <w:r w:rsidR="00234BA2">
        <w:rPr>
          <w:rFonts w:eastAsia="Calibri"/>
        </w:rPr>
        <w:t xml:space="preserve"> </w:t>
      </w:r>
      <w:r w:rsidR="003A3271">
        <w:rPr>
          <w:rFonts w:eastAsia="Calibri"/>
          <w:vertAlign w:val="superscript"/>
        </w:rPr>
        <w:t>10</w:t>
      </w:r>
      <w:r w:rsidRPr="00391C0B">
        <w:rPr>
          <w:rFonts w:eastAsia="Calibri"/>
        </w:rPr>
        <w:t xml:space="preserve">. Three female Sprague Dawley rats were used for each step in this study. The animals were fasted for overnight with only water available, after which the extracts were administered intragastrically at different doses of 50 and 300 mg/kg. Food and water was withheld for a further 1-2 h after drug administration. Rats were closely observed for the initial 4 h after administration, and then once daily for 14 days to observe mortality. If mortality occurred in two of the three animals at any dose, then this </w:t>
      </w:r>
      <w:commentRangeEnd w:id="12"/>
      <w:r w:rsidR="00D92DCA">
        <w:rPr>
          <w:rStyle w:val="CommentReference"/>
        </w:rPr>
        <w:commentReference w:id="12"/>
      </w:r>
      <w:r w:rsidRPr="00391C0B">
        <w:rPr>
          <w:rFonts w:eastAsia="Calibri"/>
        </w:rPr>
        <w:t>dose was assigned as a toxic dose. If mo</w:t>
      </w:r>
      <w:r>
        <w:rPr>
          <w:rFonts w:eastAsia="Calibri"/>
        </w:rPr>
        <w:t>rtality occurred in one animal then the</w:t>
      </w:r>
      <w:r w:rsidRPr="00391C0B">
        <w:rPr>
          <w:rFonts w:eastAsia="Calibri"/>
        </w:rPr>
        <w:t xml:space="preserve"> same dose was repeated to confirm the toxic dose. If mortality did not occur, the procedure was repeated for further higher doses, i.e. 2000 mg/kg</w:t>
      </w:r>
      <w:commentRangeEnd w:id="11"/>
      <w:r w:rsidR="00AC7A7F">
        <w:rPr>
          <w:rStyle w:val="CommentReference"/>
        </w:rPr>
        <w:commentReference w:id="11"/>
      </w:r>
      <w:r w:rsidRPr="00391C0B">
        <w:rPr>
          <w:rFonts w:eastAsia="Calibri"/>
        </w:rPr>
        <w:t>.</w:t>
      </w:r>
    </w:p>
    <w:p w:rsidR="00EE7CF9" w:rsidRPr="00040DE9" w:rsidRDefault="00EE7CF9" w:rsidP="0035582B">
      <w:pPr>
        <w:spacing w:line="360" w:lineRule="auto"/>
        <w:jc w:val="both"/>
        <w:rPr>
          <w:rFonts w:eastAsia="Calibri"/>
          <w:b/>
          <w:iCs/>
        </w:rPr>
      </w:pPr>
      <w:r>
        <w:rPr>
          <w:rFonts w:eastAsia="Calibri"/>
          <w:b/>
          <w:iCs/>
        </w:rPr>
        <w:t>Treatments</w:t>
      </w:r>
    </w:p>
    <w:p w:rsidR="00EE7CF9" w:rsidRDefault="00EE7CF9" w:rsidP="0035582B">
      <w:pPr>
        <w:autoSpaceDE w:val="0"/>
        <w:autoSpaceDN w:val="0"/>
        <w:adjustRightInd w:val="0"/>
        <w:spacing w:line="360" w:lineRule="auto"/>
        <w:jc w:val="both"/>
        <w:rPr>
          <w:rFonts w:eastAsia="Calibri"/>
        </w:rPr>
      </w:pPr>
      <w:commentRangeStart w:id="13"/>
      <w:r w:rsidRPr="00391C0B">
        <w:rPr>
          <w:rFonts w:eastAsia="Calibri"/>
        </w:rPr>
        <w:t>Animals were randomly divided into seven</w:t>
      </w:r>
      <w:r>
        <w:rPr>
          <w:rFonts w:eastAsia="Calibri"/>
        </w:rPr>
        <w:t xml:space="preserve"> groups as follows:-</w:t>
      </w:r>
    </w:p>
    <w:p w:rsidR="00EE7CF9" w:rsidRDefault="00EE7CF9" w:rsidP="0035582B">
      <w:pPr>
        <w:autoSpaceDE w:val="0"/>
        <w:autoSpaceDN w:val="0"/>
        <w:adjustRightInd w:val="0"/>
        <w:spacing w:line="360" w:lineRule="auto"/>
        <w:jc w:val="both"/>
        <w:rPr>
          <w:rFonts w:eastAsia="SimSun"/>
          <w:lang w:bidi="sa-IN"/>
        </w:rPr>
      </w:pPr>
      <w:r w:rsidRPr="00391C0B">
        <w:rPr>
          <w:rFonts w:eastAsia="Calibri"/>
        </w:rPr>
        <w:t>Group I (</w:t>
      </w:r>
      <w:commentRangeStart w:id="14"/>
      <w:r w:rsidRPr="00391C0B">
        <w:rPr>
          <w:rFonts w:eastAsia="Calibri"/>
        </w:rPr>
        <w:t>control group) 1% Carboxy methyl cellulose (</w:t>
      </w:r>
      <w:r w:rsidRPr="00391C0B">
        <w:rPr>
          <w:rFonts w:eastAsia="SimSun"/>
          <w:lang w:bidi="sa-IN"/>
        </w:rPr>
        <w:t>CMC) 5ml/kg p.o. once a day then challenged with normal saline i.p. on 21th day.</w:t>
      </w:r>
    </w:p>
    <w:p w:rsidR="00EE7CF9" w:rsidRDefault="00EE7CF9" w:rsidP="0035582B">
      <w:pPr>
        <w:autoSpaceDE w:val="0"/>
        <w:autoSpaceDN w:val="0"/>
        <w:adjustRightInd w:val="0"/>
        <w:spacing w:line="360" w:lineRule="auto"/>
        <w:jc w:val="both"/>
        <w:rPr>
          <w:rFonts w:eastAsia="Calibri"/>
        </w:rPr>
      </w:pPr>
      <w:r w:rsidRPr="00391C0B">
        <w:rPr>
          <w:rFonts w:eastAsia="Calibri"/>
        </w:rPr>
        <w:t xml:space="preserve"> Group II (LPS group) CMC</w:t>
      </w:r>
      <w:r w:rsidRPr="00391C0B">
        <w:rPr>
          <w:rFonts w:eastAsia="SimSun"/>
          <w:lang w:bidi="sa-IN"/>
        </w:rPr>
        <w:t xml:space="preserve"> </w:t>
      </w:r>
      <w:r w:rsidRPr="00391C0B">
        <w:rPr>
          <w:rFonts w:eastAsia="SimSun"/>
          <w:kern w:val="24"/>
          <w:lang w:bidi="sa-IN"/>
        </w:rPr>
        <w:t xml:space="preserve">5 ml/kg p.o. once a day and then challenged with LPS </w:t>
      </w:r>
      <w:r w:rsidRPr="00391C0B">
        <w:rPr>
          <w:bCs/>
        </w:rPr>
        <w:t xml:space="preserve">Serotype E. coli 0111:B4, </w:t>
      </w:r>
      <w:r w:rsidRPr="00391C0B">
        <w:rPr>
          <w:rFonts w:eastAsia="SimSun"/>
          <w:kern w:val="24"/>
          <w:lang w:bidi="sa-IN"/>
        </w:rPr>
        <w:t xml:space="preserve">(4 mg/kg i.p.) on 21th </w:t>
      </w:r>
      <w:r w:rsidR="003A3271" w:rsidRPr="00391C0B">
        <w:rPr>
          <w:rFonts w:eastAsia="SimSun"/>
          <w:kern w:val="24"/>
          <w:lang w:bidi="sa-IN"/>
        </w:rPr>
        <w:t>day</w:t>
      </w:r>
      <w:r w:rsidR="003A3271" w:rsidRPr="00234BA2">
        <w:rPr>
          <w:rFonts w:eastAsia="Calibri"/>
          <w:vertAlign w:val="superscript"/>
        </w:rPr>
        <w:t>11</w:t>
      </w:r>
      <w:r w:rsidR="003A3271" w:rsidRPr="00391C0B">
        <w:rPr>
          <w:rFonts w:eastAsia="Calibri"/>
        </w:rPr>
        <w:t xml:space="preserve">. </w:t>
      </w:r>
    </w:p>
    <w:p w:rsidR="00EE7CF9" w:rsidRDefault="00EE7CF9" w:rsidP="0035582B">
      <w:pPr>
        <w:autoSpaceDE w:val="0"/>
        <w:autoSpaceDN w:val="0"/>
        <w:adjustRightInd w:val="0"/>
        <w:spacing w:line="360" w:lineRule="auto"/>
        <w:jc w:val="both"/>
        <w:rPr>
          <w:rFonts w:eastAsia="Calibri"/>
        </w:rPr>
      </w:pPr>
      <w:r>
        <w:rPr>
          <w:rFonts w:eastAsia="Calibri"/>
        </w:rPr>
        <w:t>Group</w:t>
      </w:r>
      <w:r w:rsidRPr="00391C0B">
        <w:rPr>
          <w:rFonts w:eastAsia="Calibri"/>
        </w:rPr>
        <w:t xml:space="preserve"> III (standard group) Quercetin </w:t>
      </w:r>
      <w:r w:rsidRPr="00391C0B">
        <w:rPr>
          <w:rFonts w:eastAsia="SimSun"/>
          <w:kern w:val="24"/>
          <w:lang w:bidi="sa-IN"/>
        </w:rPr>
        <w:t>100 mg/kg p.o. daily and then challenged with LPS (4 mg/kg i.p.) on 21th day</w:t>
      </w:r>
      <w:r>
        <w:rPr>
          <w:rFonts w:eastAsia="SimSun"/>
          <w:kern w:val="24"/>
          <w:lang w:bidi="sa-IN"/>
        </w:rPr>
        <w:t xml:space="preserve"> </w:t>
      </w:r>
      <w:r w:rsidR="003A3271" w:rsidRPr="00234BA2">
        <w:rPr>
          <w:rFonts w:eastAsia="Calibri"/>
          <w:vertAlign w:val="superscript"/>
        </w:rPr>
        <w:t>1</w:t>
      </w:r>
      <w:r w:rsidR="003A3271">
        <w:rPr>
          <w:rFonts w:eastAsia="Calibri"/>
          <w:vertAlign w:val="superscript"/>
        </w:rPr>
        <w:t>2</w:t>
      </w:r>
      <w:r w:rsidR="003A3271" w:rsidRPr="00391C0B">
        <w:rPr>
          <w:rFonts w:eastAsia="Calibri"/>
        </w:rPr>
        <w:t xml:space="preserve">. </w:t>
      </w:r>
      <w:r w:rsidR="003A3271">
        <w:rPr>
          <w:rFonts w:eastAsia="Calibri"/>
          <w:vertAlign w:val="superscript"/>
        </w:rPr>
        <w:t xml:space="preserve">           </w:t>
      </w:r>
    </w:p>
    <w:p w:rsidR="00EE7CF9" w:rsidRDefault="00EE7CF9" w:rsidP="0035582B">
      <w:pPr>
        <w:autoSpaceDE w:val="0"/>
        <w:autoSpaceDN w:val="0"/>
        <w:adjustRightInd w:val="0"/>
        <w:spacing w:line="360" w:lineRule="auto"/>
        <w:jc w:val="both"/>
        <w:rPr>
          <w:rFonts w:eastAsia="Calibri"/>
        </w:rPr>
      </w:pPr>
      <w:r>
        <w:rPr>
          <w:rFonts w:eastAsia="Calibri"/>
        </w:rPr>
        <w:t>Group</w:t>
      </w:r>
      <w:r w:rsidRPr="00391C0B">
        <w:rPr>
          <w:rFonts w:eastAsia="Calibri"/>
        </w:rPr>
        <w:t xml:space="preserve"> IV and V (Drugs treated groups) </w:t>
      </w:r>
      <w:r w:rsidRPr="00391C0B">
        <w:rPr>
          <w:rFonts w:eastAsia="SimSun"/>
          <w:kern w:val="24"/>
          <w:lang w:bidi="sa-IN"/>
        </w:rPr>
        <w:t>100 mg/ kg and 200 mg/kg p.o. daily respectively and then challenged with LPS (4 mg/kg i.p.) on 21th day</w:t>
      </w:r>
      <w:r w:rsidRPr="00391C0B">
        <w:rPr>
          <w:rFonts w:eastAsia="Calibri"/>
        </w:rPr>
        <w:t xml:space="preserve">. </w:t>
      </w:r>
    </w:p>
    <w:p w:rsidR="00EE7CF9" w:rsidRDefault="00EE7CF9" w:rsidP="0035582B">
      <w:pPr>
        <w:autoSpaceDE w:val="0"/>
        <w:autoSpaceDN w:val="0"/>
        <w:adjustRightInd w:val="0"/>
        <w:spacing w:line="360" w:lineRule="auto"/>
        <w:jc w:val="both"/>
        <w:rPr>
          <w:rFonts w:eastAsia="Calibri"/>
        </w:rPr>
      </w:pPr>
      <w:r>
        <w:rPr>
          <w:rFonts w:eastAsia="Calibri"/>
        </w:rPr>
        <w:t>Group</w:t>
      </w:r>
      <w:r w:rsidRPr="00391C0B">
        <w:rPr>
          <w:rFonts w:eastAsia="Calibri"/>
        </w:rPr>
        <w:t xml:space="preserve"> VI </w:t>
      </w:r>
      <w:r w:rsidRPr="00391C0B">
        <w:rPr>
          <w:rFonts w:eastAsia="SimSun"/>
          <w:kern w:val="24"/>
          <w:lang w:bidi="sa-IN"/>
        </w:rPr>
        <w:t>200 mg/kg of test drug and 100 mg/kg standard drug p.o. daily then challenged with LPS (4mg/kg i.p.) on 21th day</w:t>
      </w:r>
      <w:r w:rsidRPr="00391C0B">
        <w:rPr>
          <w:rFonts w:eastAsia="Calibri"/>
        </w:rPr>
        <w:t>.</w:t>
      </w:r>
    </w:p>
    <w:p w:rsidR="00EE7CF9" w:rsidRDefault="00EE7CF9" w:rsidP="0035582B">
      <w:pPr>
        <w:autoSpaceDE w:val="0"/>
        <w:autoSpaceDN w:val="0"/>
        <w:adjustRightInd w:val="0"/>
        <w:spacing w:line="360" w:lineRule="auto"/>
        <w:jc w:val="both"/>
        <w:rPr>
          <w:rFonts w:eastAsia="SimSun"/>
          <w:kern w:val="24"/>
          <w:lang w:bidi="sa-IN"/>
        </w:rPr>
      </w:pPr>
      <w:r w:rsidRPr="00391C0B">
        <w:rPr>
          <w:rFonts w:eastAsia="Calibri"/>
        </w:rPr>
        <w:t xml:space="preserve"> </w:t>
      </w:r>
      <w:r>
        <w:rPr>
          <w:rFonts w:eastAsia="Calibri"/>
        </w:rPr>
        <w:t>Group</w:t>
      </w:r>
      <w:r w:rsidRPr="00391C0B">
        <w:rPr>
          <w:rFonts w:eastAsia="Calibri"/>
        </w:rPr>
        <w:t xml:space="preserve"> </w:t>
      </w:r>
      <w:smartTag w:uri="urn:schemas-microsoft-com:office:smarttags" w:element="stockticker">
        <w:r w:rsidRPr="00391C0B">
          <w:rPr>
            <w:rFonts w:eastAsia="Calibri"/>
          </w:rPr>
          <w:t>VII</w:t>
        </w:r>
      </w:smartTag>
      <w:r w:rsidRPr="00391C0B">
        <w:rPr>
          <w:rFonts w:eastAsia="Calibri"/>
        </w:rPr>
        <w:t xml:space="preserve"> (</w:t>
      </w:r>
      <w:r w:rsidRPr="00391C0B">
        <w:rPr>
          <w:rFonts w:eastAsia="Calibri"/>
          <w:i/>
        </w:rPr>
        <w:t>perse</w:t>
      </w:r>
      <w:r w:rsidRPr="00391C0B">
        <w:rPr>
          <w:rFonts w:eastAsia="Calibri"/>
        </w:rPr>
        <w:t xml:space="preserve"> </w:t>
      </w:r>
      <w:commentRangeEnd w:id="14"/>
      <w:r w:rsidR="00D92DCA">
        <w:rPr>
          <w:rStyle w:val="CommentReference"/>
        </w:rPr>
        <w:commentReference w:id="14"/>
      </w:r>
      <w:r w:rsidRPr="00391C0B">
        <w:rPr>
          <w:rFonts w:eastAsia="Calibri"/>
        </w:rPr>
        <w:t xml:space="preserve">group) </w:t>
      </w:r>
      <w:r w:rsidRPr="00391C0B">
        <w:rPr>
          <w:rFonts w:eastAsia="SimSun"/>
          <w:kern w:val="24"/>
          <w:lang w:bidi="sa-IN"/>
        </w:rPr>
        <w:t>200 mg/kg. p.o. daily for 21th day</w:t>
      </w:r>
    </w:p>
    <w:commentRangeEnd w:id="13"/>
    <w:p w:rsidR="00EE7CF9" w:rsidRPr="00391C0B" w:rsidRDefault="00AC7A7F" w:rsidP="0035582B">
      <w:pPr>
        <w:autoSpaceDE w:val="0"/>
        <w:autoSpaceDN w:val="0"/>
        <w:adjustRightInd w:val="0"/>
        <w:spacing w:line="360" w:lineRule="auto"/>
        <w:jc w:val="both"/>
        <w:rPr>
          <w:rFonts w:eastAsia="SimSun"/>
          <w:kern w:val="24"/>
          <w:lang w:bidi="sa-IN"/>
        </w:rPr>
      </w:pPr>
      <w:r>
        <w:rPr>
          <w:rStyle w:val="CommentReference"/>
        </w:rPr>
        <w:commentReference w:id="13"/>
      </w:r>
    </w:p>
    <w:p w:rsidR="00EE7CF9" w:rsidRPr="00391C0B" w:rsidRDefault="00EE7CF9" w:rsidP="0035582B">
      <w:pPr>
        <w:autoSpaceDE w:val="0"/>
        <w:autoSpaceDN w:val="0"/>
        <w:adjustRightInd w:val="0"/>
        <w:spacing w:line="360" w:lineRule="auto"/>
        <w:jc w:val="both"/>
        <w:rPr>
          <w:rFonts w:eastAsia="Calibri"/>
        </w:rPr>
      </w:pPr>
      <w:r>
        <w:rPr>
          <w:rFonts w:eastAsia="Calibri"/>
        </w:rPr>
        <w:t xml:space="preserve">                                                 </w:t>
      </w:r>
      <w:r w:rsidRPr="00391C0B">
        <w:rPr>
          <w:rFonts w:eastAsia="Calibri"/>
        </w:rPr>
        <w:t>After six hour</w:t>
      </w:r>
      <w:r>
        <w:rPr>
          <w:rFonts w:eastAsia="Calibri"/>
        </w:rPr>
        <w:t xml:space="preserve">s of </w:t>
      </w:r>
      <w:r w:rsidRPr="00391C0B">
        <w:rPr>
          <w:rFonts w:eastAsia="Calibri"/>
        </w:rPr>
        <w:t xml:space="preserve">LPS or saline injection blood was collected from tail vein for liver function test and all the animals were sacrificed, liver </w:t>
      </w:r>
      <w:r>
        <w:rPr>
          <w:rFonts w:eastAsia="Calibri"/>
        </w:rPr>
        <w:t xml:space="preserve">was </w:t>
      </w:r>
      <w:r w:rsidRPr="00391C0B">
        <w:rPr>
          <w:rFonts w:eastAsia="Calibri"/>
        </w:rPr>
        <w:t xml:space="preserve">removed, stored and homogenates </w:t>
      </w:r>
      <w:r>
        <w:rPr>
          <w:rFonts w:eastAsia="Calibri"/>
        </w:rPr>
        <w:t>was</w:t>
      </w:r>
      <w:r w:rsidRPr="00391C0B">
        <w:rPr>
          <w:rFonts w:eastAsia="Calibri"/>
        </w:rPr>
        <w:t xml:space="preserve"> used for biochemical estimation.</w:t>
      </w:r>
    </w:p>
    <w:p w:rsidR="00EE7CF9" w:rsidRPr="00C415D4" w:rsidRDefault="00EE7CF9" w:rsidP="0035582B">
      <w:pPr>
        <w:autoSpaceDE w:val="0"/>
        <w:autoSpaceDN w:val="0"/>
        <w:adjustRightInd w:val="0"/>
        <w:spacing w:line="360" w:lineRule="auto"/>
        <w:jc w:val="both"/>
        <w:rPr>
          <w:rFonts w:eastAsia="Calibri"/>
          <w:b/>
          <w:bCs/>
          <w:iCs/>
          <w:vertAlign w:val="superscript"/>
        </w:rPr>
      </w:pPr>
      <w:r>
        <w:rPr>
          <w:rFonts w:eastAsia="Calibri"/>
          <w:b/>
          <w:bCs/>
          <w:iCs/>
        </w:rPr>
        <w:t xml:space="preserve"> </w:t>
      </w:r>
      <w:r w:rsidRPr="00913C95">
        <w:rPr>
          <w:b/>
          <w:bCs/>
        </w:rPr>
        <w:t xml:space="preserve">Determination </w:t>
      </w:r>
      <w:r w:rsidRPr="00913C95">
        <w:rPr>
          <w:rFonts w:eastAsia="Calibri"/>
          <w:b/>
          <w:bCs/>
          <w:iCs/>
        </w:rPr>
        <w:t>of liver MDA content</w:t>
      </w:r>
      <w:r w:rsidRPr="00913C95">
        <w:rPr>
          <w:rFonts w:eastAsia="Calibri"/>
          <w:b/>
          <w:bCs/>
          <w:iCs/>
          <w:vertAlign w:val="superscript"/>
        </w:rPr>
        <w:t xml:space="preserve"> </w:t>
      </w:r>
    </w:p>
    <w:p w:rsidR="00EE7CF9" w:rsidRPr="00391C0B" w:rsidRDefault="00EE7CF9" w:rsidP="0035582B">
      <w:pPr>
        <w:pStyle w:val="BodyText"/>
        <w:spacing w:line="360" w:lineRule="auto"/>
        <w:jc w:val="both"/>
        <w:rPr>
          <w:b w:val="0"/>
        </w:rPr>
      </w:pPr>
      <w:commentRangeStart w:id="15"/>
      <w:commentRangeStart w:id="16"/>
      <w:r w:rsidRPr="00391C0B">
        <w:rPr>
          <w:b w:val="0"/>
        </w:rPr>
        <w:lastRenderedPageBreak/>
        <w:t>Suspension medium</w:t>
      </w:r>
      <w:r>
        <w:rPr>
          <w:b w:val="0"/>
        </w:rPr>
        <w:t xml:space="preserve"> (1 ml)</w:t>
      </w:r>
      <w:r w:rsidRPr="00391C0B">
        <w:rPr>
          <w:b w:val="0"/>
        </w:rPr>
        <w:t xml:space="preserve"> was taken from the 10% tissue homogenate.</w:t>
      </w:r>
      <w:r w:rsidRPr="001E1954">
        <w:rPr>
          <w:b w:val="0"/>
        </w:rPr>
        <w:t xml:space="preserve"> </w:t>
      </w:r>
      <w:r w:rsidRPr="00391C0B">
        <w:rPr>
          <w:b w:val="0"/>
        </w:rPr>
        <w:t xml:space="preserve">TCA </w:t>
      </w:r>
      <w:r>
        <w:rPr>
          <w:b w:val="0"/>
        </w:rPr>
        <w:t>(</w:t>
      </w:r>
      <w:r w:rsidRPr="00391C0B">
        <w:rPr>
          <w:b w:val="0"/>
        </w:rPr>
        <w:t>0.5 ml of 30%</w:t>
      </w:r>
      <w:r>
        <w:rPr>
          <w:b w:val="0"/>
        </w:rPr>
        <w:t>)</w:t>
      </w:r>
      <w:r w:rsidRPr="00391C0B">
        <w:rPr>
          <w:b w:val="0"/>
        </w:rPr>
        <w:t xml:space="preserve"> </w:t>
      </w:r>
      <w:r>
        <w:rPr>
          <w:b w:val="0"/>
        </w:rPr>
        <w:t>was</w:t>
      </w:r>
      <w:r w:rsidRPr="00391C0B">
        <w:rPr>
          <w:b w:val="0"/>
        </w:rPr>
        <w:t xml:space="preserve"> added to it, followed </w:t>
      </w:r>
      <w:r w:rsidR="00E16197" w:rsidRPr="00391C0B">
        <w:rPr>
          <w:b w:val="0"/>
        </w:rPr>
        <w:t xml:space="preserve">by </w:t>
      </w:r>
      <w:r w:rsidR="00E16197">
        <w:rPr>
          <w:b w:val="0"/>
        </w:rPr>
        <w:t>TBA</w:t>
      </w:r>
      <w:r w:rsidRPr="00391C0B">
        <w:rPr>
          <w:b w:val="0"/>
        </w:rPr>
        <w:t xml:space="preserve"> reagent </w:t>
      </w:r>
      <w:r>
        <w:rPr>
          <w:b w:val="0"/>
        </w:rPr>
        <w:t>(</w:t>
      </w:r>
      <w:r w:rsidRPr="00391C0B">
        <w:rPr>
          <w:b w:val="0"/>
        </w:rPr>
        <w:t>0.5 ml of 0.8%</w:t>
      </w:r>
      <w:r>
        <w:rPr>
          <w:b w:val="0"/>
        </w:rPr>
        <w:t xml:space="preserve">.) </w:t>
      </w:r>
      <w:r w:rsidRPr="00391C0B">
        <w:rPr>
          <w:b w:val="0"/>
        </w:rPr>
        <w:t xml:space="preserve">The tubes were then covered with aluminium foil and kept in shaking water bath for 30 minutes at 80 degree celsius. After </w:t>
      </w:r>
      <w:r>
        <w:rPr>
          <w:b w:val="0"/>
        </w:rPr>
        <w:t xml:space="preserve">half an hour </w:t>
      </w:r>
      <w:r w:rsidRPr="00391C0B">
        <w:rPr>
          <w:b w:val="0"/>
        </w:rPr>
        <w:t>tubes were taken out and kept in ice-cold wate</w:t>
      </w:r>
      <w:r>
        <w:rPr>
          <w:b w:val="0"/>
        </w:rPr>
        <w:t>r for further thirty minutes and c</w:t>
      </w:r>
      <w:r w:rsidRPr="00391C0B">
        <w:rPr>
          <w:b w:val="0"/>
        </w:rPr>
        <w:t>centrifuged at 3000 rpm for 15 minutes</w:t>
      </w:r>
      <w:r>
        <w:rPr>
          <w:b w:val="0"/>
        </w:rPr>
        <w:t xml:space="preserve"> </w:t>
      </w:r>
      <w:r w:rsidRPr="00EE7CF9">
        <w:rPr>
          <w:b w:val="0"/>
          <w:vertAlign w:val="superscript"/>
        </w:rPr>
        <w:t>1</w:t>
      </w:r>
      <w:r w:rsidR="00927873">
        <w:rPr>
          <w:b w:val="0"/>
          <w:vertAlign w:val="superscript"/>
        </w:rPr>
        <w:t>3</w:t>
      </w:r>
      <w:r w:rsidRPr="00391C0B">
        <w:rPr>
          <w:b w:val="0"/>
        </w:rPr>
        <w:t>.</w:t>
      </w:r>
    </w:p>
    <w:p w:rsidR="00EE7CF9" w:rsidRPr="0035582B" w:rsidRDefault="00EE7CF9" w:rsidP="0035582B">
      <w:pPr>
        <w:pStyle w:val="BodyText"/>
        <w:spacing w:line="360" w:lineRule="auto"/>
        <w:jc w:val="both"/>
        <w:rPr>
          <w:b w:val="0"/>
        </w:rPr>
      </w:pPr>
      <w:r w:rsidRPr="00391C0B">
        <w:rPr>
          <w:b w:val="0"/>
        </w:rPr>
        <w:t xml:space="preserve">The absorbance of the supernatant was read at 540 nm at room temperature against appropriate blank. </w:t>
      </w:r>
    </w:p>
    <w:commentRangeEnd w:id="15"/>
    <w:p w:rsidR="00EE7CF9" w:rsidRPr="00C415D4" w:rsidRDefault="00AC7A7F" w:rsidP="0035582B">
      <w:pPr>
        <w:autoSpaceDE w:val="0"/>
        <w:autoSpaceDN w:val="0"/>
        <w:adjustRightInd w:val="0"/>
        <w:spacing w:line="360" w:lineRule="auto"/>
        <w:jc w:val="both"/>
        <w:rPr>
          <w:rFonts w:eastAsia="Calibri"/>
          <w:bCs/>
          <w:iCs/>
          <w:vertAlign w:val="superscript"/>
        </w:rPr>
      </w:pPr>
      <w:r>
        <w:rPr>
          <w:rStyle w:val="CommentReference"/>
        </w:rPr>
        <w:commentReference w:id="15"/>
      </w:r>
      <w:r w:rsidR="00EE7CF9" w:rsidRPr="00913C95">
        <w:rPr>
          <w:b/>
          <w:bCs/>
        </w:rPr>
        <w:t xml:space="preserve"> </w:t>
      </w:r>
      <w:commentRangeStart w:id="17"/>
      <w:r w:rsidR="00EE7CF9" w:rsidRPr="00913C95">
        <w:rPr>
          <w:b/>
          <w:bCs/>
        </w:rPr>
        <w:t>Determination of liver glutathione</w:t>
      </w:r>
      <w:r w:rsidR="00EE7CF9" w:rsidRPr="00391C0B">
        <w:rPr>
          <w:b/>
          <w:bCs/>
        </w:rPr>
        <w:t xml:space="preserve"> </w:t>
      </w:r>
    </w:p>
    <w:p w:rsidR="00EE7CF9" w:rsidRPr="007E3993" w:rsidRDefault="00EE7CF9" w:rsidP="0035582B">
      <w:pPr>
        <w:autoSpaceDE w:val="0"/>
        <w:autoSpaceDN w:val="0"/>
        <w:adjustRightInd w:val="0"/>
        <w:spacing w:line="360" w:lineRule="auto"/>
        <w:jc w:val="both"/>
      </w:pPr>
      <w:r>
        <w:t>L</w:t>
      </w:r>
      <w:r w:rsidRPr="00391C0B">
        <w:t>iver tissue (300mg) was homogenized in</w:t>
      </w:r>
      <w:r w:rsidRPr="004F0E50">
        <w:t xml:space="preserve"> </w:t>
      </w:r>
      <w:r w:rsidRPr="00391C0B">
        <w:t xml:space="preserve">EDTA </w:t>
      </w:r>
      <w:r>
        <w:t>(</w:t>
      </w:r>
      <w:r w:rsidRPr="00391C0B">
        <w:t>5</w:t>
      </w:r>
      <w:r>
        <w:t xml:space="preserve"> -</w:t>
      </w:r>
      <w:r w:rsidRPr="00391C0B">
        <w:t>8 ml of 0.02 M</w:t>
      </w:r>
      <w:r>
        <w:t>)</w:t>
      </w:r>
      <w:r w:rsidRPr="00391C0B">
        <w:t xml:space="preserve"> and then cold</w:t>
      </w:r>
      <w:r>
        <w:t xml:space="preserve"> </w:t>
      </w:r>
      <w:r w:rsidRPr="00391C0B">
        <w:t>distilled water</w:t>
      </w:r>
      <w:r>
        <w:t xml:space="preserve"> (4 ml )</w:t>
      </w:r>
      <w:r w:rsidRPr="00391C0B">
        <w:t xml:space="preserve"> was added to it. After mixing it well, </w:t>
      </w:r>
      <w:r>
        <w:t>TCA (</w:t>
      </w:r>
      <w:r w:rsidRPr="00391C0B">
        <w:t>1 m</w:t>
      </w:r>
      <w:r>
        <w:t xml:space="preserve">l of 50 % ) </w:t>
      </w:r>
      <w:r w:rsidRPr="00391C0B">
        <w:t>was added and shaken intermittently for 10 minutes using a vortex mixer. After</w:t>
      </w:r>
      <w:r>
        <w:t xml:space="preserve"> 10 minutes the contents were</w:t>
      </w:r>
      <w:r w:rsidRPr="00391C0B">
        <w:t xml:space="preserve"> centrifuged at </w:t>
      </w:r>
      <w:r>
        <w:t>6000</w:t>
      </w:r>
      <w:r w:rsidRPr="00391C0B">
        <w:t xml:space="preserve"> rpm for 15 minutes. Follo</w:t>
      </w:r>
      <w:r>
        <w:t xml:space="preserve">wing centrifugation, </w:t>
      </w:r>
      <w:r w:rsidRPr="00391C0B">
        <w:t xml:space="preserve">supernatant </w:t>
      </w:r>
      <w:r>
        <w:t xml:space="preserve">(2 ml) </w:t>
      </w:r>
      <w:r w:rsidRPr="00391C0B">
        <w:t>was</w:t>
      </w:r>
      <w:r>
        <w:t xml:space="preserve"> mixed with </w:t>
      </w:r>
      <w:r w:rsidRPr="00391C0B">
        <w:t>Tris buffer (</w:t>
      </w:r>
      <w:r>
        <w:t xml:space="preserve">4 </w:t>
      </w:r>
      <w:r w:rsidRPr="00391C0B">
        <w:t>ml of 0.4 M). The whole solution was mixed well and DTNB</w:t>
      </w:r>
      <w:r>
        <w:t xml:space="preserve"> (</w:t>
      </w:r>
      <w:r w:rsidRPr="00391C0B">
        <w:t>0.1 ml of 0.01M) was added to it. The absorbance was read within 5 min of the addition of DTNB at 412 nm against a reagent</w:t>
      </w:r>
      <w:r>
        <w:t xml:space="preserve"> </w:t>
      </w:r>
      <w:r w:rsidRPr="00EE7CF9">
        <w:rPr>
          <w:vertAlign w:val="superscript"/>
        </w:rPr>
        <w:t>1</w:t>
      </w:r>
      <w:r w:rsidR="00927873">
        <w:rPr>
          <w:vertAlign w:val="superscript"/>
        </w:rPr>
        <w:t>4</w:t>
      </w:r>
      <w:r>
        <w:t>.</w:t>
      </w:r>
      <w:r w:rsidRPr="00391C0B">
        <w:t xml:space="preserve"> </w:t>
      </w:r>
    </w:p>
    <w:p w:rsidR="00EE7CF9" w:rsidRPr="00077B32" w:rsidRDefault="00EE7CF9" w:rsidP="0035582B">
      <w:pPr>
        <w:autoSpaceDE w:val="0"/>
        <w:autoSpaceDN w:val="0"/>
        <w:adjustRightInd w:val="0"/>
        <w:spacing w:line="360" w:lineRule="auto"/>
        <w:jc w:val="both"/>
        <w:rPr>
          <w:rFonts w:eastAsia="Calibri"/>
          <w:bCs/>
          <w:iCs/>
          <w:vertAlign w:val="superscript"/>
        </w:rPr>
      </w:pPr>
      <w:r w:rsidRPr="00913C95">
        <w:rPr>
          <w:b/>
          <w:bCs/>
        </w:rPr>
        <w:t xml:space="preserve">Determination </w:t>
      </w:r>
      <w:r w:rsidRPr="00913C95">
        <w:rPr>
          <w:b/>
        </w:rPr>
        <w:t>of liver catalase</w:t>
      </w:r>
      <w:r w:rsidRPr="00391C0B">
        <w:rPr>
          <w:b/>
        </w:rPr>
        <w:t xml:space="preserve"> </w:t>
      </w:r>
    </w:p>
    <w:p w:rsidR="00927873" w:rsidRPr="00391C0B" w:rsidRDefault="00EE7CF9" w:rsidP="0035582B">
      <w:pPr>
        <w:tabs>
          <w:tab w:val="left" w:pos="1360"/>
        </w:tabs>
        <w:spacing w:line="360" w:lineRule="auto"/>
        <w:jc w:val="both"/>
      </w:pPr>
      <w:r w:rsidRPr="00391C0B">
        <w:t>Liver tissue was homogenized in 50 mM/L potassium phosphate buffer with a ratio of 1:10 w/v. The homogenate was centrifuged at 10,000 rpm at 4º C in a cooling centrifuge for 20 minutes. Catalase activity was measured in supernatant obtained after centrifugation. Supernatant (50 µl) was added to cuvette containing 2.95 ml of 19 mM/L solution of H</w:t>
      </w:r>
      <w:r w:rsidRPr="00391C0B">
        <w:rPr>
          <w:vertAlign w:val="subscript"/>
        </w:rPr>
        <w:t>2</w:t>
      </w:r>
      <w:r w:rsidRPr="00391C0B">
        <w:t>O</w:t>
      </w:r>
      <w:r w:rsidRPr="00391C0B">
        <w:rPr>
          <w:vertAlign w:val="subscript"/>
        </w:rPr>
        <w:t>2</w:t>
      </w:r>
      <w:r w:rsidRPr="00391C0B">
        <w:t xml:space="preserve"> prepared in potassium phosphate buffer. The change in absorbance was monitored at 240 nm wavelength at 1-minute interval for 3 minutes. Presence of catalase decomposes H</w:t>
      </w:r>
      <w:r w:rsidRPr="00391C0B">
        <w:rPr>
          <w:vertAlign w:val="subscript"/>
        </w:rPr>
        <w:t>2</w:t>
      </w:r>
      <w:r w:rsidRPr="00391C0B">
        <w:t>O</w:t>
      </w:r>
      <w:r w:rsidRPr="00391C0B">
        <w:rPr>
          <w:vertAlign w:val="subscript"/>
        </w:rPr>
        <w:t xml:space="preserve">2 </w:t>
      </w:r>
      <w:r>
        <w:t xml:space="preserve">leading to </w:t>
      </w:r>
      <w:r w:rsidRPr="00391C0B">
        <w:t>decrease in absorbance</w:t>
      </w:r>
      <w:r>
        <w:t xml:space="preserve"> </w:t>
      </w:r>
      <w:r w:rsidRPr="00EE7CF9">
        <w:rPr>
          <w:vertAlign w:val="superscript"/>
        </w:rPr>
        <w:t>1</w:t>
      </w:r>
      <w:r w:rsidR="00927873">
        <w:rPr>
          <w:vertAlign w:val="superscript"/>
        </w:rPr>
        <w:t>5</w:t>
      </w:r>
      <w:r>
        <w:t>.</w:t>
      </w:r>
    </w:p>
    <w:p w:rsidR="00EE7CF9" w:rsidRPr="00077B32" w:rsidRDefault="00EE7CF9" w:rsidP="0035582B">
      <w:pPr>
        <w:autoSpaceDE w:val="0"/>
        <w:autoSpaceDN w:val="0"/>
        <w:adjustRightInd w:val="0"/>
        <w:spacing w:line="360" w:lineRule="auto"/>
        <w:jc w:val="both"/>
        <w:rPr>
          <w:rFonts w:eastAsia="Calibri"/>
          <w:bCs/>
          <w:iCs/>
          <w:vertAlign w:val="superscript"/>
        </w:rPr>
      </w:pPr>
      <w:r w:rsidRPr="00913C95">
        <w:rPr>
          <w:b/>
          <w:bCs/>
        </w:rPr>
        <w:t>Determination</w:t>
      </w:r>
      <w:r w:rsidRPr="00913C95">
        <w:rPr>
          <w:b/>
        </w:rPr>
        <w:t xml:space="preserve"> of Superoxide dismutase </w:t>
      </w:r>
    </w:p>
    <w:p w:rsidR="00EE7CF9" w:rsidRPr="00C415D4" w:rsidRDefault="00EE7CF9" w:rsidP="0035582B">
      <w:pPr>
        <w:spacing w:line="360" w:lineRule="auto"/>
        <w:jc w:val="both"/>
        <w:rPr>
          <w:b/>
        </w:rPr>
      </w:pPr>
      <w:r w:rsidRPr="00391C0B">
        <w:t xml:space="preserve">The supernatant </w:t>
      </w:r>
      <w:r>
        <w:t>was assayed for SOD activity by inhibiting</w:t>
      </w:r>
      <w:r w:rsidRPr="00391C0B">
        <w:t xml:space="preserve"> </w:t>
      </w:r>
      <w:r>
        <w:t xml:space="preserve">pyrogallol autoxidation. </w:t>
      </w:r>
      <w:r w:rsidRPr="00391C0B">
        <w:t>Cytosolic supernatant</w:t>
      </w:r>
      <w:r>
        <w:t xml:space="preserve"> (</w:t>
      </w:r>
      <w:r w:rsidRPr="00391C0B">
        <w:t>100 μl</w:t>
      </w:r>
      <w:r>
        <w:t>)</w:t>
      </w:r>
      <w:r w:rsidRPr="00391C0B">
        <w:t xml:space="preserve"> was added to Tris HCl buffer (pH 8.5). The final volume of 3 ml was adjusted with the same buffer. pyrogallol </w:t>
      </w:r>
      <w:r>
        <w:t>(</w:t>
      </w:r>
      <w:r w:rsidRPr="00391C0B">
        <w:t>25 μl</w:t>
      </w:r>
      <w:r>
        <w:t>)</w:t>
      </w:r>
      <w:r w:rsidRPr="00391C0B">
        <w:t xml:space="preserve"> of was added and </w:t>
      </w:r>
      <w:r>
        <w:t xml:space="preserve">changes in absorbance at 420 nm were </w:t>
      </w:r>
      <w:r w:rsidRPr="00391C0B">
        <w:t>recorded at 1 minute interval for 3 minutes. The increase in absorbance at 420 nm after the addition of pyrogallol was inhibited by the presence of SOD</w:t>
      </w:r>
      <w:r>
        <w:t xml:space="preserve"> </w:t>
      </w:r>
      <w:r w:rsidRPr="00EE7CF9">
        <w:rPr>
          <w:vertAlign w:val="superscript"/>
        </w:rPr>
        <w:t>1</w:t>
      </w:r>
      <w:r w:rsidR="00927873">
        <w:rPr>
          <w:vertAlign w:val="superscript"/>
        </w:rPr>
        <w:t>6</w:t>
      </w:r>
      <w:r w:rsidRPr="00391C0B">
        <w:t>.</w:t>
      </w:r>
    </w:p>
    <w:p w:rsidR="00EE7CF9" w:rsidRPr="00077B32" w:rsidRDefault="00EE7CF9" w:rsidP="0035582B">
      <w:pPr>
        <w:spacing w:line="360" w:lineRule="auto"/>
        <w:jc w:val="both"/>
        <w:rPr>
          <w:rFonts w:eastAsia="Calibri"/>
          <w:b/>
          <w:bCs/>
        </w:rPr>
      </w:pPr>
      <w:r w:rsidRPr="00913C95">
        <w:rPr>
          <w:rFonts w:eastAsia="Calibri"/>
          <w:b/>
          <w:bCs/>
        </w:rPr>
        <w:t>Markers of liver Function</w:t>
      </w:r>
    </w:p>
    <w:p w:rsidR="00E16197" w:rsidRDefault="00EE7CF9" w:rsidP="0035582B">
      <w:pPr>
        <w:spacing w:line="360" w:lineRule="auto"/>
        <w:jc w:val="both"/>
        <w:rPr>
          <w:rFonts w:eastAsia="Calibri"/>
        </w:rPr>
      </w:pPr>
      <w:r w:rsidRPr="00391C0B">
        <w:rPr>
          <w:rFonts w:eastAsia="Calibri"/>
        </w:rPr>
        <w:t>The activity of biochemical parameters</w:t>
      </w:r>
      <w:r>
        <w:rPr>
          <w:rFonts w:eastAsia="Calibri"/>
        </w:rPr>
        <w:t xml:space="preserve"> such as AST and </w:t>
      </w:r>
      <w:r w:rsidRPr="00391C0B">
        <w:rPr>
          <w:rFonts w:eastAsia="Calibri"/>
        </w:rPr>
        <w:t>ALT were estimated</w:t>
      </w:r>
      <w:r>
        <w:rPr>
          <w:rFonts w:eastAsia="Calibri"/>
        </w:rPr>
        <w:t xml:space="preserve"> by </w:t>
      </w:r>
      <w:r w:rsidRPr="00391C0B">
        <w:rPr>
          <w:rFonts w:eastAsia="Calibri"/>
        </w:rPr>
        <w:t xml:space="preserve">  Reitman and Frankel </w:t>
      </w:r>
      <w:r>
        <w:rPr>
          <w:rFonts w:eastAsia="Calibri"/>
        </w:rPr>
        <w:t xml:space="preserve">method </w:t>
      </w:r>
      <w:r w:rsidRPr="00EE7CF9">
        <w:rPr>
          <w:rFonts w:eastAsia="Calibri"/>
          <w:vertAlign w:val="superscript"/>
        </w:rPr>
        <w:t>1</w:t>
      </w:r>
      <w:r w:rsidR="00927873">
        <w:rPr>
          <w:rFonts w:eastAsia="Calibri"/>
          <w:vertAlign w:val="superscript"/>
        </w:rPr>
        <w:t>7</w:t>
      </w:r>
      <w:r w:rsidRPr="008E6C2D">
        <w:rPr>
          <w:rFonts w:eastAsia="Calibri"/>
        </w:rPr>
        <w:t>,</w:t>
      </w:r>
      <w:r w:rsidRPr="00391C0B">
        <w:rPr>
          <w:rFonts w:eastAsia="Calibri"/>
        </w:rPr>
        <w:t xml:space="preserve"> </w:t>
      </w:r>
      <w:r>
        <w:rPr>
          <w:rFonts w:eastAsia="Calibri"/>
        </w:rPr>
        <w:t>ALP</w:t>
      </w:r>
      <w:r w:rsidRPr="00391C0B">
        <w:rPr>
          <w:rFonts w:eastAsia="Calibri"/>
        </w:rPr>
        <w:t xml:space="preserve"> </w:t>
      </w:r>
      <w:commentRangeEnd w:id="16"/>
      <w:r w:rsidR="00D92DCA">
        <w:rPr>
          <w:rStyle w:val="CommentReference"/>
        </w:rPr>
        <w:commentReference w:id="16"/>
      </w:r>
      <w:r w:rsidRPr="00391C0B">
        <w:rPr>
          <w:rFonts w:eastAsia="Calibri"/>
        </w:rPr>
        <w:t xml:space="preserve">and </w:t>
      </w:r>
      <w:r>
        <w:rPr>
          <w:rFonts w:eastAsia="Calibri"/>
        </w:rPr>
        <w:t>TB</w:t>
      </w:r>
      <w:r w:rsidRPr="00391C0B">
        <w:rPr>
          <w:rFonts w:eastAsia="Calibri"/>
        </w:rPr>
        <w:t xml:space="preserve"> were estimated </w:t>
      </w:r>
      <w:r>
        <w:rPr>
          <w:rFonts w:eastAsia="Calibri"/>
        </w:rPr>
        <w:t xml:space="preserve">by </w:t>
      </w:r>
      <w:r w:rsidRPr="00391C0B">
        <w:rPr>
          <w:rFonts w:eastAsia="Calibri"/>
        </w:rPr>
        <w:t>King</w:t>
      </w:r>
      <w:r>
        <w:rPr>
          <w:rFonts w:eastAsia="Calibri"/>
        </w:rPr>
        <w:t xml:space="preserve"> and </w:t>
      </w:r>
      <w:r w:rsidRPr="00391C0B">
        <w:rPr>
          <w:rFonts w:eastAsia="Calibri"/>
        </w:rPr>
        <w:t>Dangerfield</w:t>
      </w:r>
      <w:r>
        <w:rPr>
          <w:rFonts w:eastAsia="Calibri"/>
        </w:rPr>
        <w:t xml:space="preserve"> method</w:t>
      </w:r>
      <w:r w:rsidRPr="00391C0B">
        <w:rPr>
          <w:rFonts w:eastAsia="Calibri"/>
        </w:rPr>
        <w:t xml:space="preserve"> </w:t>
      </w:r>
      <w:r w:rsidR="00927873">
        <w:rPr>
          <w:rFonts w:eastAsia="Calibri"/>
          <w:vertAlign w:val="superscript"/>
        </w:rPr>
        <w:t>18</w:t>
      </w:r>
      <w:r w:rsidRPr="00EE7CF9">
        <w:rPr>
          <w:rFonts w:eastAsia="Calibri"/>
          <w:vertAlign w:val="superscript"/>
        </w:rPr>
        <w:t>-1</w:t>
      </w:r>
      <w:r w:rsidR="00927873">
        <w:rPr>
          <w:rFonts w:eastAsia="Calibri"/>
          <w:vertAlign w:val="superscript"/>
        </w:rPr>
        <w:t>9</w:t>
      </w:r>
      <w:r w:rsidRPr="00391C0B">
        <w:rPr>
          <w:rFonts w:eastAsia="Calibri"/>
        </w:rPr>
        <w:t xml:space="preserve"> </w:t>
      </w:r>
      <w:r>
        <w:rPr>
          <w:rFonts w:eastAsia="BPKBL H+ MTSY"/>
        </w:rPr>
        <w:t>ALB</w:t>
      </w:r>
      <w:r w:rsidRPr="00391C0B">
        <w:rPr>
          <w:rFonts w:eastAsia="BPKBL H+ MTSY"/>
        </w:rPr>
        <w:t xml:space="preserve"> and </w:t>
      </w:r>
      <w:r w:rsidRPr="00391C0B">
        <w:rPr>
          <w:rFonts w:eastAsia="Calibri"/>
          <w:lang w:val="en-IN" w:eastAsia="en-IN"/>
        </w:rPr>
        <w:t xml:space="preserve">TC </w:t>
      </w:r>
      <w:r w:rsidRPr="00391C0B">
        <w:rPr>
          <w:rFonts w:eastAsia="Calibri"/>
        </w:rPr>
        <w:t>level were estimated by the methods</w:t>
      </w:r>
      <w:r>
        <w:rPr>
          <w:rFonts w:eastAsia="Calibri"/>
        </w:rPr>
        <w:t xml:space="preserve"> of </w:t>
      </w:r>
      <w:r w:rsidRPr="00391C0B">
        <w:rPr>
          <w:rFonts w:eastAsia="Calibri"/>
        </w:rPr>
        <w:t>Webster</w:t>
      </w:r>
      <w:r w:rsidRPr="00391C0B">
        <w:rPr>
          <w:rFonts w:eastAsia="Calibri"/>
          <w:vertAlign w:val="superscript"/>
        </w:rPr>
        <w:t xml:space="preserve"> </w:t>
      </w:r>
      <w:r w:rsidRPr="00391C0B">
        <w:rPr>
          <w:rFonts w:eastAsia="Calibri"/>
        </w:rPr>
        <w:t>and Zlatkis, respectively</w:t>
      </w:r>
      <w:r w:rsidR="009C6737">
        <w:rPr>
          <w:rFonts w:eastAsia="Calibri"/>
        </w:rPr>
        <w:t xml:space="preserve"> </w:t>
      </w:r>
      <w:r w:rsidR="00927873">
        <w:rPr>
          <w:rFonts w:eastAsia="Calibri"/>
          <w:vertAlign w:val="superscript"/>
        </w:rPr>
        <w:t>20</w:t>
      </w:r>
      <w:r w:rsidRPr="009C6737">
        <w:rPr>
          <w:rFonts w:eastAsia="Calibri"/>
          <w:vertAlign w:val="superscript"/>
        </w:rPr>
        <w:t>-</w:t>
      </w:r>
      <w:r w:rsidR="00927873">
        <w:rPr>
          <w:rFonts w:eastAsia="Calibri"/>
          <w:vertAlign w:val="superscript"/>
        </w:rPr>
        <w:t>21</w:t>
      </w:r>
      <w:r w:rsidRPr="00391C0B">
        <w:rPr>
          <w:rFonts w:eastAsia="Calibri"/>
        </w:rPr>
        <w:t>.</w:t>
      </w:r>
    </w:p>
    <w:p w:rsidR="00EE7CF9" w:rsidRPr="00077B32" w:rsidRDefault="00EE7CF9" w:rsidP="0035582B">
      <w:pPr>
        <w:autoSpaceDE w:val="0"/>
        <w:autoSpaceDN w:val="0"/>
        <w:adjustRightInd w:val="0"/>
        <w:spacing w:line="360" w:lineRule="auto"/>
        <w:jc w:val="both"/>
        <w:rPr>
          <w:rFonts w:eastAsia="Calibri"/>
          <w:bCs/>
          <w:iCs/>
          <w:vertAlign w:val="superscript"/>
        </w:rPr>
      </w:pPr>
      <w:r w:rsidRPr="006B61ED">
        <w:rPr>
          <w:b/>
          <w:bCs/>
          <w:iCs/>
        </w:rPr>
        <w:t xml:space="preserve"> </w:t>
      </w:r>
      <w:r w:rsidRPr="006B61ED">
        <w:rPr>
          <w:b/>
          <w:bCs/>
        </w:rPr>
        <w:t>Determination</w:t>
      </w:r>
      <w:r w:rsidRPr="006B61ED">
        <w:rPr>
          <w:b/>
          <w:bCs/>
          <w:iCs/>
        </w:rPr>
        <w:t xml:space="preserve"> of Nitric oxide (NO): Griess Reaction</w:t>
      </w:r>
      <w:r w:rsidRPr="00391C0B">
        <w:rPr>
          <w:b/>
          <w:bCs/>
          <w:iCs/>
        </w:rPr>
        <w:t xml:space="preserve"> </w:t>
      </w:r>
    </w:p>
    <w:p w:rsidR="00EE7CF9" w:rsidRPr="00077B32" w:rsidRDefault="00EE7CF9" w:rsidP="0035582B">
      <w:pPr>
        <w:tabs>
          <w:tab w:val="left" w:pos="4770"/>
        </w:tabs>
        <w:spacing w:line="360" w:lineRule="auto"/>
        <w:jc w:val="both"/>
      </w:pPr>
      <w:r w:rsidRPr="00391C0B">
        <w:lastRenderedPageBreak/>
        <w:t xml:space="preserve">After the experiment, animals were sacrificed and the tissues were washed with PBS (pH 7.4) and placed on ice as described earlier. </w:t>
      </w:r>
      <w:r>
        <w:t xml:space="preserve"> Sample</w:t>
      </w:r>
      <w:r w:rsidRPr="00391C0B">
        <w:t xml:space="preserve"> </w:t>
      </w:r>
      <w:r>
        <w:t>(</w:t>
      </w:r>
      <w:r w:rsidRPr="00391C0B">
        <w:t>50</w:t>
      </w:r>
      <w:r w:rsidRPr="00391C0B">
        <w:sym w:font="Symbol" w:char="F06D"/>
      </w:r>
      <w:r w:rsidRPr="00391C0B">
        <w:t>l</w:t>
      </w:r>
      <w:r>
        <w:t>)</w:t>
      </w:r>
      <w:r w:rsidRPr="00391C0B">
        <w:t xml:space="preserve"> was added with Griess reagent</w:t>
      </w:r>
      <w:r>
        <w:t xml:space="preserve"> (</w:t>
      </w:r>
      <w:r w:rsidRPr="00391C0B">
        <w:t>100</w:t>
      </w:r>
      <w:r w:rsidRPr="00391C0B">
        <w:sym w:font="Symbol" w:char="F06D"/>
      </w:r>
      <w:r>
        <w:t>l)</w:t>
      </w:r>
      <w:r w:rsidRPr="00391C0B">
        <w:t xml:space="preserve"> and </w:t>
      </w:r>
      <w:r>
        <w:t>reaction mixture was i</w:t>
      </w:r>
      <w:r w:rsidRPr="00391C0B">
        <w:t>ncubate</w:t>
      </w:r>
      <w:r>
        <w:t>d</w:t>
      </w:r>
      <w:r w:rsidRPr="00391C0B">
        <w:t xml:space="preserve"> for about 5-10 minutes at room temperature</w:t>
      </w:r>
      <w:r>
        <w:t>.The</w:t>
      </w:r>
      <w:r w:rsidRPr="00391C0B">
        <w:t xml:space="preserve"> optical density was measured at 540 nm in microplate reader according to the reagent manufacturer’s protocol. Calculations were done after generating a standard curve from sodium nitrite in the same buffer as used for preparation of homogenate</w:t>
      </w:r>
      <w:r w:rsidR="009C6737">
        <w:t xml:space="preserve"> </w:t>
      </w:r>
      <w:commentRangeEnd w:id="17"/>
      <w:r w:rsidR="00AC7A7F">
        <w:rPr>
          <w:rStyle w:val="CommentReference"/>
        </w:rPr>
        <w:commentReference w:id="17"/>
      </w:r>
      <w:r w:rsidR="00927873">
        <w:rPr>
          <w:vertAlign w:val="superscript"/>
        </w:rPr>
        <w:t>22</w:t>
      </w:r>
      <w:r w:rsidRPr="00391C0B">
        <w:t>.</w:t>
      </w:r>
    </w:p>
    <w:p w:rsidR="00AD4109" w:rsidRDefault="00AD4109" w:rsidP="0035582B">
      <w:pPr>
        <w:tabs>
          <w:tab w:val="left" w:pos="4770"/>
        </w:tabs>
        <w:spacing w:line="360" w:lineRule="auto"/>
        <w:jc w:val="both"/>
        <w:rPr>
          <w:b/>
          <w:iCs/>
        </w:rPr>
      </w:pPr>
    </w:p>
    <w:p w:rsidR="00AD4109" w:rsidRDefault="00AD4109" w:rsidP="0035582B">
      <w:pPr>
        <w:tabs>
          <w:tab w:val="left" w:pos="4770"/>
        </w:tabs>
        <w:spacing w:line="360" w:lineRule="auto"/>
        <w:jc w:val="both"/>
        <w:rPr>
          <w:b/>
          <w:iCs/>
        </w:rPr>
      </w:pPr>
    </w:p>
    <w:p w:rsidR="00EE7CF9" w:rsidRPr="00077B32" w:rsidRDefault="00EE7CF9" w:rsidP="0035582B">
      <w:pPr>
        <w:tabs>
          <w:tab w:val="left" w:pos="4770"/>
        </w:tabs>
        <w:spacing w:line="360" w:lineRule="auto"/>
        <w:jc w:val="both"/>
        <w:rPr>
          <w:b/>
        </w:rPr>
      </w:pPr>
      <w:commentRangeStart w:id="18"/>
      <w:r w:rsidRPr="006B61ED">
        <w:rPr>
          <w:b/>
          <w:iCs/>
        </w:rPr>
        <w:t>Enzyme-</w:t>
      </w:r>
      <w:commentRangeStart w:id="19"/>
      <w:r w:rsidRPr="006B61ED">
        <w:rPr>
          <w:b/>
          <w:iCs/>
        </w:rPr>
        <w:t>linked immunosorbent assay</w:t>
      </w:r>
      <w:r w:rsidRPr="006B61ED">
        <w:rPr>
          <w:b/>
        </w:rPr>
        <w:t xml:space="preserve"> </w:t>
      </w:r>
    </w:p>
    <w:p w:rsidR="00EE7CF9" w:rsidRPr="00391C0B" w:rsidRDefault="00EE7CF9" w:rsidP="0035582B">
      <w:pPr>
        <w:tabs>
          <w:tab w:val="left" w:pos="4770"/>
        </w:tabs>
        <w:spacing w:line="360" w:lineRule="auto"/>
        <w:jc w:val="both"/>
      </w:pPr>
      <w:r w:rsidRPr="00391C0B">
        <w:t>Cytokines were measured from tissue samples using commercially available ELISAs</w:t>
      </w:r>
      <w:r>
        <w:t xml:space="preserve"> for rat TNF-α, IL-1β and IL-6. The ELISAs were operated </w:t>
      </w:r>
      <w:r w:rsidRPr="00391C0B">
        <w:t xml:space="preserve">according to the manufacturer's instructions. The intensity of </w:t>
      </w:r>
      <w:commentRangeEnd w:id="19"/>
      <w:r w:rsidR="00D92DCA">
        <w:rPr>
          <w:rStyle w:val="CommentReference"/>
        </w:rPr>
        <w:commentReference w:id="19"/>
      </w:r>
      <w:r w:rsidRPr="00391C0B">
        <w:t>the color measured is in proportion to the amount of rat cytokine bound in the initial steps. The sample values were then read off from the standard curve</w:t>
      </w:r>
      <w:r w:rsidR="009C6737">
        <w:t xml:space="preserve"> </w:t>
      </w:r>
      <w:r w:rsidR="00927873">
        <w:rPr>
          <w:vertAlign w:val="superscript"/>
        </w:rPr>
        <w:t>23</w:t>
      </w:r>
      <w:r w:rsidRPr="00391C0B">
        <w:t>.</w:t>
      </w:r>
    </w:p>
    <w:p w:rsidR="00EE7CF9" w:rsidRPr="00C415D4" w:rsidRDefault="00EE7CF9" w:rsidP="0035582B">
      <w:pPr>
        <w:spacing w:line="360" w:lineRule="auto"/>
        <w:jc w:val="both"/>
        <w:rPr>
          <w:b/>
        </w:rPr>
      </w:pPr>
      <w:r w:rsidRPr="006B61ED">
        <w:rPr>
          <w:b/>
        </w:rPr>
        <w:t xml:space="preserve"> Statistical Analysis</w:t>
      </w:r>
    </w:p>
    <w:p w:rsidR="00EE7CF9" w:rsidRPr="00391C0B" w:rsidRDefault="00EE7CF9" w:rsidP="0035582B">
      <w:pPr>
        <w:spacing w:line="360" w:lineRule="auto"/>
        <w:jc w:val="both"/>
      </w:pPr>
      <w:r w:rsidRPr="00391C0B">
        <w:rPr>
          <w:b/>
        </w:rPr>
        <w:t xml:space="preserve"> </w:t>
      </w:r>
      <w:r w:rsidRPr="00391C0B">
        <w:t>All results are expressed as mean ± SEM</w:t>
      </w:r>
      <w:r>
        <w:t>.</w:t>
      </w:r>
      <w:r w:rsidRPr="00391C0B">
        <w:t xml:space="preserve"> Groups of data was compared with analysis of variance (ANOVA) followed by Tukey-kramer multiple comparison test. </w:t>
      </w:r>
      <w:r>
        <w:t xml:space="preserve"> p&lt;0.05 was considered statstically significant.</w:t>
      </w:r>
    </w:p>
    <w:commentRangeEnd w:id="18"/>
    <w:p w:rsidR="00EE7CF9" w:rsidRPr="00D5317E" w:rsidRDefault="00AC7A7F" w:rsidP="0035582B">
      <w:pPr>
        <w:spacing w:line="360" w:lineRule="auto"/>
        <w:ind w:left="270"/>
        <w:jc w:val="both"/>
        <w:rPr>
          <w:b/>
          <w:bCs/>
        </w:rPr>
      </w:pPr>
      <w:r>
        <w:rPr>
          <w:rStyle w:val="CommentReference"/>
        </w:rPr>
        <w:commentReference w:id="18"/>
      </w:r>
      <w:r w:rsidR="007E48DD" w:rsidRPr="00391C0B">
        <w:rPr>
          <w:b/>
          <w:bCs/>
        </w:rPr>
        <w:t>RESULTS</w:t>
      </w:r>
      <w:r w:rsidR="007E48DD">
        <w:rPr>
          <w:b/>
          <w:bCs/>
        </w:rPr>
        <w:t xml:space="preserve"> AND </w:t>
      </w:r>
      <w:r w:rsidR="007E48DD" w:rsidRPr="00391C0B">
        <w:rPr>
          <w:b/>
          <w:bCs/>
        </w:rPr>
        <w:t>DISCUSSION</w:t>
      </w:r>
    </w:p>
    <w:p w:rsidR="00EE7CF9" w:rsidRPr="006B61ED" w:rsidRDefault="00EE7CF9" w:rsidP="0035582B">
      <w:pPr>
        <w:spacing w:line="360" w:lineRule="auto"/>
        <w:ind w:left="270"/>
        <w:jc w:val="both"/>
        <w:rPr>
          <w:b/>
          <w:bCs/>
        </w:rPr>
      </w:pPr>
      <w:r>
        <w:rPr>
          <w:b/>
          <w:bCs/>
        </w:rPr>
        <w:t xml:space="preserve"> Acute toxicity</w:t>
      </w:r>
    </w:p>
    <w:p w:rsidR="00EE7CF9" w:rsidRPr="00391C0B" w:rsidRDefault="00EE7CF9" w:rsidP="0035582B">
      <w:pPr>
        <w:autoSpaceDE w:val="0"/>
        <w:autoSpaceDN w:val="0"/>
        <w:adjustRightInd w:val="0"/>
        <w:spacing w:line="360" w:lineRule="auto"/>
        <w:ind w:left="180"/>
        <w:jc w:val="both"/>
        <w:rPr>
          <w:rFonts w:eastAsia="Calibri"/>
        </w:rPr>
      </w:pPr>
      <w:commentRangeStart w:id="20"/>
      <w:r w:rsidRPr="00391C0B">
        <w:t xml:space="preserve">The extract from roots of </w:t>
      </w:r>
      <w:r w:rsidRPr="00391C0B">
        <w:rPr>
          <w:i/>
        </w:rPr>
        <w:t>Asparagus racemosus</w:t>
      </w:r>
      <w:r w:rsidRPr="00391C0B">
        <w:t xml:space="preserve"> administered orally to rats up to dose</w:t>
      </w:r>
      <w:r>
        <w:t xml:space="preserve"> of 2000 mg/kg showed</w:t>
      </w:r>
      <w:r w:rsidRPr="00391C0B">
        <w:t xml:space="preserve"> no toxicity and animal death during the evaluated period</w:t>
      </w:r>
      <w:r>
        <w:t xml:space="preserve"> t</w:t>
      </w:r>
      <w:r w:rsidRPr="00391C0B">
        <w:t>h</w:t>
      </w:r>
      <w:r>
        <w:t>us</w:t>
      </w:r>
      <w:r w:rsidRPr="00391C0B">
        <w:t xml:space="preserve"> </w:t>
      </w:r>
      <w:r>
        <w:t xml:space="preserve">suggesting  low toxicity of </w:t>
      </w:r>
      <w:r w:rsidRPr="00391C0B">
        <w:t xml:space="preserve"> the extract.</w:t>
      </w:r>
      <w:r w:rsidRPr="00391C0B">
        <w:rPr>
          <w:rFonts w:eastAsia="Calibri"/>
        </w:rPr>
        <w:t xml:space="preserve"> One-tenth and one-twenty of the maximum tolerated dose of the extract tested (2000 mg/kg) for acute toxicity did not indicate mortality and were selected for evaluation of the effect of </w:t>
      </w:r>
      <w:r w:rsidRPr="00391C0B">
        <w:rPr>
          <w:rFonts w:eastAsia="Calibri"/>
          <w:i/>
        </w:rPr>
        <w:t>Asparagus racemosus</w:t>
      </w:r>
      <w:r w:rsidRPr="00391C0B">
        <w:rPr>
          <w:rFonts w:eastAsia="Calibri"/>
        </w:rPr>
        <w:t xml:space="preserve"> i.e. 100 and 200 mg/kg.</w:t>
      </w:r>
    </w:p>
    <w:p w:rsidR="00EE7CF9" w:rsidRPr="006B61ED" w:rsidRDefault="00EE7CF9" w:rsidP="0035582B">
      <w:pPr>
        <w:pStyle w:val="Pa9"/>
        <w:spacing w:before="160" w:line="360" w:lineRule="auto"/>
        <w:jc w:val="both"/>
        <w:rPr>
          <w:rFonts w:ascii="Times New Roman" w:hAnsi="Times New Roman"/>
          <w:b/>
          <w:bCs/>
          <w:color w:val="000000"/>
        </w:rPr>
      </w:pPr>
      <w:r w:rsidRPr="006B61ED">
        <w:rPr>
          <w:rFonts w:ascii="Times New Roman" w:hAnsi="Times New Roman"/>
          <w:b/>
          <w:bCs/>
          <w:color w:val="000000"/>
        </w:rPr>
        <w:t xml:space="preserve"> Oxidative stress markers</w:t>
      </w:r>
    </w:p>
    <w:p w:rsidR="00D5317E" w:rsidRDefault="00EE7CF9" w:rsidP="0035582B">
      <w:pPr>
        <w:pStyle w:val="Pa9"/>
        <w:spacing w:before="160" w:line="360" w:lineRule="auto"/>
        <w:jc w:val="both"/>
        <w:rPr>
          <w:rFonts w:ascii="Times New Roman" w:hAnsi="Times New Roman"/>
        </w:rPr>
      </w:pPr>
      <w:r w:rsidRPr="00391C0B">
        <w:rPr>
          <w:rFonts w:ascii="Times New Roman" w:hAnsi="Times New Roman"/>
        </w:rPr>
        <w:t xml:space="preserve">The level of </w:t>
      </w:r>
      <w:r>
        <w:rPr>
          <w:rFonts w:ascii="Times New Roman" w:hAnsi="Times New Roman"/>
        </w:rPr>
        <w:t>GSH</w:t>
      </w:r>
      <w:r w:rsidRPr="00391C0B">
        <w:rPr>
          <w:rFonts w:ascii="Times New Roman" w:hAnsi="Times New Roman"/>
        </w:rPr>
        <w:t>,</w:t>
      </w:r>
      <w:r>
        <w:rPr>
          <w:rFonts w:ascii="Times New Roman" w:hAnsi="Times New Roman"/>
        </w:rPr>
        <w:t xml:space="preserve"> SOD and CAT</w:t>
      </w:r>
      <w:r w:rsidRPr="00391C0B">
        <w:rPr>
          <w:rFonts w:ascii="Times New Roman" w:hAnsi="Times New Roman"/>
        </w:rPr>
        <w:t xml:space="preserve"> activity decreased and</w:t>
      </w:r>
      <w:r>
        <w:rPr>
          <w:rFonts w:ascii="Times New Roman" w:hAnsi="Times New Roman"/>
        </w:rPr>
        <w:t xml:space="preserve"> </w:t>
      </w:r>
      <w:r w:rsidRPr="00391C0B">
        <w:rPr>
          <w:rFonts w:ascii="Times New Roman" w:hAnsi="Times New Roman"/>
        </w:rPr>
        <w:t>the level of lipid peroxidation</w:t>
      </w:r>
      <w:r>
        <w:rPr>
          <w:rFonts w:ascii="Times New Roman" w:hAnsi="Times New Roman"/>
        </w:rPr>
        <w:t xml:space="preserve"> (TBARS)</w:t>
      </w:r>
      <w:r w:rsidRPr="00391C0B">
        <w:rPr>
          <w:rFonts w:ascii="Times New Roman" w:hAnsi="Times New Roman"/>
        </w:rPr>
        <w:t xml:space="preserve"> in LPS</w:t>
      </w:r>
      <w:r>
        <w:rPr>
          <w:rFonts w:ascii="Times New Roman" w:hAnsi="Times New Roman"/>
        </w:rPr>
        <w:t xml:space="preserve"> </w:t>
      </w:r>
      <w:r w:rsidRPr="00391C0B">
        <w:rPr>
          <w:rFonts w:ascii="Times New Roman" w:hAnsi="Times New Roman"/>
        </w:rPr>
        <w:t>only treated group</w:t>
      </w:r>
      <w:r>
        <w:rPr>
          <w:rFonts w:ascii="Times New Roman" w:hAnsi="Times New Roman"/>
        </w:rPr>
        <w:t xml:space="preserve"> </w:t>
      </w:r>
      <w:r w:rsidRPr="00391C0B">
        <w:rPr>
          <w:rFonts w:ascii="Times New Roman" w:hAnsi="Times New Roman"/>
        </w:rPr>
        <w:t>increase</w:t>
      </w:r>
      <w:r>
        <w:rPr>
          <w:rFonts w:ascii="Times New Roman" w:hAnsi="Times New Roman"/>
        </w:rPr>
        <w:t>d</w:t>
      </w:r>
      <w:r w:rsidRPr="00391C0B">
        <w:rPr>
          <w:rFonts w:ascii="Times New Roman" w:hAnsi="Times New Roman"/>
        </w:rPr>
        <w:t xml:space="preserve">. MEAR (100 mg/kg and 200 mg/kg p.o.) supplementation </w:t>
      </w:r>
      <w:r>
        <w:rPr>
          <w:rFonts w:ascii="Times New Roman" w:hAnsi="Times New Roman"/>
        </w:rPr>
        <w:t xml:space="preserve"> was given </w:t>
      </w:r>
      <w:r w:rsidRPr="00391C0B">
        <w:rPr>
          <w:rFonts w:ascii="Times New Roman" w:hAnsi="Times New Roman"/>
        </w:rPr>
        <w:t>for 21 days</w:t>
      </w:r>
      <w:r>
        <w:rPr>
          <w:rFonts w:ascii="Times New Roman" w:hAnsi="Times New Roman"/>
        </w:rPr>
        <w:t xml:space="preserve"> daily </w:t>
      </w:r>
      <w:r w:rsidRPr="00391C0B">
        <w:rPr>
          <w:rFonts w:ascii="Times New Roman" w:hAnsi="Times New Roman"/>
        </w:rPr>
        <w:t xml:space="preserve"> and</w:t>
      </w:r>
      <w:r>
        <w:rPr>
          <w:rFonts w:ascii="Times New Roman" w:hAnsi="Times New Roman"/>
        </w:rPr>
        <w:t xml:space="preserve"> on 21</w:t>
      </w:r>
      <w:r w:rsidRPr="00F8125E">
        <w:rPr>
          <w:rFonts w:ascii="Times New Roman" w:hAnsi="Times New Roman"/>
          <w:vertAlign w:val="superscript"/>
        </w:rPr>
        <w:t>st</w:t>
      </w:r>
      <w:r>
        <w:rPr>
          <w:rFonts w:ascii="Times New Roman" w:hAnsi="Times New Roman"/>
        </w:rPr>
        <w:t xml:space="preserve"> day  </w:t>
      </w:r>
      <w:r w:rsidRPr="00391C0B">
        <w:rPr>
          <w:rFonts w:ascii="Times New Roman" w:hAnsi="Times New Roman"/>
        </w:rPr>
        <w:t xml:space="preserve"> single dose of LPS (4 mg/kg i.p) </w:t>
      </w:r>
      <w:r>
        <w:rPr>
          <w:rFonts w:ascii="Times New Roman" w:hAnsi="Times New Roman"/>
        </w:rPr>
        <w:t xml:space="preserve"> was injected which restored  depleted level </w:t>
      </w:r>
      <w:commentRangeEnd w:id="20"/>
      <w:r w:rsidR="00AC7A7F">
        <w:rPr>
          <w:rStyle w:val="CommentReference"/>
          <w:rFonts w:ascii="Times New Roman" w:eastAsia="Times New Roman" w:hAnsi="Times New Roman"/>
        </w:rPr>
        <w:commentReference w:id="20"/>
      </w:r>
      <w:r>
        <w:rPr>
          <w:rFonts w:ascii="Times New Roman" w:hAnsi="Times New Roman"/>
        </w:rPr>
        <w:t>of antioxidant enzyme i.e. GSH, SOD and CAT in the meanwhile decreased the level of TBARS.</w:t>
      </w:r>
      <w:r w:rsidR="006417ED">
        <w:rPr>
          <w:rFonts w:ascii="Times New Roman" w:hAnsi="Times New Roman"/>
        </w:rPr>
        <w:t>(Table 1</w:t>
      </w:r>
      <w:r w:rsidR="00C34B6A">
        <w:rPr>
          <w:rFonts w:ascii="Times New Roman" w:hAnsi="Times New Roman"/>
        </w:rPr>
        <w:t>)</w:t>
      </w:r>
      <w:r>
        <w:rPr>
          <w:rFonts w:ascii="Times New Roman" w:hAnsi="Times New Roman"/>
        </w:rPr>
        <w:t xml:space="preserve">       </w:t>
      </w:r>
    </w:p>
    <w:p w:rsidR="00D5317E" w:rsidRPr="00366A18" w:rsidRDefault="00D5317E" w:rsidP="0035582B">
      <w:pPr>
        <w:jc w:val="both"/>
        <w:rPr>
          <w:bCs/>
        </w:rPr>
      </w:pPr>
      <w:r>
        <w:t>Table-1</w:t>
      </w:r>
      <w:r w:rsidRPr="00D5317E">
        <w:t xml:space="preserve"> </w:t>
      </w:r>
      <w:r w:rsidRPr="00366A18">
        <w:t>Effect o</w:t>
      </w:r>
      <w:r>
        <w:t xml:space="preserve">f lipopolysaccharide, Quercetin and  </w:t>
      </w:r>
      <w:r w:rsidRPr="00366A18">
        <w:t xml:space="preserve"> </w:t>
      </w:r>
      <w:r w:rsidRPr="00366A18">
        <w:rPr>
          <w:i/>
        </w:rPr>
        <w:t xml:space="preserve">A. racemosus </w:t>
      </w:r>
      <w:r w:rsidRPr="00366A18">
        <w:t xml:space="preserve">extract alone and in combination on </w:t>
      </w:r>
      <w:r w:rsidRPr="00366A18">
        <w:rPr>
          <w:bCs/>
        </w:rPr>
        <w:t>oxidative stress markers in liver</w:t>
      </w:r>
    </w:p>
    <w:p w:rsidR="00D5317E" w:rsidRPr="00D5317E" w:rsidRDefault="00D5317E" w:rsidP="0035582B">
      <w:pPr>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60"/>
        <w:gridCol w:w="1800"/>
        <w:gridCol w:w="2070"/>
        <w:gridCol w:w="1980"/>
        <w:gridCol w:w="1710"/>
      </w:tblGrid>
      <w:tr w:rsidR="00D5317E" w:rsidRPr="00366A18" w:rsidTr="00B432E9">
        <w:trPr>
          <w:trHeight w:val="791"/>
        </w:trPr>
        <w:tc>
          <w:tcPr>
            <w:tcW w:w="828" w:type="dxa"/>
            <w:shd w:val="clear" w:color="auto" w:fill="auto"/>
          </w:tcPr>
          <w:p w:rsidR="00D5317E" w:rsidRPr="00366A18" w:rsidRDefault="00D5317E" w:rsidP="0035582B">
            <w:pPr>
              <w:jc w:val="both"/>
            </w:pPr>
            <w:r w:rsidRPr="00366A18">
              <w:t>Group</w:t>
            </w:r>
          </w:p>
        </w:tc>
        <w:tc>
          <w:tcPr>
            <w:tcW w:w="1260" w:type="dxa"/>
            <w:shd w:val="clear" w:color="auto" w:fill="auto"/>
          </w:tcPr>
          <w:p w:rsidR="00D5317E" w:rsidRPr="00366A18" w:rsidRDefault="00D5317E" w:rsidP="0035582B">
            <w:pPr>
              <w:jc w:val="both"/>
            </w:pPr>
            <w:r w:rsidRPr="00366A18">
              <w:t>Drug treatment</w:t>
            </w:r>
          </w:p>
        </w:tc>
        <w:tc>
          <w:tcPr>
            <w:tcW w:w="1800" w:type="dxa"/>
            <w:shd w:val="clear" w:color="auto" w:fill="auto"/>
          </w:tcPr>
          <w:p w:rsidR="00D5317E" w:rsidRPr="00366A18" w:rsidRDefault="00D5317E" w:rsidP="0035582B">
            <w:pPr>
              <w:autoSpaceDE w:val="0"/>
              <w:autoSpaceDN w:val="0"/>
              <w:adjustRightInd w:val="0"/>
              <w:jc w:val="both"/>
              <w:rPr>
                <w:rFonts w:eastAsia="Calibri"/>
              </w:rPr>
            </w:pPr>
            <w:r w:rsidRPr="00366A18">
              <w:t>TBARS</w:t>
            </w:r>
            <w:r w:rsidRPr="00366A18">
              <w:rPr>
                <w:bCs/>
              </w:rPr>
              <w:t>(</w:t>
            </w:r>
            <w:r w:rsidRPr="00366A18">
              <w:rPr>
                <w:rFonts w:eastAsia="Calibri"/>
                <w:bCs/>
              </w:rPr>
              <w:t>nmols MDA/mg protein)</w:t>
            </w:r>
          </w:p>
        </w:tc>
        <w:tc>
          <w:tcPr>
            <w:tcW w:w="2070" w:type="dxa"/>
            <w:shd w:val="clear" w:color="auto" w:fill="auto"/>
          </w:tcPr>
          <w:p w:rsidR="00D5317E" w:rsidRPr="00366A18" w:rsidRDefault="00D5317E" w:rsidP="0035582B">
            <w:pPr>
              <w:jc w:val="both"/>
            </w:pPr>
            <w:r w:rsidRPr="00366A18">
              <w:t>GSH(µg/mg protein)</w:t>
            </w:r>
          </w:p>
        </w:tc>
        <w:tc>
          <w:tcPr>
            <w:tcW w:w="1980" w:type="dxa"/>
            <w:shd w:val="clear" w:color="auto" w:fill="auto"/>
          </w:tcPr>
          <w:p w:rsidR="00D5317E" w:rsidRPr="00366A18" w:rsidRDefault="00D5317E" w:rsidP="0035582B">
            <w:pPr>
              <w:jc w:val="both"/>
            </w:pPr>
            <w:r w:rsidRPr="00366A18">
              <w:t>CAT(nmolH</w:t>
            </w:r>
            <w:r w:rsidRPr="00366A18">
              <w:rPr>
                <w:vertAlign w:val="subscript"/>
              </w:rPr>
              <w:t>2</w:t>
            </w:r>
            <w:r w:rsidRPr="00366A18">
              <w:t>O</w:t>
            </w:r>
            <w:r w:rsidRPr="00366A18">
              <w:rPr>
                <w:vertAlign w:val="subscript"/>
              </w:rPr>
              <w:t>2</w:t>
            </w:r>
            <w:r w:rsidRPr="00366A18">
              <w:t>/mg protein)</w:t>
            </w:r>
          </w:p>
        </w:tc>
        <w:tc>
          <w:tcPr>
            <w:tcW w:w="1710" w:type="dxa"/>
            <w:shd w:val="clear" w:color="auto" w:fill="auto"/>
          </w:tcPr>
          <w:p w:rsidR="00D5317E" w:rsidRPr="00366A18" w:rsidRDefault="00D5317E" w:rsidP="0035582B">
            <w:pPr>
              <w:jc w:val="both"/>
            </w:pPr>
            <w:r w:rsidRPr="00366A18">
              <w:t>SOD(Units/mg protein)</w:t>
            </w:r>
          </w:p>
        </w:tc>
      </w:tr>
      <w:tr w:rsidR="00D5317E" w:rsidRPr="00366A18" w:rsidTr="00B432E9">
        <w:tc>
          <w:tcPr>
            <w:tcW w:w="828" w:type="dxa"/>
            <w:shd w:val="clear" w:color="auto" w:fill="auto"/>
          </w:tcPr>
          <w:p w:rsidR="00D5317E" w:rsidRPr="00366A18" w:rsidRDefault="00D5317E" w:rsidP="0035582B">
            <w:pPr>
              <w:jc w:val="both"/>
            </w:pPr>
            <w:r w:rsidRPr="00366A18">
              <w:lastRenderedPageBreak/>
              <w:t>I</w:t>
            </w:r>
          </w:p>
        </w:tc>
        <w:tc>
          <w:tcPr>
            <w:tcW w:w="1260" w:type="dxa"/>
            <w:shd w:val="clear" w:color="auto" w:fill="auto"/>
          </w:tcPr>
          <w:p w:rsidR="00D5317E" w:rsidRPr="00366A18" w:rsidRDefault="00D5317E" w:rsidP="0035582B">
            <w:pPr>
              <w:jc w:val="both"/>
            </w:pPr>
            <w:r w:rsidRPr="00366A18">
              <w:t>Control</w:t>
            </w:r>
          </w:p>
        </w:tc>
        <w:tc>
          <w:tcPr>
            <w:tcW w:w="1800" w:type="dxa"/>
            <w:shd w:val="clear" w:color="auto" w:fill="auto"/>
          </w:tcPr>
          <w:p w:rsidR="00D5317E" w:rsidRPr="00366A18" w:rsidRDefault="00D5317E" w:rsidP="0035582B">
            <w:pPr>
              <w:jc w:val="both"/>
            </w:pPr>
            <w:r w:rsidRPr="00366A18">
              <w:t>3.502±0.0596</w:t>
            </w:r>
          </w:p>
        </w:tc>
        <w:tc>
          <w:tcPr>
            <w:tcW w:w="2070" w:type="dxa"/>
            <w:shd w:val="clear" w:color="auto" w:fill="auto"/>
          </w:tcPr>
          <w:p w:rsidR="00D5317E" w:rsidRPr="00366A18" w:rsidRDefault="00D5317E" w:rsidP="0035582B">
            <w:pPr>
              <w:jc w:val="both"/>
            </w:pPr>
            <w:r w:rsidRPr="00366A18">
              <w:t>3.292±0.043</w:t>
            </w:r>
          </w:p>
        </w:tc>
        <w:tc>
          <w:tcPr>
            <w:tcW w:w="1980" w:type="dxa"/>
            <w:shd w:val="clear" w:color="auto" w:fill="auto"/>
          </w:tcPr>
          <w:p w:rsidR="00D5317E" w:rsidRPr="00366A18" w:rsidRDefault="00D5317E" w:rsidP="0035582B">
            <w:pPr>
              <w:jc w:val="both"/>
            </w:pPr>
            <w:r w:rsidRPr="00366A18">
              <w:t>19.625±0.939</w:t>
            </w:r>
          </w:p>
        </w:tc>
        <w:tc>
          <w:tcPr>
            <w:tcW w:w="1710" w:type="dxa"/>
            <w:shd w:val="clear" w:color="auto" w:fill="auto"/>
          </w:tcPr>
          <w:p w:rsidR="00D5317E" w:rsidRPr="00366A18" w:rsidRDefault="00D5317E" w:rsidP="0035582B">
            <w:pPr>
              <w:jc w:val="both"/>
            </w:pPr>
            <w:r w:rsidRPr="00366A18">
              <w:t>2.64±0.086</w:t>
            </w:r>
          </w:p>
        </w:tc>
      </w:tr>
      <w:tr w:rsidR="00D5317E" w:rsidRPr="00366A18" w:rsidTr="00B432E9">
        <w:tc>
          <w:tcPr>
            <w:tcW w:w="828" w:type="dxa"/>
            <w:shd w:val="clear" w:color="auto" w:fill="auto"/>
          </w:tcPr>
          <w:p w:rsidR="00D5317E" w:rsidRPr="00366A18" w:rsidRDefault="00D5317E" w:rsidP="0035582B">
            <w:pPr>
              <w:jc w:val="both"/>
            </w:pPr>
            <w:r w:rsidRPr="00366A18">
              <w:t>II</w:t>
            </w:r>
          </w:p>
        </w:tc>
        <w:tc>
          <w:tcPr>
            <w:tcW w:w="1260" w:type="dxa"/>
            <w:shd w:val="clear" w:color="auto" w:fill="auto"/>
          </w:tcPr>
          <w:p w:rsidR="00D5317E" w:rsidRPr="00366A18" w:rsidRDefault="00D5317E" w:rsidP="0035582B">
            <w:pPr>
              <w:jc w:val="both"/>
            </w:pPr>
            <w:r w:rsidRPr="00366A18">
              <w:t>LPS</w:t>
            </w:r>
          </w:p>
        </w:tc>
        <w:tc>
          <w:tcPr>
            <w:tcW w:w="1800" w:type="dxa"/>
            <w:shd w:val="clear" w:color="auto" w:fill="auto"/>
          </w:tcPr>
          <w:p w:rsidR="00D5317E" w:rsidRPr="00366A18" w:rsidRDefault="00D5317E" w:rsidP="0035582B">
            <w:pPr>
              <w:jc w:val="both"/>
            </w:pPr>
            <w:r w:rsidRPr="00366A18">
              <w:t>6.33±0.0743</w:t>
            </w:r>
            <w:r w:rsidRPr="00366A18">
              <w:rPr>
                <w:vertAlign w:val="superscript"/>
              </w:rPr>
              <w:t>*</w:t>
            </w:r>
            <w:r w:rsidRPr="00366A18">
              <w:rPr>
                <w:rFonts w:eastAsia="Calibri"/>
                <w:vertAlign w:val="superscript"/>
              </w:rPr>
              <w:t>**</w:t>
            </w:r>
          </w:p>
        </w:tc>
        <w:tc>
          <w:tcPr>
            <w:tcW w:w="2070" w:type="dxa"/>
            <w:shd w:val="clear" w:color="auto" w:fill="auto"/>
          </w:tcPr>
          <w:p w:rsidR="00D5317E" w:rsidRPr="00366A18" w:rsidRDefault="00D5317E" w:rsidP="0035582B">
            <w:pPr>
              <w:jc w:val="both"/>
            </w:pPr>
            <w:r w:rsidRPr="00366A18">
              <w:t>1.666±0.035</w:t>
            </w:r>
            <w:r w:rsidRPr="00366A18">
              <w:rPr>
                <w:vertAlign w:val="superscript"/>
              </w:rPr>
              <w:t>*</w:t>
            </w:r>
            <w:r w:rsidRPr="00366A18">
              <w:rPr>
                <w:rFonts w:eastAsia="Calibri"/>
                <w:vertAlign w:val="superscript"/>
              </w:rPr>
              <w:t>**</w:t>
            </w:r>
          </w:p>
        </w:tc>
        <w:tc>
          <w:tcPr>
            <w:tcW w:w="1980" w:type="dxa"/>
            <w:shd w:val="clear" w:color="auto" w:fill="auto"/>
          </w:tcPr>
          <w:p w:rsidR="00D5317E" w:rsidRPr="00366A18" w:rsidRDefault="00D5317E" w:rsidP="0035582B">
            <w:pPr>
              <w:jc w:val="both"/>
            </w:pPr>
            <w:r w:rsidRPr="00366A18">
              <w:t>9.912±0.919</w:t>
            </w:r>
            <w:r w:rsidRPr="00366A18">
              <w:rPr>
                <w:vertAlign w:val="superscript"/>
              </w:rPr>
              <w:t>*</w:t>
            </w:r>
            <w:r w:rsidRPr="00366A18">
              <w:rPr>
                <w:rFonts w:eastAsia="Calibri"/>
                <w:vertAlign w:val="superscript"/>
              </w:rPr>
              <w:t>**</w:t>
            </w:r>
          </w:p>
        </w:tc>
        <w:tc>
          <w:tcPr>
            <w:tcW w:w="1710" w:type="dxa"/>
            <w:shd w:val="clear" w:color="auto" w:fill="auto"/>
          </w:tcPr>
          <w:p w:rsidR="00D5317E" w:rsidRPr="00366A18" w:rsidRDefault="00D5317E" w:rsidP="0035582B">
            <w:pPr>
              <w:jc w:val="both"/>
            </w:pPr>
            <w:r w:rsidRPr="00366A18">
              <w:t>1.424±0.067</w:t>
            </w:r>
            <w:r w:rsidRPr="00366A18">
              <w:rPr>
                <w:vertAlign w:val="superscript"/>
              </w:rPr>
              <w:t>*</w:t>
            </w:r>
            <w:r w:rsidRPr="00366A18">
              <w:rPr>
                <w:rFonts w:eastAsia="Calibri"/>
                <w:vertAlign w:val="superscript"/>
              </w:rPr>
              <w:t>**</w:t>
            </w:r>
          </w:p>
        </w:tc>
      </w:tr>
      <w:tr w:rsidR="00D5317E" w:rsidRPr="00366A18" w:rsidTr="00B432E9">
        <w:trPr>
          <w:trHeight w:val="314"/>
        </w:trPr>
        <w:tc>
          <w:tcPr>
            <w:tcW w:w="828" w:type="dxa"/>
            <w:shd w:val="clear" w:color="auto" w:fill="auto"/>
          </w:tcPr>
          <w:p w:rsidR="00D5317E" w:rsidRPr="00366A18" w:rsidRDefault="00D5317E" w:rsidP="0035582B">
            <w:pPr>
              <w:jc w:val="both"/>
            </w:pPr>
            <w:r w:rsidRPr="00366A18">
              <w:t>III</w:t>
            </w:r>
          </w:p>
        </w:tc>
        <w:tc>
          <w:tcPr>
            <w:tcW w:w="1260" w:type="dxa"/>
            <w:shd w:val="clear" w:color="auto" w:fill="auto"/>
          </w:tcPr>
          <w:p w:rsidR="00D5317E" w:rsidRPr="00366A18" w:rsidRDefault="00D5317E" w:rsidP="0035582B">
            <w:pPr>
              <w:jc w:val="both"/>
            </w:pPr>
            <w:r w:rsidRPr="00366A18">
              <w:t>QT</w:t>
            </w:r>
          </w:p>
        </w:tc>
        <w:tc>
          <w:tcPr>
            <w:tcW w:w="1800" w:type="dxa"/>
            <w:shd w:val="clear" w:color="auto" w:fill="auto"/>
          </w:tcPr>
          <w:p w:rsidR="00D5317E" w:rsidRPr="00366A18" w:rsidRDefault="00D5317E" w:rsidP="0035582B">
            <w:pPr>
              <w:jc w:val="both"/>
            </w:pPr>
            <w:r w:rsidRPr="00366A18">
              <w:t>3.974±0.0812</w:t>
            </w:r>
            <w:r w:rsidRPr="00366A18">
              <w:rPr>
                <w:vertAlign w:val="superscript"/>
              </w:rPr>
              <w:t>#</w:t>
            </w:r>
            <w:r w:rsidRPr="00366A18">
              <w:rPr>
                <w:rFonts w:eastAsia="Calibri"/>
                <w:vertAlign w:val="superscript"/>
              </w:rPr>
              <w:t>##</w:t>
            </w:r>
          </w:p>
        </w:tc>
        <w:tc>
          <w:tcPr>
            <w:tcW w:w="2070" w:type="dxa"/>
            <w:shd w:val="clear" w:color="auto" w:fill="auto"/>
          </w:tcPr>
          <w:p w:rsidR="00D5317E" w:rsidRPr="00366A18" w:rsidRDefault="00D5317E" w:rsidP="0035582B">
            <w:pPr>
              <w:jc w:val="both"/>
            </w:pPr>
            <w:r w:rsidRPr="00366A18">
              <w:t>2.876±0.073</w:t>
            </w:r>
            <w:r w:rsidRPr="00366A18">
              <w:rPr>
                <w:vertAlign w:val="superscript"/>
              </w:rPr>
              <w:t>#</w:t>
            </w:r>
            <w:r w:rsidRPr="00366A18">
              <w:rPr>
                <w:rFonts w:eastAsia="Calibri"/>
                <w:vertAlign w:val="superscript"/>
              </w:rPr>
              <w:t>##</w:t>
            </w:r>
          </w:p>
        </w:tc>
        <w:tc>
          <w:tcPr>
            <w:tcW w:w="1980" w:type="dxa"/>
            <w:shd w:val="clear" w:color="auto" w:fill="auto"/>
          </w:tcPr>
          <w:p w:rsidR="00D5317E" w:rsidRPr="00366A18" w:rsidRDefault="00D5317E" w:rsidP="0035582B">
            <w:pPr>
              <w:jc w:val="both"/>
            </w:pPr>
            <w:r w:rsidRPr="00366A18">
              <w:t>15.716±0.285</w:t>
            </w:r>
            <w:r w:rsidRPr="00366A18">
              <w:rPr>
                <w:vertAlign w:val="superscript"/>
              </w:rPr>
              <w:t>#</w:t>
            </w:r>
            <w:r w:rsidRPr="00366A18">
              <w:rPr>
                <w:rFonts w:eastAsia="Calibri"/>
                <w:vertAlign w:val="superscript"/>
              </w:rPr>
              <w:t>##</w:t>
            </w:r>
          </w:p>
        </w:tc>
        <w:tc>
          <w:tcPr>
            <w:tcW w:w="1710" w:type="dxa"/>
            <w:shd w:val="clear" w:color="auto" w:fill="auto"/>
          </w:tcPr>
          <w:p w:rsidR="00D5317E" w:rsidRPr="00366A18" w:rsidRDefault="00D5317E" w:rsidP="0035582B">
            <w:pPr>
              <w:jc w:val="both"/>
            </w:pPr>
            <w:r w:rsidRPr="00366A18">
              <w:t>2.20±0.087</w:t>
            </w:r>
            <w:r w:rsidRPr="00366A18">
              <w:rPr>
                <w:vertAlign w:val="superscript"/>
              </w:rPr>
              <w:t>#</w:t>
            </w:r>
            <w:r w:rsidRPr="00366A18">
              <w:rPr>
                <w:rFonts w:eastAsia="Calibri"/>
                <w:vertAlign w:val="superscript"/>
              </w:rPr>
              <w:t>##</w:t>
            </w:r>
          </w:p>
        </w:tc>
      </w:tr>
      <w:tr w:rsidR="00D5317E" w:rsidRPr="00366A18" w:rsidTr="00B432E9">
        <w:tc>
          <w:tcPr>
            <w:tcW w:w="828" w:type="dxa"/>
            <w:shd w:val="clear" w:color="auto" w:fill="auto"/>
          </w:tcPr>
          <w:p w:rsidR="00D5317E" w:rsidRPr="00366A18" w:rsidRDefault="00D5317E" w:rsidP="0035582B">
            <w:pPr>
              <w:jc w:val="both"/>
            </w:pPr>
            <w:r w:rsidRPr="00366A18">
              <w:t>IV</w:t>
            </w:r>
          </w:p>
        </w:tc>
        <w:tc>
          <w:tcPr>
            <w:tcW w:w="1260" w:type="dxa"/>
            <w:shd w:val="clear" w:color="auto" w:fill="auto"/>
          </w:tcPr>
          <w:p w:rsidR="00D5317E" w:rsidRPr="00366A18" w:rsidRDefault="00D5317E" w:rsidP="0035582B">
            <w:pPr>
              <w:jc w:val="both"/>
            </w:pPr>
            <w:r w:rsidRPr="00366A18">
              <w:t>AR</w:t>
            </w:r>
            <w:r w:rsidRPr="00366A18">
              <w:rPr>
                <w:vertAlign w:val="subscript"/>
              </w:rPr>
              <w:t>1</w:t>
            </w:r>
          </w:p>
        </w:tc>
        <w:tc>
          <w:tcPr>
            <w:tcW w:w="1800" w:type="dxa"/>
            <w:shd w:val="clear" w:color="auto" w:fill="auto"/>
          </w:tcPr>
          <w:p w:rsidR="00D5317E" w:rsidRPr="00366A18" w:rsidRDefault="00D5317E" w:rsidP="0035582B">
            <w:pPr>
              <w:jc w:val="both"/>
            </w:pPr>
            <w:r w:rsidRPr="00366A18">
              <w:t>5.614±0.1062</w:t>
            </w:r>
            <w:r w:rsidRPr="00366A18">
              <w:rPr>
                <w:vertAlign w:val="superscript"/>
              </w:rPr>
              <w:t>#</w:t>
            </w:r>
            <w:r w:rsidRPr="00366A18">
              <w:rPr>
                <w:rFonts w:eastAsia="Calibri"/>
                <w:vertAlign w:val="superscript"/>
              </w:rPr>
              <w:t>#</w:t>
            </w:r>
          </w:p>
        </w:tc>
        <w:tc>
          <w:tcPr>
            <w:tcW w:w="2070" w:type="dxa"/>
            <w:shd w:val="clear" w:color="auto" w:fill="auto"/>
          </w:tcPr>
          <w:p w:rsidR="00D5317E" w:rsidRPr="00366A18" w:rsidRDefault="00D5317E" w:rsidP="0035582B">
            <w:pPr>
              <w:jc w:val="both"/>
            </w:pPr>
            <w:r w:rsidRPr="00366A18">
              <w:t>1.794±0.022</w:t>
            </w:r>
            <w:r w:rsidRPr="00366A18">
              <w:rPr>
                <w:vertAlign w:val="superscript"/>
              </w:rPr>
              <w:t>ns</w:t>
            </w:r>
          </w:p>
        </w:tc>
        <w:tc>
          <w:tcPr>
            <w:tcW w:w="1980" w:type="dxa"/>
            <w:shd w:val="clear" w:color="auto" w:fill="auto"/>
          </w:tcPr>
          <w:p w:rsidR="00D5317E" w:rsidRPr="00366A18" w:rsidRDefault="00D5317E" w:rsidP="0035582B">
            <w:pPr>
              <w:jc w:val="both"/>
            </w:pPr>
            <w:r w:rsidRPr="00366A18">
              <w:t>12.200±0.504</w:t>
            </w:r>
            <w:r w:rsidRPr="00366A18">
              <w:rPr>
                <w:vertAlign w:val="superscript"/>
              </w:rPr>
              <w:t>ns</w:t>
            </w:r>
          </w:p>
        </w:tc>
        <w:tc>
          <w:tcPr>
            <w:tcW w:w="1710" w:type="dxa"/>
            <w:shd w:val="clear" w:color="auto" w:fill="auto"/>
          </w:tcPr>
          <w:p w:rsidR="00D5317E" w:rsidRPr="00366A18" w:rsidRDefault="00D5317E" w:rsidP="0035582B">
            <w:pPr>
              <w:jc w:val="both"/>
            </w:pPr>
            <w:r w:rsidRPr="00366A18">
              <w:t>1.584±0.058</w:t>
            </w:r>
            <w:r w:rsidRPr="00366A18">
              <w:rPr>
                <w:vertAlign w:val="superscript"/>
              </w:rPr>
              <w:t>ns</w:t>
            </w:r>
          </w:p>
        </w:tc>
      </w:tr>
      <w:tr w:rsidR="00D5317E" w:rsidRPr="00366A18" w:rsidTr="00B432E9">
        <w:trPr>
          <w:trHeight w:val="332"/>
        </w:trPr>
        <w:tc>
          <w:tcPr>
            <w:tcW w:w="828" w:type="dxa"/>
            <w:shd w:val="clear" w:color="auto" w:fill="auto"/>
          </w:tcPr>
          <w:p w:rsidR="00D5317E" w:rsidRPr="00366A18" w:rsidRDefault="00D5317E" w:rsidP="0035582B">
            <w:pPr>
              <w:jc w:val="both"/>
            </w:pPr>
            <w:r w:rsidRPr="00366A18">
              <w:t>V</w:t>
            </w:r>
          </w:p>
        </w:tc>
        <w:tc>
          <w:tcPr>
            <w:tcW w:w="1260" w:type="dxa"/>
            <w:shd w:val="clear" w:color="auto" w:fill="auto"/>
          </w:tcPr>
          <w:p w:rsidR="00D5317E" w:rsidRPr="00366A18" w:rsidRDefault="00D5317E" w:rsidP="0035582B">
            <w:pPr>
              <w:jc w:val="both"/>
            </w:pPr>
            <w:r w:rsidRPr="00366A18">
              <w:t>AR</w:t>
            </w:r>
            <w:r w:rsidRPr="00366A18">
              <w:rPr>
                <w:vertAlign w:val="subscript"/>
              </w:rPr>
              <w:t>2</w:t>
            </w:r>
          </w:p>
        </w:tc>
        <w:tc>
          <w:tcPr>
            <w:tcW w:w="1800" w:type="dxa"/>
            <w:shd w:val="clear" w:color="auto" w:fill="auto"/>
          </w:tcPr>
          <w:p w:rsidR="00D5317E" w:rsidRPr="00366A18" w:rsidRDefault="00D5317E" w:rsidP="0035582B">
            <w:pPr>
              <w:jc w:val="both"/>
            </w:pPr>
            <w:r w:rsidRPr="00366A18">
              <w:t>5.386±0.117</w:t>
            </w:r>
            <w:r w:rsidRPr="00366A18">
              <w:rPr>
                <w:vertAlign w:val="superscript"/>
              </w:rPr>
              <w:t>#</w:t>
            </w:r>
            <w:r w:rsidRPr="00366A18">
              <w:rPr>
                <w:rFonts w:eastAsia="Calibri"/>
                <w:vertAlign w:val="superscript"/>
              </w:rPr>
              <w:t>##</w:t>
            </w:r>
          </w:p>
        </w:tc>
        <w:tc>
          <w:tcPr>
            <w:tcW w:w="2070" w:type="dxa"/>
            <w:shd w:val="clear" w:color="auto" w:fill="auto"/>
          </w:tcPr>
          <w:p w:rsidR="00D5317E" w:rsidRPr="00366A18" w:rsidRDefault="00D5317E" w:rsidP="0035582B">
            <w:pPr>
              <w:jc w:val="both"/>
            </w:pPr>
            <w:r w:rsidRPr="00366A18">
              <w:t>1.942±0.054</w:t>
            </w:r>
            <w:r w:rsidRPr="00366A18">
              <w:rPr>
                <w:vertAlign w:val="superscript"/>
              </w:rPr>
              <w:t>#</w:t>
            </w:r>
          </w:p>
        </w:tc>
        <w:tc>
          <w:tcPr>
            <w:tcW w:w="1980" w:type="dxa"/>
            <w:shd w:val="clear" w:color="auto" w:fill="auto"/>
          </w:tcPr>
          <w:p w:rsidR="00D5317E" w:rsidRPr="00366A18" w:rsidRDefault="00D5317E" w:rsidP="0035582B">
            <w:pPr>
              <w:jc w:val="both"/>
            </w:pPr>
            <w:r w:rsidRPr="00366A18">
              <w:t>13.788±0.359</w:t>
            </w:r>
            <w:r w:rsidRPr="00366A18">
              <w:rPr>
                <w:vertAlign w:val="superscript"/>
              </w:rPr>
              <w:t>#</w:t>
            </w:r>
          </w:p>
        </w:tc>
        <w:tc>
          <w:tcPr>
            <w:tcW w:w="1710" w:type="dxa"/>
            <w:shd w:val="clear" w:color="auto" w:fill="auto"/>
          </w:tcPr>
          <w:p w:rsidR="00D5317E" w:rsidRPr="00366A18" w:rsidRDefault="00D5317E" w:rsidP="0035582B">
            <w:pPr>
              <w:jc w:val="both"/>
            </w:pPr>
            <w:r w:rsidRPr="00366A18">
              <w:t>1.784±0.0508</w:t>
            </w:r>
            <w:r w:rsidRPr="00366A18">
              <w:rPr>
                <w:vertAlign w:val="superscript"/>
              </w:rPr>
              <w:t>#</w:t>
            </w:r>
          </w:p>
        </w:tc>
      </w:tr>
      <w:tr w:rsidR="00D5317E" w:rsidRPr="00366A18" w:rsidTr="00B432E9">
        <w:tc>
          <w:tcPr>
            <w:tcW w:w="828" w:type="dxa"/>
            <w:shd w:val="clear" w:color="auto" w:fill="auto"/>
          </w:tcPr>
          <w:p w:rsidR="00D5317E" w:rsidRPr="00366A18" w:rsidRDefault="00D5317E" w:rsidP="0035582B">
            <w:pPr>
              <w:jc w:val="both"/>
            </w:pPr>
            <w:r w:rsidRPr="00366A18">
              <w:t>VI</w:t>
            </w:r>
          </w:p>
        </w:tc>
        <w:tc>
          <w:tcPr>
            <w:tcW w:w="1260" w:type="dxa"/>
            <w:shd w:val="clear" w:color="auto" w:fill="auto"/>
          </w:tcPr>
          <w:p w:rsidR="00D5317E" w:rsidRPr="00366A18" w:rsidRDefault="00D5317E" w:rsidP="0035582B">
            <w:pPr>
              <w:jc w:val="both"/>
            </w:pPr>
            <w:r w:rsidRPr="00366A18">
              <w:t>AR</w:t>
            </w:r>
            <w:r w:rsidRPr="00366A18">
              <w:rPr>
                <w:vertAlign w:val="subscript"/>
              </w:rPr>
              <w:t>2</w:t>
            </w:r>
            <w:r w:rsidRPr="00366A18">
              <w:t>+QT</w:t>
            </w:r>
          </w:p>
        </w:tc>
        <w:tc>
          <w:tcPr>
            <w:tcW w:w="1800" w:type="dxa"/>
            <w:shd w:val="clear" w:color="auto" w:fill="auto"/>
          </w:tcPr>
          <w:p w:rsidR="00D5317E" w:rsidRPr="00366A18" w:rsidRDefault="00D5317E" w:rsidP="0035582B">
            <w:pPr>
              <w:jc w:val="both"/>
            </w:pPr>
            <w:r w:rsidRPr="00366A18">
              <w:t>3.802±0.049</w:t>
            </w:r>
            <w:r w:rsidRPr="00366A18">
              <w:rPr>
                <w:vertAlign w:val="superscript"/>
              </w:rPr>
              <w:t>#</w:t>
            </w:r>
            <w:r w:rsidRPr="00366A18">
              <w:rPr>
                <w:rFonts w:eastAsia="Calibri"/>
                <w:vertAlign w:val="superscript"/>
              </w:rPr>
              <w:t>##</w:t>
            </w:r>
          </w:p>
        </w:tc>
        <w:tc>
          <w:tcPr>
            <w:tcW w:w="2070" w:type="dxa"/>
            <w:shd w:val="clear" w:color="auto" w:fill="auto"/>
          </w:tcPr>
          <w:p w:rsidR="00D5317E" w:rsidRPr="00366A18" w:rsidRDefault="00D5317E" w:rsidP="0035582B">
            <w:pPr>
              <w:jc w:val="both"/>
            </w:pPr>
            <w:r w:rsidRPr="00366A18">
              <w:t>3.204±0.0423</w:t>
            </w:r>
            <w:r w:rsidRPr="00366A18">
              <w:rPr>
                <w:vertAlign w:val="superscript"/>
              </w:rPr>
              <w:t>#</w:t>
            </w:r>
            <w:r w:rsidRPr="00366A18">
              <w:rPr>
                <w:rFonts w:eastAsia="Calibri"/>
                <w:vertAlign w:val="superscript"/>
              </w:rPr>
              <w:t>##</w:t>
            </w:r>
          </w:p>
        </w:tc>
        <w:tc>
          <w:tcPr>
            <w:tcW w:w="1980" w:type="dxa"/>
            <w:shd w:val="clear" w:color="auto" w:fill="auto"/>
          </w:tcPr>
          <w:p w:rsidR="00D5317E" w:rsidRPr="00366A18" w:rsidRDefault="00D5317E" w:rsidP="0035582B">
            <w:pPr>
              <w:jc w:val="both"/>
            </w:pPr>
            <w:r w:rsidRPr="00366A18">
              <w:t>17.70±0.475</w:t>
            </w:r>
            <w:r w:rsidRPr="00366A18">
              <w:rPr>
                <w:vertAlign w:val="superscript"/>
              </w:rPr>
              <w:t>#</w:t>
            </w:r>
            <w:r w:rsidRPr="00366A18">
              <w:rPr>
                <w:rFonts w:eastAsia="Calibri"/>
                <w:vertAlign w:val="superscript"/>
              </w:rPr>
              <w:t>##</w:t>
            </w:r>
          </w:p>
        </w:tc>
        <w:tc>
          <w:tcPr>
            <w:tcW w:w="1710" w:type="dxa"/>
            <w:shd w:val="clear" w:color="auto" w:fill="auto"/>
          </w:tcPr>
          <w:p w:rsidR="00D5317E" w:rsidRPr="00366A18" w:rsidRDefault="00D5317E" w:rsidP="0035582B">
            <w:pPr>
              <w:jc w:val="both"/>
            </w:pPr>
            <w:r w:rsidRPr="00366A18">
              <w:t>2.324±0.0305</w:t>
            </w:r>
            <w:r w:rsidRPr="00366A18">
              <w:rPr>
                <w:vertAlign w:val="superscript"/>
              </w:rPr>
              <w:t>#</w:t>
            </w:r>
            <w:r w:rsidRPr="00366A18">
              <w:rPr>
                <w:rFonts w:eastAsia="Calibri"/>
                <w:vertAlign w:val="superscript"/>
              </w:rPr>
              <w:t>##</w:t>
            </w:r>
          </w:p>
        </w:tc>
      </w:tr>
      <w:tr w:rsidR="00D5317E" w:rsidRPr="00366A18" w:rsidTr="00B432E9">
        <w:trPr>
          <w:trHeight w:val="152"/>
        </w:trPr>
        <w:tc>
          <w:tcPr>
            <w:tcW w:w="828" w:type="dxa"/>
            <w:shd w:val="clear" w:color="auto" w:fill="auto"/>
          </w:tcPr>
          <w:p w:rsidR="00D5317E" w:rsidRPr="00366A18" w:rsidRDefault="00D5317E" w:rsidP="0035582B">
            <w:pPr>
              <w:jc w:val="both"/>
            </w:pPr>
            <w:r w:rsidRPr="00366A18">
              <w:t>VII</w:t>
            </w:r>
          </w:p>
        </w:tc>
        <w:tc>
          <w:tcPr>
            <w:tcW w:w="1260" w:type="dxa"/>
            <w:shd w:val="clear" w:color="auto" w:fill="auto"/>
          </w:tcPr>
          <w:p w:rsidR="00D5317E" w:rsidRPr="00366A18" w:rsidRDefault="00D5317E" w:rsidP="0035582B">
            <w:pPr>
              <w:jc w:val="both"/>
            </w:pPr>
            <w:r w:rsidRPr="00366A18">
              <w:t>AR</w:t>
            </w:r>
            <w:r w:rsidRPr="00366A18">
              <w:rPr>
                <w:vertAlign w:val="subscript"/>
              </w:rPr>
              <w:t>2</w:t>
            </w:r>
            <w:r w:rsidRPr="00366A18">
              <w:t xml:space="preserve"> perse</w:t>
            </w:r>
          </w:p>
        </w:tc>
        <w:tc>
          <w:tcPr>
            <w:tcW w:w="1800" w:type="dxa"/>
            <w:shd w:val="clear" w:color="auto" w:fill="auto"/>
          </w:tcPr>
          <w:p w:rsidR="00D5317E" w:rsidRPr="00366A18" w:rsidRDefault="00D5317E" w:rsidP="0035582B">
            <w:pPr>
              <w:jc w:val="both"/>
            </w:pPr>
            <w:r w:rsidRPr="00366A18">
              <w:t>3.598±0.113</w:t>
            </w:r>
          </w:p>
        </w:tc>
        <w:tc>
          <w:tcPr>
            <w:tcW w:w="2070" w:type="dxa"/>
            <w:shd w:val="clear" w:color="auto" w:fill="auto"/>
          </w:tcPr>
          <w:p w:rsidR="00D5317E" w:rsidRPr="00366A18" w:rsidRDefault="00D5317E" w:rsidP="0035582B">
            <w:pPr>
              <w:jc w:val="both"/>
            </w:pPr>
            <w:r w:rsidRPr="00366A18">
              <w:t>3.516±0.036</w:t>
            </w:r>
          </w:p>
        </w:tc>
        <w:tc>
          <w:tcPr>
            <w:tcW w:w="1980" w:type="dxa"/>
            <w:shd w:val="clear" w:color="auto" w:fill="auto"/>
          </w:tcPr>
          <w:p w:rsidR="00D5317E" w:rsidRPr="00366A18" w:rsidRDefault="00D5317E" w:rsidP="0035582B">
            <w:pPr>
              <w:jc w:val="both"/>
            </w:pPr>
            <w:r w:rsidRPr="00366A18">
              <w:t>19.292±1.066</w:t>
            </w:r>
          </w:p>
        </w:tc>
        <w:tc>
          <w:tcPr>
            <w:tcW w:w="1710" w:type="dxa"/>
            <w:shd w:val="clear" w:color="auto" w:fill="auto"/>
          </w:tcPr>
          <w:p w:rsidR="00D5317E" w:rsidRPr="00366A18" w:rsidRDefault="00D5317E" w:rsidP="0035582B">
            <w:pPr>
              <w:jc w:val="both"/>
            </w:pPr>
            <w:r w:rsidRPr="00366A18">
              <w:t>2.616±0.099</w:t>
            </w:r>
          </w:p>
        </w:tc>
      </w:tr>
    </w:tbl>
    <w:p w:rsidR="00927873" w:rsidRPr="00927873" w:rsidRDefault="00927873" w:rsidP="0035582B">
      <w:pPr>
        <w:jc w:val="both"/>
        <w:rPr>
          <w:b/>
          <w:bCs/>
          <w:sz w:val="16"/>
          <w:szCs w:val="16"/>
        </w:rPr>
      </w:pPr>
      <w:r w:rsidRPr="00927873">
        <w:rPr>
          <w:bCs/>
          <w:sz w:val="16"/>
          <w:szCs w:val="16"/>
        </w:rPr>
        <w:t>LPS-Lipopolysaccharide, AR</w:t>
      </w:r>
      <w:r w:rsidRPr="00927873">
        <w:rPr>
          <w:bCs/>
          <w:sz w:val="16"/>
          <w:szCs w:val="16"/>
          <w:vertAlign w:val="subscript"/>
        </w:rPr>
        <w:t>1</w:t>
      </w:r>
      <w:r w:rsidRPr="00927873">
        <w:rPr>
          <w:bCs/>
          <w:sz w:val="16"/>
          <w:szCs w:val="16"/>
        </w:rPr>
        <w:t>- Lower dose of Asparagus racemosus extract, AR</w:t>
      </w:r>
      <w:r w:rsidRPr="00927873">
        <w:rPr>
          <w:bCs/>
          <w:sz w:val="16"/>
          <w:szCs w:val="16"/>
          <w:vertAlign w:val="subscript"/>
        </w:rPr>
        <w:t>2</w:t>
      </w:r>
      <w:r w:rsidRPr="00927873">
        <w:rPr>
          <w:bCs/>
          <w:sz w:val="16"/>
          <w:szCs w:val="16"/>
        </w:rPr>
        <w:t>- Higher dose of Asparagus racemosus extract, QT-Quercetin</w:t>
      </w:r>
    </w:p>
    <w:p w:rsidR="00D5317E" w:rsidRPr="00366A18" w:rsidRDefault="00D5317E" w:rsidP="0035582B">
      <w:pPr>
        <w:jc w:val="both"/>
        <w:rPr>
          <w:b/>
          <w:bCs/>
        </w:rPr>
      </w:pPr>
    </w:p>
    <w:p w:rsidR="00D5317E" w:rsidRPr="00366A18" w:rsidRDefault="00D5317E" w:rsidP="0035582B">
      <w:pPr>
        <w:jc w:val="both"/>
      </w:pPr>
      <w:r w:rsidRPr="00366A18">
        <w:t xml:space="preserve">Results are expressed as mean ± SEM. The results were analyzed by Analysis of variance (ANOVA) followed by </w:t>
      </w:r>
      <w:r w:rsidRPr="00366A18">
        <w:rPr>
          <w:bCs/>
        </w:rPr>
        <w:t>Tukey-Kramer multiple comparison test.</w:t>
      </w:r>
      <w:r w:rsidRPr="00366A18">
        <w:t xml:space="preserve"> </w:t>
      </w:r>
    </w:p>
    <w:p w:rsidR="00D5317E" w:rsidRPr="00366A18" w:rsidRDefault="00D5317E" w:rsidP="0035582B">
      <w:pPr>
        <w:ind w:left="-90"/>
        <w:jc w:val="both"/>
        <w:rPr>
          <w:lang w:val="da-DK"/>
        </w:rPr>
      </w:pPr>
      <w:r w:rsidRPr="00366A18">
        <w:rPr>
          <w:vertAlign w:val="superscript"/>
        </w:rPr>
        <w:t xml:space="preserve"> </w:t>
      </w:r>
      <w:r w:rsidRPr="00366A18">
        <w:t>n=6,</w:t>
      </w:r>
      <w:r w:rsidRPr="00366A18">
        <w:rPr>
          <w:vertAlign w:val="superscript"/>
        </w:rPr>
        <w:t>#</w:t>
      </w:r>
      <w:r w:rsidRPr="00366A18">
        <w:t xml:space="preserve"> =</w:t>
      </w:r>
      <w:r w:rsidRPr="00366A18">
        <w:rPr>
          <w:rFonts w:eastAsia="Calibri"/>
        </w:rPr>
        <w:t xml:space="preserve"> p&lt;0.05,</w:t>
      </w:r>
      <w:r w:rsidRPr="00366A18">
        <w:rPr>
          <w:vertAlign w:val="superscript"/>
        </w:rPr>
        <w:t xml:space="preserve"> ##</w:t>
      </w:r>
      <w:r w:rsidRPr="00366A18">
        <w:t>=</w:t>
      </w:r>
      <w:r w:rsidRPr="00366A18">
        <w:rPr>
          <w:rFonts w:eastAsia="Calibri"/>
        </w:rPr>
        <w:t xml:space="preserve"> p&lt;.01,</w:t>
      </w:r>
      <w:r w:rsidRPr="00366A18">
        <w:rPr>
          <w:vertAlign w:val="superscript"/>
        </w:rPr>
        <w:t xml:space="preserve"> ###</w:t>
      </w:r>
      <w:r w:rsidRPr="00366A18">
        <w:t xml:space="preserve"> = </w:t>
      </w:r>
      <w:r w:rsidRPr="00366A18">
        <w:rPr>
          <w:rFonts w:eastAsia="Calibri"/>
        </w:rPr>
        <w:t>p&lt;0.001,</w:t>
      </w:r>
      <w:r w:rsidRPr="00366A18">
        <w:t xml:space="preserve">*** = </w:t>
      </w:r>
      <w:r w:rsidRPr="00366A18">
        <w:rPr>
          <w:rFonts w:eastAsia="Calibri"/>
        </w:rPr>
        <w:t>p&lt;0.001,</w:t>
      </w:r>
      <w:r w:rsidRPr="00366A18">
        <w:rPr>
          <w:vertAlign w:val="superscript"/>
        </w:rPr>
        <w:t xml:space="preserve"> #</w:t>
      </w:r>
      <w:r w:rsidRPr="00366A18">
        <w:t xml:space="preserve"> </w:t>
      </w:r>
      <w:r w:rsidRPr="00366A18">
        <w:rPr>
          <w:lang w:val="da-DK"/>
        </w:rPr>
        <w:t xml:space="preserve">  Vs. Group II,</w:t>
      </w:r>
      <w:r w:rsidRPr="00366A18">
        <w:rPr>
          <w:vertAlign w:val="superscript"/>
        </w:rPr>
        <w:t xml:space="preserve"> *</w:t>
      </w:r>
      <w:r w:rsidRPr="00366A18">
        <w:t xml:space="preserve"> </w:t>
      </w:r>
      <w:r w:rsidRPr="00366A18">
        <w:rPr>
          <w:lang w:val="da-DK"/>
        </w:rPr>
        <w:t xml:space="preserve">  Vs. Group I</w:t>
      </w:r>
    </w:p>
    <w:p w:rsidR="00EE7CF9" w:rsidRPr="00077B32" w:rsidRDefault="00EE7CF9" w:rsidP="0035582B">
      <w:pPr>
        <w:pStyle w:val="Pa9"/>
        <w:spacing w:before="160" w:line="360" w:lineRule="auto"/>
        <w:jc w:val="both"/>
        <w:rPr>
          <w:rFonts w:ascii="Times New Roman" w:hAnsi="Times New Roman"/>
          <w:b/>
          <w:bCs/>
          <w:color w:val="000000"/>
        </w:rPr>
      </w:pPr>
      <w:r>
        <w:rPr>
          <w:rFonts w:ascii="Times New Roman" w:hAnsi="Times New Roman"/>
        </w:rPr>
        <w:t xml:space="preserve">                                                                                                                                                                                                                                                  </w:t>
      </w:r>
    </w:p>
    <w:p w:rsidR="00EE7CF9" w:rsidRPr="00077B32" w:rsidRDefault="00EE7CF9" w:rsidP="0035582B">
      <w:pPr>
        <w:autoSpaceDE w:val="0"/>
        <w:autoSpaceDN w:val="0"/>
        <w:adjustRightInd w:val="0"/>
        <w:spacing w:line="360" w:lineRule="auto"/>
        <w:jc w:val="both"/>
        <w:rPr>
          <w:b/>
          <w:bCs/>
          <w:iCs/>
        </w:rPr>
      </w:pPr>
      <w:commentRangeStart w:id="21"/>
      <w:r>
        <w:rPr>
          <w:b/>
          <w:bCs/>
          <w:iCs/>
        </w:rPr>
        <w:t>3.3</w:t>
      </w:r>
      <w:r w:rsidRPr="006B61ED">
        <w:rPr>
          <w:b/>
          <w:bCs/>
          <w:iCs/>
        </w:rPr>
        <w:t xml:space="preserve">. </w:t>
      </w:r>
      <w:commentRangeEnd w:id="21"/>
      <w:r w:rsidR="00222AC6">
        <w:rPr>
          <w:rStyle w:val="CommentReference"/>
        </w:rPr>
        <w:commentReference w:id="21"/>
      </w:r>
      <w:r w:rsidRPr="006B61ED">
        <w:rPr>
          <w:b/>
          <w:bCs/>
          <w:iCs/>
        </w:rPr>
        <w:t>Liver function tests</w:t>
      </w:r>
    </w:p>
    <w:p w:rsidR="00EE7CF9" w:rsidRDefault="00EE7CF9" w:rsidP="0035582B">
      <w:pPr>
        <w:spacing w:line="360" w:lineRule="auto"/>
        <w:jc w:val="both"/>
      </w:pPr>
      <w:commentRangeStart w:id="22"/>
      <w:r>
        <w:t>Liver function markers</w:t>
      </w:r>
      <w:r w:rsidRPr="00391C0B">
        <w:rPr>
          <w:lang w:val="en-IN" w:eastAsia="en-IN"/>
        </w:rPr>
        <w:t xml:space="preserve"> </w:t>
      </w:r>
      <w:r>
        <w:rPr>
          <w:lang w:val="en-IN" w:eastAsia="en-IN"/>
        </w:rPr>
        <w:t>AST, ALT</w:t>
      </w:r>
      <w:r w:rsidRPr="00391C0B">
        <w:rPr>
          <w:lang w:val="en-IN" w:eastAsia="en-IN"/>
        </w:rPr>
        <w:t xml:space="preserve">, </w:t>
      </w:r>
      <w:r>
        <w:rPr>
          <w:lang w:val="en-IN" w:eastAsia="en-IN"/>
        </w:rPr>
        <w:t>ALP</w:t>
      </w:r>
      <w:r w:rsidRPr="00391C0B">
        <w:rPr>
          <w:lang w:val="en-IN" w:eastAsia="en-IN"/>
        </w:rPr>
        <w:t xml:space="preserve">, </w:t>
      </w:r>
      <w:r>
        <w:rPr>
          <w:lang w:val="en-IN" w:eastAsia="en-IN"/>
        </w:rPr>
        <w:t>TC</w:t>
      </w:r>
      <w:r w:rsidRPr="00391C0B">
        <w:rPr>
          <w:lang w:val="en-IN" w:eastAsia="en-IN"/>
        </w:rPr>
        <w:t xml:space="preserve">, </w:t>
      </w:r>
      <w:r>
        <w:rPr>
          <w:rFonts w:eastAsia="BPKBL H+ MTSY"/>
        </w:rPr>
        <w:t>ALB</w:t>
      </w:r>
      <w:r w:rsidRPr="00391C0B">
        <w:rPr>
          <w:rFonts w:eastAsia="BPKBL H+ MTSY"/>
        </w:rPr>
        <w:t xml:space="preserve"> and </w:t>
      </w:r>
      <w:r>
        <w:rPr>
          <w:rFonts w:eastAsia="BPKBL H+ MTSY"/>
        </w:rPr>
        <w:t>TB</w:t>
      </w:r>
      <w:r w:rsidRPr="00391C0B">
        <w:t xml:space="preserve"> were assessed. </w:t>
      </w:r>
      <w:r>
        <w:t>A</w:t>
      </w:r>
      <w:r w:rsidRPr="00391C0B">
        <w:t>dministration of LPS (4mg/kg, i.p, once) resulted in marked increase in serum</w:t>
      </w:r>
      <w:r w:rsidRPr="004F32A4">
        <w:rPr>
          <w:lang w:val="en-IN" w:eastAsia="en-IN"/>
        </w:rPr>
        <w:t xml:space="preserve"> </w:t>
      </w:r>
      <w:r>
        <w:rPr>
          <w:lang w:val="en-IN" w:eastAsia="en-IN"/>
        </w:rPr>
        <w:t>AST, ALT</w:t>
      </w:r>
      <w:r w:rsidRPr="00391C0B">
        <w:rPr>
          <w:lang w:val="en-IN" w:eastAsia="en-IN"/>
        </w:rPr>
        <w:t xml:space="preserve">, </w:t>
      </w:r>
      <w:r>
        <w:rPr>
          <w:lang w:val="en-IN" w:eastAsia="en-IN"/>
        </w:rPr>
        <w:t xml:space="preserve">ALP </w:t>
      </w:r>
      <w:r w:rsidRPr="00391C0B">
        <w:rPr>
          <w:rFonts w:eastAsia="BPKBL H+ MTSY"/>
        </w:rPr>
        <w:t xml:space="preserve">and </w:t>
      </w:r>
      <w:r>
        <w:rPr>
          <w:rFonts w:eastAsia="BPKBL H+ MTSY"/>
        </w:rPr>
        <w:t>TB</w:t>
      </w:r>
      <w:r w:rsidRPr="00391C0B">
        <w:t xml:space="preserve"> </w:t>
      </w:r>
      <w:r>
        <w:t xml:space="preserve">where as decrease in </w:t>
      </w:r>
      <w:r w:rsidRPr="00391C0B">
        <w:t>TC</w:t>
      </w:r>
      <w:r w:rsidRPr="00391C0B">
        <w:rPr>
          <w:lang w:val="en-IN" w:eastAsia="en-IN"/>
        </w:rPr>
        <w:t xml:space="preserve"> and </w:t>
      </w:r>
      <w:r>
        <w:rPr>
          <w:lang w:val="en-IN" w:eastAsia="en-IN"/>
        </w:rPr>
        <w:t>ALB</w:t>
      </w:r>
      <w:r w:rsidRPr="00391C0B">
        <w:rPr>
          <w:lang w:val="en-IN" w:eastAsia="en-IN"/>
        </w:rPr>
        <w:t xml:space="preserve"> </w:t>
      </w:r>
      <w:r>
        <w:rPr>
          <w:rFonts w:eastAsia="BPKBL H+ MTSY"/>
        </w:rPr>
        <w:t>compared</w:t>
      </w:r>
      <w:r w:rsidRPr="00391C0B">
        <w:t xml:space="preserve"> to corresponding control group</w:t>
      </w:r>
      <w:r>
        <w:t xml:space="preserve"> (Table 2)</w:t>
      </w:r>
      <w:r w:rsidRPr="00391C0B">
        <w:t>.</w:t>
      </w:r>
      <w:r>
        <w:t xml:space="preserve"> MEAR</w:t>
      </w:r>
      <w:r w:rsidRPr="00391C0B">
        <w:t xml:space="preserve"> supplementation</w:t>
      </w:r>
      <w:r>
        <w:t xml:space="preserve"> (21 day)</w:t>
      </w:r>
      <w:r w:rsidRPr="00391C0B">
        <w:t xml:space="preserve"> </w:t>
      </w:r>
      <w:r>
        <w:t xml:space="preserve">along with LPS (4 mg/kg i.p on 21 day) resulted   in significant reduction in   </w:t>
      </w:r>
      <w:r>
        <w:rPr>
          <w:lang w:val="en-IN" w:eastAsia="en-IN"/>
        </w:rPr>
        <w:t>AST, ALT</w:t>
      </w:r>
      <w:r w:rsidRPr="00391C0B">
        <w:rPr>
          <w:lang w:val="en-IN" w:eastAsia="en-IN"/>
        </w:rPr>
        <w:t xml:space="preserve">, </w:t>
      </w:r>
      <w:r>
        <w:rPr>
          <w:lang w:val="en-IN" w:eastAsia="en-IN"/>
        </w:rPr>
        <w:t xml:space="preserve">ALP </w:t>
      </w:r>
      <w:r w:rsidRPr="00391C0B">
        <w:rPr>
          <w:rFonts w:eastAsia="BPKBL H+ MTSY"/>
        </w:rPr>
        <w:t xml:space="preserve">and </w:t>
      </w:r>
      <w:r>
        <w:rPr>
          <w:rFonts w:eastAsia="BPKBL H+ MTSY"/>
        </w:rPr>
        <w:t>TB</w:t>
      </w:r>
      <w:r w:rsidRPr="00391C0B">
        <w:t xml:space="preserve"> </w:t>
      </w:r>
      <w:r>
        <w:rPr>
          <w:lang w:val="en-IN" w:eastAsia="en-IN"/>
        </w:rPr>
        <w:t>whereas</w:t>
      </w:r>
      <w:r w:rsidRPr="00391C0B">
        <w:rPr>
          <w:lang w:val="en-IN" w:eastAsia="en-IN"/>
        </w:rPr>
        <w:t xml:space="preserve"> the level of TC</w:t>
      </w:r>
      <w:r>
        <w:rPr>
          <w:lang w:val="en-IN" w:eastAsia="en-IN"/>
        </w:rPr>
        <w:t xml:space="preserve"> </w:t>
      </w:r>
      <w:r w:rsidRPr="00391C0B">
        <w:rPr>
          <w:lang w:val="en-IN" w:eastAsia="en-IN"/>
        </w:rPr>
        <w:t>and ALB</w:t>
      </w:r>
      <w:r>
        <w:rPr>
          <w:lang w:val="en-IN" w:eastAsia="en-IN"/>
        </w:rPr>
        <w:t xml:space="preserve"> increased</w:t>
      </w:r>
      <w:r w:rsidRPr="00391C0B">
        <w:t xml:space="preserve"> compared with only LPS-treated group. </w:t>
      </w:r>
      <w:r>
        <w:t>(Table 2)</w:t>
      </w:r>
      <w:commentRangeEnd w:id="22"/>
      <w:r w:rsidR="00D5316A">
        <w:rPr>
          <w:rStyle w:val="CommentReference"/>
        </w:rPr>
        <w:commentReference w:id="22"/>
      </w:r>
    </w:p>
    <w:tbl>
      <w:tblPr>
        <w:tblpPr w:leftFromText="180" w:rightFromText="180" w:vertAnchor="page" w:horzAnchor="margin" w:tblpXSpec="center" w:tblpY="9652"/>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800"/>
        <w:gridCol w:w="1710"/>
        <w:gridCol w:w="1710"/>
        <w:gridCol w:w="1679"/>
        <w:gridCol w:w="1651"/>
        <w:gridCol w:w="1710"/>
      </w:tblGrid>
      <w:tr w:rsidR="00D5317E" w:rsidRPr="00366A18" w:rsidTr="00DE10BD">
        <w:tc>
          <w:tcPr>
            <w:tcW w:w="1188" w:type="dxa"/>
            <w:shd w:val="clear" w:color="auto" w:fill="auto"/>
          </w:tcPr>
          <w:p w:rsidR="00D5317E" w:rsidRPr="00366A18" w:rsidRDefault="00D5317E" w:rsidP="0035582B">
            <w:pPr>
              <w:jc w:val="both"/>
            </w:pPr>
            <w:r w:rsidRPr="00366A18">
              <w:t>Drug treatment</w:t>
            </w:r>
          </w:p>
        </w:tc>
        <w:tc>
          <w:tcPr>
            <w:tcW w:w="1800" w:type="dxa"/>
            <w:shd w:val="clear" w:color="auto" w:fill="auto"/>
          </w:tcPr>
          <w:p w:rsidR="00D5317E" w:rsidRPr="00366A18" w:rsidRDefault="00D5317E" w:rsidP="0035582B">
            <w:pPr>
              <w:jc w:val="both"/>
            </w:pPr>
            <w:r w:rsidRPr="00366A18">
              <w:t>SGOT</w:t>
            </w:r>
          </w:p>
          <w:p w:rsidR="00D5317E" w:rsidRPr="00366A18" w:rsidRDefault="00D5317E" w:rsidP="0035582B">
            <w:pPr>
              <w:jc w:val="both"/>
            </w:pPr>
            <w:r w:rsidRPr="00366A18">
              <w:t>U/l</w:t>
            </w:r>
          </w:p>
        </w:tc>
        <w:tc>
          <w:tcPr>
            <w:tcW w:w="1710" w:type="dxa"/>
            <w:shd w:val="clear" w:color="auto" w:fill="auto"/>
          </w:tcPr>
          <w:p w:rsidR="00D5317E" w:rsidRPr="00366A18" w:rsidRDefault="00D5317E" w:rsidP="0035582B">
            <w:pPr>
              <w:jc w:val="both"/>
            </w:pPr>
            <w:r w:rsidRPr="00366A18">
              <w:t>SGPT</w:t>
            </w:r>
          </w:p>
          <w:p w:rsidR="00D5317E" w:rsidRPr="00366A18" w:rsidRDefault="00D5317E" w:rsidP="0035582B">
            <w:pPr>
              <w:jc w:val="both"/>
            </w:pPr>
            <w:r w:rsidRPr="00366A18">
              <w:t>U/l</w:t>
            </w:r>
          </w:p>
        </w:tc>
        <w:tc>
          <w:tcPr>
            <w:tcW w:w="1710" w:type="dxa"/>
            <w:shd w:val="clear" w:color="auto" w:fill="auto"/>
          </w:tcPr>
          <w:p w:rsidR="00D5317E" w:rsidRPr="00366A18" w:rsidRDefault="00D5317E" w:rsidP="0035582B">
            <w:pPr>
              <w:jc w:val="both"/>
            </w:pPr>
            <w:r w:rsidRPr="00366A18">
              <w:t>ALKP</w:t>
            </w:r>
          </w:p>
          <w:p w:rsidR="00D5317E" w:rsidRPr="00366A18" w:rsidRDefault="00D5317E" w:rsidP="0035582B">
            <w:pPr>
              <w:jc w:val="both"/>
            </w:pPr>
            <w:r w:rsidRPr="00366A18">
              <w:t>U/l</w:t>
            </w:r>
          </w:p>
        </w:tc>
        <w:tc>
          <w:tcPr>
            <w:tcW w:w="1679" w:type="dxa"/>
            <w:shd w:val="clear" w:color="auto" w:fill="auto"/>
          </w:tcPr>
          <w:p w:rsidR="00D5317E" w:rsidRPr="00366A18" w:rsidRDefault="00D5317E" w:rsidP="0035582B">
            <w:pPr>
              <w:jc w:val="both"/>
            </w:pPr>
            <w:r w:rsidRPr="00366A18">
              <w:t>TB</w:t>
            </w:r>
          </w:p>
          <w:p w:rsidR="00D5317E" w:rsidRPr="00366A18" w:rsidRDefault="00D5317E" w:rsidP="0035582B">
            <w:pPr>
              <w:jc w:val="both"/>
            </w:pPr>
            <w:r w:rsidRPr="00366A18">
              <w:t>mg/dl</w:t>
            </w:r>
          </w:p>
        </w:tc>
        <w:tc>
          <w:tcPr>
            <w:tcW w:w="1651" w:type="dxa"/>
            <w:shd w:val="clear" w:color="auto" w:fill="auto"/>
          </w:tcPr>
          <w:p w:rsidR="00D5317E" w:rsidRPr="00366A18" w:rsidRDefault="00D5317E" w:rsidP="0035582B">
            <w:pPr>
              <w:jc w:val="both"/>
            </w:pPr>
            <w:r w:rsidRPr="00366A18">
              <w:t>ALB</w:t>
            </w:r>
          </w:p>
          <w:p w:rsidR="00D5317E" w:rsidRPr="00366A18" w:rsidRDefault="00D5317E" w:rsidP="0035582B">
            <w:pPr>
              <w:jc w:val="both"/>
            </w:pPr>
            <w:r w:rsidRPr="00366A18">
              <w:t>g/dl</w:t>
            </w:r>
          </w:p>
        </w:tc>
        <w:tc>
          <w:tcPr>
            <w:tcW w:w="1710" w:type="dxa"/>
            <w:shd w:val="clear" w:color="auto" w:fill="auto"/>
          </w:tcPr>
          <w:p w:rsidR="00D5317E" w:rsidRPr="00366A18" w:rsidRDefault="00D5317E" w:rsidP="0035582B">
            <w:pPr>
              <w:jc w:val="both"/>
            </w:pPr>
            <w:r w:rsidRPr="00366A18">
              <w:t>CHL</w:t>
            </w:r>
          </w:p>
          <w:p w:rsidR="00D5317E" w:rsidRPr="00366A18" w:rsidRDefault="00D5317E" w:rsidP="0035582B">
            <w:pPr>
              <w:jc w:val="both"/>
            </w:pPr>
            <w:r w:rsidRPr="00366A18">
              <w:t>mg/dl</w:t>
            </w:r>
          </w:p>
        </w:tc>
      </w:tr>
      <w:tr w:rsidR="00D5317E" w:rsidRPr="00366A18" w:rsidTr="00DE10BD">
        <w:tc>
          <w:tcPr>
            <w:tcW w:w="1188" w:type="dxa"/>
            <w:shd w:val="clear" w:color="auto" w:fill="auto"/>
          </w:tcPr>
          <w:p w:rsidR="00D5317E" w:rsidRPr="00366A18" w:rsidRDefault="00D5317E" w:rsidP="0035582B">
            <w:pPr>
              <w:jc w:val="both"/>
            </w:pPr>
            <w:r w:rsidRPr="00366A18">
              <w:t>Control</w:t>
            </w:r>
          </w:p>
        </w:tc>
        <w:tc>
          <w:tcPr>
            <w:tcW w:w="1800" w:type="dxa"/>
            <w:shd w:val="clear" w:color="auto" w:fill="auto"/>
          </w:tcPr>
          <w:p w:rsidR="00D5317E" w:rsidRPr="00366A18" w:rsidRDefault="00D5317E" w:rsidP="0035582B">
            <w:pPr>
              <w:jc w:val="both"/>
            </w:pPr>
            <w:r w:rsidRPr="00366A18">
              <w:t>138.6±8.599</w:t>
            </w:r>
          </w:p>
        </w:tc>
        <w:tc>
          <w:tcPr>
            <w:tcW w:w="1710" w:type="dxa"/>
            <w:shd w:val="clear" w:color="auto" w:fill="auto"/>
          </w:tcPr>
          <w:p w:rsidR="00D5317E" w:rsidRPr="00366A18" w:rsidRDefault="00D5317E" w:rsidP="0035582B">
            <w:pPr>
              <w:jc w:val="both"/>
            </w:pPr>
            <w:r w:rsidRPr="00366A18">
              <w:t>113.24±7.314</w:t>
            </w:r>
          </w:p>
        </w:tc>
        <w:tc>
          <w:tcPr>
            <w:tcW w:w="1710" w:type="dxa"/>
            <w:shd w:val="clear" w:color="auto" w:fill="auto"/>
          </w:tcPr>
          <w:p w:rsidR="00D5317E" w:rsidRPr="00366A18" w:rsidRDefault="00D5317E" w:rsidP="0035582B">
            <w:pPr>
              <w:jc w:val="both"/>
            </w:pPr>
            <w:r w:rsidRPr="00366A18">
              <w:t>317.4±10.773</w:t>
            </w:r>
          </w:p>
        </w:tc>
        <w:tc>
          <w:tcPr>
            <w:tcW w:w="1679" w:type="dxa"/>
            <w:shd w:val="clear" w:color="auto" w:fill="auto"/>
          </w:tcPr>
          <w:p w:rsidR="00D5317E" w:rsidRPr="00366A18" w:rsidRDefault="00D5317E" w:rsidP="0035582B">
            <w:pPr>
              <w:jc w:val="both"/>
            </w:pPr>
            <w:r w:rsidRPr="00366A18">
              <w:t>0.924±0.058</w:t>
            </w:r>
          </w:p>
        </w:tc>
        <w:tc>
          <w:tcPr>
            <w:tcW w:w="1651" w:type="dxa"/>
            <w:shd w:val="clear" w:color="auto" w:fill="auto"/>
          </w:tcPr>
          <w:p w:rsidR="00D5317E" w:rsidRPr="00366A18" w:rsidRDefault="00D5317E" w:rsidP="0035582B">
            <w:pPr>
              <w:jc w:val="both"/>
            </w:pPr>
            <w:r w:rsidRPr="00366A18">
              <w:t>3.542±0.0737</w:t>
            </w:r>
          </w:p>
        </w:tc>
        <w:tc>
          <w:tcPr>
            <w:tcW w:w="1710" w:type="dxa"/>
            <w:shd w:val="clear" w:color="auto" w:fill="auto"/>
          </w:tcPr>
          <w:p w:rsidR="00D5317E" w:rsidRPr="00366A18" w:rsidRDefault="00D5317E" w:rsidP="0035582B">
            <w:pPr>
              <w:jc w:val="both"/>
            </w:pPr>
            <w:r w:rsidRPr="00366A18">
              <w:t>83.69±4.344</w:t>
            </w:r>
          </w:p>
        </w:tc>
      </w:tr>
      <w:tr w:rsidR="00D5317E" w:rsidRPr="00366A18" w:rsidTr="00DE10BD">
        <w:trPr>
          <w:trHeight w:val="405"/>
        </w:trPr>
        <w:tc>
          <w:tcPr>
            <w:tcW w:w="1188" w:type="dxa"/>
            <w:shd w:val="clear" w:color="auto" w:fill="auto"/>
          </w:tcPr>
          <w:p w:rsidR="00D5317E" w:rsidRPr="00366A18" w:rsidRDefault="00D5317E" w:rsidP="0035582B">
            <w:pPr>
              <w:jc w:val="both"/>
            </w:pPr>
            <w:r w:rsidRPr="00366A18">
              <w:t>LPS</w:t>
            </w:r>
          </w:p>
        </w:tc>
        <w:tc>
          <w:tcPr>
            <w:tcW w:w="1800" w:type="dxa"/>
            <w:shd w:val="clear" w:color="auto" w:fill="auto"/>
          </w:tcPr>
          <w:p w:rsidR="00D5317E" w:rsidRPr="00366A18" w:rsidRDefault="00D5317E" w:rsidP="0035582B">
            <w:pPr>
              <w:jc w:val="both"/>
            </w:pPr>
            <w:r w:rsidRPr="00366A18">
              <w:t>269.6±12.902</w:t>
            </w:r>
            <w:r w:rsidRPr="00366A18">
              <w:rPr>
                <w:vertAlign w:val="superscript"/>
              </w:rPr>
              <w:t>***</w:t>
            </w:r>
          </w:p>
        </w:tc>
        <w:tc>
          <w:tcPr>
            <w:tcW w:w="1710" w:type="dxa"/>
            <w:shd w:val="clear" w:color="auto" w:fill="auto"/>
          </w:tcPr>
          <w:p w:rsidR="00D5317E" w:rsidRPr="00366A18" w:rsidRDefault="00D5317E" w:rsidP="0035582B">
            <w:pPr>
              <w:jc w:val="both"/>
            </w:pPr>
            <w:r w:rsidRPr="00366A18">
              <w:t>196.2±8.009</w:t>
            </w:r>
            <w:r w:rsidRPr="00366A18">
              <w:rPr>
                <w:vertAlign w:val="superscript"/>
              </w:rPr>
              <w:t>***</w:t>
            </w:r>
          </w:p>
        </w:tc>
        <w:tc>
          <w:tcPr>
            <w:tcW w:w="1710" w:type="dxa"/>
            <w:shd w:val="clear" w:color="auto" w:fill="auto"/>
          </w:tcPr>
          <w:p w:rsidR="00D5317E" w:rsidRPr="00366A18" w:rsidRDefault="00D5317E" w:rsidP="0035582B">
            <w:pPr>
              <w:jc w:val="both"/>
            </w:pPr>
            <w:r w:rsidRPr="00366A18">
              <w:t>397.6±8.447</w:t>
            </w:r>
            <w:r w:rsidRPr="00366A18">
              <w:rPr>
                <w:vertAlign w:val="superscript"/>
              </w:rPr>
              <w:t>***</w:t>
            </w:r>
          </w:p>
        </w:tc>
        <w:tc>
          <w:tcPr>
            <w:tcW w:w="1679" w:type="dxa"/>
            <w:shd w:val="clear" w:color="auto" w:fill="auto"/>
          </w:tcPr>
          <w:p w:rsidR="00D5317E" w:rsidRPr="00366A18" w:rsidRDefault="00D5317E" w:rsidP="0035582B">
            <w:pPr>
              <w:jc w:val="both"/>
            </w:pPr>
            <w:r w:rsidRPr="00366A18">
              <w:t>1.504±0.048</w:t>
            </w:r>
            <w:r w:rsidRPr="00366A18">
              <w:rPr>
                <w:vertAlign w:val="superscript"/>
              </w:rPr>
              <w:t>***</w:t>
            </w:r>
          </w:p>
        </w:tc>
        <w:tc>
          <w:tcPr>
            <w:tcW w:w="1651" w:type="dxa"/>
            <w:shd w:val="clear" w:color="auto" w:fill="auto"/>
          </w:tcPr>
          <w:p w:rsidR="00D5317E" w:rsidRPr="00366A18" w:rsidRDefault="00D5317E" w:rsidP="0035582B">
            <w:pPr>
              <w:jc w:val="both"/>
            </w:pPr>
            <w:r w:rsidRPr="00366A18">
              <w:t>1.736±0.030</w:t>
            </w:r>
            <w:r w:rsidRPr="00366A18">
              <w:rPr>
                <w:vertAlign w:val="superscript"/>
              </w:rPr>
              <w:t>***</w:t>
            </w:r>
          </w:p>
        </w:tc>
        <w:tc>
          <w:tcPr>
            <w:tcW w:w="1710" w:type="dxa"/>
            <w:shd w:val="clear" w:color="auto" w:fill="auto"/>
          </w:tcPr>
          <w:p w:rsidR="00D5317E" w:rsidRPr="00366A18" w:rsidRDefault="00D5317E" w:rsidP="0035582B">
            <w:pPr>
              <w:jc w:val="both"/>
            </w:pPr>
            <w:r w:rsidRPr="00366A18">
              <w:t>21.908±4.432</w:t>
            </w:r>
            <w:r w:rsidRPr="00366A18">
              <w:rPr>
                <w:vertAlign w:val="superscript"/>
              </w:rPr>
              <w:t>***</w:t>
            </w:r>
          </w:p>
        </w:tc>
      </w:tr>
      <w:tr w:rsidR="00D5317E" w:rsidRPr="00366A18" w:rsidTr="00DE10BD">
        <w:trPr>
          <w:trHeight w:val="378"/>
        </w:trPr>
        <w:tc>
          <w:tcPr>
            <w:tcW w:w="1188" w:type="dxa"/>
            <w:shd w:val="clear" w:color="auto" w:fill="auto"/>
          </w:tcPr>
          <w:p w:rsidR="00D5317E" w:rsidRPr="00366A18" w:rsidRDefault="00D5317E" w:rsidP="0035582B">
            <w:pPr>
              <w:jc w:val="both"/>
            </w:pPr>
            <w:r w:rsidRPr="00366A18">
              <w:t>QT</w:t>
            </w:r>
          </w:p>
        </w:tc>
        <w:tc>
          <w:tcPr>
            <w:tcW w:w="1800" w:type="dxa"/>
            <w:shd w:val="clear" w:color="auto" w:fill="auto"/>
          </w:tcPr>
          <w:p w:rsidR="00D5317E" w:rsidRPr="00366A18" w:rsidRDefault="00D5317E" w:rsidP="0035582B">
            <w:pPr>
              <w:jc w:val="both"/>
            </w:pPr>
            <w:r w:rsidRPr="00366A18">
              <w:t>172.4±8.078</w:t>
            </w:r>
            <w:r w:rsidRPr="00366A18">
              <w:rPr>
                <w:vertAlign w:val="superscript"/>
              </w:rPr>
              <w:t>###</w:t>
            </w:r>
          </w:p>
        </w:tc>
        <w:tc>
          <w:tcPr>
            <w:tcW w:w="1710" w:type="dxa"/>
            <w:shd w:val="clear" w:color="auto" w:fill="auto"/>
          </w:tcPr>
          <w:p w:rsidR="00D5317E" w:rsidRPr="00366A18" w:rsidRDefault="00D5317E" w:rsidP="0035582B">
            <w:pPr>
              <w:jc w:val="both"/>
            </w:pPr>
            <w:r w:rsidRPr="00366A18">
              <w:t>128.8±7.940</w:t>
            </w:r>
            <w:r w:rsidRPr="00366A18">
              <w:rPr>
                <w:vertAlign w:val="superscript"/>
              </w:rPr>
              <w:t>#</w:t>
            </w:r>
          </w:p>
        </w:tc>
        <w:tc>
          <w:tcPr>
            <w:tcW w:w="1710" w:type="dxa"/>
            <w:shd w:val="clear" w:color="auto" w:fill="auto"/>
          </w:tcPr>
          <w:p w:rsidR="00D5317E" w:rsidRPr="00366A18" w:rsidRDefault="00D5317E" w:rsidP="0035582B">
            <w:pPr>
              <w:jc w:val="both"/>
            </w:pPr>
            <w:r w:rsidRPr="00366A18">
              <w:t>322.6±12.428</w:t>
            </w:r>
            <w:r w:rsidRPr="00366A18">
              <w:rPr>
                <w:vertAlign w:val="superscript"/>
              </w:rPr>
              <w:t>###</w:t>
            </w:r>
          </w:p>
        </w:tc>
        <w:tc>
          <w:tcPr>
            <w:tcW w:w="1679" w:type="dxa"/>
            <w:shd w:val="clear" w:color="auto" w:fill="auto"/>
          </w:tcPr>
          <w:p w:rsidR="00D5317E" w:rsidRPr="00366A18" w:rsidRDefault="00D5317E" w:rsidP="0035582B">
            <w:pPr>
              <w:jc w:val="both"/>
            </w:pPr>
            <w:r w:rsidRPr="00366A18">
              <w:t>1.142±0.0731</w:t>
            </w:r>
            <w:r w:rsidRPr="00366A18">
              <w:rPr>
                <w:vertAlign w:val="superscript"/>
              </w:rPr>
              <w:t>###</w:t>
            </w:r>
          </w:p>
        </w:tc>
        <w:tc>
          <w:tcPr>
            <w:tcW w:w="1651" w:type="dxa"/>
            <w:shd w:val="clear" w:color="auto" w:fill="auto"/>
          </w:tcPr>
          <w:p w:rsidR="00D5317E" w:rsidRPr="00366A18" w:rsidRDefault="00D5317E" w:rsidP="0035582B">
            <w:pPr>
              <w:jc w:val="both"/>
            </w:pPr>
            <w:r w:rsidRPr="00366A18">
              <w:t>2.774±0.052</w:t>
            </w:r>
            <w:r w:rsidRPr="00366A18">
              <w:rPr>
                <w:vertAlign w:val="superscript"/>
              </w:rPr>
              <w:t>###</w:t>
            </w:r>
          </w:p>
        </w:tc>
        <w:tc>
          <w:tcPr>
            <w:tcW w:w="1710" w:type="dxa"/>
            <w:shd w:val="clear" w:color="auto" w:fill="auto"/>
          </w:tcPr>
          <w:p w:rsidR="00D5317E" w:rsidRPr="00366A18" w:rsidRDefault="00D5317E" w:rsidP="0035582B">
            <w:pPr>
              <w:jc w:val="both"/>
            </w:pPr>
            <w:r w:rsidRPr="00366A18">
              <w:t>75.626±3.018</w:t>
            </w:r>
            <w:r w:rsidRPr="00366A18">
              <w:rPr>
                <w:vertAlign w:val="superscript"/>
              </w:rPr>
              <w:t>###</w:t>
            </w:r>
          </w:p>
        </w:tc>
      </w:tr>
      <w:tr w:rsidR="00D5317E" w:rsidRPr="00366A18" w:rsidTr="00DE10BD">
        <w:trPr>
          <w:trHeight w:val="608"/>
        </w:trPr>
        <w:tc>
          <w:tcPr>
            <w:tcW w:w="1188" w:type="dxa"/>
            <w:shd w:val="clear" w:color="auto" w:fill="auto"/>
          </w:tcPr>
          <w:p w:rsidR="00D5317E" w:rsidRPr="00366A18" w:rsidRDefault="00D5317E" w:rsidP="0035582B">
            <w:pPr>
              <w:jc w:val="both"/>
            </w:pPr>
            <w:r w:rsidRPr="00366A18">
              <w:t>AR</w:t>
            </w:r>
            <w:r w:rsidRPr="00366A18">
              <w:rPr>
                <w:vertAlign w:val="subscript"/>
              </w:rPr>
              <w:t>1</w:t>
            </w:r>
          </w:p>
        </w:tc>
        <w:tc>
          <w:tcPr>
            <w:tcW w:w="1800" w:type="dxa"/>
            <w:shd w:val="clear" w:color="auto" w:fill="auto"/>
          </w:tcPr>
          <w:p w:rsidR="00D5317E" w:rsidRPr="00366A18" w:rsidRDefault="00D5317E" w:rsidP="0035582B">
            <w:pPr>
              <w:jc w:val="both"/>
            </w:pPr>
            <w:r w:rsidRPr="00366A18">
              <w:t>256.3±9.257</w:t>
            </w:r>
            <w:r w:rsidRPr="00366A18">
              <w:rPr>
                <w:vertAlign w:val="superscript"/>
              </w:rPr>
              <w:t>ns</w:t>
            </w:r>
          </w:p>
        </w:tc>
        <w:tc>
          <w:tcPr>
            <w:tcW w:w="1710" w:type="dxa"/>
            <w:shd w:val="clear" w:color="auto" w:fill="auto"/>
          </w:tcPr>
          <w:p w:rsidR="00D5317E" w:rsidRPr="00366A18" w:rsidRDefault="00D5317E" w:rsidP="0035582B">
            <w:pPr>
              <w:jc w:val="both"/>
            </w:pPr>
            <w:r w:rsidRPr="00366A18">
              <w:t>179.4±6.337</w:t>
            </w:r>
            <w:r w:rsidRPr="00366A18">
              <w:rPr>
                <w:vertAlign w:val="superscript"/>
              </w:rPr>
              <w:t>ns</w:t>
            </w:r>
          </w:p>
        </w:tc>
        <w:tc>
          <w:tcPr>
            <w:tcW w:w="1710" w:type="dxa"/>
            <w:shd w:val="clear" w:color="auto" w:fill="auto"/>
          </w:tcPr>
          <w:p w:rsidR="00D5317E" w:rsidRPr="00366A18" w:rsidRDefault="00D5317E" w:rsidP="0035582B">
            <w:pPr>
              <w:jc w:val="both"/>
            </w:pPr>
            <w:r w:rsidRPr="00366A18">
              <w:t>388.6±4.79</w:t>
            </w:r>
            <w:r w:rsidRPr="00366A18">
              <w:rPr>
                <w:vertAlign w:val="superscript"/>
              </w:rPr>
              <w:t>ns</w:t>
            </w:r>
          </w:p>
        </w:tc>
        <w:tc>
          <w:tcPr>
            <w:tcW w:w="1679" w:type="dxa"/>
            <w:shd w:val="clear" w:color="auto" w:fill="auto"/>
          </w:tcPr>
          <w:p w:rsidR="00D5317E" w:rsidRPr="00366A18" w:rsidRDefault="00D5317E" w:rsidP="0035582B">
            <w:pPr>
              <w:jc w:val="both"/>
            </w:pPr>
            <w:r w:rsidRPr="00366A18">
              <w:t>1.292±0.033</w:t>
            </w:r>
            <w:r w:rsidRPr="00366A18">
              <w:rPr>
                <w:vertAlign w:val="superscript"/>
              </w:rPr>
              <w:t>ns</w:t>
            </w:r>
          </w:p>
        </w:tc>
        <w:tc>
          <w:tcPr>
            <w:tcW w:w="1651" w:type="dxa"/>
            <w:shd w:val="clear" w:color="auto" w:fill="auto"/>
          </w:tcPr>
          <w:p w:rsidR="00D5317E" w:rsidRPr="00366A18" w:rsidRDefault="00D5317E" w:rsidP="0035582B">
            <w:pPr>
              <w:jc w:val="both"/>
            </w:pPr>
            <w:r w:rsidRPr="00366A18">
              <w:t>1.85±0.0761</w:t>
            </w:r>
            <w:r w:rsidRPr="00366A18">
              <w:rPr>
                <w:vertAlign w:val="superscript"/>
              </w:rPr>
              <w:t>ns</w:t>
            </w:r>
          </w:p>
        </w:tc>
        <w:tc>
          <w:tcPr>
            <w:tcW w:w="1710" w:type="dxa"/>
            <w:shd w:val="clear" w:color="auto" w:fill="auto"/>
          </w:tcPr>
          <w:p w:rsidR="00D5317E" w:rsidRPr="00366A18" w:rsidRDefault="00D5317E" w:rsidP="0035582B">
            <w:pPr>
              <w:jc w:val="both"/>
            </w:pPr>
            <w:r w:rsidRPr="00366A18">
              <w:t>34.126±4.194</w:t>
            </w:r>
            <w:r w:rsidRPr="00366A18">
              <w:rPr>
                <w:vertAlign w:val="superscript"/>
              </w:rPr>
              <w:t>ns</w:t>
            </w:r>
          </w:p>
        </w:tc>
      </w:tr>
      <w:tr w:rsidR="00D5317E" w:rsidRPr="00366A18" w:rsidTr="00DE10BD">
        <w:trPr>
          <w:trHeight w:val="680"/>
        </w:trPr>
        <w:tc>
          <w:tcPr>
            <w:tcW w:w="1188" w:type="dxa"/>
            <w:shd w:val="clear" w:color="auto" w:fill="auto"/>
          </w:tcPr>
          <w:p w:rsidR="00D5317E" w:rsidRPr="00366A18" w:rsidRDefault="00D5317E" w:rsidP="0035582B">
            <w:pPr>
              <w:jc w:val="both"/>
            </w:pPr>
            <w:r w:rsidRPr="00366A18">
              <w:t>AR</w:t>
            </w:r>
            <w:r w:rsidRPr="00366A18">
              <w:rPr>
                <w:vertAlign w:val="subscript"/>
              </w:rPr>
              <w:t>2</w:t>
            </w:r>
          </w:p>
        </w:tc>
        <w:tc>
          <w:tcPr>
            <w:tcW w:w="1800" w:type="dxa"/>
            <w:shd w:val="clear" w:color="auto" w:fill="auto"/>
          </w:tcPr>
          <w:p w:rsidR="00D5317E" w:rsidRPr="00366A18" w:rsidRDefault="00D5317E" w:rsidP="0035582B">
            <w:pPr>
              <w:jc w:val="both"/>
            </w:pPr>
            <w:r w:rsidRPr="00366A18">
              <w:t>209.2±10.012</w:t>
            </w:r>
            <w:r w:rsidRPr="00366A18">
              <w:rPr>
                <w:vertAlign w:val="superscript"/>
              </w:rPr>
              <w:t>##</w:t>
            </w:r>
          </w:p>
        </w:tc>
        <w:tc>
          <w:tcPr>
            <w:tcW w:w="1710" w:type="dxa"/>
            <w:shd w:val="clear" w:color="auto" w:fill="auto"/>
          </w:tcPr>
          <w:p w:rsidR="00D5317E" w:rsidRPr="00366A18" w:rsidRDefault="00D5317E" w:rsidP="0035582B">
            <w:pPr>
              <w:jc w:val="both"/>
            </w:pPr>
            <w:r w:rsidRPr="00366A18">
              <w:t>163.2±5.113</w:t>
            </w:r>
            <w:r w:rsidRPr="00366A18">
              <w:rPr>
                <w:vertAlign w:val="superscript"/>
              </w:rPr>
              <w:t>#</w:t>
            </w:r>
          </w:p>
        </w:tc>
        <w:tc>
          <w:tcPr>
            <w:tcW w:w="1710" w:type="dxa"/>
            <w:shd w:val="clear" w:color="auto" w:fill="auto"/>
          </w:tcPr>
          <w:p w:rsidR="00D5317E" w:rsidRPr="00366A18" w:rsidRDefault="00D5317E" w:rsidP="0035582B">
            <w:pPr>
              <w:jc w:val="both"/>
            </w:pPr>
            <w:r w:rsidRPr="00366A18">
              <w:t>331.2±8.691</w:t>
            </w:r>
            <w:r w:rsidRPr="00366A18">
              <w:rPr>
                <w:vertAlign w:val="superscript"/>
              </w:rPr>
              <w:t>###</w:t>
            </w:r>
          </w:p>
        </w:tc>
        <w:tc>
          <w:tcPr>
            <w:tcW w:w="1679" w:type="dxa"/>
            <w:shd w:val="clear" w:color="auto" w:fill="auto"/>
          </w:tcPr>
          <w:p w:rsidR="00D5317E" w:rsidRPr="00366A18" w:rsidRDefault="00D5317E" w:rsidP="0035582B">
            <w:pPr>
              <w:jc w:val="both"/>
            </w:pPr>
            <w:r w:rsidRPr="00366A18">
              <w:t>1.2±0.024</w:t>
            </w:r>
            <w:r w:rsidRPr="00366A18">
              <w:rPr>
                <w:vertAlign w:val="superscript"/>
              </w:rPr>
              <w:t>##</w:t>
            </w:r>
          </w:p>
        </w:tc>
        <w:tc>
          <w:tcPr>
            <w:tcW w:w="1651" w:type="dxa"/>
            <w:shd w:val="clear" w:color="auto" w:fill="auto"/>
          </w:tcPr>
          <w:p w:rsidR="00D5317E" w:rsidRPr="00366A18" w:rsidRDefault="00D5317E" w:rsidP="0035582B">
            <w:pPr>
              <w:jc w:val="both"/>
            </w:pPr>
            <w:r w:rsidRPr="00366A18">
              <w:t>2.066±0.049</w:t>
            </w:r>
            <w:r w:rsidRPr="00366A18">
              <w:rPr>
                <w:vertAlign w:val="superscript"/>
              </w:rPr>
              <w:t>##</w:t>
            </w:r>
          </w:p>
        </w:tc>
        <w:tc>
          <w:tcPr>
            <w:tcW w:w="1710" w:type="dxa"/>
            <w:shd w:val="clear" w:color="auto" w:fill="auto"/>
          </w:tcPr>
          <w:p w:rsidR="00D5317E" w:rsidRPr="00366A18" w:rsidRDefault="00D5317E" w:rsidP="0035582B">
            <w:pPr>
              <w:jc w:val="both"/>
            </w:pPr>
            <w:r w:rsidRPr="00366A18">
              <w:t>42.86±6.344</w:t>
            </w:r>
            <w:r w:rsidRPr="00366A18">
              <w:rPr>
                <w:vertAlign w:val="superscript"/>
              </w:rPr>
              <w:t>#</w:t>
            </w:r>
          </w:p>
        </w:tc>
      </w:tr>
      <w:tr w:rsidR="00D5317E" w:rsidRPr="00366A18" w:rsidTr="00DE10BD">
        <w:trPr>
          <w:trHeight w:val="707"/>
        </w:trPr>
        <w:tc>
          <w:tcPr>
            <w:tcW w:w="1188" w:type="dxa"/>
            <w:shd w:val="clear" w:color="auto" w:fill="auto"/>
          </w:tcPr>
          <w:p w:rsidR="00D5317E" w:rsidRPr="00366A18" w:rsidRDefault="00D5317E" w:rsidP="0035582B">
            <w:pPr>
              <w:jc w:val="both"/>
            </w:pPr>
            <w:r w:rsidRPr="00366A18">
              <w:t>AR</w:t>
            </w:r>
            <w:r w:rsidRPr="00366A18">
              <w:rPr>
                <w:vertAlign w:val="subscript"/>
              </w:rPr>
              <w:t>2</w:t>
            </w:r>
            <w:r w:rsidRPr="00366A18">
              <w:t>+QT</w:t>
            </w:r>
          </w:p>
        </w:tc>
        <w:tc>
          <w:tcPr>
            <w:tcW w:w="1800" w:type="dxa"/>
            <w:shd w:val="clear" w:color="auto" w:fill="auto"/>
          </w:tcPr>
          <w:p w:rsidR="00D5317E" w:rsidRPr="00366A18" w:rsidRDefault="00D5317E" w:rsidP="0035582B">
            <w:pPr>
              <w:jc w:val="both"/>
            </w:pPr>
            <w:r w:rsidRPr="00366A18">
              <w:t>169.2±7.612</w:t>
            </w:r>
            <w:r w:rsidRPr="00366A18">
              <w:rPr>
                <w:vertAlign w:val="superscript"/>
              </w:rPr>
              <w:t>###</w:t>
            </w:r>
          </w:p>
        </w:tc>
        <w:tc>
          <w:tcPr>
            <w:tcW w:w="1710" w:type="dxa"/>
            <w:shd w:val="clear" w:color="auto" w:fill="auto"/>
          </w:tcPr>
          <w:p w:rsidR="00D5317E" w:rsidRPr="00366A18" w:rsidRDefault="00D5317E" w:rsidP="0035582B">
            <w:pPr>
              <w:jc w:val="both"/>
            </w:pPr>
            <w:r w:rsidRPr="00366A18">
              <w:t>124.8±7.453</w:t>
            </w:r>
            <w:r w:rsidRPr="00366A18">
              <w:rPr>
                <w:vertAlign w:val="superscript"/>
              </w:rPr>
              <w:t>###</w:t>
            </w:r>
          </w:p>
        </w:tc>
        <w:tc>
          <w:tcPr>
            <w:tcW w:w="1710" w:type="dxa"/>
            <w:shd w:val="clear" w:color="auto" w:fill="auto"/>
          </w:tcPr>
          <w:p w:rsidR="00D5317E" w:rsidRPr="00366A18" w:rsidRDefault="00D5317E" w:rsidP="0035582B">
            <w:pPr>
              <w:jc w:val="both"/>
            </w:pPr>
            <w:r w:rsidRPr="00366A18">
              <w:t>320.2±8.628</w:t>
            </w:r>
            <w:r w:rsidRPr="00366A18">
              <w:rPr>
                <w:vertAlign w:val="superscript"/>
              </w:rPr>
              <w:t>###</w:t>
            </w:r>
          </w:p>
        </w:tc>
        <w:tc>
          <w:tcPr>
            <w:tcW w:w="1679" w:type="dxa"/>
            <w:shd w:val="clear" w:color="auto" w:fill="auto"/>
          </w:tcPr>
          <w:p w:rsidR="00D5317E" w:rsidRPr="00366A18" w:rsidRDefault="00D5317E" w:rsidP="0035582B">
            <w:pPr>
              <w:jc w:val="both"/>
            </w:pPr>
            <w:r w:rsidRPr="00366A18">
              <w:t>1.046±0.0710</w:t>
            </w:r>
            <w:r w:rsidRPr="00366A18">
              <w:rPr>
                <w:vertAlign w:val="superscript"/>
              </w:rPr>
              <w:t>###</w:t>
            </w:r>
          </w:p>
        </w:tc>
        <w:tc>
          <w:tcPr>
            <w:tcW w:w="1651" w:type="dxa"/>
            <w:shd w:val="clear" w:color="auto" w:fill="auto"/>
          </w:tcPr>
          <w:p w:rsidR="00D5317E" w:rsidRPr="00366A18" w:rsidRDefault="00D5317E" w:rsidP="0035582B">
            <w:pPr>
              <w:jc w:val="both"/>
            </w:pPr>
            <w:r w:rsidRPr="00366A18">
              <w:t>2.924±0.021</w:t>
            </w:r>
            <w:r w:rsidRPr="00366A18">
              <w:rPr>
                <w:vertAlign w:val="superscript"/>
              </w:rPr>
              <w:t>###</w:t>
            </w:r>
          </w:p>
        </w:tc>
        <w:tc>
          <w:tcPr>
            <w:tcW w:w="1710" w:type="dxa"/>
            <w:shd w:val="clear" w:color="auto" w:fill="auto"/>
          </w:tcPr>
          <w:p w:rsidR="00D5317E" w:rsidRPr="00366A18" w:rsidRDefault="00D5317E" w:rsidP="0035582B">
            <w:pPr>
              <w:jc w:val="both"/>
            </w:pPr>
            <w:r w:rsidRPr="00366A18">
              <w:t>77.482±3.292</w:t>
            </w:r>
            <w:r w:rsidRPr="00366A18">
              <w:rPr>
                <w:vertAlign w:val="superscript"/>
              </w:rPr>
              <w:t>###</w:t>
            </w:r>
          </w:p>
        </w:tc>
      </w:tr>
      <w:tr w:rsidR="00D5317E" w:rsidRPr="00366A18" w:rsidTr="00DE10BD">
        <w:trPr>
          <w:trHeight w:val="486"/>
        </w:trPr>
        <w:tc>
          <w:tcPr>
            <w:tcW w:w="1188" w:type="dxa"/>
            <w:shd w:val="clear" w:color="auto" w:fill="auto"/>
          </w:tcPr>
          <w:p w:rsidR="00D5317E" w:rsidRPr="00366A18" w:rsidRDefault="00D5317E" w:rsidP="0035582B">
            <w:pPr>
              <w:jc w:val="both"/>
            </w:pPr>
            <w:r w:rsidRPr="00366A18">
              <w:t>AR</w:t>
            </w:r>
            <w:r w:rsidRPr="00366A18">
              <w:rPr>
                <w:vertAlign w:val="subscript"/>
              </w:rPr>
              <w:t xml:space="preserve">2 </w:t>
            </w:r>
            <w:r w:rsidRPr="00366A18">
              <w:t>perse</w:t>
            </w:r>
          </w:p>
        </w:tc>
        <w:tc>
          <w:tcPr>
            <w:tcW w:w="1800" w:type="dxa"/>
            <w:shd w:val="clear" w:color="auto" w:fill="auto"/>
          </w:tcPr>
          <w:p w:rsidR="00D5317E" w:rsidRPr="00366A18" w:rsidRDefault="00D5317E" w:rsidP="0035582B">
            <w:pPr>
              <w:jc w:val="both"/>
            </w:pPr>
            <w:r w:rsidRPr="00366A18">
              <w:t>142.61±10.559</w:t>
            </w:r>
          </w:p>
        </w:tc>
        <w:tc>
          <w:tcPr>
            <w:tcW w:w="1710" w:type="dxa"/>
            <w:shd w:val="clear" w:color="auto" w:fill="auto"/>
          </w:tcPr>
          <w:p w:rsidR="00D5317E" w:rsidRPr="00366A18" w:rsidRDefault="00D5317E" w:rsidP="0035582B">
            <w:pPr>
              <w:jc w:val="both"/>
            </w:pPr>
            <w:r w:rsidRPr="00366A18">
              <w:t>105±4.980</w:t>
            </w:r>
          </w:p>
        </w:tc>
        <w:tc>
          <w:tcPr>
            <w:tcW w:w="1710" w:type="dxa"/>
            <w:shd w:val="clear" w:color="auto" w:fill="auto"/>
          </w:tcPr>
          <w:p w:rsidR="00D5317E" w:rsidRPr="00366A18" w:rsidRDefault="00D5317E" w:rsidP="0035582B">
            <w:pPr>
              <w:jc w:val="both"/>
            </w:pPr>
            <w:r w:rsidRPr="00366A18">
              <w:t>320.8±6.946</w:t>
            </w:r>
          </w:p>
        </w:tc>
        <w:tc>
          <w:tcPr>
            <w:tcW w:w="1679" w:type="dxa"/>
            <w:shd w:val="clear" w:color="auto" w:fill="auto"/>
          </w:tcPr>
          <w:p w:rsidR="00D5317E" w:rsidRPr="00366A18" w:rsidRDefault="00D5317E" w:rsidP="0035582B">
            <w:pPr>
              <w:jc w:val="both"/>
            </w:pPr>
            <w:r w:rsidRPr="00366A18">
              <w:t>0.966±0.0403</w:t>
            </w:r>
          </w:p>
        </w:tc>
        <w:tc>
          <w:tcPr>
            <w:tcW w:w="1651" w:type="dxa"/>
            <w:shd w:val="clear" w:color="auto" w:fill="auto"/>
          </w:tcPr>
          <w:p w:rsidR="00D5317E" w:rsidRPr="00366A18" w:rsidRDefault="00D5317E" w:rsidP="0035582B">
            <w:pPr>
              <w:jc w:val="both"/>
            </w:pPr>
            <w:r w:rsidRPr="00366A18">
              <w:t>3.582±0.0582</w:t>
            </w:r>
          </w:p>
        </w:tc>
        <w:tc>
          <w:tcPr>
            <w:tcW w:w="1710" w:type="dxa"/>
            <w:shd w:val="clear" w:color="auto" w:fill="auto"/>
          </w:tcPr>
          <w:p w:rsidR="00D5317E" w:rsidRPr="00366A18" w:rsidRDefault="00D5317E" w:rsidP="0035582B">
            <w:pPr>
              <w:jc w:val="both"/>
            </w:pPr>
            <w:r w:rsidRPr="00366A18">
              <w:t>80.976±3.277</w:t>
            </w:r>
          </w:p>
        </w:tc>
      </w:tr>
    </w:tbl>
    <w:p w:rsidR="00D5317E" w:rsidRDefault="00D5317E" w:rsidP="0035582B">
      <w:pPr>
        <w:ind w:left="-90"/>
        <w:jc w:val="both"/>
        <w:rPr>
          <w:lang w:val="da-DK"/>
        </w:rPr>
      </w:pPr>
    </w:p>
    <w:p w:rsidR="00D5317E" w:rsidRDefault="00D5317E" w:rsidP="0035582B">
      <w:pPr>
        <w:ind w:left="-90"/>
        <w:jc w:val="both"/>
        <w:rPr>
          <w:lang w:val="da-DK"/>
        </w:rPr>
      </w:pPr>
    </w:p>
    <w:p w:rsidR="00927873" w:rsidRPr="00DE10BD" w:rsidRDefault="00D5317E" w:rsidP="0035582B">
      <w:pPr>
        <w:tabs>
          <w:tab w:val="left" w:pos="4770"/>
        </w:tabs>
        <w:spacing w:line="360" w:lineRule="auto"/>
        <w:jc w:val="both"/>
      </w:pPr>
      <w:r w:rsidRPr="00D5317E">
        <w:rPr>
          <w:lang w:val="da-DK"/>
        </w:rPr>
        <w:t>Table-2</w:t>
      </w:r>
      <w:r w:rsidRPr="00D5317E">
        <w:t xml:space="preserve"> Effect o</w:t>
      </w:r>
      <w:r>
        <w:t xml:space="preserve">f lipopolysaccharide, Quercetin and </w:t>
      </w:r>
      <w:r w:rsidRPr="00D5317E">
        <w:t xml:space="preserve"> </w:t>
      </w:r>
      <w:r w:rsidRPr="00D5317E">
        <w:rPr>
          <w:i/>
        </w:rPr>
        <w:t xml:space="preserve">A. racemosus </w:t>
      </w:r>
      <w:r w:rsidRPr="00D5317E">
        <w:t xml:space="preserve">extract alone and in combination on </w:t>
      </w:r>
      <w:r w:rsidRPr="00D5317E">
        <w:rPr>
          <w:bCs/>
        </w:rPr>
        <w:t>liver injury markers</w:t>
      </w:r>
    </w:p>
    <w:p w:rsidR="00927873" w:rsidRDefault="00927873" w:rsidP="0035582B">
      <w:pPr>
        <w:jc w:val="both"/>
        <w:rPr>
          <w:sz w:val="28"/>
          <w:szCs w:val="28"/>
        </w:rPr>
      </w:pPr>
    </w:p>
    <w:p w:rsidR="00D5317E" w:rsidRPr="000B0520" w:rsidRDefault="00D5317E" w:rsidP="0035582B">
      <w:pPr>
        <w:jc w:val="both"/>
        <w:rPr>
          <w:sz w:val="28"/>
          <w:szCs w:val="28"/>
        </w:rPr>
      </w:pPr>
      <w:r w:rsidRPr="000B0520">
        <w:rPr>
          <w:sz w:val="28"/>
          <w:szCs w:val="28"/>
        </w:rPr>
        <w:t xml:space="preserve">Results are expressed as mean ± SEM. The results were analyzed by Analysis of variance (ANOVA) followed by </w:t>
      </w:r>
      <w:r w:rsidRPr="000B0520">
        <w:rPr>
          <w:bCs/>
          <w:sz w:val="28"/>
          <w:szCs w:val="28"/>
        </w:rPr>
        <w:t>Tukey-Kramer multiple comparison test.</w:t>
      </w:r>
      <w:r w:rsidRPr="000B0520">
        <w:rPr>
          <w:sz w:val="28"/>
          <w:szCs w:val="28"/>
        </w:rPr>
        <w:t xml:space="preserve"> </w:t>
      </w:r>
    </w:p>
    <w:p w:rsidR="00904399" w:rsidRDefault="00D5317E" w:rsidP="0035582B">
      <w:pPr>
        <w:ind w:left="-90"/>
        <w:jc w:val="both"/>
        <w:rPr>
          <w:lang w:val="da-DK"/>
        </w:rPr>
      </w:pPr>
      <w:r w:rsidRPr="0095359E">
        <w:t xml:space="preserve"> n=6</w:t>
      </w:r>
      <w:r>
        <w:t>,</w:t>
      </w:r>
      <w:r w:rsidRPr="00AB1AF2">
        <w:rPr>
          <w:vertAlign w:val="superscript"/>
        </w:rPr>
        <w:t xml:space="preserve"> </w:t>
      </w:r>
      <w:r w:rsidRPr="00FF40BE">
        <w:rPr>
          <w:vertAlign w:val="superscript"/>
        </w:rPr>
        <w:t>#</w:t>
      </w:r>
      <w:r w:rsidRPr="0095359E">
        <w:t xml:space="preserve"> =</w:t>
      </w:r>
      <w:r w:rsidRPr="0095359E">
        <w:rPr>
          <w:rFonts w:eastAsia="Calibri"/>
        </w:rPr>
        <w:t xml:space="preserve"> p&lt;0.05</w:t>
      </w:r>
      <w:r>
        <w:rPr>
          <w:rFonts w:eastAsia="Calibri"/>
        </w:rPr>
        <w:t>,</w:t>
      </w:r>
      <w:r w:rsidRPr="00AB1AF2">
        <w:rPr>
          <w:vertAlign w:val="superscript"/>
        </w:rPr>
        <w:t xml:space="preserve"> </w:t>
      </w:r>
      <w:r w:rsidRPr="00FF40BE">
        <w:rPr>
          <w:vertAlign w:val="superscript"/>
        </w:rPr>
        <w:t>##</w:t>
      </w:r>
      <w:r w:rsidRPr="0095359E">
        <w:t>=</w:t>
      </w:r>
      <w:r w:rsidRPr="0095359E">
        <w:rPr>
          <w:rFonts w:eastAsia="Calibri"/>
        </w:rPr>
        <w:t xml:space="preserve"> p&lt;.01</w:t>
      </w:r>
      <w:r>
        <w:rPr>
          <w:rFonts w:eastAsia="Calibri"/>
        </w:rPr>
        <w:t>,</w:t>
      </w:r>
      <w:r w:rsidRPr="00AB1AF2">
        <w:rPr>
          <w:vertAlign w:val="superscript"/>
        </w:rPr>
        <w:t xml:space="preserve"> </w:t>
      </w:r>
      <w:r w:rsidRPr="00FF40BE">
        <w:rPr>
          <w:vertAlign w:val="superscript"/>
        </w:rPr>
        <w:t>#</w:t>
      </w:r>
      <w:r w:rsidRPr="003A4227">
        <w:rPr>
          <w:vertAlign w:val="superscript"/>
        </w:rPr>
        <w:t>##</w:t>
      </w:r>
      <w:r w:rsidRPr="0095359E">
        <w:t xml:space="preserve"> = </w:t>
      </w:r>
      <w:r>
        <w:rPr>
          <w:rFonts w:eastAsia="Calibri"/>
        </w:rPr>
        <w:t>p&lt;0.001,</w:t>
      </w:r>
      <w:r w:rsidRPr="0095359E">
        <w:t xml:space="preserve"> *** = </w:t>
      </w:r>
      <w:r>
        <w:rPr>
          <w:rFonts w:eastAsia="Calibri"/>
        </w:rPr>
        <w:t>p&lt;0.001,</w:t>
      </w:r>
      <w:r w:rsidRPr="00AB1AF2">
        <w:rPr>
          <w:vertAlign w:val="superscript"/>
        </w:rPr>
        <w:t xml:space="preserve"> </w:t>
      </w:r>
      <w:r w:rsidRPr="00FF40BE">
        <w:rPr>
          <w:vertAlign w:val="superscript"/>
        </w:rPr>
        <w:t>#</w:t>
      </w:r>
      <w:r w:rsidRPr="0095359E">
        <w:t xml:space="preserve"> </w:t>
      </w:r>
      <w:r w:rsidRPr="0095359E">
        <w:rPr>
          <w:lang w:val="da-DK"/>
        </w:rPr>
        <w:t xml:space="preserve">  Vs. Group</w:t>
      </w:r>
      <w:r>
        <w:rPr>
          <w:lang w:val="da-DK"/>
        </w:rPr>
        <w:t xml:space="preserve"> </w:t>
      </w:r>
      <w:r w:rsidRPr="0095359E">
        <w:rPr>
          <w:lang w:val="da-DK"/>
        </w:rPr>
        <w:t>II</w:t>
      </w:r>
      <w:r>
        <w:rPr>
          <w:lang w:val="da-DK"/>
        </w:rPr>
        <w:t>,</w:t>
      </w:r>
      <w:r w:rsidRPr="00AB1AF2">
        <w:rPr>
          <w:vertAlign w:val="superscript"/>
        </w:rPr>
        <w:t xml:space="preserve"> </w:t>
      </w:r>
      <w:r w:rsidRPr="00FF40BE">
        <w:rPr>
          <w:vertAlign w:val="superscript"/>
        </w:rPr>
        <w:t>*</w:t>
      </w:r>
      <w:r w:rsidRPr="0095359E">
        <w:t xml:space="preserve"> </w:t>
      </w:r>
      <w:r w:rsidRPr="0095359E">
        <w:rPr>
          <w:lang w:val="da-DK"/>
        </w:rPr>
        <w:t xml:space="preserve">  Vs. Group</w:t>
      </w:r>
      <w:r>
        <w:rPr>
          <w:lang w:val="da-DK"/>
        </w:rPr>
        <w:t xml:space="preserve"> </w:t>
      </w:r>
      <w:r w:rsidRPr="0095359E">
        <w:rPr>
          <w:lang w:val="da-DK"/>
        </w:rPr>
        <w:t>I</w:t>
      </w:r>
    </w:p>
    <w:p w:rsidR="007E48DD" w:rsidRPr="00D5317E" w:rsidRDefault="007E48DD" w:rsidP="0035582B">
      <w:pPr>
        <w:ind w:left="-90"/>
        <w:jc w:val="both"/>
        <w:rPr>
          <w:lang w:val="da-DK"/>
        </w:rPr>
      </w:pPr>
    </w:p>
    <w:p w:rsidR="00EE7CF9" w:rsidRPr="00077B32" w:rsidRDefault="00EE7CF9" w:rsidP="0035582B">
      <w:pPr>
        <w:spacing w:line="360" w:lineRule="auto"/>
        <w:jc w:val="both"/>
        <w:rPr>
          <w:b/>
          <w:color w:val="000000"/>
        </w:rPr>
      </w:pPr>
      <w:commentRangeStart w:id="23"/>
      <w:r w:rsidRPr="00FD5A90">
        <w:rPr>
          <w:b/>
          <w:color w:val="000000"/>
        </w:rPr>
        <w:t>Nitric oxide Activity</w:t>
      </w:r>
      <w:commentRangeEnd w:id="23"/>
      <w:r w:rsidR="00222AC6">
        <w:rPr>
          <w:rStyle w:val="CommentReference"/>
        </w:rPr>
        <w:commentReference w:id="23"/>
      </w:r>
    </w:p>
    <w:p w:rsidR="00D5317E" w:rsidRDefault="00EE7CF9" w:rsidP="0035582B">
      <w:pPr>
        <w:spacing w:line="360" w:lineRule="auto"/>
        <w:jc w:val="both"/>
        <w:rPr>
          <w:color w:val="000000"/>
        </w:rPr>
      </w:pPr>
      <w:r w:rsidRPr="00391C0B">
        <w:rPr>
          <w:color w:val="000000"/>
        </w:rPr>
        <w:t xml:space="preserve">In the rats pretreated with </w:t>
      </w:r>
      <w:r w:rsidRPr="00391C0B">
        <w:rPr>
          <w:i/>
        </w:rPr>
        <w:t>Asparagus racemosus</w:t>
      </w:r>
      <w:r w:rsidRPr="00391C0B">
        <w:rPr>
          <w:iCs/>
          <w:color w:val="000000"/>
        </w:rPr>
        <w:t xml:space="preserve">, </w:t>
      </w:r>
      <w:r w:rsidRPr="00391C0B">
        <w:rPr>
          <w:color w:val="000000"/>
        </w:rPr>
        <w:t xml:space="preserve">the levels of NO significantly reduced </w:t>
      </w:r>
      <w:r>
        <w:rPr>
          <w:color w:val="000000"/>
        </w:rPr>
        <w:t>compa</w:t>
      </w:r>
      <w:r w:rsidR="00D5317E">
        <w:rPr>
          <w:color w:val="000000"/>
        </w:rPr>
        <w:t>red to disease control (</w:t>
      </w:r>
      <w:r w:rsidR="006417ED">
        <w:rPr>
          <w:color w:val="000000"/>
        </w:rPr>
        <w:t xml:space="preserve">Table </w:t>
      </w:r>
      <w:r w:rsidR="00D5317E">
        <w:rPr>
          <w:color w:val="000000"/>
        </w:rPr>
        <w:t>3</w:t>
      </w:r>
      <w:r>
        <w:rPr>
          <w:color w:val="000000"/>
        </w:rPr>
        <w:t>). Dose of 200 mg /kg was more effective than that of 100 mg/ kg.</w:t>
      </w:r>
      <w:r w:rsidRPr="00391C0B">
        <w:rPr>
          <w:color w:val="000000"/>
        </w:rPr>
        <w:t xml:space="preserve"> </w:t>
      </w:r>
    </w:p>
    <w:p w:rsidR="00D5317E" w:rsidRPr="00D5317E" w:rsidRDefault="00D5317E" w:rsidP="0035582B">
      <w:pPr>
        <w:tabs>
          <w:tab w:val="left" w:pos="4770"/>
        </w:tabs>
        <w:spacing w:line="360" w:lineRule="auto"/>
        <w:jc w:val="both"/>
      </w:pPr>
      <w:r>
        <w:rPr>
          <w:color w:val="000000"/>
        </w:rPr>
        <w:t xml:space="preserve">Table-3 </w:t>
      </w:r>
      <w:r w:rsidRPr="00D5317E">
        <w:t>Effect o</w:t>
      </w:r>
      <w:r>
        <w:t xml:space="preserve">f lipopolysaccharide, Quercetin and </w:t>
      </w:r>
      <w:r w:rsidRPr="00D5317E">
        <w:t xml:space="preserve"> </w:t>
      </w:r>
      <w:r w:rsidRPr="00D5317E">
        <w:rPr>
          <w:i/>
        </w:rPr>
        <w:t xml:space="preserve">A. racemosus </w:t>
      </w:r>
      <w:r w:rsidRPr="00D5317E">
        <w:t xml:space="preserve">extract alone and in combination on </w:t>
      </w:r>
      <w:r>
        <w:rPr>
          <w:bCs/>
        </w:rPr>
        <w:t>cytokines and nitric oxide level.</w:t>
      </w:r>
    </w:p>
    <w:p w:rsidR="00D5317E" w:rsidRDefault="00D5317E" w:rsidP="0035582B">
      <w:pPr>
        <w:spacing w:line="360" w:lineRule="auto"/>
        <w:jc w:val="both"/>
        <w:rPr>
          <w:color w:val="000000"/>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
        <w:gridCol w:w="1485"/>
        <w:gridCol w:w="1674"/>
        <w:gridCol w:w="1788"/>
        <w:gridCol w:w="1668"/>
        <w:gridCol w:w="1788"/>
      </w:tblGrid>
      <w:tr w:rsidR="00D5317E" w:rsidRPr="00B95A51" w:rsidTr="00B432E9">
        <w:trPr>
          <w:trHeight w:val="1319"/>
        </w:trPr>
        <w:tc>
          <w:tcPr>
            <w:tcW w:w="1033" w:type="dxa"/>
            <w:shd w:val="clear" w:color="auto" w:fill="auto"/>
          </w:tcPr>
          <w:p w:rsidR="00D5317E" w:rsidRPr="00B95A51" w:rsidRDefault="00D5317E" w:rsidP="0035582B">
            <w:pPr>
              <w:spacing w:line="480" w:lineRule="auto"/>
              <w:jc w:val="both"/>
            </w:pPr>
            <w:r w:rsidRPr="00B95A51">
              <w:t>Group</w:t>
            </w:r>
          </w:p>
        </w:tc>
        <w:tc>
          <w:tcPr>
            <w:tcW w:w="1547" w:type="dxa"/>
            <w:shd w:val="clear" w:color="auto" w:fill="auto"/>
          </w:tcPr>
          <w:p w:rsidR="00D5317E" w:rsidRPr="00B95A51" w:rsidRDefault="00D5317E" w:rsidP="0035582B">
            <w:pPr>
              <w:spacing w:line="480" w:lineRule="auto"/>
              <w:jc w:val="both"/>
            </w:pPr>
            <w:r w:rsidRPr="00B95A51">
              <w:t>Drug treatment</w:t>
            </w:r>
          </w:p>
        </w:tc>
        <w:tc>
          <w:tcPr>
            <w:tcW w:w="1675" w:type="dxa"/>
            <w:shd w:val="clear" w:color="auto" w:fill="auto"/>
          </w:tcPr>
          <w:p w:rsidR="00D5317E" w:rsidRPr="00B95A51" w:rsidRDefault="00D5317E" w:rsidP="0035582B">
            <w:pPr>
              <w:spacing w:line="480" w:lineRule="auto"/>
              <w:jc w:val="both"/>
              <w:rPr>
                <w:lang w:val="en-IN" w:eastAsia="en-IN"/>
              </w:rPr>
            </w:pPr>
            <w:r w:rsidRPr="00B95A51">
              <w:rPr>
                <w:lang w:val="en-IN" w:eastAsia="en-IN"/>
              </w:rPr>
              <w:t>IL-1β</w:t>
            </w:r>
          </w:p>
          <w:p w:rsidR="00D5317E" w:rsidRPr="00B95A51" w:rsidRDefault="00D5317E" w:rsidP="0035582B">
            <w:pPr>
              <w:spacing w:line="480" w:lineRule="auto"/>
              <w:jc w:val="both"/>
            </w:pPr>
            <w:r w:rsidRPr="00B95A51">
              <w:rPr>
                <w:lang w:val="en-IN" w:eastAsia="en-IN"/>
              </w:rPr>
              <w:t>Pg/ml</w:t>
            </w:r>
          </w:p>
        </w:tc>
        <w:tc>
          <w:tcPr>
            <w:tcW w:w="1756" w:type="dxa"/>
            <w:shd w:val="clear" w:color="auto" w:fill="auto"/>
          </w:tcPr>
          <w:p w:rsidR="00D5317E" w:rsidRPr="00B95A51" w:rsidRDefault="00D5317E" w:rsidP="0035582B">
            <w:pPr>
              <w:spacing w:line="480" w:lineRule="auto"/>
              <w:jc w:val="both"/>
              <w:rPr>
                <w:lang w:val="en-IN" w:eastAsia="en-IN"/>
              </w:rPr>
            </w:pPr>
            <w:r w:rsidRPr="00B95A51">
              <w:rPr>
                <w:lang w:val="en-IN" w:eastAsia="en-IN"/>
              </w:rPr>
              <w:t>IL-6</w:t>
            </w:r>
          </w:p>
          <w:p w:rsidR="00D5317E" w:rsidRPr="00B95A51" w:rsidRDefault="00D5317E" w:rsidP="0035582B">
            <w:pPr>
              <w:spacing w:line="480" w:lineRule="auto"/>
              <w:jc w:val="both"/>
            </w:pPr>
            <w:r w:rsidRPr="00B95A51">
              <w:rPr>
                <w:lang w:val="en-IN" w:eastAsia="en-IN"/>
              </w:rPr>
              <w:t>Pg/ml</w:t>
            </w:r>
          </w:p>
        </w:tc>
        <w:tc>
          <w:tcPr>
            <w:tcW w:w="1639" w:type="dxa"/>
            <w:shd w:val="clear" w:color="auto" w:fill="auto"/>
          </w:tcPr>
          <w:p w:rsidR="00D5317E" w:rsidRPr="00B95A51" w:rsidRDefault="00D5317E" w:rsidP="0035582B">
            <w:pPr>
              <w:spacing w:line="480" w:lineRule="auto"/>
              <w:jc w:val="both"/>
              <w:rPr>
                <w:lang w:val="en-IN" w:eastAsia="en-IN"/>
              </w:rPr>
            </w:pPr>
            <w:r w:rsidRPr="00B95A51">
              <w:rPr>
                <w:lang w:val="en-IN" w:eastAsia="en-IN"/>
              </w:rPr>
              <w:t>TNF-α</w:t>
            </w:r>
          </w:p>
          <w:p w:rsidR="00D5317E" w:rsidRPr="00B95A51" w:rsidRDefault="00D5317E" w:rsidP="0035582B">
            <w:pPr>
              <w:spacing w:line="480" w:lineRule="auto"/>
              <w:jc w:val="both"/>
            </w:pPr>
            <w:r w:rsidRPr="00B95A51">
              <w:rPr>
                <w:lang w:val="en-IN" w:eastAsia="en-IN"/>
              </w:rPr>
              <w:t>Pg/ml</w:t>
            </w:r>
          </w:p>
        </w:tc>
        <w:tc>
          <w:tcPr>
            <w:tcW w:w="1756" w:type="dxa"/>
            <w:shd w:val="clear" w:color="auto" w:fill="auto"/>
          </w:tcPr>
          <w:p w:rsidR="00D5317E" w:rsidRPr="00B95A51" w:rsidRDefault="00D5317E" w:rsidP="0035582B">
            <w:pPr>
              <w:spacing w:line="480" w:lineRule="auto"/>
              <w:jc w:val="both"/>
            </w:pPr>
            <w:r w:rsidRPr="00B95A51">
              <w:t>NO(</w:t>
            </w:r>
            <w:r w:rsidRPr="00B95A51">
              <w:rPr>
                <w:bCs/>
              </w:rPr>
              <w:t>µmol nitrite/mg of wet tissue</w:t>
            </w:r>
            <w:r w:rsidRPr="00B95A51">
              <w:t>)</w:t>
            </w:r>
          </w:p>
        </w:tc>
      </w:tr>
      <w:tr w:rsidR="00D5317E" w:rsidRPr="00B95A51" w:rsidTr="00B432E9">
        <w:trPr>
          <w:trHeight w:val="524"/>
        </w:trPr>
        <w:tc>
          <w:tcPr>
            <w:tcW w:w="1033" w:type="dxa"/>
            <w:shd w:val="clear" w:color="auto" w:fill="auto"/>
          </w:tcPr>
          <w:p w:rsidR="00D5317E" w:rsidRPr="00B95A51" w:rsidRDefault="00D5317E" w:rsidP="0035582B">
            <w:pPr>
              <w:spacing w:line="480" w:lineRule="auto"/>
              <w:jc w:val="both"/>
            </w:pPr>
            <w:r w:rsidRPr="00B95A51">
              <w:t>I</w:t>
            </w:r>
          </w:p>
        </w:tc>
        <w:tc>
          <w:tcPr>
            <w:tcW w:w="1547" w:type="dxa"/>
            <w:shd w:val="clear" w:color="auto" w:fill="auto"/>
          </w:tcPr>
          <w:p w:rsidR="00D5317E" w:rsidRPr="00B95A51" w:rsidRDefault="00D5317E" w:rsidP="0035582B">
            <w:pPr>
              <w:spacing w:line="480" w:lineRule="auto"/>
              <w:jc w:val="both"/>
            </w:pPr>
            <w:r w:rsidRPr="00B95A51">
              <w:t>Control</w:t>
            </w:r>
          </w:p>
        </w:tc>
        <w:tc>
          <w:tcPr>
            <w:tcW w:w="1675" w:type="dxa"/>
            <w:shd w:val="clear" w:color="auto" w:fill="auto"/>
          </w:tcPr>
          <w:p w:rsidR="00D5317E" w:rsidRPr="00B95A51" w:rsidRDefault="00D5317E" w:rsidP="0035582B">
            <w:pPr>
              <w:spacing w:line="480" w:lineRule="auto"/>
              <w:jc w:val="both"/>
            </w:pPr>
            <w:r w:rsidRPr="00B95A51">
              <w:t>37.4±2.542</w:t>
            </w:r>
          </w:p>
        </w:tc>
        <w:tc>
          <w:tcPr>
            <w:tcW w:w="1756" w:type="dxa"/>
            <w:shd w:val="clear" w:color="auto" w:fill="auto"/>
          </w:tcPr>
          <w:p w:rsidR="00D5317E" w:rsidRPr="00B95A51" w:rsidRDefault="00D5317E" w:rsidP="0035582B">
            <w:pPr>
              <w:spacing w:line="480" w:lineRule="auto"/>
              <w:jc w:val="both"/>
            </w:pPr>
            <w:r w:rsidRPr="00B95A51">
              <w:t>136.4±4.377</w:t>
            </w:r>
          </w:p>
        </w:tc>
        <w:tc>
          <w:tcPr>
            <w:tcW w:w="1639" w:type="dxa"/>
            <w:shd w:val="clear" w:color="auto" w:fill="auto"/>
          </w:tcPr>
          <w:p w:rsidR="00D5317E" w:rsidRPr="00B95A51" w:rsidRDefault="00D5317E" w:rsidP="0035582B">
            <w:pPr>
              <w:spacing w:line="480" w:lineRule="auto"/>
              <w:jc w:val="both"/>
            </w:pPr>
            <w:r w:rsidRPr="00B95A51">
              <w:t>32.6±1.364</w:t>
            </w:r>
          </w:p>
        </w:tc>
        <w:tc>
          <w:tcPr>
            <w:tcW w:w="1756" w:type="dxa"/>
            <w:shd w:val="clear" w:color="auto" w:fill="auto"/>
          </w:tcPr>
          <w:p w:rsidR="00D5317E" w:rsidRPr="00B95A51" w:rsidRDefault="00D5317E" w:rsidP="0035582B">
            <w:pPr>
              <w:spacing w:line="480" w:lineRule="auto"/>
              <w:jc w:val="both"/>
            </w:pPr>
            <w:r w:rsidRPr="00B95A51">
              <w:t>3.24±0.108</w:t>
            </w:r>
          </w:p>
        </w:tc>
      </w:tr>
      <w:tr w:rsidR="00D5317E" w:rsidRPr="00B95A51" w:rsidTr="00B432E9">
        <w:trPr>
          <w:trHeight w:val="386"/>
        </w:trPr>
        <w:tc>
          <w:tcPr>
            <w:tcW w:w="1033" w:type="dxa"/>
            <w:shd w:val="clear" w:color="auto" w:fill="auto"/>
          </w:tcPr>
          <w:p w:rsidR="00D5317E" w:rsidRPr="00B95A51" w:rsidRDefault="00D5317E" w:rsidP="0035582B">
            <w:pPr>
              <w:spacing w:line="480" w:lineRule="auto"/>
              <w:jc w:val="both"/>
            </w:pPr>
            <w:r w:rsidRPr="00B95A51">
              <w:t>II</w:t>
            </w:r>
          </w:p>
        </w:tc>
        <w:tc>
          <w:tcPr>
            <w:tcW w:w="1547" w:type="dxa"/>
            <w:shd w:val="clear" w:color="auto" w:fill="auto"/>
          </w:tcPr>
          <w:p w:rsidR="00D5317E" w:rsidRPr="00B95A51" w:rsidRDefault="00D5317E" w:rsidP="0035582B">
            <w:pPr>
              <w:spacing w:line="480" w:lineRule="auto"/>
              <w:jc w:val="both"/>
            </w:pPr>
            <w:r w:rsidRPr="00B95A51">
              <w:t>LPS</w:t>
            </w:r>
          </w:p>
        </w:tc>
        <w:tc>
          <w:tcPr>
            <w:tcW w:w="1675" w:type="dxa"/>
            <w:shd w:val="clear" w:color="auto" w:fill="auto"/>
          </w:tcPr>
          <w:p w:rsidR="00D5317E" w:rsidRPr="00B95A51" w:rsidRDefault="00D5317E" w:rsidP="0035582B">
            <w:pPr>
              <w:spacing w:line="480" w:lineRule="auto"/>
              <w:jc w:val="both"/>
            </w:pPr>
            <w:r w:rsidRPr="00B95A51">
              <w:t>73.6±5.115***</w:t>
            </w:r>
          </w:p>
        </w:tc>
        <w:tc>
          <w:tcPr>
            <w:tcW w:w="1756" w:type="dxa"/>
            <w:shd w:val="clear" w:color="auto" w:fill="auto"/>
          </w:tcPr>
          <w:p w:rsidR="00D5317E" w:rsidRPr="00B95A51" w:rsidRDefault="00D5317E" w:rsidP="0035582B">
            <w:pPr>
              <w:spacing w:line="480" w:lineRule="auto"/>
              <w:jc w:val="both"/>
            </w:pPr>
            <w:r w:rsidRPr="00B95A51">
              <w:t>196.4±6.964***</w:t>
            </w:r>
          </w:p>
        </w:tc>
        <w:tc>
          <w:tcPr>
            <w:tcW w:w="1639" w:type="dxa"/>
            <w:shd w:val="clear" w:color="auto" w:fill="auto"/>
          </w:tcPr>
          <w:p w:rsidR="00D5317E" w:rsidRPr="00B95A51" w:rsidRDefault="00D5317E" w:rsidP="0035582B">
            <w:pPr>
              <w:spacing w:line="480" w:lineRule="auto"/>
              <w:jc w:val="both"/>
            </w:pPr>
            <w:r w:rsidRPr="00B95A51">
              <w:t>51.6±3.027***</w:t>
            </w:r>
          </w:p>
        </w:tc>
        <w:tc>
          <w:tcPr>
            <w:tcW w:w="1756" w:type="dxa"/>
            <w:shd w:val="clear" w:color="auto" w:fill="auto"/>
          </w:tcPr>
          <w:p w:rsidR="00D5317E" w:rsidRPr="00B95A51" w:rsidRDefault="00D5317E" w:rsidP="0035582B">
            <w:pPr>
              <w:spacing w:line="480" w:lineRule="auto"/>
              <w:jc w:val="both"/>
            </w:pPr>
            <w:r w:rsidRPr="00B95A51">
              <w:t>7.446±0.198***</w:t>
            </w:r>
          </w:p>
        </w:tc>
      </w:tr>
      <w:tr w:rsidR="00D5317E" w:rsidRPr="00B95A51" w:rsidTr="00B432E9">
        <w:trPr>
          <w:trHeight w:val="539"/>
        </w:trPr>
        <w:tc>
          <w:tcPr>
            <w:tcW w:w="1033" w:type="dxa"/>
            <w:shd w:val="clear" w:color="auto" w:fill="auto"/>
          </w:tcPr>
          <w:p w:rsidR="00D5317E" w:rsidRPr="00B95A51" w:rsidRDefault="00D5317E" w:rsidP="0035582B">
            <w:pPr>
              <w:spacing w:line="480" w:lineRule="auto"/>
              <w:jc w:val="both"/>
            </w:pPr>
            <w:r w:rsidRPr="00B95A51">
              <w:t>III</w:t>
            </w:r>
          </w:p>
        </w:tc>
        <w:tc>
          <w:tcPr>
            <w:tcW w:w="1547" w:type="dxa"/>
            <w:shd w:val="clear" w:color="auto" w:fill="auto"/>
          </w:tcPr>
          <w:p w:rsidR="00D5317E" w:rsidRPr="00B95A51" w:rsidRDefault="00D5317E" w:rsidP="0035582B">
            <w:pPr>
              <w:spacing w:line="480" w:lineRule="auto"/>
              <w:jc w:val="both"/>
            </w:pPr>
            <w:r w:rsidRPr="00B95A51">
              <w:t>QT</w:t>
            </w:r>
          </w:p>
        </w:tc>
        <w:tc>
          <w:tcPr>
            <w:tcW w:w="1675" w:type="dxa"/>
            <w:shd w:val="clear" w:color="auto" w:fill="auto"/>
          </w:tcPr>
          <w:p w:rsidR="00D5317E" w:rsidRPr="00B95A51" w:rsidRDefault="00D5317E" w:rsidP="0035582B">
            <w:pPr>
              <w:spacing w:line="480" w:lineRule="auto"/>
              <w:jc w:val="both"/>
            </w:pPr>
            <w:r w:rsidRPr="00B95A51">
              <w:t>52.8±3.555</w:t>
            </w:r>
            <w:r w:rsidRPr="00B95A51">
              <w:rPr>
                <w:vertAlign w:val="superscript"/>
              </w:rPr>
              <w:t>##</w:t>
            </w:r>
          </w:p>
        </w:tc>
        <w:tc>
          <w:tcPr>
            <w:tcW w:w="1756" w:type="dxa"/>
            <w:shd w:val="clear" w:color="auto" w:fill="auto"/>
          </w:tcPr>
          <w:p w:rsidR="00D5317E" w:rsidRPr="00B95A51" w:rsidRDefault="00D5317E" w:rsidP="0035582B">
            <w:pPr>
              <w:spacing w:line="480" w:lineRule="auto"/>
              <w:jc w:val="both"/>
            </w:pPr>
            <w:r w:rsidRPr="00B95A51">
              <w:t>149.31±6.189</w:t>
            </w:r>
            <w:r w:rsidRPr="00B95A51">
              <w:rPr>
                <w:vertAlign w:val="superscript"/>
              </w:rPr>
              <w:t>###</w:t>
            </w:r>
          </w:p>
        </w:tc>
        <w:tc>
          <w:tcPr>
            <w:tcW w:w="1639" w:type="dxa"/>
            <w:shd w:val="clear" w:color="auto" w:fill="auto"/>
          </w:tcPr>
          <w:p w:rsidR="00D5317E" w:rsidRPr="00B95A51" w:rsidRDefault="00D5317E" w:rsidP="0035582B">
            <w:pPr>
              <w:spacing w:line="480" w:lineRule="auto"/>
              <w:jc w:val="both"/>
            </w:pPr>
            <w:r w:rsidRPr="00B95A51">
              <w:t>37.12±2.345</w:t>
            </w:r>
            <w:r w:rsidRPr="00B95A51">
              <w:rPr>
                <w:vertAlign w:val="superscript"/>
              </w:rPr>
              <w:t>##</w:t>
            </w:r>
          </w:p>
        </w:tc>
        <w:tc>
          <w:tcPr>
            <w:tcW w:w="1756" w:type="dxa"/>
            <w:shd w:val="clear" w:color="auto" w:fill="auto"/>
          </w:tcPr>
          <w:p w:rsidR="00D5317E" w:rsidRPr="00B95A51" w:rsidRDefault="00D5317E" w:rsidP="0035582B">
            <w:pPr>
              <w:spacing w:line="480" w:lineRule="auto"/>
              <w:jc w:val="both"/>
            </w:pPr>
            <w:r w:rsidRPr="00B95A51">
              <w:t>5.488±0.140</w:t>
            </w:r>
            <w:r w:rsidRPr="00B95A51">
              <w:rPr>
                <w:vertAlign w:val="superscript"/>
              </w:rPr>
              <w:t>###</w:t>
            </w:r>
          </w:p>
        </w:tc>
      </w:tr>
      <w:tr w:rsidR="00D5317E" w:rsidRPr="00B95A51" w:rsidTr="00B432E9">
        <w:trPr>
          <w:trHeight w:val="334"/>
        </w:trPr>
        <w:tc>
          <w:tcPr>
            <w:tcW w:w="1033" w:type="dxa"/>
            <w:shd w:val="clear" w:color="auto" w:fill="auto"/>
          </w:tcPr>
          <w:p w:rsidR="00D5317E" w:rsidRPr="00B95A51" w:rsidRDefault="00D5317E" w:rsidP="0035582B">
            <w:pPr>
              <w:spacing w:line="480" w:lineRule="auto"/>
              <w:jc w:val="both"/>
            </w:pPr>
            <w:r w:rsidRPr="00B95A51">
              <w:t>IV</w:t>
            </w:r>
          </w:p>
        </w:tc>
        <w:tc>
          <w:tcPr>
            <w:tcW w:w="1547" w:type="dxa"/>
            <w:shd w:val="clear" w:color="auto" w:fill="auto"/>
          </w:tcPr>
          <w:p w:rsidR="00D5317E" w:rsidRPr="00B95A51" w:rsidRDefault="00D5317E" w:rsidP="0035582B">
            <w:pPr>
              <w:spacing w:line="480" w:lineRule="auto"/>
              <w:jc w:val="both"/>
            </w:pPr>
            <w:r w:rsidRPr="00B95A51">
              <w:t>AR</w:t>
            </w:r>
            <w:r w:rsidRPr="00B95A51">
              <w:rPr>
                <w:vertAlign w:val="subscript"/>
              </w:rPr>
              <w:t>1</w:t>
            </w:r>
          </w:p>
        </w:tc>
        <w:tc>
          <w:tcPr>
            <w:tcW w:w="1675" w:type="dxa"/>
            <w:shd w:val="clear" w:color="auto" w:fill="auto"/>
          </w:tcPr>
          <w:p w:rsidR="00D5317E" w:rsidRPr="00B95A51" w:rsidRDefault="00D5317E" w:rsidP="0035582B">
            <w:pPr>
              <w:spacing w:line="480" w:lineRule="auto"/>
              <w:jc w:val="both"/>
            </w:pPr>
            <w:r w:rsidRPr="00B95A51">
              <w:t>69.6±3.140</w:t>
            </w:r>
            <w:r w:rsidRPr="00B95A51">
              <w:rPr>
                <w:vertAlign w:val="superscript"/>
              </w:rPr>
              <w:t>ns</w:t>
            </w:r>
          </w:p>
        </w:tc>
        <w:tc>
          <w:tcPr>
            <w:tcW w:w="1756" w:type="dxa"/>
            <w:shd w:val="clear" w:color="auto" w:fill="auto"/>
          </w:tcPr>
          <w:p w:rsidR="00D5317E" w:rsidRPr="00B95A51" w:rsidRDefault="00D5317E" w:rsidP="0035582B">
            <w:pPr>
              <w:spacing w:line="480" w:lineRule="auto"/>
              <w:jc w:val="both"/>
            </w:pPr>
            <w:r w:rsidRPr="00B95A51">
              <w:t>168.21±5.391</w:t>
            </w:r>
            <w:r w:rsidRPr="00B95A51">
              <w:rPr>
                <w:vertAlign w:val="superscript"/>
              </w:rPr>
              <w:t>#</w:t>
            </w:r>
          </w:p>
        </w:tc>
        <w:tc>
          <w:tcPr>
            <w:tcW w:w="1639" w:type="dxa"/>
            <w:shd w:val="clear" w:color="auto" w:fill="auto"/>
          </w:tcPr>
          <w:p w:rsidR="00D5317E" w:rsidRPr="00B95A51" w:rsidRDefault="00D5317E" w:rsidP="0035582B">
            <w:pPr>
              <w:spacing w:line="480" w:lineRule="auto"/>
              <w:jc w:val="both"/>
            </w:pPr>
            <w:r w:rsidRPr="00B95A51">
              <w:t>45.4±4.707</w:t>
            </w:r>
            <w:r w:rsidRPr="00B95A51">
              <w:rPr>
                <w:vertAlign w:val="superscript"/>
              </w:rPr>
              <w:t>ns</w:t>
            </w:r>
          </w:p>
        </w:tc>
        <w:tc>
          <w:tcPr>
            <w:tcW w:w="1756" w:type="dxa"/>
            <w:shd w:val="clear" w:color="auto" w:fill="auto"/>
          </w:tcPr>
          <w:p w:rsidR="00D5317E" w:rsidRPr="00B95A51" w:rsidRDefault="00D5317E" w:rsidP="0035582B">
            <w:pPr>
              <w:spacing w:line="480" w:lineRule="auto"/>
              <w:jc w:val="both"/>
            </w:pPr>
            <w:r w:rsidRPr="00B95A51">
              <w:t>6.718±0.093</w:t>
            </w:r>
            <w:r w:rsidRPr="00B95A51">
              <w:rPr>
                <w:vertAlign w:val="superscript"/>
              </w:rPr>
              <w:t>#</w:t>
            </w:r>
          </w:p>
        </w:tc>
      </w:tr>
      <w:tr w:rsidR="00D5317E" w:rsidRPr="00B95A51" w:rsidTr="00B432E9">
        <w:trPr>
          <w:trHeight w:val="524"/>
        </w:trPr>
        <w:tc>
          <w:tcPr>
            <w:tcW w:w="1033" w:type="dxa"/>
            <w:shd w:val="clear" w:color="auto" w:fill="auto"/>
          </w:tcPr>
          <w:p w:rsidR="00D5317E" w:rsidRPr="00B95A51" w:rsidRDefault="00D5317E" w:rsidP="0035582B">
            <w:pPr>
              <w:spacing w:line="480" w:lineRule="auto"/>
              <w:jc w:val="both"/>
            </w:pPr>
            <w:r w:rsidRPr="00B95A51">
              <w:t>V</w:t>
            </w:r>
          </w:p>
        </w:tc>
        <w:tc>
          <w:tcPr>
            <w:tcW w:w="1547" w:type="dxa"/>
            <w:shd w:val="clear" w:color="auto" w:fill="auto"/>
          </w:tcPr>
          <w:p w:rsidR="00D5317E" w:rsidRPr="00B95A51" w:rsidRDefault="00D5317E" w:rsidP="0035582B">
            <w:pPr>
              <w:spacing w:line="480" w:lineRule="auto"/>
              <w:jc w:val="both"/>
            </w:pPr>
            <w:r w:rsidRPr="00B95A51">
              <w:t>AR</w:t>
            </w:r>
            <w:r w:rsidRPr="00B95A51">
              <w:rPr>
                <w:vertAlign w:val="subscript"/>
              </w:rPr>
              <w:t>2</w:t>
            </w:r>
          </w:p>
        </w:tc>
        <w:tc>
          <w:tcPr>
            <w:tcW w:w="1675" w:type="dxa"/>
            <w:shd w:val="clear" w:color="auto" w:fill="auto"/>
          </w:tcPr>
          <w:p w:rsidR="00D5317E" w:rsidRPr="00B95A51" w:rsidRDefault="00D5317E" w:rsidP="0035582B">
            <w:pPr>
              <w:spacing w:line="480" w:lineRule="auto"/>
              <w:jc w:val="both"/>
            </w:pPr>
            <w:r w:rsidRPr="00B95A51">
              <w:t>56.8±2.289</w:t>
            </w:r>
            <w:r w:rsidRPr="00B95A51">
              <w:rPr>
                <w:vertAlign w:val="superscript"/>
              </w:rPr>
              <w:t>###</w:t>
            </w:r>
          </w:p>
        </w:tc>
        <w:tc>
          <w:tcPr>
            <w:tcW w:w="1756" w:type="dxa"/>
            <w:shd w:val="clear" w:color="auto" w:fill="auto"/>
          </w:tcPr>
          <w:p w:rsidR="00D5317E" w:rsidRPr="00B95A51" w:rsidRDefault="00D5317E" w:rsidP="0035582B">
            <w:pPr>
              <w:spacing w:line="480" w:lineRule="auto"/>
              <w:jc w:val="both"/>
            </w:pPr>
            <w:r w:rsidRPr="00B95A51">
              <w:t>163.6±6.787</w:t>
            </w:r>
            <w:r w:rsidRPr="00B95A51">
              <w:rPr>
                <w:vertAlign w:val="superscript"/>
              </w:rPr>
              <w:t>###</w:t>
            </w:r>
          </w:p>
        </w:tc>
        <w:tc>
          <w:tcPr>
            <w:tcW w:w="1639" w:type="dxa"/>
            <w:shd w:val="clear" w:color="auto" w:fill="auto"/>
          </w:tcPr>
          <w:p w:rsidR="00D5317E" w:rsidRPr="00B95A51" w:rsidRDefault="00D5317E" w:rsidP="0035582B">
            <w:pPr>
              <w:spacing w:line="480" w:lineRule="auto"/>
              <w:jc w:val="both"/>
            </w:pPr>
            <w:r w:rsidRPr="00B95A51">
              <w:t>38.34±1.732</w:t>
            </w:r>
            <w:r w:rsidRPr="00B95A51">
              <w:rPr>
                <w:vertAlign w:val="superscript"/>
              </w:rPr>
              <w:t>#</w:t>
            </w:r>
          </w:p>
        </w:tc>
        <w:tc>
          <w:tcPr>
            <w:tcW w:w="1756" w:type="dxa"/>
            <w:shd w:val="clear" w:color="auto" w:fill="auto"/>
          </w:tcPr>
          <w:p w:rsidR="00D5317E" w:rsidRPr="00B95A51" w:rsidRDefault="00D5317E" w:rsidP="0035582B">
            <w:pPr>
              <w:spacing w:line="480" w:lineRule="auto"/>
              <w:jc w:val="both"/>
            </w:pPr>
            <w:r w:rsidRPr="00B95A51">
              <w:t>6.632±0.087</w:t>
            </w:r>
            <w:r w:rsidRPr="00B95A51">
              <w:rPr>
                <w:vertAlign w:val="superscript"/>
              </w:rPr>
              <w:t>##</w:t>
            </w:r>
          </w:p>
        </w:tc>
      </w:tr>
      <w:tr w:rsidR="00D5317E" w:rsidRPr="00B95A51" w:rsidTr="00B432E9">
        <w:trPr>
          <w:trHeight w:val="539"/>
        </w:trPr>
        <w:tc>
          <w:tcPr>
            <w:tcW w:w="1033" w:type="dxa"/>
            <w:shd w:val="clear" w:color="auto" w:fill="auto"/>
          </w:tcPr>
          <w:p w:rsidR="00D5317E" w:rsidRPr="00B95A51" w:rsidRDefault="00D5317E" w:rsidP="0035582B">
            <w:pPr>
              <w:spacing w:line="480" w:lineRule="auto"/>
              <w:jc w:val="both"/>
            </w:pPr>
            <w:r w:rsidRPr="00B95A51">
              <w:t>VI</w:t>
            </w:r>
          </w:p>
        </w:tc>
        <w:tc>
          <w:tcPr>
            <w:tcW w:w="1547" w:type="dxa"/>
            <w:shd w:val="clear" w:color="auto" w:fill="auto"/>
          </w:tcPr>
          <w:p w:rsidR="00D5317E" w:rsidRPr="00B95A51" w:rsidRDefault="00D5317E" w:rsidP="0035582B">
            <w:pPr>
              <w:spacing w:line="480" w:lineRule="auto"/>
              <w:jc w:val="both"/>
            </w:pPr>
            <w:r w:rsidRPr="00B95A51">
              <w:t>AR</w:t>
            </w:r>
            <w:r w:rsidRPr="00B95A51">
              <w:rPr>
                <w:vertAlign w:val="subscript"/>
              </w:rPr>
              <w:t>2</w:t>
            </w:r>
            <w:r w:rsidRPr="00B95A51">
              <w:t>+QT</w:t>
            </w:r>
          </w:p>
        </w:tc>
        <w:tc>
          <w:tcPr>
            <w:tcW w:w="1675" w:type="dxa"/>
            <w:shd w:val="clear" w:color="auto" w:fill="auto"/>
          </w:tcPr>
          <w:p w:rsidR="00D5317E" w:rsidRPr="00B95A51" w:rsidRDefault="00D5317E" w:rsidP="0035582B">
            <w:pPr>
              <w:spacing w:line="480" w:lineRule="auto"/>
              <w:jc w:val="both"/>
            </w:pPr>
            <w:r w:rsidRPr="00B95A51">
              <w:t>50.8±2.672</w:t>
            </w:r>
            <w:r w:rsidRPr="00B95A51">
              <w:rPr>
                <w:vertAlign w:val="superscript"/>
              </w:rPr>
              <w:t>###</w:t>
            </w:r>
          </w:p>
        </w:tc>
        <w:tc>
          <w:tcPr>
            <w:tcW w:w="1756" w:type="dxa"/>
            <w:shd w:val="clear" w:color="auto" w:fill="auto"/>
          </w:tcPr>
          <w:p w:rsidR="00D5317E" w:rsidRPr="00B95A51" w:rsidRDefault="00D5317E" w:rsidP="0035582B">
            <w:pPr>
              <w:spacing w:line="480" w:lineRule="auto"/>
              <w:jc w:val="both"/>
            </w:pPr>
            <w:r w:rsidRPr="00B95A51">
              <w:t>140.4±5.636</w:t>
            </w:r>
            <w:r w:rsidRPr="00B95A51">
              <w:rPr>
                <w:vertAlign w:val="superscript"/>
              </w:rPr>
              <w:t>###</w:t>
            </w:r>
          </w:p>
        </w:tc>
        <w:tc>
          <w:tcPr>
            <w:tcW w:w="1639" w:type="dxa"/>
            <w:shd w:val="clear" w:color="auto" w:fill="auto"/>
          </w:tcPr>
          <w:p w:rsidR="00D5317E" w:rsidRPr="00B95A51" w:rsidRDefault="00D5317E" w:rsidP="0035582B">
            <w:pPr>
              <w:spacing w:line="480" w:lineRule="auto"/>
              <w:jc w:val="both"/>
            </w:pPr>
            <w:r w:rsidRPr="00B95A51">
              <w:t>36.6±3.763</w:t>
            </w:r>
            <w:r w:rsidRPr="00B95A51">
              <w:rPr>
                <w:vertAlign w:val="superscript"/>
              </w:rPr>
              <w:t>##</w:t>
            </w:r>
          </w:p>
        </w:tc>
        <w:tc>
          <w:tcPr>
            <w:tcW w:w="1756" w:type="dxa"/>
            <w:shd w:val="clear" w:color="auto" w:fill="auto"/>
          </w:tcPr>
          <w:p w:rsidR="00D5317E" w:rsidRPr="00B95A51" w:rsidRDefault="00D5317E" w:rsidP="0035582B">
            <w:pPr>
              <w:spacing w:line="480" w:lineRule="auto"/>
              <w:jc w:val="both"/>
            </w:pPr>
            <w:r w:rsidRPr="00B95A51">
              <w:t>4.854±0.145</w:t>
            </w:r>
            <w:r w:rsidRPr="00B95A51">
              <w:rPr>
                <w:vertAlign w:val="superscript"/>
              </w:rPr>
              <w:t>###</w:t>
            </w:r>
          </w:p>
        </w:tc>
      </w:tr>
      <w:tr w:rsidR="00D5317E" w:rsidRPr="00B95A51" w:rsidTr="00B432E9">
        <w:trPr>
          <w:trHeight w:val="263"/>
        </w:trPr>
        <w:tc>
          <w:tcPr>
            <w:tcW w:w="1033" w:type="dxa"/>
            <w:shd w:val="clear" w:color="auto" w:fill="auto"/>
          </w:tcPr>
          <w:p w:rsidR="00D5317E" w:rsidRPr="00B95A51" w:rsidRDefault="00D5317E" w:rsidP="0035582B">
            <w:pPr>
              <w:spacing w:line="480" w:lineRule="auto"/>
              <w:jc w:val="both"/>
            </w:pPr>
            <w:r w:rsidRPr="00B95A51">
              <w:t>VII</w:t>
            </w:r>
          </w:p>
        </w:tc>
        <w:tc>
          <w:tcPr>
            <w:tcW w:w="1547" w:type="dxa"/>
            <w:shd w:val="clear" w:color="auto" w:fill="auto"/>
          </w:tcPr>
          <w:p w:rsidR="00D5317E" w:rsidRPr="00B95A51" w:rsidRDefault="00D5317E" w:rsidP="0035582B">
            <w:pPr>
              <w:spacing w:line="480" w:lineRule="auto"/>
              <w:jc w:val="both"/>
            </w:pPr>
            <w:r w:rsidRPr="00B95A51">
              <w:t>AR</w:t>
            </w:r>
            <w:r w:rsidRPr="00B95A51">
              <w:rPr>
                <w:vertAlign w:val="subscript"/>
              </w:rPr>
              <w:t>2</w:t>
            </w:r>
            <w:r w:rsidRPr="00B95A51">
              <w:t xml:space="preserve"> perse</w:t>
            </w:r>
          </w:p>
        </w:tc>
        <w:tc>
          <w:tcPr>
            <w:tcW w:w="1675" w:type="dxa"/>
            <w:shd w:val="clear" w:color="auto" w:fill="auto"/>
          </w:tcPr>
          <w:p w:rsidR="00D5317E" w:rsidRPr="00B95A51" w:rsidRDefault="00D5317E" w:rsidP="0035582B">
            <w:pPr>
              <w:spacing w:line="480" w:lineRule="auto"/>
              <w:jc w:val="both"/>
            </w:pPr>
            <w:r w:rsidRPr="00B95A51">
              <w:t>37±2.074</w:t>
            </w:r>
          </w:p>
        </w:tc>
        <w:tc>
          <w:tcPr>
            <w:tcW w:w="1756" w:type="dxa"/>
            <w:shd w:val="clear" w:color="auto" w:fill="auto"/>
          </w:tcPr>
          <w:p w:rsidR="00D5317E" w:rsidRPr="00B95A51" w:rsidRDefault="00D5317E" w:rsidP="0035582B">
            <w:pPr>
              <w:spacing w:line="480" w:lineRule="auto"/>
              <w:jc w:val="both"/>
            </w:pPr>
            <w:r w:rsidRPr="00B95A51">
              <w:t>137.81±5.187</w:t>
            </w:r>
          </w:p>
        </w:tc>
        <w:tc>
          <w:tcPr>
            <w:tcW w:w="1639" w:type="dxa"/>
            <w:shd w:val="clear" w:color="auto" w:fill="auto"/>
          </w:tcPr>
          <w:p w:rsidR="00D5317E" w:rsidRPr="00B95A51" w:rsidRDefault="00D5317E" w:rsidP="0035582B">
            <w:pPr>
              <w:spacing w:line="480" w:lineRule="auto"/>
              <w:jc w:val="both"/>
            </w:pPr>
            <w:r w:rsidRPr="00B95A51">
              <w:t>37.2±0.734</w:t>
            </w:r>
          </w:p>
        </w:tc>
        <w:tc>
          <w:tcPr>
            <w:tcW w:w="1756" w:type="dxa"/>
            <w:shd w:val="clear" w:color="auto" w:fill="auto"/>
          </w:tcPr>
          <w:p w:rsidR="00D5317E" w:rsidRPr="00B95A51" w:rsidRDefault="00D5317E" w:rsidP="0035582B">
            <w:pPr>
              <w:spacing w:line="480" w:lineRule="auto"/>
              <w:jc w:val="both"/>
            </w:pPr>
            <w:r w:rsidRPr="00B95A51">
              <w:t>3.106±0.174</w:t>
            </w:r>
          </w:p>
        </w:tc>
      </w:tr>
    </w:tbl>
    <w:p w:rsidR="00D5317E" w:rsidRPr="00B95A51" w:rsidRDefault="00D5317E" w:rsidP="0035582B">
      <w:pPr>
        <w:jc w:val="both"/>
        <w:rPr>
          <w:bCs/>
        </w:rPr>
      </w:pPr>
      <w:r w:rsidRPr="00B95A51">
        <w:t xml:space="preserve">Results are expressed as mean ± SEM. The results were analyzed by Analysis of variance (ANOVA) followed by </w:t>
      </w:r>
      <w:r w:rsidRPr="00B95A51">
        <w:rPr>
          <w:bCs/>
        </w:rPr>
        <w:t>Tukey-Kramer multiple comparison test.</w:t>
      </w:r>
    </w:p>
    <w:p w:rsidR="00D5317E" w:rsidRPr="00B95A51" w:rsidRDefault="00D5317E" w:rsidP="0035582B">
      <w:pPr>
        <w:jc w:val="both"/>
        <w:rPr>
          <w:bCs/>
        </w:rPr>
      </w:pPr>
    </w:p>
    <w:p w:rsidR="00D5317E" w:rsidRDefault="00D5317E" w:rsidP="0035582B">
      <w:pPr>
        <w:jc w:val="both"/>
        <w:rPr>
          <w:lang w:val="da-DK"/>
        </w:rPr>
      </w:pPr>
      <w:r w:rsidRPr="00B95A51">
        <w:t xml:space="preserve"> n=6,</w:t>
      </w:r>
      <w:r w:rsidRPr="00B95A51">
        <w:rPr>
          <w:vertAlign w:val="superscript"/>
        </w:rPr>
        <w:t xml:space="preserve"> #</w:t>
      </w:r>
      <w:r w:rsidRPr="00B95A51">
        <w:t xml:space="preserve"> =</w:t>
      </w:r>
      <w:r w:rsidRPr="00B95A51">
        <w:rPr>
          <w:rFonts w:eastAsia="Calibri"/>
        </w:rPr>
        <w:t xml:space="preserve"> p&lt;0.05,</w:t>
      </w:r>
      <w:r w:rsidRPr="00B95A51">
        <w:rPr>
          <w:vertAlign w:val="superscript"/>
        </w:rPr>
        <w:t xml:space="preserve"> ##</w:t>
      </w:r>
      <w:r w:rsidRPr="00B95A51">
        <w:t>=</w:t>
      </w:r>
      <w:r w:rsidRPr="00B95A51">
        <w:rPr>
          <w:rFonts w:eastAsia="Calibri"/>
        </w:rPr>
        <w:t xml:space="preserve"> p&lt;.01,</w:t>
      </w:r>
      <w:r w:rsidRPr="00B95A51">
        <w:rPr>
          <w:vertAlign w:val="superscript"/>
        </w:rPr>
        <w:t xml:space="preserve"> ###</w:t>
      </w:r>
      <w:r w:rsidRPr="00B95A51">
        <w:t xml:space="preserve"> = </w:t>
      </w:r>
      <w:r w:rsidRPr="00B95A51">
        <w:rPr>
          <w:rFonts w:eastAsia="Calibri"/>
        </w:rPr>
        <w:t>p&lt;0.001,</w:t>
      </w:r>
      <w:r w:rsidRPr="00B95A51">
        <w:t xml:space="preserve"> *** = </w:t>
      </w:r>
      <w:r w:rsidRPr="00B95A51">
        <w:rPr>
          <w:rFonts w:eastAsia="Calibri"/>
        </w:rPr>
        <w:t>p&lt;0.001,</w:t>
      </w:r>
      <w:r w:rsidRPr="00B95A51">
        <w:rPr>
          <w:vertAlign w:val="superscript"/>
        </w:rPr>
        <w:t xml:space="preserve"> #</w:t>
      </w:r>
      <w:r w:rsidRPr="00B95A51">
        <w:t xml:space="preserve"> </w:t>
      </w:r>
      <w:r w:rsidRPr="00B95A51">
        <w:rPr>
          <w:lang w:val="da-DK"/>
        </w:rPr>
        <w:t xml:space="preserve">  Vs. Group II,</w:t>
      </w:r>
      <w:r w:rsidRPr="00B95A51">
        <w:rPr>
          <w:vertAlign w:val="superscript"/>
        </w:rPr>
        <w:t xml:space="preserve"> *</w:t>
      </w:r>
      <w:r w:rsidRPr="00B95A51">
        <w:t xml:space="preserve"> </w:t>
      </w:r>
      <w:r w:rsidRPr="00B95A51">
        <w:rPr>
          <w:lang w:val="da-DK"/>
        </w:rPr>
        <w:t xml:space="preserve">  Vs. Group I</w:t>
      </w:r>
    </w:p>
    <w:p w:rsidR="00D5317E" w:rsidRDefault="00D5317E" w:rsidP="0035582B">
      <w:pPr>
        <w:jc w:val="both"/>
      </w:pPr>
    </w:p>
    <w:p w:rsidR="00D5317E" w:rsidRDefault="00D5317E" w:rsidP="0035582B">
      <w:pPr>
        <w:spacing w:line="360" w:lineRule="auto"/>
        <w:jc w:val="both"/>
        <w:rPr>
          <w:color w:val="000000"/>
        </w:rPr>
      </w:pPr>
    </w:p>
    <w:p w:rsidR="00EE7CF9" w:rsidRPr="00077B32" w:rsidRDefault="00EE7CF9" w:rsidP="0035582B">
      <w:pPr>
        <w:spacing w:line="360" w:lineRule="auto"/>
        <w:jc w:val="both"/>
        <w:rPr>
          <w:b/>
          <w:color w:val="000000"/>
        </w:rPr>
      </w:pPr>
      <w:r w:rsidRPr="00FD5A90">
        <w:rPr>
          <w:b/>
          <w:color w:val="000000"/>
        </w:rPr>
        <w:t>Cytokine Activity</w:t>
      </w:r>
    </w:p>
    <w:p w:rsidR="00EE7CF9" w:rsidRPr="007E48DD" w:rsidRDefault="00EE7CF9" w:rsidP="0035582B">
      <w:pPr>
        <w:spacing w:line="360" w:lineRule="auto"/>
        <w:jc w:val="both"/>
        <w:rPr>
          <w:b/>
          <w:color w:val="000000"/>
        </w:rPr>
      </w:pPr>
      <w:r w:rsidRPr="00391C0B">
        <w:rPr>
          <w:color w:val="000000"/>
        </w:rPr>
        <w:t xml:space="preserve">In the rats pretreated with </w:t>
      </w:r>
      <w:r w:rsidRPr="00391C0B">
        <w:rPr>
          <w:i/>
        </w:rPr>
        <w:t>Asparagus racemosus</w:t>
      </w:r>
      <w:r w:rsidRPr="00391C0B">
        <w:rPr>
          <w:iCs/>
          <w:color w:val="000000"/>
        </w:rPr>
        <w:t xml:space="preserve">, </w:t>
      </w:r>
      <w:r w:rsidRPr="00391C0B">
        <w:rPr>
          <w:color w:val="000000"/>
        </w:rPr>
        <w:t xml:space="preserve">the levels of cytokines significantly reduced (p&lt;.001) </w:t>
      </w:r>
      <w:r>
        <w:rPr>
          <w:color w:val="000000"/>
        </w:rPr>
        <w:t>as com</w:t>
      </w:r>
      <w:r w:rsidR="006417ED">
        <w:rPr>
          <w:color w:val="000000"/>
        </w:rPr>
        <w:t xml:space="preserve">pared to disease control (Table </w:t>
      </w:r>
      <w:r>
        <w:rPr>
          <w:color w:val="000000"/>
        </w:rPr>
        <w:t xml:space="preserve">3). There was </w:t>
      </w:r>
      <w:r w:rsidRPr="00391C0B">
        <w:rPr>
          <w:color w:val="000000"/>
        </w:rPr>
        <w:t>dose dependent recovery on the LPS induced elevation of the cyto</w:t>
      </w:r>
      <w:r>
        <w:rPr>
          <w:color w:val="000000"/>
        </w:rPr>
        <w:t>kines level</w:t>
      </w:r>
      <w:r w:rsidRPr="00391C0B">
        <w:rPr>
          <w:color w:val="000000"/>
        </w:rPr>
        <w:t xml:space="preserve"> in </w:t>
      </w:r>
      <w:r>
        <w:rPr>
          <w:color w:val="000000"/>
        </w:rPr>
        <w:t>rats</w:t>
      </w:r>
      <w:r w:rsidRPr="00391C0B">
        <w:rPr>
          <w:b/>
          <w:color w:val="000000"/>
        </w:rPr>
        <w:t>.</w:t>
      </w:r>
    </w:p>
    <w:p w:rsidR="00EE7CF9" w:rsidRPr="00391C0B" w:rsidRDefault="00EE7CF9" w:rsidP="0035582B">
      <w:pPr>
        <w:autoSpaceDE w:val="0"/>
        <w:autoSpaceDN w:val="0"/>
        <w:adjustRightInd w:val="0"/>
        <w:spacing w:line="360" w:lineRule="auto"/>
        <w:jc w:val="both"/>
        <w:rPr>
          <w:rFonts w:eastAsia="Calibri"/>
        </w:rPr>
      </w:pPr>
      <w:r w:rsidRPr="00391C0B">
        <w:rPr>
          <w:rFonts w:eastAsia="Calibri"/>
        </w:rPr>
        <w:t xml:space="preserve">In the present study, administration of LPS to rats resulted in development of oxidative stress which </w:t>
      </w:r>
      <w:r>
        <w:rPr>
          <w:rFonts w:eastAsia="Calibri"/>
        </w:rPr>
        <w:t>le</w:t>
      </w:r>
      <w:r w:rsidRPr="00391C0B">
        <w:rPr>
          <w:rFonts w:eastAsia="Calibri"/>
        </w:rPr>
        <w:t xml:space="preserve">d </w:t>
      </w:r>
      <w:commentRangeStart w:id="24"/>
      <w:r w:rsidRPr="00391C0B">
        <w:rPr>
          <w:rFonts w:eastAsia="Calibri"/>
        </w:rPr>
        <w:t xml:space="preserve">to </w:t>
      </w:r>
      <w:r w:rsidRPr="00391C0B">
        <w:t xml:space="preserve">anxiogenic response </w:t>
      </w:r>
      <w:commentRangeEnd w:id="24"/>
      <w:r w:rsidR="00222AC6">
        <w:rPr>
          <w:rStyle w:val="CommentReference"/>
        </w:rPr>
        <w:commentReference w:id="24"/>
      </w:r>
      <w:r w:rsidRPr="00391C0B">
        <w:t xml:space="preserve">and </w:t>
      </w:r>
      <w:r w:rsidRPr="00391C0B">
        <w:rPr>
          <w:rFonts w:eastAsia="Calibri"/>
        </w:rPr>
        <w:t xml:space="preserve">damage in liver tissue in rats. </w:t>
      </w:r>
      <w:commentRangeStart w:id="25"/>
      <w:r w:rsidRPr="00391C0B">
        <w:rPr>
          <w:rFonts w:eastAsia="Calibri"/>
        </w:rPr>
        <w:t>This effect was indicated by an increase in the concentration of lipid peroxidation</w:t>
      </w:r>
      <w:r>
        <w:rPr>
          <w:rFonts w:eastAsia="Calibri"/>
        </w:rPr>
        <w:t xml:space="preserve"> (TBARS)</w:t>
      </w:r>
      <w:r w:rsidRPr="00391C0B">
        <w:rPr>
          <w:rFonts w:eastAsia="Calibri"/>
        </w:rPr>
        <w:t>, cytokines, nitric oxide and decrease in the concentration of the GSH, SOD and Catalase.</w:t>
      </w:r>
      <w:r>
        <w:rPr>
          <w:rFonts w:eastAsia="Calibri"/>
        </w:rPr>
        <w:t xml:space="preserve"> </w:t>
      </w:r>
      <w:r>
        <w:t>MEAR</w:t>
      </w:r>
      <w:r w:rsidRPr="00391C0B">
        <w:t xml:space="preserve"> supplementation</w:t>
      </w:r>
      <w:r>
        <w:t xml:space="preserve"> (21 day)</w:t>
      </w:r>
      <w:r w:rsidRPr="00391C0B">
        <w:t xml:space="preserve"> </w:t>
      </w:r>
      <w:r>
        <w:t xml:space="preserve">along with LPS (4 mg/kg i.p on 21 day) resulted   in reduction in   </w:t>
      </w:r>
      <w:r>
        <w:rPr>
          <w:lang w:val="en-IN" w:eastAsia="en-IN"/>
        </w:rPr>
        <w:t>AST, ALT</w:t>
      </w:r>
      <w:r w:rsidRPr="00391C0B">
        <w:rPr>
          <w:lang w:val="en-IN" w:eastAsia="en-IN"/>
        </w:rPr>
        <w:t xml:space="preserve">, </w:t>
      </w:r>
      <w:r>
        <w:rPr>
          <w:lang w:val="en-IN" w:eastAsia="en-IN"/>
        </w:rPr>
        <w:t xml:space="preserve">ALP </w:t>
      </w:r>
      <w:r w:rsidRPr="00391C0B">
        <w:rPr>
          <w:rFonts w:eastAsia="BPKBL H+ MTSY"/>
        </w:rPr>
        <w:t xml:space="preserve">and </w:t>
      </w:r>
      <w:r>
        <w:rPr>
          <w:rFonts w:eastAsia="BPKBL H+ MTSY"/>
        </w:rPr>
        <w:t>TB</w:t>
      </w:r>
      <w:r w:rsidRPr="00391C0B">
        <w:t xml:space="preserve"> </w:t>
      </w:r>
      <w:r>
        <w:rPr>
          <w:lang w:val="en-IN" w:eastAsia="en-IN"/>
        </w:rPr>
        <w:t>whereas</w:t>
      </w:r>
      <w:r w:rsidRPr="00391C0B">
        <w:rPr>
          <w:lang w:val="en-IN" w:eastAsia="en-IN"/>
        </w:rPr>
        <w:t xml:space="preserve"> the level of TC</w:t>
      </w:r>
      <w:r>
        <w:rPr>
          <w:lang w:val="en-IN" w:eastAsia="en-IN"/>
        </w:rPr>
        <w:t xml:space="preserve"> </w:t>
      </w:r>
      <w:r w:rsidRPr="00391C0B">
        <w:rPr>
          <w:lang w:val="en-IN" w:eastAsia="en-IN"/>
        </w:rPr>
        <w:t>and ALB</w:t>
      </w:r>
      <w:r>
        <w:rPr>
          <w:lang w:val="en-IN" w:eastAsia="en-IN"/>
        </w:rPr>
        <w:t xml:space="preserve"> increased</w:t>
      </w:r>
      <w:r w:rsidRPr="00391C0B">
        <w:t xml:space="preserve"> compared with only LPS-treated group</w:t>
      </w:r>
      <w:r>
        <w:t>.</w:t>
      </w:r>
      <w:commentRangeEnd w:id="25"/>
      <w:r w:rsidR="00222AC6">
        <w:rPr>
          <w:rStyle w:val="CommentReference"/>
        </w:rPr>
        <w:commentReference w:id="25"/>
      </w:r>
    </w:p>
    <w:p w:rsidR="00EE7CF9" w:rsidRDefault="00EE7CF9" w:rsidP="0035582B">
      <w:pPr>
        <w:autoSpaceDE w:val="0"/>
        <w:autoSpaceDN w:val="0"/>
        <w:adjustRightInd w:val="0"/>
        <w:spacing w:line="360" w:lineRule="auto"/>
        <w:jc w:val="both"/>
        <w:rPr>
          <w:rFonts w:eastAsia="Calibri"/>
        </w:rPr>
      </w:pPr>
    </w:p>
    <w:p w:rsidR="00EE7CF9" w:rsidRPr="00391C0B" w:rsidRDefault="00EE7CF9" w:rsidP="0035582B">
      <w:pPr>
        <w:autoSpaceDE w:val="0"/>
        <w:autoSpaceDN w:val="0"/>
        <w:adjustRightInd w:val="0"/>
        <w:spacing w:line="360" w:lineRule="auto"/>
        <w:jc w:val="both"/>
        <w:rPr>
          <w:rFonts w:eastAsia="Calibri"/>
        </w:rPr>
      </w:pPr>
      <w:r>
        <w:rPr>
          <w:rFonts w:eastAsia="Calibri"/>
        </w:rPr>
        <w:t xml:space="preserve">         </w:t>
      </w:r>
      <w:r w:rsidR="00956CCB">
        <w:rPr>
          <w:rFonts w:eastAsia="Calibri"/>
        </w:rPr>
        <w:t xml:space="preserve">                       </w:t>
      </w:r>
      <w:r w:rsidRPr="00391C0B">
        <w:rPr>
          <w:rFonts w:eastAsia="Calibri"/>
        </w:rPr>
        <w:t xml:space="preserve"> LPS causes oxidative stress by intensification of proinflammatory cytokines production and by inducing the generation of ROS by different mechanisms</w:t>
      </w:r>
      <w:r w:rsidR="006417ED">
        <w:rPr>
          <w:rFonts w:eastAsia="Calibri"/>
        </w:rPr>
        <w:t xml:space="preserve"> </w:t>
      </w:r>
      <w:r w:rsidR="00927873">
        <w:rPr>
          <w:rFonts w:eastAsia="Calibri"/>
          <w:vertAlign w:val="superscript"/>
        </w:rPr>
        <w:t>24</w:t>
      </w:r>
      <w:r w:rsidRPr="00391C0B">
        <w:rPr>
          <w:rFonts w:eastAsia="Calibri"/>
        </w:rPr>
        <w:t>. Lipid peroxidation   causes tissues injury by inactivation of membrane enzymes and receptors, depolymerization of polysaccharides as well as protein cross-linking and fragmentation</w:t>
      </w:r>
      <w:r w:rsidR="00C34B6A">
        <w:rPr>
          <w:rFonts w:eastAsia="Calibri"/>
        </w:rPr>
        <w:t xml:space="preserve"> </w:t>
      </w:r>
      <w:r w:rsidR="00C34B6A" w:rsidRPr="00C34B6A">
        <w:rPr>
          <w:rFonts w:eastAsia="Calibri"/>
          <w:vertAlign w:val="superscript"/>
        </w:rPr>
        <w:t>2</w:t>
      </w:r>
      <w:r w:rsidR="00927873">
        <w:rPr>
          <w:rFonts w:eastAsia="Calibri"/>
          <w:vertAlign w:val="superscript"/>
        </w:rPr>
        <w:t>5</w:t>
      </w:r>
      <w:r w:rsidRPr="00391C0B">
        <w:rPr>
          <w:rFonts w:eastAsia="Calibri"/>
        </w:rPr>
        <w:t>.</w:t>
      </w:r>
      <w:r w:rsidRPr="00391C0B">
        <w:rPr>
          <w:rFonts w:eastAsia="Calibri"/>
          <w:vertAlign w:val="superscript"/>
        </w:rPr>
        <w:t xml:space="preserve"> </w:t>
      </w:r>
      <w:r w:rsidRPr="00391C0B">
        <w:rPr>
          <w:rFonts w:eastAsia="Calibri"/>
        </w:rPr>
        <w:t>Liver tissues are rich in polyunsaturated fatty acids and are known for its high oxygen uptake. Therefore, it is more susceptible to oxidative stress than other tissues</w:t>
      </w:r>
      <w:r>
        <w:rPr>
          <w:rFonts w:eastAsia="Calibri"/>
        </w:rPr>
        <w:t xml:space="preserve"> </w:t>
      </w:r>
      <w:r w:rsidR="00C34B6A" w:rsidRPr="00C34B6A">
        <w:rPr>
          <w:rFonts w:eastAsia="Calibri"/>
          <w:vertAlign w:val="superscript"/>
        </w:rPr>
        <w:t>2</w:t>
      </w:r>
      <w:r w:rsidR="00927873">
        <w:rPr>
          <w:rFonts w:eastAsia="Calibri"/>
          <w:vertAlign w:val="superscript"/>
        </w:rPr>
        <w:t>6</w:t>
      </w:r>
      <w:r w:rsidRPr="00391C0B">
        <w:rPr>
          <w:rFonts w:eastAsia="Calibri"/>
        </w:rPr>
        <w:t>.</w:t>
      </w:r>
    </w:p>
    <w:p w:rsidR="00EE7CF9" w:rsidRPr="00AD4109" w:rsidRDefault="00EE7CF9" w:rsidP="00AD4109">
      <w:pPr>
        <w:autoSpaceDE w:val="0"/>
        <w:autoSpaceDN w:val="0"/>
        <w:adjustRightInd w:val="0"/>
        <w:spacing w:line="360" w:lineRule="auto"/>
        <w:jc w:val="both"/>
        <w:rPr>
          <w:rFonts w:eastAsia="Calibri"/>
        </w:rPr>
      </w:pPr>
      <w:r>
        <w:t xml:space="preserve">In </w:t>
      </w:r>
      <w:commentRangeStart w:id="26"/>
      <w:r>
        <w:t>our</w:t>
      </w:r>
      <w:commentRangeEnd w:id="26"/>
      <w:r w:rsidR="00AC7A7F">
        <w:rPr>
          <w:rStyle w:val="CommentReference"/>
        </w:rPr>
        <w:commentReference w:id="26"/>
      </w:r>
      <w:r>
        <w:t xml:space="preserve"> study</w:t>
      </w:r>
      <w:r w:rsidRPr="00391C0B">
        <w:t xml:space="preserve"> </w:t>
      </w:r>
      <w:r w:rsidRPr="00391C0B">
        <w:rPr>
          <w:i/>
        </w:rPr>
        <w:t>Asparagus racemosus</w:t>
      </w:r>
      <w:r w:rsidRPr="00391C0B">
        <w:t xml:space="preserve"> root (MAER) significantly decreased liver</w:t>
      </w:r>
      <w:r>
        <w:t xml:space="preserve"> cytokines level</w:t>
      </w:r>
      <w:r w:rsidRPr="00391C0B">
        <w:t xml:space="preserve"> after 6 h</w:t>
      </w:r>
      <w:r>
        <w:t>r</w:t>
      </w:r>
      <w:r w:rsidRPr="00391C0B">
        <w:t xml:space="preserve"> of LPS administration as compared to rats treated with disease control. </w:t>
      </w:r>
    </w:p>
    <w:p w:rsidR="00EE7CF9" w:rsidRPr="00391C0B" w:rsidRDefault="00EE7CF9" w:rsidP="0035582B">
      <w:pPr>
        <w:shd w:val="clear" w:color="auto" w:fill="FFFFFF"/>
        <w:spacing w:after="150" w:line="360" w:lineRule="auto"/>
        <w:jc w:val="both"/>
      </w:pPr>
      <w:r>
        <w:t xml:space="preserve">                                   </w:t>
      </w:r>
      <w:r w:rsidRPr="00391C0B">
        <w:t>Root of Asparagus</w:t>
      </w:r>
      <w:r w:rsidRPr="00391C0B">
        <w:rPr>
          <w:i/>
        </w:rPr>
        <w:t xml:space="preserve"> racemosus</w:t>
      </w:r>
      <w:r w:rsidRPr="00391C0B">
        <w:t xml:space="preserve"> supplementation increased the levels of GSH, SOD,</w:t>
      </w:r>
      <w:r>
        <w:t xml:space="preserve"> CAT</w:t>
      </w:r>
      <w:r w:rsidRPr="00391C0B">
        <w:t xml:space="preserve"> and decrease</w:t>
      </w:r>
      <w:r>
        <w:t>d</w:t>
      </w:r>
      <w:r w:rsidRPr="00391C0B">
        <w:t xml:space="preserve"> the level of </w:t>
      </w:r>
      <w:r>
        <w:t>TBARS,</w:t>
      </w:r>
      <w:r w:rsidRPr="00391C0B">
        <w:t xml:space="preserve"> cytokines and nitric oxide significantly in the LPS-challenged animals. </w:t>
      </w:r>
      <w:r w:rsidR="006417ED" w:rsidRPr="00281657">
        <w:rPr>
          <w:shd w:val="clear" w:color="auto" w:fill="FFFFFF"/>
        </w:rPr>
        <w:t>In a</w:t>
      </w:r>
      <w:r w:rsidRPr="00281657">
        <w:rPr>
          <w:shd w:val="clear" w:color="auto" w:fill="FFFFFF"/>
        </w:rPr>
        <w:t xml:space="preserve"> study done by </w:t>
      </w:r>
      <w:commentRangeStart w:id="27"/>
      <w:r w:rsidR="009509E6">
        <w:fldChar w:fldCharType="begin"/>
      </w:r>
      <w:r w:rsidR="00A91499">
        <w:instrText>HYPERLINK "http://journals.sagepub.com/author/Palanisamy%2C+N"</w:instrText>
      </w:r>
      <w:r w:rsidR="009509E6">
        <w:fldChar w:fldCharType="separate"/>
      </w:r>
      <w:r w:rsidRPr="00281657">
        <w:t>N Palanisamy</w:t>
      </w:r>
      <w:r w:rsidR="009509E6">
        <w:fldChar w:fldCharType="end"/>
      </w:r>
      <w:r w:rsidRPr="00281657">
        <w:t xml:space="preserve"> </w:t>
      </w:r>
      <w:r w:rsidR="00407695" w:rsidRPr="00281657">
        <w:t xml:space="preserve">and </w:t>
      </w:r>
      <w:hyperlink r:id="rId10" w:history="1">
        <w:r w:rsidRPr="00281657">
          <w:t>S Manian</w:t>
        </w:r>
      </w:hyperlink>
      <w:commentRangeEnd w:id="27"/>
      <w:r w:rsidR="00BD3579">
        <w:rPr>
          <w:rStyle w:val="CommentReference"/>
        </w:rPr>
        <w:commentReference w:id="27"/>
      </w:r>
      <w:r w:rsidRPr="00281657">
        <w:t xml:space="preserve"> showed that </w:t>
      </w:r>
      <w:r w:rsidRPr="00F01FD0">
        <w:rPr>
          <w:i/>
        </w:rPr>
        <w:t>A. racemosus</w:t>
      </w:r>
      <w:r w:rsidRPr="00281657">
        <w:t xml:space="preserve"> extract has hepatopotective activity by inhibiting production of free radical via inhibition of </w:t>
      </w:r>
      <w:r w:rsidRPr="00281657">
        <w:rPr>
          <w:shd w:val="clear" w:color="auto" w:fill="FFFFFF"/>
        </w:rPr>
        <w:t>hepatic CYP2E1,increasing removal of free radical by induction of antioxidant enzyme and improving non-enzymatic thiol antioxidant GSH</w:t>
      </w:r>
      <w:r>
        <w:rPr>
          <w:shd w:val="clear" w:color="auto" w:fill="FFFFFF"/>
        </w:rPr>
        <w:t>. T</w:t>
      </w:r>
      <w:r w:rsidRPr="00281657">
        <w:rPr>
          <w:shd w:val="clear" w:color="auto" w:fill="FFFFFF"/>
        </w:rPr>
        <w:t>hus</w:t>
      </w:r>
      <w:r>
        <w:rPr>
          <w:shd w:val="clear" w:color="auto" w:fill="FFFFFF"/>
        </w:rPr>
        <w:t xml:space="preserve"> </w:t>
      </w:r>
      <w:r w:rsidRPr="00281657">
        <w:rPr>
          <w:i/>
        </w:rPr>
        <w:t>A. racemosus</w:t>
      </w:r>
      <w:r w:rsidRPr="00281657">
        <w:rPr>
          <w:shd w:val="clear" w:color="auto" w:fill="FFFFFF"/>
        </w:rPr>
        <w:t xml:space="preserve"> acts as a</w:t>
      </w:r>
      <w:r>
        <w:rPr>
          <w:shd w:val="clear" w:color="auto" w:fill="FFFFFF"/>
        </w:rPr>
        <w:t xml:space="preserve"> free </w:t>
      </w:r>
      <w:commentRangeStart w:id="28"/>
      <w:r>
        <w:rPr>
          <w:shd w:val="clear" w:color="auto" w:fill="FFFFFF"/>
        </w:rPr>
        <w:t xml:space="preserve">radical </w:t>
      </w:r>
      <w:r w:rsidRPr="00281657">
        <w:rPr>
          <w:shd w:val="clear" w:color="auto" w:fill="FFFFFF"/>
        </w:rPr>
        <w:t>scavenger</w:t>
      </w:r>
      <w:r w:rsidR="00E64903">
        <w:t xml:space="preserve"> </w:t>
      </w:r>
      <w:r w:rsidR="00E64903" w:rsidRPr="00E64903">
        <w:rPr>
          <w:vertAlign w:val="superscript"/>
        </w:rPr>
        <w:t>2</w:t>
      </w:r>
      <w:r w:rsidR="00927873">
        <w:rPr>
          <w:vertAlign w:val="superscript"/>
        </w:rPr>
        <w:t>7</w:t>
      </w:r>
      <w:commentRangeEnd w:id="28"/>
      <w:r w:rsidR="00BD3579">
        <w:rPr>
          <w:rStyle w:val="CommentReference"/>
        </w:rPr>
        <w:commentReference w:id="28"/>
      </w:r>
      <w:r w:rsidRPr="00391C0B">
        <w:t>.</w:t>
      </w:r>
      <w:r>
        <w:rPr>
          <w:vertAlign w:val="superscript"/>
        </w:rPr>
        <w:t xml:space="preserve"> </w:t>
      </w:r>
      <w:r w:rsidRPr="00391C0B">
        <w:t xml:space="preserve">In addition to its direct cytotoxic effects, it is able to induce chemokines macrophage chemotactic protein-1 and vascular cell adhesion molecule-1, which is the key to hyper inflammation and </w:t>
      </w:r>
      <w:commentRangeStart w:id="29"/>
      <w:r w:rsidRPr="00391C0B">
        <w:t>consequent liver damage</w:t>
      </w:r>
      <w:commentRangeEnd w:id="29"/>
      <w:r w:rsidR="00BD3579">
        <w:rPr>
          <w:rStyle w:val="CommentReference"/>
        </w:rPr>
        <w:commentReference w:id="29"/>
      </w:r>
      <w:r w:rsidRPr="00391C0B">
        <w:t xml:space="preserve">. </w:t>
      </w:r>
    </w:p>
    <w:p w:rsidR="00EE7CF9" w:rsidRPr="00D32711" w:rsidRDefault="00EE7CF9" w:rsidP="0035582B">
      <w:pPr>
        <w:pStyle w:val="Default"/>
        <w:spacing w:line="360" w:lineRule="auto"/>
        <w:jc w:val="both"/>
      </w:pPr>
      <w:r w:rsidRPr="00391C0B">
        <w:rPr>
          <w:i/>
        </w:rPr>
        <w:t>Asparagus racemosus</w:t>
      </w:r>
      <w:r w:rsidRPr="00391C0B">
        <w:t xml:space="preserve"> is a medicinal plant with well-known antioxidant property</w:t>
      </w:r>
      <w:r w:rsidR="00E64903">
        <w:t xml:space="preserve"> </w:t>
      </w:r>
      <w:r w:rsidR="00E64903" w:rsidRPr="00E64903">
        <w:rPr>
          <w:vertAlign w:val="superscript"/>
        </w:rPr>
        <w:t>2</w:t>
      </w:r>
      <w:r w:rsidR="00927873">
        <w:rPr>
          <w:vertAlign w:val="superscript"/>
        </w:rPr>
        <w:t>7</w:t>
      </w:r>
      <w:r w:rsidRPr="00391C0B">
        <w:t>.</w:t>
      </w:r>
      <w:r w:rsidRPr="00391C0B">
        <w:rPr>
          <w:vertAlign w:val="superscript"/>
        </w:rPr>
        <w:t xml:space="preserve"> </w:t>
      </w:r>
      <w:r w:rsidRPr="00391C0B">
        <w:t>Scientific evaluation of this claim using experimental model of LPS induced oxidative stress in rats was ascertained in this study.</w:t>
      </w:r>
    </w:p>
    <w:p w:rsidR="00EE7CF9" w:rsidRPr="00391C0B" w:rsidRDefault="00EE7CF9" w:rsidP="0035582B">
      <w:pPr>
        <w:spacing w:line="360" w:lineRule="auto"/>
        <w:jc w:val="both"/>
        <w:rPr>
          <w:b/>
        </w:rPr>
      </w:pPr>
      <w:r w:rsidRPr="00391C0B">
        <w:rPr>
          <w:b/>
        </w:rPr>
        <w:t>Conclusion</w:t>
      </w:r>
    </w:p>
    <w:p w:rsidR="00EE7CF9" w:rsidRPr="00391C0B" w:rsidRDefault="00EE7CF9" w:rsidP="0035582B">
      <w:pPr>
        <w:spacing w:line="360" w:lineRule="auto"/>
        <w:jc w:val="both"/>
      </w:pPr>
      <w:commentRangeStart w:id="30"/>
      <w:r w:rsidRPr="00391C0B">
        <w:t xml:space="preserve">Oral administration of methanolic extract of </w:t>
      </w:r>
      <w:r w:rsidRPr="00391C0B">
        <w:rPr>
          <w:i/>
        </w:rPr>
        <w:t>Asparagus racemosus</w:t>
      </w:r>
      <w:r w:rsidRPr="00391C0B">
        <w:t xml:space="preserve"> root (MEAR) protected rats from LPS induced liver injury. The protection may be due to the reduction of oxidative stress which occurs by alteration in levels of antioxidant enzymes in oxidative stress rats. These observations suggest that MEAR may be clinically viable protection against variety of conditions where cellular damage is a consequence of oxidative stress. In conclusion, the present study provides experimental evidence for MEAR   as a hepato-protective agent</w:t>
      </w:r>
      <w:commentRangeEnd w:id="30"/>
      <w:r w:rsidR="00AC7A7F">
        <w:rPr>
          <w:rStyle w:val="CommentReference"/>
        </w:rPr>
        <w:commentReference w:id="30"/>
      </w:r>
      <w:r w:rsidRPr="00391C0B">
        <w:t>.</w:t>
      </w:r>
    </w:p>
    <w:p w:rsidR="00EE7CF9" w:rsidRPr="00FD5A90" w:rsidRDefault="00EE7CF9" w:rsidP="0035582B">
      <w:pPr>
        <w:autoSpaceDE w:val="0"/>
        <w:autoSpaceDN w:val="0"/>
        <w:adjustRightInd w:val="0"/>
        <w:spacing w:line="360" w:lineRule="auto"/>
        <w:jc w:val="both"/>
        <w:rPr>
          <w:rFonts w:eastAsia="E-HZ"/>
          <w:b/>
        </w:rPr>
      </w:pPr>
      <w:r w:rsidRPr="00391C0B">
        <w:rPr>
          <w:rFonts w:eastAsia="E-HZ"/>
          <w:b/>
        </w:rPr>
        <w:t>Conflict of interest statement</w:t>
      </w:r>
    </w:p>
    <w:p w:rsidR="00EE7CF9" w:rsidRPr="00391C0B" w:rsidRDefault="00EE7CF9" w:rsidP="0035582B">
      <w:pPr>
        <w:autoSpaceDE w:val="0"/>
        <w:autoSpaceDN w:val="0"/>
        <w:adjustRightInd w:val="0"/>
        <w:spacing w:line="360" w:lineRule="auto"/>
        <w:jc w:val="both"/>
      </w:pPr>
      <w:r w:rsidRPr="00391C0B">
        <w:t>We declare that we have no conflict of interest.</w:t>
      </w:r>
    </w:p>
    <w:p w:rsidR="00EE7CF9" w:rsidRPr="00391C0B" w:rsidRDefault="00EE7CF9" w:rsidP="0035582B">
      <w:pPr>
        <w:autoSpaceDE w:val="0"/>
        <w:autoSpaceDN w:val="0"/>
        <w:adjustRightInd w:val="0"/>
        <w:spacing w:line="360" w:lineRule="auto"/>
        <w:jc w:val="both"/>
        <w:rPr>
          <w:b/>
          <w:bCs/>
        </w:rPr>
      </w:pPr>
      <w:r w:rsidRPr="00391C0B">
        <w:rPr>
          <w:b/>
          <w:bCs/>
        </w:rPr>
        <w:t>Acknowledgement</w:t>
      </w:r>
    </w:p>
    <w:p w:rsidR="00EE7CF9" w:rsidRPr="00391C0B" w:rsidRDefault="00EE7CF9" w:rsidP="0035582B">
      <w:pPr>
        <w:autoSpaceDE w:val="0"/>
        <w:autoSpaceDN w:val="0"/>
        <w:adjustRightInd w:val="0"/>
        <w:spacing w:line="360" w:lineRule="auto"/>
        <w:jc w:val="both"/>
      </w:pPr>
      <w:r w:rsidRPr="00391C0B">
        <w:t>We are grateful to Vice Chancellor Prof. S. W. Akhtar, Integral University, Lucknow, India for provide Lab. facilities for this research work.</w:t>
      </w:r>
    </w:p>
    <w:p w:rsidR="00EE7CF9" w:rsidRPr="00391C0B" w:rsidRDefault="00EE7CF9" w:rsidP="0035582B">
      <w:pPr>
        <w:autoSpaceDE w:val="0"/>
        <w:autoSpaceDN w:val="0"/>
        <w:adjustRightInd w:val="0"/>
        <w:spacing w:line="360" w:lineRule="auto"/>
        <w:jc w:val="both"/>
        <w:rPr>
          <w:rFonts w:eastAsia="E-HZ"/>
          <w:b/>
        </w:rPr>
      </w:pPr>
    </w:p>
    <w:p w:rsidR="00EE7CF9" w:rsidRPr="00391C0B" w:rsidRDefault="00EE7CF9" w:rsidP="0035582B">
      <w:pPr>
        <w:spacing w:line="360" w:lineRule="auto"/>
        <w:jc w:val="both"/>
        <w:rPr>
          <w:rFonts w:eastAsia="Calibri"/>
          <w:b/>
        </w:rPr>
      </w:pPr>
      <w:r w:rsidRPr="00391C0B">
        <w:rPr>
          <w:rFonts w:eastAsia="Calibri"/>
          <w:b/>
        </w:rPr>
        <w:t xml:space="preserve"> </w:t>
      </w:r>
      <w:commentRangeStart w:id="31"/>
      <w:r w:rsidRPr="00391C0B">
        <w:rPr>
          <w:rFonts w:eastAsia="Calibri"/>
          <w:b/>
        </w:rPr>
        <w:t>Refer</w:t>
      </w:r>
      <w:commentRangeStart w:id="32"/>
      <w:r w:rsidRPr="00391C0B">
        <w:rPr>
          <w:rFonts w:eastAsia="Calibri"/>
          <w:b/>
        </w:rPr>
        <w:t>enc</w:t>
      </w:r>
      <w:commentRangeEnd w:id="32"/>
      <w:r w:rsidR="005A7FAC">
        <w:rPr>
          <w:rStyle w:val="CommentReference"/>
        </w:rPr>
        <w:commentReference w:id="32"/>
      </w:r>
      <w:r w:rsidRPr="00391C0B">
        <w:rPr>
          <w:rFonts w:eastAsia="Calibri"/>
          <w:b/>
        </w:rPr>
        <w:t>es</w:t>
      </w:r>
      <w:commentRangeEnd w:id="31"/>
      <w:r w:rsidR="00BD3579">
        <w:rPr>
          <w:rStyle w:val="CommentReference"/>
        </w:rPr>
        <w:commentReference w:id="31"/>
      </w:r>
    </w:p>
    <w:p w:rsidR="00EE7CF9" w:rsidRPr="00391C0B" w:rsidRDefault="00EC671A" w:rsidP="0035582B">
      <w:pPr>
        <w:pStyle w:val="Default"/>
        <w:numPr>
          <w:ilvl w:val="0"/>
          <w:numId w:val="36"/>
        </w:numPr>
        <w:spacing w:after="27" w:line="360" w:lineRule="auto"/>
        <w:jc w:val="both"/>
      </w:pPr>
      <w:commentRangeStart w:id="33"/>
      <w:r>
        <w:lastRenderedPageBreak/>
        <w:t xml:space="preserve">Kheir-Eldin </w:t>
      </w:r>
      <w:r w:rsidRPr="00391C0B">
        <w:t>AA</w:t>
      </w:r>
      <w:r>
        <w:t>.</w:t>
      </w:r>
      <w:r w:rsidR="00EE7CF9" w:rsidRPr="00391C0B">
        <w:t xml:space="preserve"> Motawi</w:t>
      </w:r>
      <w:r>
        <w:t xml:space="preserve"> TK</w:t>
      </w:r>
      <w:r w:rsidR="00EE7CF9" w:rsidRPr="00391C0B">
        <w:t>, Gad</w:t>
      </w:r>
      <w:r>
        <w:t xml:space="preserve"> </w:t>
      </w:r>
      <w:r w:rsidRPr="00391C0B">
        <w:t>MZ</w:t>
      </w:r>
      <w:r w:rsidR="00EE7CF9" w:rsidRPr="00391C0B">
        <w:t>,</w:t>
      </w:r>
      <w:r w:rsidR="00EE7CF9" w:rsidRPr="0093117B">
        <w:t xml:space="preserve"> </w:t>
      </w:r>
      <w:r w:rsidR="00EE7CF9" w:rsidRPr="00391C0B">
        <w:t>Abd-ElGawad</w:t>
      </w:r>
      <w:r>
        <w:t xml:space="preserve"> </w:t>
      </w:r>
      <w:r w:rsidRPr="00391C0B">
        <w:t>HM</w:t>
      </w:r>
      <w:r w:rsidR="00EE7CF9">
        <w:t>.</w:t>
      </w:r>
      <w:r w:rsidR="00EE7CF9" w:rsidRPr="00391C0B">
        <w:t xml:space="preserve"> Protective effect of vitamin E, β-carotene </w:t>
      </w:r>
      <w:commentRangeEnd w:id="33"/>
      <w:r w:rsidR="005A7FAC">
        <w:rPr>
          <w:rStyle w:val="CommentReference"/>
          <w:rFonts w:eastAsia="Times New Roman"/>
          <w:color w:val="auto"/>
        </w:rPr>
        <w:commentReference w:id="33"/>
      </w:r>
      <w:r w:rsidR="00EE7CF9" w:rsidRPr="00391C0B">
        <w:t>and N-acetylcysteine from the liver oxidative stress induce</w:t>
      </w:r>
      <w:r w:rsidR="00EE7CF9">
        <w:t xml:space="preserve">d in rats by </w:t>
      </w:r>
      <w:r w:rsidR="002D1975">
        <w:t xml:space="preserve">lipopolysaccharide, </w:t>
      </w:r>
      <w:commentRangeStart w:id="34"/>
      <w:r w:rsidR="00EE7CF9" w:rsidRPr="00077B32">
        <w:rPr>
          <w:i/>
          <w:iCs/>
        </w:rPr>
        <w:t>I</w:t>
      </w:r>
      <w:r w:rsidR="001A3712">
        <w:rPr>
          <w:i/>
          <w:iCs/>
        </w:rPr>
        <w:t>nt J  Biochem</w:t>
      </w:r>
      <w:r w:rsidR="00EE7CF9" w:rsidRPr="00077B32">
        <w:rPr>
          <w:i/>
          <w:iCs/>
        </w:rPr>
        <w:t xml:space="preserve"> </w:t>
      </w:r>
      <w:r w:rsidR="001A3712">
        <w:rPr>
          <w:i/>
          <w:iCs/>
        </w:rPr>
        <w:t>Cell Biol</w:t>
      </w:r>
      <w:commentRangeEnd w:id="34"/>
      <w:r w:rsidR="00AD4109">
        <w:rPr>
          <w:rStyle w:val="CommentReference"/>
          <w:rFonts w:eastAsia="Times New Roman"/>
          <w:color w:val="auto"/>
        </w:rPr>
        <w:commentReference w:id="34"/>
      </w:r>
      <w:r w:rsidR="0059214B">
        <w:rPr>
          <w:iCs/>
        </w:rPr>
        <w:t>.</w:t>
      </w:r>
      <w:r w:rsidR="0059214B">
        <w:t xml:space="preserve"> 2001;</w:t>
      </w:r>
      <w:r w:rsidR="00EE7CF9">
        <w:t xml:space="preserve"> </w:t>
      </w:r>
      <w:r w:rsidR="00EE7CF9" w:rsidRPr="00391C0B">
        <w:t>33</w:t>
      </w:r>
      <w:r w:rsidR="0059214B">
        <w:t>: 475–82.</w:t>
      </w:r>
    </w:p>
    <w:p w:rsidR="00EE7CF9" w:rsidRDefault="00F40D4F" w:rsidP="0035582B">
      <w:pPr>
        <w:pStyle w:val="ListParagraph"/>
        <w:numPr>
          <w:ilvl w:val="0"/>
          <w:numId w:val="36"/>
        </w:numPr>
        <w:autoSpaceDE w:val="0"/>
        <w:autoSpaceDN w:val="0"/>
        <w:adjustRightInd w:val="0"/>
        <w:spacing w:line="360" w:lineRule="auto"/>
        <w:jc w:val="both"/>
      </w:pPr>
      <w:r>
        <w:t xml:space="preserve">Hines </w:t>
      </w:r>
      <w:r w:rsidRPr="00391C0B">
        <w:t>I</w:t>
      </w:r>
      <w:r>
        <w:t>.</w:t>
      </w:r>
      <w:r w:rsidRPr="00391C0B">
        <w:t>N</w:t>
      </w:r>
      <w:r w:rsidR="00657945">
        <w:t>, Wheeler</w:t>
      </w:r>
      <w:r>
        <w:t xml:space="preserve"> </w:t>
      </w:r>
      <w:r w:rsidRPr="00391C0B">
        <w:t>M</w:t>
      </w:r>
      <w:r>
        <w:t>.</w:t>
      </w:r>
      <w:r w:rsidRPr="00391C0B">
        <w:t>D</w:t>
      </w:r>
      <w:r>
        <w:t>.</w:t>
      </w:r>
      <w:r w:rsidR="00EE7CF9" w:rsidRPr="00391C0B">
        <w:t xml:space="preserve"> Recent advances in alcoholic liver disease III. Role of the innate immune </w:t>
      </w:r>
      <w:r w:rsidR="0059214B">
        <w:t>response in alcoholic hepatitis.</w:t>
      </w:r>
      <w:r w:rsidR="00EE7CF9" w:rsidRPr="00391C0B">
        <w:t xml:space="preserve"> </w:t>
      </w:r>
      <w:commentRangeStart w:id="35"/>
      <w:r w:rsidR="00EE7CF9" w:rsidRPr="00077B32">
        <w:rPr>
          <w:i/>
          <w:iCs/>
        </w:rPr>
        <w:t>Am J</w:t>
      </w:r>
      <w:r w:rsidR="0059214B" w:rsidRPr="00077B32">
        <w:rPr>
          <w:i/>
          <w:iCs/>
        </w:rPr>
        <w:t xml:space="preserve"> Physiol</w:t>
      </w:r>
      <w:r w:rsidR="00EE7CF9" w:rsidRPr="00077B32">
        <w:rPr>
          <w:i/>
          <w:iCs/>
        </w:rPr>
        <w:t xml:space="preserve"> Gastrointest</w:t>
      </w:r>
      <w:r w:rsidR="00EE7CF9">
        <w:rPr>
          <w:i/>
          <w:iCs/>
        </w:rPr>
        <w:t xml:space="preserve">ol </w:t>
      </w:r>
      <w:r w:rsidR="0059214B">
        <w:rPr>
          <w:i/>
          <w:iCs/>
        </w:rPr>
        <w:t xml:space="preserve"> Liver Physiol</w:t>
      </w:r>
      <w:commentRangeEnd w:id="35"/>
      <w:r w:rsidR="00AD4109">
        <w:rPr>
          <w:rStyle w:val="CommentReference"/>
        </w:rPr>
        <w:commentReference w:id="35"/>
      </w:r>
      <w:r w:rsidR="0059214B">
        <w:rPr>
          <w:i/>
          <w:iCs/>
        </w:rPr>
        <w:t>.</w:t>
      </w:r>
      <w:r w:rsidR="00EE7CF9" w:rsidRPr="00077B32">
        <w:rPr>
          <w:i/>
          <w:iCs/>
        </w:rPr>
        <w:t xml:space="preserve"> </w:t>
      </w:r>
      <w:r w:rsidR="000E03CB">
        <w:t>2004;</w:t>
      </w:r>
      <w:r w:rsidR="00EE7CF9" w:rsidRPr="00077B32">
        <w:rPr>
          <w:i/>
          <w:iCs/>
        </w:rPr>
        <w:t xml:space="preserve"> </w:t>
      </w:r>
      <w:r w:rsidR="00EE7CF9">
        <w:rPr>
          <w:iCs/>
        </w:rPr>
        <w:t xml:space="preserve"> </w:t>
      </w:r>
      <w:r w:rsidR="00EE7CF9" w:rsidRPr="00391C0B">
        <w:rPr>
          <w:bCs/>
        </w:rPr>
        <w:t>287</w:t>
      </w:r>
      <w:r w:rsidR="000E03CB">
        <w:rPr>
          <w:bCs/>
        </w:rPr>
        <w:t>:</w:t>
      </w:r>
      <w:r w:rsidR="000E03CB">
        <w:t xml:space="preserve"> G310-G14.</w:t>
      </w:r>
      <w:r w:rsidR="00EE7CF9">
        <w:t xml:space="preserve"> </w:t>
      </w:r>
    </w:p>
    <w:p w:rsidR="00EE7CF9" w:rsidRPr="00D32711" w:rsidRDefault="00EE7CF9" w:rsidP="0035582B">
      <w:pPr>
        <w:numPr>
          <w:ilvl w:val="0"/>
          <w:numId w:val="36"/>
        </w:numPr>
        <w:shd w:val="clear" w:color="auto" w:fill="FFFFFF"/>
        <w:spacing w:after="225" w:line="360" w:lineRule="auto"/>
        <w:jc w:val="both"/>
        <w:outlineLvl w:val="0"/>
        <w:rPr>
          <w:bCs/>
          <w:color w:val="333333"/>
          <w:kern w:val="36"/>
        </w:rPr>
      </w:pPr>
      <w:r w:rsidRPr="00391C0B">
        <w:t>Tanguy</w:t>
      </w:r>
      <w:r w:rsidR="00657945">
        <w:t xml:space="preserve"> </w:t>
      </w:r>
      <w:r w:rsidR="00657945" w:rsidRPr="00391C0B">
        <w:t>S</w:t>
      </w:r>
      <w:r w:rsidRPr="00391C0B">
        <w:t>, Leiris J De,</w:t>
      </w:r>
      <w:r w:rsidRPr="00A71C4E">
        <w:t xml:space="preserve"> </w:t>
      </w:r>
      <w:r w:rsidRPr="00391C0B">
        <w:t>Besse</w:t>
      </w:r>
      <w:r w:rsidR="00657945">
        <w:t xml:space="preserve"> </w:t>
      </w:r>
      <w:r w:rsidR="00657945" w:rsidRPr="00391C0B">
        <w:t>S</w:t>
      </w:r>
      <w:r w:rsidR="00F06848">
        <w:t xml:space="preserve">, </w:t>
      </w:r>
      <w:r w:rsidRPr="00391C0B">
        <w:t>Boucher</w:t>
      </w:r>
      <w:r w:rsidR="00407695">
        <w:t xml:space="preserve"> </w:t>
      </w:r>
      <w:r w:rsidR="00407695" w:rsidRPr="00391C0B">
        <w:t>F</w:t>
      </w:r>
      <w:r w:rsidR="00F06848">
        <w:t>.</w:t>
      </w:r>
      <w:r w:rsidRPr="00391C0B">
        <w:t xml:space="preserve"> Ageing exacerbates the cardiotoxicity of hydrogen peroxide thro</w:t>
      </w:r>
      <w:r>
        <w:t>ugh the Fenton reaction in rats,</w:t>
      </w:r>
      <w:r w:rsidRPr="00566692">
        <w:t xml:space="preserve"> </w:t>
      </w:r>
      <w:commentRangeStart w:id="36"/>
      <w:r w:rsidR="001A3712">
        <w:rPr>
          <w:bCs/>
          <w:i/>
          <w:color w:val="333333"/>
          <w:kern w:val="36"/>
        </w:rPr>
        <w:t xml:space="preserve">Mechan  Ageing </w:t>
      </w:r>
      <w:r w:rsidRPr="00077B32">
        <w:rPr>
          <w:bCs/>
          <w:i/>
          <w:color w:val="333333"/>
          <w:kern w:val="36"/>
        </w:rPr>
        <w:t xml:space="preserve"> Develop</w:t>
      </w:r>
      <w:commentRangeEnd w:id="36"/>
      <w:r w:rsidR="00AD4109">
        <w:rPr>
          <w:rStyle w:val="CommentReference"/>
        </w:rPr>
        <w:commentReference w:id="36"/>
      </w:r>
      <w:r w:rsidR="004E35A1">
        <w:rPr>
          <w:iCs/>
        </w:rPr>
        <w:t>.</w:t>
      </w:r>
      <w:r w:rsidR="004B5A4D">
        <w:rPr>
          <w:iCs/>
        </w:rPr>
        <w:t xml:space="preserve"> </w:t>
      </w:r>
      <w:r w:rsidR="004B5A4D">
        <w:t>2004</w:t>
      </w:r>
      <w:r w:rsidR="00C333EE">
        <w:t>;</w:t>
      </w:r>
      <w:r w:rsidR="00C333EE" w:rsidRPr="00391C0B">
        <w:t xml:space="preserve"> 124</w:t>
      </w:r>
      <w:r w:rsidR="004B5A4D">
        <w:t>: 229-35.</w:t>
      </w:r>
    </w:p>
    <w:p w:rsidR="00EE7CF9" w:rsidRPr="00391C0B" w:rsidRDefault="00EE7CF9" w:rsidP="0035582B">
      <w:pPr>
        <w:pStyle w:val="ListParagraph"/>
        <w:numPr>
          <w:ilvl w:val="0"/>
          <w:numId w:val="36"/>
        </w:numPr>
        <w:autoSpaceDE w:val="0"/>
        <w:autoSpaceDN w:val="0"/>
        <w:adjustRightInd w:val="0"/>
        <w:spacing w:line="360" w:lineRule="auto"/>
        <w:jc w:val="both"/>
      </w:pPr>
      <w:r w:rsidRPr="00391C0B">
        <w:t>Luster</w:t>
      </w:r>
      <w:r w:rsidR="00C333EE">
        <w:t xml:space="preserve"> </w:t>
      </w:r>
      <w:r w:rsidR="00C333EE" w:rsidRPr="00391C0B">
        <w:t>M</w:t>
      </w:r>
      <w:r w:rsidR="00C333EE">
        <w:t>.</w:t>
      </w:r>
      <w:r w:rsidR="00C333EE" w:rsidRPr="00391C0B">
        <w:t>I</w:t>
      </w:r>
      <w:r w:rsidRPr="00391C0B">
        <w:t xml:space="preserve">, </w:t>
      </w:r>
      <w:r w:rsidR="00C333EE">
        <w:t>Germolec</w:t>
      </w:r>
      <w:r w:rsidR="00C333EE" w:rsidRPr="00C333EE">
        <w:t xml:space="preserve"> </w:t>
      </w:r>
      <w:r w:rsidR="00C333EE" w:rsidRPr="00391C0B">
        <w:t>D</w:t>
      </w:r>
      <w:r w:rsidR="00C333EE">
        <w:t>.</w:t>
      </w:r>
      <w:r w:rsidR="00C333EE" w:rsidRPr="00391C0B">
        <w:t>R</w:t>
      </w:r>
      <w:r w:rsidR="00F06848">
        <w:t>,</w:t>
      </w:r>
      <w:r w:rsidR="00F06848" w:rsidRPr="00391C0B">
        <w:t xml:space="preserve"> Yoshida</w:t>
      </w:r>
      <w:r w:rsidR="00C333EE">
        <w:t xml:space="preserve"> </w:t>
      </w:r>
      <w:r w:rsidR="00C333EE" w:rsidRPr="00391C0B">
        <w:t>T</w:t>
      </w:r>
      <w:r w:rsidR="00C333EE">
        <w:t>.</w:t>
      </w:r>
      <w:r w:rsidR="00EC671A">
        <w:t xml:space="preserve"> </w:t>
      </w:r>
      <w:r w:rsidRPr="00391C0B">
        <w:t xml:space="preserve"> Endotoxin-induced cytokine gene express</w:t>
      </w:r>
      <w:r>
        <w:t xml:space="preserve">ion and excretion in the liver, </w:t>
      </w:r>
      <w:commentRangeStart w:id="37"/>
      <w:r w:rsidRPr="00C415D4">
        <w:rPr>
          <w:i/>
          <w:iCs/>
        </w:rPr>
        <w:t>Hepatology</w:t>
      </w:r>
      <w:r w:rsidR="004B5A4D">
        <w:rPr>
          <w:iCs/>
        </w:rPr>
        <w:t>.</w:t>
      </w:r>
      <w:r>
        <w:rPr>
          <w:iCs/>
        </w:rPr>
        <w:t xml:space="preserve"> </w:t>
      </w:r>
      <w:commentRangeEnd w:id="37"/>
      <w:r w:rsidR="00AD4109">
        <w:rPr>
          <w:rStyle w:val="CommentReference"/>
        </w:rPr>
        <w:commentReference w:id="37"/>
      </w:r>
      <w:r w:rsidR="00C333EE">
        <w:rPr>
          <w:rFonts w:eastAsia="Calibri"/>
        </w:rPr>
        <w:t>1994:</w:t>
      </w:r>
      <w:r w:rsidR="00C333EE" w:rsidRPr="00391C0B">
        <w:rPr>
          <w:rFonts w:eastAsia="Calibri"/>
          <w:bCs/>
        </w:rPr>
        <w:t>19</w:t>
      </w:r>
      <w:r w:rsidR="00C333EE">
        <w:rPr>
          <w:rFonts w:eastAsia="Calibri"/>
        </w:rPr>
        <w:t>:</w:t>
      </w:r>
      <w:r w:rsidRPr="00391C0B">
        <w:rPr>
          <w:rFonts w:eastAsia="Calibri"/>
        </w:rPr>
        <w:t>480-</w:t>
      </w:r>
      <w:r w:rsidR="004B5A4D">
        <w:rPr>
          <w:rFonts w:eastAsia="Calibri"/>
        </w:rPr>
        <w:t>88.</w:t>
      </w:r>
    </w:p>
    <w:p w:rsidR="00EE7CF9" w:rsidRPr="00391C0B" w:rsidRDefault="00EE7CF9" w:rsidP="0035582B">
      <w:pPr>
        <w:pStyle w:val="ListParagraph"/>
        <w:numPr>
          <w:ilvl w:val="0"/>
          <w:numId w:val="36"/>
        </w:numPr>
        <w:autoSpaceDE w:val="0"/>
        <w:autoSpaceDN w:val="0"/>
        <w:adjustRightInd w:val="0"/>
        <w:spacing w:line="360" w:lineRule="auto"/>
        <w:jc w:val="both"/>
      </w:pPr>
      <w:r w:rsidRPr="00391C0B">
        <w:t xml:space="preserve"> Hartung</w:t>
      </w:r>
      <w:r>
        <w:t xml:space="preserve"> </w:t>
      </w:r>
      <w:r w:rsidR="00C333EE" w:rsidRPr="00391C0B">
        <w:t>T</w:t>
      </w:r>
      <w:r w:rsidR="00C333EE">
        <w:t>, Wendel</w:t>
      </w:r>
      <w:r w:rsidR="00C333EE" w:rsidRPr="00C333EE">
        <w:t xml:space="preserve"> </w:t>
      </w:r>
      <w:r w:rsidR="00C333EE" w:rsidRPr="00391C0B">
        <w:t>A</w:t>
      </w:r>
      <w:r w:rsidR="00C333EE">
        <w:t>.</w:t>
      </w:r>
      <w:r w:rsidRPr="00391C0B">
        <w:t xml:space="preserve"> Endotoxin-inducible cyto</w:t>
      </w:r>
      <w:r>
        <w:t>toxicity in liver cell cultures</w:t>
      </w:r>
      <w:r w:rsidR="00234BA2">
        <w:t>,</w:t>
      </w:r>
      <w:r w:rsidR="00234BA2" w:rsidRPr="00566692">
        <w:t xml:space="preserve"> </w:t>
      </w:r>
      <w:r w:rsidR="00234BA2" w:rsidRPr="00391C0B">
        <w:t>J</w:t>
      </w:r>
      <w:r w:rsidRPr="00077B32">
        <w:rPr>
          <w:i/>
          <w:iCs/>
        </w:rPr>
        <w:t xml:space="preserve">  </w:t>
      </w:r>
      <w:commentRangeStart w:id="38"/>
      <w:r w:rsidRPr="00077B32">
        <w:rPr>
          <w:i/>
          <w:iCs/>
        </w:rPr>
        <w:t>Biochemical Pharmacol</w:t>
      </w:r>
      <w:commentRangeEnd w:id="38"/>
      <w:r w:rsidR="00AD4109">
        <w:rPr>
          <w:rStyle w:val="CommentReference"/>
        </w:rPr>
        <w:commentReference w:id="38"/>
      </w:r>
      <w:r w:rsidR="004E35A1">
        <w:rPr>
          <w:iCs/>
        </w:rPr>
        <w:t>.</w:t>
      </w:r>
      <w:r>
        <w:rPr>
          <w:iCs/>
        </w:rPr>
        <w:t xml:space="preserve"> </w:t>
      </w:r>
      <w:r w:rsidR="004B5A4D" w:rsidRPr="00391C0B">
        <w:rPr>
          <w:iCs/>
        </w:rPr>
        <w:t>1991</w:t>
      </w:r>
      <w:r w:rsidR="004B5A4D">
        <w:rPr>
          <w:iCs/>
        </w:rPr>
        <w:t>;</w:t>
      </w:r>
      <w:r w:rsidRPr="00391C0B">
        <w:rPr>
          <w:iCs/>
        </w:rPr>
        <w:t xml:space="preserve"> </w:t>
      </w:r>
      <w:r w:rsidRPr="00391C0B">
        <w:rPr>
          <w:bCs/>
        </w:rPr>
        <w:t>42</w:t>
      </w:r>
      <w:r w:rsidR="004B5A4D">
        <w:rPr>
          <w:bCs/>
        </w:rPr>
        <w:t>:</w:t>
      </w:r>
      <w:r>
        <w:rPr>
          <w:bCs/>
        </w:rPr>
        <w:t xml:space="preserve"> </w:t>
      </w:r>
      <w:r w:rsidR="004B5A4D">
        <w:t>1129-35.</w:t>
      </w:r>
      <w:r w:rsidRPr="00A71C4E">
        <w:rPr>
          <w:iCs/>
        </w:rPr>
        <w:t xml:space="preserve"> </w:t>
      </w:r>
    </w:p>
    <w:p w:rsidR="00EE7CF9" w:rsidRPr="00391C0B" w:rsidRDefault="00C333EE" w:rsidP="0035582B">
      <w:pPr>
        <w:pStyle w:val="ListParagraph"/>
        <w:numPr>
          <w:ilvl w:val="0"/>
          <w:numId w:val="36"/>
        </w:numPr>
        <w:autoSpaceDE w:val="0"/>
        <w:autoSpaceDN w:val="0"/>
        <w:adjustRightInd w:val="0"/>
        <w:spacing w:line="360" w:lineRule="auto"/>
        <w:jc w:val="both"/>
      </w:pPr>
      <w:r>
        <w:t xml:space="preserve">Wang </w:t>
      </w:r>
      <w:r w:rsidRPr="00391C0B">
        <w:t>H</w:t>
      </w:r>
      <w:r w:rsidR="00F06848">
        <w:t>,</w:t>
      </w:r>
      <w:r w:rsidR="00F06848" w:rsidRPr="00391C0B">
        <w:t xml:space="preserve"> Wei</w:t>
      </w:r>
      <w:r w:rsidRPr="00C333EE">
        <w:t xml:space="preserve"> </w:t>
      </w:r>
      <w:r w:rsidRPr="00391C0B">
        <w:t>W</w:t>
      </w:r>
      <w:r w:rsidR="00F06848">
        <w:t>,</w:t>
      </w:r>
      <w:r w:rsidR="00F06848" w:rsidRPr="00391C0B">
        <w:t xml:space="preserve"> Zhang</w:t>
      </w:r>
      <w:r w:rsidR="00EE7CF9" w:rsidRPr="00391C0B">
        <w:t xml:space="preserve"> S</w:t>
      </w:r>
      <w:r w:rsidR="00EE7CF9">
        <w:t>.</w:t>
      </w:r>
      <w:r w:rsidR="00EE7CF9" w:rsidRPr="00391C0B">
        <w:t>Y</w:t>
      </w:r>
      <w:r w:rsidR="00EE7CF9">
        <w:t>.</w:t>
      </w:r>
      <w:r w:rsidR="00647AEF">
        <w:t xml:space="preserve"> </w:t>
      </w:r>
      <w:r w:rsidR="00EE7CF9" w:rsidRPr="00391C0B">
        <w:t>Melatonin-selenium nanoparticles inhibit oxidative stress and protect against hepatic injury induced by Bacillus Calmette-Gu</w:t>
      </w:r>
      <w:r w:rsidR="00EE7CF9">
        <w:t>erin/lipopolysaccharide in mice</w:t>
      </w:r>
      <w:r w:rsidR="00317BD5">
        <w:t>,</w:t>
      </w:r>
      <w:r w:rsidR="00317BD5" w:rsidRPr="00566692">
        <w:t xml:space="preserve"> </w:t>
      </w:r>
      <w:commentRangeStart w:id="39"/>
      <w:r w:rsidR="00317BD5" w:rsidRPr="00391C0B">
        <w:t>J</w:t>
      </w:r>
      <w:r w:rsidR="001A3712">
        <w:rPr>
          <w:i/>
          <w:iCs/>
        </w:rPr>
        <w:t xml:space="preserve"> </w:t>
      </w:r>
      <w:r w:rsidR="00EE7CF9" w:rsidRPr="00077B32">
        <w:rPr>
          <w:i/>
          <w:iCs/>
        </w:rPr>
        <w:t>Pineal Res</w:t>
      </w:r>
      <w:commentRangeEnd w:id="39"/>
      <w:r w:rsidR="00AD4109">
        <w:rPr>
          <w:rStyle w:val="CommentReference"/>
        </w:rPr>
        <w:commentReference w:id="39"/>
      </w:r>
      <w:r w:rsidR="001A3712">
        <w:rPr>
          <w:i/>
          <w:iCs/>
        </w:rPr>
        <w:t>.</w:t>
      </w:r>
      <w:r w:rsidR="004B5A4D">
        <w:t xml:space="preserve"> </w:t>
      </w:r>
      <w:r w:rsidR="00EE7CF9">
        <w:t xml:space="preserve"> </w:t>
      </w:r>
      <w:r w:rsidR="004B5A4D" w:rsidRPr="00391C0B">
        <w:t>2005</w:t>
      </w:r>
      <w:r w:rsidR="00D5317E">
        <w:t>;</w:t>
      </w:r>
      <w:r w:rsidR="00D5317E" w:rsidRPr="00391C0B">
        <w:rPr>
          <w:bCs/>
        </w:rPr>
        <w:t xml:space="preserve"> 39</w:t>
      </w:r>
      <w:r w:rsidR="004B5A4D">
        <w:rPr>
          <w:bCs/>
        </w:rPr>
        <w:t>:</w:t>
      </w:r>
      <w:r w:rsidR="004B5A4D">
        <w:t xml:space="preserve"> 156-63.</w:t>
      </w:r>
    </w:p>
    <w:p w:rsidR="00EE7CF9" w:rsidRPr="00391C0B" w:rsidRDefault="00EE7CF9" w:rsidP="0035582B">
      <w:pPr>
        <w:pStyle w:val="ListParagraph"/>
        <w:numPr>
          <w:ilvl w:val="0"/>
          <w:numId w:val="36"/>
        </w:numPr>
        <w:autoSpaceDE w:val="0"/>
        <w:autoSpaceDN w:val="0"/>
        <w:adjustRightInd w:val="0"/>
        <w:spacing w:line="360" w:lineRule="auto"/>
        <w:jc w:val="both"/>
        <w:rPr>
          <w:color w:val="000000"/>
        </w:rPr>
      </w:pPr>
      <w:r w:rsidRPr="00391C0B">
        <w:rPr>
          <w:color w:val="000000"/>
        </w:rPr>
        <w:t>Victor</w:t>
      </w:r>
      <w:r w:rsidR="00C333EE">
        <w:rPr>
          <w:color w:val="000000"/>
        </w:rPr>
        <w:t xml:space="preserve"> </w:t>
      </w:r>
      <w:r w:rsidR="00C333EE" w:rsidRPr="00391C0B">
        <w:rPr>
          <w:color w:val="000000"/>
        </w:rPr>
        <w:t>V</w:t>
      </w:r>
      <w:r w:rsidR="00C333EE">
        <w:rPr>
          <w:color w:val="000000"/>
        </w:rPr>
        <w:t>.</w:t>
      </w:r>
      <w:r w:rsidR="00C333EE" w:rsidRPr="00391C0B">
        <w:rPr>
          <w:color w:val="000000"/>
        </w:rPr>
        <w:t>M</w:t>
      </w:r>
      <w:r w:rsidR="00C333EE">
        <w:rPr>
          <w:color w:val="000000"/>
        </w:rPr>
        <w:t>,</w:t>
      </w:r>
      <w:r w:rsidRPr="00391C0B">
        <w:rPr>
          <w:color w:val="000000"/>
        </w:rPr>
        <w:t xml:space="preserve"> Fuente</w:t>
      </w:r>
      <w:r w:rsidR="00C333EE">
        <w:rPr>
          <w:color w:val="000000"/>
        </w:rPr>
        <w:t xml:space="preserve"> </w:t>
      </w:r>
      <w:r w:rsidR="00C333EE" w:rsidRPr="00391C0B">
        <w:rPr>
          <w:color w:val="000000"/>
        </w:rPr>
        <w:t>M</w:t>
      </w:r>
      <w:r w:rsidR="00C333EE">
        <w:rPr>
          <w:color w:val="000000"/>
        </w:rPr>
        <w:t>.</w:t>
      </w:r>
      <w:r w:rsidR="00C333EE" w:rsidRPr="00391C0B">
        <w:rPr>
          <w:color w:val="000000"/>
        </w:rPr>
        <w:t>D</w:t>
      </w:r>
      <w:r w:rsidR="00C333EE">
        <w:rPr>
          <w:color w:val="000000"/>
        </w:rPr>
        <w:t>.</w:t>
      </w:r>
      <w:r w:rsidR="00C333EE" w:rsidRPr="00391C0B">
        <w:rPr>
          <w:color w:val="000000"/>
        </w:rPr>
        <w:t xml:space="preserve"> </w:t>
      </w:r>
      <w:r w:rsidRPr="00391C0B">
        <w:rPr>
          <w:color w:val="000000"/>
        </w:rPr>
        <w:t xml:space="preserve"> Changes in the superoxide production and other macrophage functions could be related to the mortality of mice with endotoxin- induced oxidative stress</w:t>
      </w:r>
      <w:r>
        <w:rPr>
          <w:color w:val="000000"/>
        </w:rPr>
        <w:t>,</w:t>
      </w:r>
      <w:r w:rsidRPr="00566692">
        <w:t xml:space="preserve"> </w:t>
      </w:r>
      <w:r w:rsidR="001A3712">
        <w:rPr>
          <w:i/>
          <w:iCs/>
          <w:color w:val="000000"/>
        </w:rPr>
        <w:t>Physiol</w:t>
      </w:r>
      <w:r w:rsidRPr="00077B32">
        <w:rPr>
          <w:i/>
          <w:iCs/>
          <w:color w:val="000000"/>
        </w:rPr>
        <w:t xml:space="preserve"> Res</w:t>
      </w:r>
      <w:r w:rsidR="00C84BF3">
        <w:rPr>
          <w:iCs/>
          <w:color w:val="000000"/>
        </w:rPr>
        <w:t>.</w:t>
      </w:r>
      <w:r>
        <w:rPr>
          <w:iCs/>
          <w:color w:val="000000"/>
        </w:rPr>
        <w:t xml:space="preserve"> </w:t>
      </w:r>
      <w:r w:rsidR="00C84BF3" w:rsidRPr="00391C0B">
        <w:rPr>
          <w:color w:val="000000"/>
        </w:rPr>
        <w:t>2003</w:t>
      </w:r>
      <w:r w:rsidR="00C84BF3">
        <w:rPr>
          <w:color w:val="000000"/>
        </w:rPr>
        <w:t>;52:</w:t>
      </w:r>
      <w:r>
        <w:rPr>
          <w:color w:val="000000"/>
        </w:rPr>
        <w:t xml:space="preserve"> </w:t>
      </w:r>
      <w:r w:rsidR="00C84BF3">
        <w:rPr>
          <w:color w:val="000000"/>
        </w:rPr>
        <w:t>101-10.</w:t>
      </w:r>
    </w:p>
    <w:p w:rsidR="00EE7CF9" w:rsidRDefault="00C333EE" w:rsidP="0035582B">
      <w:pPr>
        <w:pStyle w:val="ListParagraph"/>
        <w:numPr>
          <w:ilvl w:val="0"/>
          <w:numId w:val="36"/>
        </w:numPr>
        <w:autoSpaceDE w:val="0"/>
        <w:autoSpaceDN w:val="0"/>
        <w:adjustRightInd w:val="0"/>
        <w:spacing w:line="360" w:lineRule="auto"/>
        <w:jc w:val="both"/>
        <w:rPr>
          <w:color w:val="000000"/>
        </w:rPr>
      </w:pPr>
      <w:r>
        <w:rPr>
          <w:color w:val="000000"/>
        </w:rPr>
        <w:t xml:space="preserve">Richard </w:t>
      </w:r>
      <w:r w:rsidRPr="00391C0B">
        <w:rPr>
          <w:color w:val="000000"/>
        </w:rPr>
        <w:t>C</w:t>
      </w:r>
      <w:r w:rsidR="00407695">
        <w:rPr>
          <w:color w:val="000000"/>
        </w:rPr>
        <w:t>,</w:t>
      </w:r>
      <w:r w:rsidRPr="00391C0B">
        <w:rPr>
          <w:color w:val="000000"/>
        </w:rPr>
        <w:t xml:space="preserve"> </w:t>
      </w:r>
      <w:r w:rsidR="00EE7CF9" w:rsidRPr="00391C0B">
        <w:rPr>
          <w:color w:val="000000"/>
        </w:rPr>
        <w:t xml:space="preserve"> Lemonnier</w:t>
      </w:r>
      <w:r w:rsidRPr="00C333EE">
        <w:rPr>
          <w:color w:val="000000"/>
        </w:rPr>
        <w:t xml:space="preserve"> </w:t>
      </w:r>
      <w:r w:rsidRPr="00391C0B">
        <w:rPr>
          <w:color w:val="000000"/>
        </w:rPr>
        <w:t>F</w:t>
      </w:r>
      <w:r>
        <w:rPr>
          <w:color w:val="000000"/>
        </w:rPr>
        <w:t>,</w:t>
      </w:r>
      <w:r w:rsidRPr="00391C0B">
        <w:rPr>
          <w:color w:val="000000"/>
        </w:rPr>
        <w:t xml:space="preserve"> </w:t>
      </w:r>
      <w:r w:rsidR="00EE7CF9" w:rsidRPr="00391C0B">
        <w:rPr>
          <w:color w:val="000000"/>
        </w:rPr>
        <w:t>Thibault</w:t>
      </w:r>
      <w:r>
        <w:rPr>
          <w:color w:val="000000"/>
        </w:rPr>
        <w:t xml:space="preserve"> </w:t>
      </w:r>
      <w:r w:rsidRPr="00391C0B">
        <w:rPr>
          <w:color w:val="000000"/>
        </w:rPr>
        <w:t>M</w:t>
      </w:r>
      <w:r>
        <w:rPr>
          <w:color w:val="000000"/>
        </w:rPr>
        <w:t>.</w:t>
      </w:r>
      <w:r w:rsidR="00EE7CF9" w:rsidRPr="00391C0B">
        <w:rPr>
          <w:color w:val="000000"/>
        </w:rPr>
        <w:t xml:space="preserve">   Vitamin E deficiency and lipoperoxidation during adult respiratory distress syndrome</w:t>
      </w:r>
      <w:r w:rsidR="00EE7CF9">
        <w:rPr>
          <w:color w:val="000000"/>
        </w:rPr>
        <w:t>,</w:t>
      </w:r>
      <w:r w:rsidR="00EE7CF9" w:rsidRPr="00566692">
        <w:t xml:space="preserve"> </w:t>
      </w:r>
      <w:commentRangeStart w:id="40"/>
      <w:r w:rsidR="001A3712">
        <w:rPr>
          <w:i/>
          <w:iCs/>
          <w:color w:val="000000"/>
        </w:rPr>
        <w:t>Crit</w:t>
      </w:r>
      <w:r w:rsidR="00EE7CF9" w:rsidRPr="00077B32">
        <w:rPr>
          <w:i/>
          <w:iCs/>
          <w:color w:val="000000"/>
        </w:rPr>
        <w:t xml:space="preserve"> Care Me</w:t>
      </w:r>
      <w:commentRangeEnd w:id="40"/>
      <w:r w:rsidR="00AD4109">
        <w:rPr>
          <w:rStyle w:val="CommentReference"/>
        </w:rPr>
        <w:commentReference w:id="40"/>
      </w:r>
      <w:r w:rsidR="00EE7CF9" w:rsidRPr="00077B32">
        <w:rPr>
          <w:i/>
          <w:iCs/>
          <w:color w:val="000000"/>
        </w:rPr>
        <w:t>d</w:t>
      </w:r>
      <w:r w:rsidR="00EE7CF9">
        <w:rPr>
          <w:iCs/>
          <w:color w:val="000000"/>
        </w:rPr>
        <w:t xml:space="preserve">, </w:t>
      </w:r>
      <w:r w:rsidR="00C84BF3" w:rsidRPr="00391C0B">
        <w:rPr>
          <w:color w:val="000000"/>
        </w:rPr>
        <w:t>1990</w:t>
      </w:r>
      <w:r w:rsidR="004E35A1">
        <w:rPr>
          <w:color w:val="000000"/>
        </w:rPr>
        <w:t>; 18:4</w:t>
      </w:r>
      <w:r w:rsidR="00C84BF3">
        <w:rPr>
          <w:color w:val="000000"/>
        </w:rPr>
        <w:t>-9.</w:t>
      </w:r>
    </w:p>
    <w:p w:rsidR="00161B7E" w:rsidRDefault="00161B7E" w:rsidP="0035582B">
      <w:pPr>
        <w:pStyle w:val="ListParagraph"/>
        <w:numPr>
          <w:ilvl w:val="0"/>
          <w:numId w:val="36"/>
        </w:numPr>
        <w:spacing w:line="360" w:lineRule="auto"/>
        <w:jc w:val="both"/>
      </w:pPr>
      <w:r w:rsidRPr="000F2DC3">
        <w:t>Gupta A. modern extraction methods for preparation of bioactive plant</w:t>
      </w:r>
      <w:r>
        <w:t xml:space="preserve"> extracts</w:t>
      </w:r>
      <w:commentRangeStart w:id="41"/>
      <w:r>
        <w:t xml:space="preserve">, </w:t>
      </w:r>
      <w:r w:rsidRPr="00407695">
        <w:rPr>
          <w:i/>
        </w:rPr>
        <w:t xml:space="preserve">Int J </w:t>
      </w:r>
      <w:r w:rsidR="00407695" w:rsidRPr="00407695">
        <w:rPr>
          <w:i/>
        </w:rPr>
        <w:t>App Nat</w:t>
      </w:r>
      <w:r w:rsidRPr="00407695">
        <w:rPr>
          <w:i/>
        </w:rPr>
        <w:t xml:space="preserve"> </w:t>
      </w:r>
      <w:r w:rsidR="00407695" w:rsidRPr="00407695">
        <w:rPr>
          <w:i/>
        </w:rPr>
        <w:t>Sci</w:t>
      </w:r>
      <w:r w:rsidR="00407695">
        <w:rPr>
          <w:i/>
        </w:rPr>
        <w:t>.</w:t>
      </w:r>
      <w:r w:rsidR="00407695" w:rsidRPr="000F2DC3">
        <w:t xml:space="preserve"> </w:t>
      </w:r>
      <w:commentRangeEnd w:id="41"/>
      <w:r w:rsidR="00AC7A7F">
        <w:rPr>
          <w:rStyle w:val="CommentReference"/>
        </w:rPr>
        <w:commentReference w:id="41"/>
      </w:r>
      <w:r w:rsidR="00407695" w:rsidRPr="000F2DC3">
        <w:t>2012</w:t>
      </w:r>
      <w:r w:rsidRPr="000F2DC3">
        <w:t>;1: 8-26</w:t>
      </w:r>
      <w:r>
        <w:t>.</w:t>
      </w:r>
    </w:p>
    <w:p w:rsidR="00161B7E" w:rsidRPr="00391C0B" w:rsidRDefault="00161B7E" w:rsidP="0035582B">
      <w:pPr>
        <w:pStyle w:val="ListParagraph"/>
        <w:numPr>
          <w:ilvl w:val="0"/>
          <w:numId w:val="36"/>
        </w:numPr>
        <w:spacing w:line="360" w:lineRule="auto"/>
        <w:jc w:val="both"/>
      </w:pPr>
      <w:r w:rsidRPr="00391C0B">
        <w:t>The Organisation for Economic Cooperation and Development. OECD guidelines for the testing of chemicals test no. 423. Acute Oral Toxicity-</w:t>
      </w:r>
      <w:r w:rsidRPr="00391C0B">
        <w:rPr>
          <w:iCs/>
        </w:rPr>
        <w:t>Acute</w:t>
      </w:r>
      <w:r w:rsidRPr="00391C0B">
        <w:t xml:space="preserve"> </w:t>
      </w:r>
      <w:r w:rsidRPr="00391C0B">
        <w:rPr>
          <w:iCs/>
        </w:rPr>
        <w:t>Toxic Class Method</w:t>
      </w:r>
      <w:r w:rsidRPr="00391C0B">
        <w:t>, 2001</w:t>
      </w:r>
    </w:p>
    <w:p w:rsidR="00161B7E" w:rsidRPr="00161B7E" w:rsidRDefault="009509E6" w:rsidP="0035582B">
      <w:pPr>
        <w:pStyle w:val="ListParagraph"/>
        <w:numPr>
          <w:ilvl w:val="0"/>
          <w:numId w:val="36"/>
        </w:numPr>
        <w:shd w:val="clear" w:color="auto" w:fill="FFFFFF"/>
        <w:spacing w:line="360" w:lineRule="auto"/>
        <w:jc w:val="both"/>
      </w:pPr>
      <w:hyperlink r:id="rId11" w:history="1">
        <w:r w:rsidR="00161B7E" w:rsidRPr="00AE525B">
          <w:t>Ahmad MP</w:t>
        </w:r>
      </w:hyperlink>
      <w:r w:rsidR="00161B7E" w:rsidRPr="00AE525B">
        <w:t>, </w:t>
      </w:r>
      <w:hyperlink r:id="rId12" w:history="1">
        <w:r w:rsidR="00161B7E" w:rsidRPr="00AE525B">
          <w:t>Hussain A</w:t>
        </w:r>
      </w:hyperlink>
      <w:r w:rsidR="00161B7E" w:rsidRPr="00AE525B">
        <w:t>, </w:t>
      </w:r>
      <w:hyperlink r:id="rId13" w:history="1">
        <w:r w:rsidR="00161B7E" w:rsidRPr="00AE525B">
          <w:t>Siddiqui HH</w:t>
        </w:r>
      </w:hyperlink>
      <w:r w:rsidR="00161B7E" w:rsidRPr="00AE525B">
        <w:t>, </w:t>
      </w:r>
      <w:hyperlink r:id="rId14" w:history="1">
        <w:r w:rsidR="00161B7E" w:rsidRPr="00AE525B">
          <w:t>Wahab S</w:t>
        </w:r>
      </w:hyperlink>
      <w:r w:rsidR="00161B7E" w:rsidRPr="00AE525B">
        <w:t>, </w:t>
      </w:r>
      <w:hyperlink r:id="rId15" w:history="1">
        <w:r w:rsidR="00161B7E" w:rsidRPr="00AE525B">
          <w:t>Adak M</w:t>
        </w:r>
      </w:hyperlink>
      <w:r w:rsidR="00161B7E" w:rsidRPr="001778A5">
        <w:rPr>
          <w:vertAlign w:val="superscript"/>
        </w:rPr>
        <w:t xml:space="preserve">. </w:t>
      </w:r>
      <w:r w:rsidR="00161B7E" w:rsidRPr="00AE525B">
        <w:t>.</w:t>
      </w:r>
      <w:r w:rsidR="00161B7E" w:rsidRPr="001778A5">
        <w:rPr>
          <w:bCs/>
          <w:kern w:val="36"/>
        </w:rPr>
        <w:t xml:space="preserve">Effect of methanolic extract of </w:t>
      </w:r>
      <w:r w:rsidR="00161B7E" w:rsidRPr="001778A5">
        <w:rPr>
          <w:bCs/>
          <w:i/>
          <w:kern w:val="36"/>
        </w:rPr>
        <w:t>Asparagus racemosus</w:t>
      </w:r>
      <w:r w:rsidR="00161B7E" w:rsidRPr="001778A5">
        <w:rPr>
          <w:bCs/>
          <w:kern w:val="36"/>
        </w:rPr>
        <w:t xml:space="preserve"> Willd. on lipopolysaccharide induced-oxidative stress in rats.</w:t>
      </w:r>
      <w:r w:rsidR="00161B7E" w:rsidRPr="00AE525B">
        <w:t xml:space="preserve"> </w:t>
      </w:r>
      <w:commentRangeStart w:id="42"/>
      <w:r>
        <w:fldChar w:fldCharType="begin"/>
      </w:r>
      <w:r w:rsidR="00A91499">
        <w:instrText>HYPERLINK "https://www.ncbi.nlm.nih.gov/pubmed/25730806" \o "Pakistan journal of pharmaceutical sciences."</w:instrText>
      </w:r>
      <w:r>
        <w:fldChar w:fldCharType="separate"/>
      </w:r>
      <w:r w:rsidR="00161B7E" w:rsidRPr="00407695">
        <w:rPr>
          <w:i/>
        </w:rPr>
        <w:t>Pak J Pharm Sci</w:t>
      </w:r>
      <w:r w:rsidR="00161B7E" w:rsidRPr="00AE525B">
        <w:t>.</w:t>
      </w:r>
      <w:r>
        <w:fldChar w:fldCharType="end"/>
      </w:r>
      <w:commentRangeEnd w:id="42"/>
      <w:r w:rsidR="00AD4109">
        <w:rPr>
          <w:rStyle w:val="CommentReference"/>
        </w:rPr>
        <w:commentReference w:id="42"/>
      </w:r>
      <w:r w:rsidR="00161B7E">
        <w:t> 2015; 28</w:t>
      </w:r>
      <w:r w:rsidR="00161B7E" w:rsidRPr="00AE525B">
        <w:t>(2):509-13.</w:t>
      </w:r>
    </w:p>
    <w:p w:rsidR="00EE7CF9" w:rsidRDefault="00EE7CF9" w:rsidP="0035582B">
      <w:pPr>
        <w:pStyle w:val="ListParagraph"/>
        <w:numPr>
          <w:ilvl w:val="0"/>
          <w:numId w:val="36"/>
        </w:numPr>
        <w:spacing w:line="360" w:lineRule="auto"/>
        <w:jc w:val="both"/>
      </w:pPr>
      <w:r w:rsidRPr="00391C0B">
        <w:t>Ji-Hye</w:t>
      </w:r>
      <w:r w:rsidR="00C333EE">
        <w:t xml:space="preserve"> </w:t>
      </w:r>
      <w:r w:rsidR="00C333EE" w:rsidRPr="00391C0B">
        <w:t>K</w:t>
      </w:r>
      <w:r w:rsidRPr="00391C0B">
        <w:t xml:space="preserve">, </w:t>
      </w:r>
      <w:r w:rsidR="00C333EE">
        <w:t xml:space="preserve">Min-Jung </w:t>
      </w:r>
      <w:r w:rsidR="00C333EE" w:rsidRPr="00391C0B">
        <w:t>K</w:t>
      </w:r>
      <w:r w:rsidR="0028202C">
        <w:t>,</w:t>
      </w:r>
      <w:r w:rsidR="0028202C" w:rsidRPr="00391C0B">
        <w:t xml:space="preserve"> Ha</w:t>
      </w:r>
      <w:r w:rsidRPr="00391C0B">
        <w:t>-Neul</w:t>
      </w:r>
      <w:r w:rsidR="00C333EE">
        <w:t xml:space="preserve"> </w:t>
      </w:r>
      <w:r w:rsidR="00C333EE" w:rsidRPr="00391C0B">
        <w:t>C</w:t>
      </w:r>
      <w:r w:rsidR="00C333EE">
        <w:t>.</w:t>
      </w:r>
      <w:r w:rsidR="002D1975">
        <w:t xml:space="preserve"> </w:t>
      </w:r>
      <w:r w:rsidRPr="00391C0B">
        <w:t>Quercetin attenuates fasting and postprandial hyperglycemia in animal models of dia</w:t>
      </w:r>
      <w:r w:rsidR="001A3712">
        <w:t>betes mellitus,</w:t>
      </w:r>
      <w:r w:rsidRPr="00391C0B">
        <w:t xml:space="preserve"> </w:t>
      </w:r>
      <w:r w:rsidR="001A3712">
        <w:rPr>
          <w:i/>
        </w:rPr>
        <w:t>Nutr Res Pract</w:t>
      </w:r>
      <w:r w:rsidR="00312319">
        <w:t>.</w:t>
      </w:r>
      <w:r w:rsidR="00312319" w:rsidRPr="00312319">
        <w:t xml:space="preserve"> </w:t>
      </w:r>
      <w:r w:rsidR="00312319">
        <w:t>2011;</w:t>
      </w:r>
      <w:r w:rsidR="001A3712">
        <w:t xml:space="preserve"> </w:t>
      </w:r>
      <w:r w:rsidRPr="00391C0B">
        <w:t>5</w:t>
      </w:r>
      <w:r w:rsidR="00312319">
        <w:t>:</w:t>
      </w:r>
      <w:r>
        <w:t xml:space="preserve"> </w:t>
      </w:r>
      <w:r w:rsidR="00312319">
        <w:t xml:space="preserve"> 107–11</w:t>
      </w:r>
      <w:r>
        <w:t>.</w:t>
      </w:r>
      <w:r w:rsidRPr="00391C0B">
        <w:t xml:space="preserve"> </w:t>
      </w:r>
    </w:p>
    <w:p w:rsidR="00EE7CF9" w:rsidRPr="00391C0B" w:rsidRDefault="00EE7CF9" w:rsidP="0035582B">
      <w:pPr>
        <w:pStyle w:val="ListParagraph"/>
        <w:numPr>
          <w:ilvl w:val="0"/>
          <w:numId w:val="36"/>
        </w:numPr>
        <w:spacing w:before="100" w:beforeAutospacing="1" w:after="100" w:afterAutospacing="1" w:line="360" w:lineRule="auto"/>
        <w:jc w:val="both"/>
      </w:pPr>
      <w:r w:rsidRPr="00391C0B">
        <w:t>Ohkawa</w:t>
      </w:r>
      <w:r w:rsidR="00C333EE">
        <w:t xml:space="preserve"> </w:t>
      </w:r>
      <w:r w:rsidR="00C333EE" w:rsidRPr="00391C0B">
        <w:t>H</w:t>
      </w:r>
      <w:r w:rsidR="00C333EE">
        <w:t>,</w:t>
      </w:r>
      <w:r>
        <w:t xml:space="preserve"> </w:t>
      </w:r>
      <w:r w:rsidR="00C333EE">
        <w:t>Ohishi N,</w:t>
      </w:r>
      <w:r w:rsidRPr="00391C0B">
        <w:t xml:space="preserve"> Yagi</w:t>
      </w:r>
      <w:r w:rsidR="00C333EE">
        <w:t xml:space="preserve"> </w:t>
      </w:r>
      <w:r w:rsidR="00C333EE" w:rsidRPr="00391C0B">
        <w:t>K</w:t>
      </w:r>
      <w:r w:rsidR="002D1975">
        <w:t xml:space="preserve">. </w:t>
      </w:r>
      <w:r w:rsidRPr="00391C0B">
        <w:t xml:space="preserve">Assay for lipid peroxides in animal tissues </w:t>
      </w:r>
      <w:r>
        <w:t>by thiobarbituric acid reaction,</w:t>
      </w:r>
      <w:r w:rsidRPr="00566692">
        <w:t xml:space="preserve"> </w:t>
      </w:r>
      <w:commentRangeStart w:id="43"/>
      <w:r w:rsidR="00312319" w:rsidRPr="00077B32">
        <w:rPr>
          <w:i/>
        </w:rPr>
        <w:t>Analytical Biochem</w:t>
      </w:r>
      <w:commentRangeEnd w:id="43"/>
      <w:r w:rsidR="00AD4109">
        <w:rPr>
          <w:rStyle w:val="CommentReference"/>
        </w:rPr>
        <w:commentReference w:id="43"/>
      </w:r>
      <w:r w:rsidR="00407695">
        <w:t>,</w:t>
      </w:r>
      <w:r>
        <w:t xml:space="preserve"> </w:t>
      </w:r>
      <w:r w:rsidR="00312319" w:rsidRPr="00391C0B">
        <w:t>1979</w:t>
      </w:r>
      <w:r w:rsidR="00312319">
        <w:t>;</w:t>
      </w:r>
      <w:r>
        <w:t xml:space="preserve"> </w:t>
      </w:r>
      <w:r w:rsidRPr="00391C0B">
        <w:t>95</w:t>
      </w:r>
      <w:r w:rsidR="00312319">
        <w:t>:</w:t>
      </w:r>
      <w:r>
        <w:t xml:space="preserve"> </w:t>
      </w:r>
      <w:r w:rsidRPr="00391C0B">
        <w:t>359-3</w:t>
      </w:r>
      <w:r w:rsidR="00312319">
        <w:t>64</w:t>
      </w:r>
      <w:r>
        <w:t>.</w:t>
      </w:r>
    </w:p>
    <w:p w:rsidR="00EE7CF9" w:rsidRPr="00391C0B" w:rsidRDefault="00EE7CF9" w:rsidP="0035582B">
      <w:pPr>
        <w:pStyle w:val="ListParagraph"/>
        <w:numPr>
          <w:ilvl w:val="0"/>
          <w:numId w:val="36"/>
        </w:numPr>
        <w:spacing w:before="100" w:beforeAutospacing="1" w:after="100" w:afterAutospacing="1" w:line="360" w:lineRule="auto"/>
        <w:jc w:val="both"/>
      </w:pPr>
      <w:r w:rsidRPr="00391C0B">
        <w:t>Sedlak</w:t>
      </w:r>
      <w:r w:rsidR="00C333EE">
        <w:t xml:space="preserve"> </w:t>
      </w:r>
      <w:r w:rsidR="00C333EE" w:rsidRPr="00391C0B">
        <w:t>J</w:t>
      </w:r>
      <w:r w:rsidR="00C333EE">
        <w:t xml:space="preserve">, </w:t>
      </w:r>
      <w:r>
        <w:t xml:space="preserve"> </w:t>
      </w:r>
      <w:r w:rsidRPr="00391C0B">
        <w:t>Lindsay</w:t>
      </w:r>
      <w:r w:rsidR="00C333EE">
        <w:t xml:space="preserve"> </w:t>
      </w:r>
      <w:r w:rsidR="00C333EE" w:rsidRPr="00391C0B">
        <w:t>R</w:t>
      </w:r>
      <w:r w:rsidR="00C333EE">
        <w:t>.</w:t>
      </w:r>
      <w:r w:rsidR="00C333EE" w:rsidRPr="00391C0B">
        <w:t>H</w:t>
      </w:r>
      <w:r w:rsidR="00C333EE">
        <w:t>.</w:t>
      </w:r>
      <w:r w:rsidRPr="00391C0B">
        <w:t xml:space="preserve"> Estimation of total, protein bound, and nonprotein sulfhydryl groups </w:t>
      </w:r>
      <w:r>
        <w:t>in tissue with Ellman’s reagent</w:t>
      </w:r>
      <w:r w:rsidRPr="00077B32">
        <w:rPr>
          <w:i/>
        </w:rPr>
        <w:t xml:space="preserve">,  </w:t>
      </w:r>
      <w:commentRangeStart w:id="44"/>
      <w:r w:rsidRPr="00077B32">
        <w:rPr>
          <w:i/>
        </w:rPr>
        <w:t>Analytical Biochem</w:t>
      </w:r>
      <w:commentRangeEnd w:id="44"/>
      <w:r w:rsidR="00AD4109">
        <w:rPr>
          <w:rStyle w:val="CommentReference"/>
        </w:rPr>
        <w:commentReference w:id="44"/>
      </w:r>
      <w:r>
        <w:t xml:space="preserve">, </w:t>
      </w:r>
      <w:r w:rsidR="004A0C5F" w:rsidRPr="00391C0B">
        <w:t>1968</w:t>
      </w:r>
      <w:r w:rsidR="004A0C5F">
        <w:t>; 25: 192-205</w:t>
      </w:r>
      <w:r>
        <w:t>.</w:t>
      </w:r>
    </w:p>
    <w:p w:rsidR="00EE7CF9" w:rsidRPr="00391C0B" w:rsidRDefault="00EE7CF9" w:rsidP="0035582B">
      <w:pPr>
        <w:pStyle w:val="ListParagraph"/>
        <w:numPr>
          <w:ilvl w:val="0"/>
          <w:numId w:val="36"/>
        </w:numPr>
        <w:spacing w:before="100" w:beforeAutospacing="1" w:after="100" w:afterAutospacing="1" w:line="360" w:lineRule="auto"/>
        <w:jc w:val="both"/>
      </w:pPr>
      <w:r w:rsidRPr="00391C0B">
        <w:lastRenderedPageBreak/>
        <w:t>Clairbone</w:t>
      </w:r>
      <w:r w:rsidR="00C333EE">
        <w:t xml:space="preserve"> </w:t>
      </w:r>
      <w:r w:rsidR="00C333EE" w:rsidRPr="00391C0B">
        <w:t>A</w:t>
      </w:r>
      <w:r w:rsidR="00C333EE">
        <w:t>.</w:t>
      </w:r>
      <w:r>
        <w:t xml:space="preserve"> </w:t>
      </w:r>
      <w:r w:rsidR="00F06848">
        <w:t xml:space="preserve"> </w:t>
      </w:r>
      <w:r w:rsidRPr="00391C0B">
        <w:t>Assay of Catalase. In: Greenwald RA, ed. Hand book of method of oxygen free radical research; Boca Rat</w:t>
      </w:r>
      <w:r>
        <w:t xml:space="preserve">on,Fla; CRC pres, </w:t>
      </w:r>
      <w:r w:rsidR="004A0C5F">
        <w:t xml:space="preserve">1985, </w:t>
      </w:r>
      <w:r>
        <w:t>pp 283-4.</w:t>
      </w:r>
    </w:p>
    <w:p w:rsidR="00EE7CF9" w:rsidRPr="00391C0B" w:rsidRDefault="00F06848" w:rsidP="0035582B">
      <w:pPr>
        <w:pStyle w:val="ListParagraph"/>
        <w:numPr>
          <w:ilvl w:val="0"/>
          <w:numId w:val="36"/>
        </w:numPr>
        <w:spacing w:before="100" w:beforeAutospacing="1" w:after="100" w:afterAutospacing="1" w:line="360" w:lineRule="auto"/>
        <w:jc w:val="both"/>
      </w:pPr>
      <w:r>
        <w:t>Marklund S</w:t>
      </w:r>
      <w:r w:rsidR="00C333EE">
        <w:t xml:space="preserve">, </w:t>
      </w:r>
      <w:r w:rsidR="00EE7CF9">
        <w:t>Marklun</w:t>
      </w:r>
      <w:r w:rsidR="00C333EE">
        <w:t xml:space="preserve"> </w:t>
      </w:r>
      <w:r w:rsidR="00C333EE" w:rsidRPr="00391C0B">
        <w:t>G</w:t>
      </w:r>
      <w:r w:rsidR="00EE7CF9" w:rsidRPr="00391C0B">
        <w:t>. Involvement of super oxide anion radical in the auto  oxidation of pyrogallol and a convenient assay for super oxide dismutase</w:t>
      </w:r>
      <w:r w:rsidR="00EE7CF9">
        <w:t>,</w:t>
      </w:r>
      <w:r w:rsidR="00EE7CF9">
        <w:rPr>
          <w:i/>
        </w:rPr>
        <w:t xml:space="preserve"> </w:t>
      </w:r>
      <w:commentRangeStart w:id="45"/>
      <w:r w:rsidR="001A3712">
        <w:rPr>
          <w:i/>
        </w:rPr>
        <w:t>Eur J</w:t>
      </w:r>
      <w:r w:rsidR="00EE7CF9" w:rsidRPr="00077B32">
        <w:rPr>
          <w:i/>
        </w:rPr>
        <w:t xml:space="preserve">  Biochem</w:t>
      </w:r>
      <w:commentRangeEnd w:id="45"/>
      <w:r w:rsidR="00AD4109">
        <w:rPr>
          <w:rStyle w:val="CommentReference"/>
        </w:rPr>
        <w:commentReference w:id="45"/>
      </w:r>
      <w:r w:rsidR="004A0C5F">
        <w:t>.</w:t>
      </w:r>
      <w:r w:rsidR="004A0C5F" w:rsidRPr="004A0C5F">
        <w:t xml:space="preserve"> </w:t>
      </w:r>
      <w:r w:rsidR="004A0C5F" w:rsidRPr="00391C0B">
        <w:t>1974;</w:t>
      </w:r>
      <w:r w:rsidR="004A0C5F">
        <w:t xml:space="preserve"> 47:</w:t>
      </w:r>
      <w:r w:rsidR="00EE7CF9">
        <w:t xml:space="preserve"> </w:t>
      </w:r>
      <w:r w:rsidR="00EE7CF9" w:rsidRPr="00391C0B">
        <w:t>469-4</w:t>
      </w:r>
      <w:r w:rsidR="004A0C5F">
        <w:t>74</w:t>
      </w:r>
      <w:r w:rsidR="00EE7CF9">
        <w:t>.</w:t>
      </w:r>
    </w:p>
    <w:p w:rsidR="00EE7CF9" w:rsidRPr="005A3BBB" w:rsidRDefault="00EE7CF9" w:rsidP="0035582B">
      <w:pPr>
        <w:pStyle w:val="ListParagraph"/>
        <w:numPr>
          <w:ilvl w:val="0"/>
          <w:numId w:val="36"/>
        </w:numPr>
        <w:spacing w:line="360" w:lineRule="auto"/>
        <w:jc w:val="both"/>
      </w:pPr>
      <w:r w:rsidRPr="00391C0B">
        <w:t>Reitman</w:t>
      </w:r>
      <w:r w:rsidR="00F06848">
        <w:t xml:space="preserve"> </w:t>
      </w:r>
      <w:r w:rsidR="00F06848" w:rsidRPr="00391C0B">
        <w:t>S</w:t>
      </w:r>
      <w:r w:rsidR="00F06848">
        <w:t xml:space="preserve">,  </w:t>
      </w:r>
      <w:r>
        <w:t xml:space="preserve"> </w:t>
      </w:r>
      <w:r w:rsidRPr="00391C0B">
        <w:t>Frankel</w:t>
      </w:r>
      <w:r w:rsidR="00F06848">
        <w:t xml:space="preserve"> </w:t>
      </w:r>
      <w:r w:rsidR="00F06848" w:rsidRPr="00391C0B">
        <w:t>S</w:t>
      </w:r>
      <w:r w:rsidR="00F06848">
        <w:t>.</w:t>
      </w:r>
      <w:r w:rsidR="00317BD5">
        <w:t xml:space="preserve"> </w:t>
      </w:r>
      <w:r w:rsidRPr="00391C0B">
        <w:t>A colorimetric method for the determination of serum glut</w:t>
      </w:r>
      <w:r>
        <w:t>amate oxaloacetate transaminase</w:t>
      </w:r>
      <w:r w:rsidRPr="00391C0B">
        <w:t>,</w:t>
      </w:r>
      <w:r w:rsidRPr="00566692">
        <w:t xml:space="preserve"> </w:t>
      </w:r>
      <w:r w:rsidRPr="00391C0B">
        <w:t xml:space="preserve"> </w:t>
      </w:r>
      <w:commentRangeStart w:id="46"/>
      <w:r w:rsidR="001A3712">
        <w:rPr>
          <w:i/>
        </w:rPr>
        <w:t>Amer J Clinic Pathol</w:t>
      </w:r>
      <w:commentRangeEnd w:id="46"/>
      <w:r w:rsidR="00AD4109">
        <w:rPr>
          <w:rStyle w:val="CommentReference"/>
        </w:rPr>
        <w:commentReference w:id="46"/>
      </w:r>
      <w:r w:rsidR="004A0C5F">
        <w:rPr>
          <w:i/>
        </w:rPr>
        <w:t>.</w:t>
      </w:r>
      <w:r w:rsidR="004A0C5F" w:rsidRPr="004A0C5F">
        <w:t xml:space="preserve"> </w:t>
      </w:r>
      <w:r w:rsidR="004A0C5F" w:rsidRPr="005A3BBB">
        <w:t>1957</w:t>
      </w:r>
      <w:r w:rsidR="004A0C5F">
        <w:rPr>
          <w:i/>
        </w:rPr>
        <w:t>:</w:t>
      </w:r>
      <w:r w:rsidR="004A0C5F">
        <w:t>28: 53-56</w:t>
      </w:r>
      <w:r w:rsidRPr="005A3BBB">
        <w:t>.</w:t>
      </w:r>
    </w:p>
    <w:p w:rsidR="00EE7CF9" w:rsidRPr="00391C0B" w:rsidRDefault="00EE7CF9" w:rsidP="0035582B">
      <w:pPr>
        <w:pStyle w:val="ListParagraph"/>
        <w:numPr>
          <w:ilvl w:val="0"/>
          <w:numId w:val="36"/>
        </w:numPr>
        <w:spacing w:line="360" w:lineRule="auto"/>
        <w:jc w:val="both"/>
      </w:pPr>
      <w:r>
        <w:t xml:space="preserve"> </w:t>
      </w:r>
      <w:r w:rsidRPr="00391C0B">
        <w:t>King</w:t>
      </w:r>
      <w:r w:rsidR="00F06848">
        <w:t xml:space="preserve"> </w:t>
      </w:r>
      <w:r w:rsidR="00F06848" w:rsidRPr="00391C0B">
        <w:t>J</w:t>
      </w:r>
      <w:r w:rsidR="00F06848">
        <w:t>.</w:t>
      </w:r>
      <w:r w:rsidRPr="00013F34">
        <w:t xml:space="preserve"> </w:t>
      </w:r>
      <w:r w:rsidRPr="00391C0B">
        <w:t>The hydrolases</w:t>
      </w:r>
      <w:r w:rsidR="001A3712">
        <w:t>-acid and alkaline phosphatases</w:t>
      </w:r>
      <w:r w:rsidRPr="00391C0B">
        <w:t xml:space="preserve"> In: Practical Clinical Enzymology, </w:t>
      </w:r>
      <w:r>
        <w:t>London: Nostrand Company Limite, pp 191-208,</w:t>
      </w:r>
      <w:r w:rsidRPr="005B2AF1">
        <w:t xml:space="preserve"> </w:t>
      </w:r>
      <w:r w:rsidRPr="00391C0B">
        <w:t>1965</w:t>
      </w:r>
      <w:r>
        <w:t>.</w:t>
      </w:r>
    </w:p>
    <w:p w:rsidR="00EE7CF9" w:rsidRPr="00391C0B" w:rsidRDefault="00EE7CF9" w:rsidP="0035582B">
      <w:pPr>
        <w:pStyle w:val="ListParagraph"/>
        <w:numPr>
          <w:ilvl w:val="0"/>
          <w:numId w:val="36"/>
        </w:numPr>
        <w:spacing w:line="360" w:lineRule="auto"/>
        <w:jc w:val="both"/>
      </w:pPr>
      <w:r w:rsidRPr="00391C0B">
        <w:t>Dangerfield W.G</w:t>
      </w:r>
      <w:r w:rsidR="00F06848">
        <w:t>,</w:t>
      </w:r>
      <w:r w:rsidRPr="00391C0B">
        <w:t xml:space="preserve"> Finlayson R.</w:t>
      </w:r>
      <w:r w:rsidR="00F06848">
        <w:t xml:space="preserve"> </w:t>
      </w:r>
      <w:r w:rsidRPr="00391C0B">
        <w:t xml:space="preserve"> Estimation of bilirubin in serum</w:t>
      </w:r>
      <w:r>
        <w:t>,</w:t>
      </w:r>
      <w:r w:rsidR="001A3712">
        <w:rPr>
          <w:i/>
        </w:rPr>
        <w:t xml:space="preserve"> </w:t>
      </w:r>
      <w:commentRangeStart w:id="47"/>
      <w:r w:rsidR="001A3712">
        <w:rPr>
          <w:i/>
        </w:rPr>
        <w:t xml:space="preserve">J  Clinic </w:t>
      </w:r>
      <w:r w:rsidRPr="005A3BBB">
        <w:rPr>
          <w:i/>
        </w:rPr>
        <w:t>Pathol</w:t>
      </w:r>
      <w:commentRangeEnd w:id="47"/>
      <w:r w:rsidR="00AC7A7F">
        <w:rPr>
          <w:rStyle w:val="CommentReference"/>
        </w:rPr>
        <w:commentReference w:id="47"/>
      </w:r>
      <w:r w:rsidR="004A0C5F">
        <w:t>.</w:t>
      </w:r>
      <w:r w:rsidR="004A0C5F" w:rsidRPr="004A0C5F">
        <w:t xml:space="preserve"> </w:t>
      </w:r>
      <w:r w:rsidR="004A0C5F" w:rsidRPr="00391C0B">
        <w:t>1953</w:t>
      </w:r>
      <w:r w:rsidR="004A0C5F">
        <w:t>; 6:</w:t>
      </w:r>
      <w:r>
        <w:t xml:space="preserve"> 173.</w:t>
      </w:r>
    </w:p>
    <w:p w:rsidR="00EE7CF9" w:rsidRPr="00391C0B" w:rsidRDefault="00EE7CF9" w:rsidP="0035582B">
      <w:pPr>
        <w:pStyle w:val="ListParagraph"/>
        <w:numPr>
          <w:ilvl w:val="0"/>
          <w:numId w:val="36"/>
        </w:numPr>
        <w:autoSpaceDE w:val="0"/>
        <w:autoSpaceDN w:val="0"/>
        <w:adjustRightInd w:val="0"/>
        <w:spacing w:line="360" w:lineRule="auto"/>
        <w:jc w:val="both"/>
      </w:pPr>
      <w:r w:rsidRPr="00391C0B">
        <w:t>Webster</w:t>
      </w:r>
      <w:r w:rsidR="00F06848">
        <w:t xml:space="preserve"> </w:t>
      </w:r>
      <w:r w:rsidR="00F06848" w:rsidRPr="00391C0B">
        <w:t>D</w:t>
      </w:r>
      <w:r w:rsidR="00F06848">
        <w:t>.</w:t>
      </w:r>
      <w:r w:rsidR="00F14296">
        <w:t xml:space="preserve"> </w:t>
      </w:r>
      <w:r w:rsidRPr="00391C0B">
        <w:t>Interaction of bromocresol green with is</w:t>
      </w:r>
      <w:r>
        <w:t>olated serum globulin fractions,</w:t>
      </w:r>
      <w:r w:rsidRPr="00391C0B">
        <w:t xml:space="preserve"> </w:t>
      </w:r>
      <w:commentRangeStart w:id="48"/>
      <w:r w:rsidRPr="005A3BBB">
        <w:rPr>
          <w:i/>
        </w:rPr>
        <w:t>Clinica Chimica Acta</w:t>
      </w:r>
      <w:commentRangeEnd w:id="48"/>
      <w:r w:rsidR="00AD4109">
        <w:rPr>
          <w:rStyle w:val="CommentReference"/>
        </w:rPr>
        <w:commentReference w:id="48"/>
      </w:r>
      <w:r w:rsidR="00407695">
        <w:t>.</w:t>
      </w:r>
      <w:r>
        <w:t xml:space="preserve"> </w:t>
      </w:r>
      <w:r w:rsidR="004A0C5F" w:rsidRPr="00391C0B">
        <w:t>1974</w:t>
      </w:r>
      <w:r w:rsidR="004A0C5F">
        <w:t>;</w:t>
      </w:r>
      <w:r>
        <w:t xml:space="preserve"> </w:t>
      </w:r>
      <w:r w:rsidRPr="00391C0B">
        <w:t>53</w:t>
      </w:r>
      <w:r w:rsidR="004A0C5F">
        <w:t>:</w:t>
      </w:r>
      <w:r>
        <w:t xml:space="preserve"> </w:t>
      </w:r>
      <w:r w:rsidRPr="00391C0B">
        <w:t>109–115</w:t>
      </w:r>
      <w:r w:rsidR="004A0C5F">
        <w:t>.</w:t>
      </w:r>
    </w:p>
    <w:p w:rsidR="00EE7CF9" w:rsidRPr="00391C0B" w:rsidRDefault="00EE7CF9" w:rsidP="0035582B">
      <w:pPr>
        <w:pStyle w:val="ListParagraph"/>
        <w:numPr>
          <w:ilvl w:val="0"/>
          <w:numId w:val="36"/>
        </w:numPr>
        <w:spacing w:line="360" w:lineRule="auto"/>
        <w:jc w:val="both"/>
        <w:rPr>
          <w:bCs/>
        </w:rPr>
      </w:pPr>
      <w:r w:rsidRPr="00391C0B">
        <w:t>Zlatkis</w:t>
      </w:r>
      <w:r w:rsidR="00F06848">
        <w:t xml:space="preserve"> </w:t>
      </w:r>
      <w:r w:rsidR="00F06848" w:rsidRPr="00391C0B">
        <w:t>A</w:t>
      </w:r>
      <w:r w:rsidRPr="00391C0B">
        <w:t>, Zak</w:t>
      </w:r>
      <w:r w:rsidR="00F06848">
        <w:t xml:space="preserve"> </w:t>
      </w:r>
      <w:r w:rsidR="00F06848" w:rsidRPr="00391C0B">
        <w:t>B</w:t>
      </w:r>
      <w:r w:rsidR="00F06848">
        <w:t>,</w:t>
      </w:r>
      <w:r>
        <w:t xml:space="preserve"> </w:t>
      </w:r>
      <w:r w:rsidR="00F14296">
        <w:t>Boyle</w:t>
      </w:r>
      <w:r w:rsidR="00F06848">
        <w:t xml:space="preserve"> A.J.</w:t>
      </w:r>
      <w:r w:rsidRPr="00013F34">
        <w:t xml:space="preserve"> </w:t>
      </w:r>
      <w:r w:rsidRPr="00391C0B">
        <w:t>A new method for the direct det</w:t>
      </w:r>
      <w:r>
        <w:t>ermination of serum cholesterol,</w:t>
      </w:r>
      <w:r w:rsidRPr="00566692">
        <w:t xml:space="preserve"> </w:t>
      </w:r>
      <w:commentRangeStart w:id="49"/>
      <w:r w:rsidR="001A3712">
        <w:rPr>
          <w:i/>
        </w:rPr>
        <w:t xml:space="preserve">J </w:t>
      </w:r>
      <w:r w:rsidR="00F06848">
        <w:rPr>
          <w:i/>
        </w:rPr>
        <w:t>Lab Clin</w:t>
      </w:r>
      <w:r w:rsidRPr="005A3BBB">
        <w:rPr>
          <w:i/>
        </w:rPr>
        <w:t xml:space="preserve"> Med</w:t>
      </w:r>
      <w:commentRangeEnd w:id="49"/>
      <w:r w:rsidR="00AD4109">
        <w:rPr>
          <w:rStyle w:val="CommentReference"/>
        </w:rPr>
        <w:commentReference w:id="49"/>
      </w:r>
      <w:r w:rsidR="00407695">
        <w:t>.</w:t>
      </w:r>
      <w:r>
        <w:t xml:space="preserve"> </w:t>
      </w:r>
      <w:r w:rsidR="004A0C5F" w:rsidRPr="00391C0B">
        <w:t>1953</w:t>
      </w:r>
      <w:r w:rsidR="004A0C5F">
        <w:t>; 41;</w:t>
      </w:r>
      <w:r>
        <w:t xml:space="preserve"> </w:t>
      </w:r>
      <w:r w:rsidR="004A0C5F">
        <w:t>486-</w:t>
      </w:r>
      <w:r w:rsidRPr="00391C0B">
        <w:t>92</w:t>
      </w:r>
      <w:r w:rsidR="004A0C5F">
        <w:t>.</w:t>
      </w:r>
    </w:p>
    <w:p w:rsidR="00EE7CF9" w:rsidRPr="00391C0B" w:rsidRDefault="00EE7CF9" w:rsidP="0035582B">
      <w:pPr>
        <w:pStyle w:val="ListParagraph"/>
        <w:numPr>
          <w:ilvl w:val="0"/>
          <w:numId w:val="36"/>
        </w:numPr>
        <w:autoSpaceDE w:val="0"/>
        <w:autoSpaceDN w:val="0"/>
        <w:adjustRightInd w:val="0"/>
        <w:spacing w:line="360" w:lineRule="auto"/>
        <w:jc w:val="both"/>
      </w:pPr>
      <w:r w:rsidRPr="00391C0B">
        <w:t xml:space="preserve"> Xie</w:t>
      </w:r>
      <w:r w:rsidR="00F06848">
        <w:t xml:space="preserve"> </w:t>
      </w:r>
      <w:r w:rsidR="00F06848" w:rsidRPr="00391C0B">
        <w:t>Q</w:t>
      </w:r>
      <w:r w:rsidR="00F06848">
        <w:t>.</w:t>
      </w:r>
      <w:r w:rsidR="00F06848" w:rsidRPr="00391C0B">
        <w:t>W</w:t>
      </w:r>
      <w:r w:rsidR="00F06848">
        <w:t>,</w:t>
      </w:r>
      <w:r w:rsidR="00F06848" w:rsidRPr="00391C0B">
        <w:t xml:space="preserve"> </w:t>
      </w:r>
      <w:r w:rsidR="007B2D3D">
        <w:t>Cho</w:t>
      </w:r>
      <w:r w:rsidR="00F06848">
        <w:t xml:space="preserve"> H.J,</w:t>
      </w:r>
      <w:r w:rsidR="007B2D3D">
        <w:t xml:space="preserve"> Calaycay</w:t>
      </w:r>
      <w:r w:rsidR="00F06848">
        <w:t xml:space="preserve"> J</w:t>
      </w:r>
      <w:r w:rsidR="007B2D3D">
        <w:t>.</w:t>
      </w:r>
      <w:r w:rsidRPr="00391C0B">
        <w:t xml:space="preserve"> Cloning and characterization of inducible nitric oxide synthase from mou</w:t>
      </w:r>
      <w:r w:rsidR="002D1975">
        <w:t xml:space="preserve">se macrophages, </w:t>
      </w:r>
      <w:commentRangeStart w:id="50"/>
      <w:r w:rsidRPr="00C415D4">
        <w:rPr>
          <w:i/>
        </w:rPr>
        <w:t>Science</w:t>
      </w:r>
      <w:commentRangeEnd w:id="50"/>
      <w:r w:rsidR="00AD4109">
        <w:rPr>
          <w:rStyle w:val="CommentReference"/>
        </w:rPr>
        <w:commentReference w:id="50"/>
      </w:r>
      <w:r w:rsidR="00407695">
        <w:t>.</w:t>
      </w:r>
      <w:r w:rsidR="007B2D3D">
        <w:t xml:space="preserve"> 1992; 256</w:t>
      </w:r>
      <w:r w:rsidR="004A0C5F">
        <w:t>: 225–8.</w:t>
      </w:r>
      <w:r w:rsidRPr="003127FB">
        <w:t xml:space="preserve"> </w:t>
      </w:r>
    </w:p>
    <w:p w:rsidR="00EE7CF9" w:rsidRPr="00391C0B" w:rsidRDefault="00EE7CF9" w:rsidP="0035582B">
      <w:pPr>
        <w:pStyle w:val="ListParagraph"/>
        <w:numPr>
          <w:ilvl w:val="0"/>
          <w:numId w:val="36"/>
        </w:numPr>
        <w:autoSpaceDE w:val="0"/>
        <w:autoSpaceDN w:val="0"/>
        <w:adjustRightInd w:val="0"/>
        <w:spacing w:line="360" w:lineRule="auto"/>
        <w:jc w:val="both"/>
      </w:pPr>
      <w:r w:rsidRPr="00391C0B">
        <w:t>Zhao</w:t>
      </w:r>
      <w:r w:rsidR="00F06848">
        <w:t xml:space="preserve"> </w:t>
      </w:r>
      <w:r w:rsidR="00F06848" w:rsidRPr="00391C0B">
        <w:t>L</w:t>
      </w:r>
      <w:r w:rsidRPr="00391C0B">
        <w:t>, Chen</w:t>
      </w:r>
      <w:r w:rsidR="00F06848">
        <w:t xml:space="preserve"> </w:t>
      </w:r>
      <w:r w:rsidR="00F06848" w:rsidRPr="00391C0B">
        <w:t>YH</w:t>
      </w:r>
      <w:r w:rsidR="00F06848">
        <w:t xml:space="preserve">, </w:t>
      </w:r>
      <w:r w:rsidRPr="00391C0B">
        <w:t>Wang</w:t>
      </w:r>
      <w:r w:rsidR="00F06848">
        <w:t xml:space="preserve"> </w:t>
      </w:r>
      <w:r w:rsidR="00F06848" w:rsidRPr="00391C0B">
        <w:t>HJ</w:t>
      </w:r>
      <w:r w:rsidR="00F06848">
        <w:t>.</w:t>
      </w:r>
      <w:r w:rsidRPr="00391C0B">
        <w:t xml:space="preserve"> Reactive oxygen species contribute to lipopolysacchari</w:t>
      </w:r>
      <w:r>
        <w:t>de</w:t>
      </w:r>
      <w:r w:rsidR="002D1975">
        <w:t>-induced tetragenesis in mice</w:t>
      </w:r>
      <w:commentRangeStart w:id="51"/>
      <w:r w:rsidR="002D1975">
        <w:t>,</w:t>
      </w:r>
      <w:r w:rsidRPr="00391C0B">
        <w:t xml:space="preserve"> </w:t>
      </w:r>
      <w:r w:rsidR="007B2D3D" w:rsidRPr="005A3BBB">
        <w:rPr>
          <w:i/>
          <w:iCs/>
        </w:rPr>
        <w:t>Toxicological Sci</w:t>
      </w:r>
      <w:commentRangeEnd w:id="51"/>
      <w:r w:rsidR="00AD4109">
        <w:rPr>
          <w:rStyle w:val="CommentReference"/>
        </w:rPr>
        <w:commentReference w:id="51"/>
      </w:r>
      <w:r w:rsidR="001778A5">
        <w:rPr>
          <w:i/>
          <w:iCs/>
        </w:rPr>
        <w:t>.</w:t>
      </w:r>
      <w:r w:rsidRPr="00391C0B">
        <w:rPr>
          <w:iCs/>
        </w:rPr>
        <w:t xml:space="preserve"> </w:t>
      </w:r>
      <w:r w:rsidR="004A0C5F">
        <w:t>2008;</w:t>
      </w:r>
      <w:r>
        <w:rPr>
          <w:iCs/>
        </w:rPr>
        <w:t xml:space="preserve"> </w:t>
      </w:r>
      <w:r w:rsidRPr="00391C0B">
        <w:t>103</w:t>
      </w:r>
      <w:r w:rsidR="004A0C5F">
        <w:t>:</w:t>
      </w:r>
      <w:r w:rsidRPr="00391C0B">
        <w:t>149-1</w:t>
      </w:r>
      <w:r w:rsidR="004A0C5F">
        <w:t>57</w:t>
      </w:r>
      <w:r>
        <w:t>.</w:t>
      </w:r>
    </w:p>
    <w:p w:rsidR="00EE7CF9" w:rsidRPr="00391C0B" w:rsidRDefault="00EE7CF9" w:rsidP="0035582B">
      <w:pPr>
        <w:pStyle w:val="ListParagraph"/>
        <w:numPr>
          <w:ilvl w:val="0"/>
          <w:numId w:val="36"/>
        </w:numPr>
        <w:autoSpaceDE w:val="0"/>
        <w:autoSpaceDN w:val="0"/>
        <w:adjustRightInd w:val="0"/>
        <w:spacing w:line="360" w:lineRule="auto"/>
        <w:jc w:val="both"/>
      </w:pPr>
      <w:r w:rsidRPr="00391C0B">
        <w:t>Jaworek</w:t>
      </w:r>
      <w:r w:rsidR="00F06848">
        <w:t xml:space="preserve"> </w:t>
      </w:r>
      <w:r w:rsidR="00F06848" w:rsidRPr="00391C0B">
        <w:t>J</w:t>
      </w:r>
      <w:r w:rsidRPr="00391C0B">
        <w:t>, Konturek</w:t>
      </w:r>
      <w:r w:rsidR="00F06848" w:rsidRPr="00F06848">
        <w:t xml:space="preserve"> </w:t>
      </w:r>
      <w:r w:rsidR="00F06848" w:rsidRPr="00391C0B">
        <w:t>S</w:t>
      </w:r>
      <w:r w:rsidR="00F06848">
        <w:t>.</w:t>
      </w:r>
      <w:r w:rsidR="00F06848" w:rsidRPr="00391C0B">
        <w:t>J</w:t>
      </w:r>
      <w:r w:rsidR="00F06848">
        <w:t>,</w:t>
      </w:r>
      <w:r>
        <w:t xml:space="preserve"> </w:t>
      </w:r>
      <w:r w:rsidRPr="00391C0B">
        <w:t>Macko</w:t>
      </w:r>
      <w:r w:rsidR="00F06848" w:rsidRPr="00F06848">
        <w:t xml:space="preserve"> </w:t>
      </w:r>
      <w:r w:rsidR="00F06848" w:rsidRPr="00391C0B">
        <w:t>M</w:t>
      </w:r>
      <w:r w:rsidR="00F06848">
        <w:t>.</w:t>
      </w:r>
      <w:r w:rsidRPr="00391C0B">
        <w:t xml:space="preserve"> Endotoxemia in newborn rats attenuates </w:t>
      </w:r>
      <w:r>
        <w:t>acute pancreatitis at adult age</w:t>
      </w:r>
      <w:r w:rsidR="00F06848">
        <w:t>,</w:t>
      </w:r>
      <w:r w:rsidR="00F06848" w:rsidRPr="00244E40">
        <w:rPr>
          <w:i/>
        </w:rPr>
        <w:t xml:space="preserve"> </w:t>
      </w:r>
      <w:commentRangeStart w:id="52"/>
      <w:r w:rsidR="00244E40" w:rsidRPr="00244E40">
        <w:rPr>
          <w:i/>
        </w:rPr>
        <w:t>J</w:t>
      </w:r>
      <w:r w:rsidR="00244E40">
        <w:rPr>
          <w:i/>
          <w:iCs/>
        </w:rPr>
        <w:t xml:space="preserve"> Physiol</w:t>
      </w:r>
      <w:r w:rsidRPr="005A3BBB">
        <w:rPr>
          <w:i/>
          <w:iCs/>
        </w:rPr>
        <w:t xml:space="preserve"> Pharmacol</w:t>
      </w:r>
      <w:commentRangeEnd w:id="52"/>
      <w:r w:rsidR="00AD4109">
        <w:rPr>
          <w:rStyle w:val="CommentReference"/>
        </w:rPr>
        <w:commentReference w:id="52"/>
      </w:r>
      <w:r w:rsidR="00407695">
        <w:t>.</w:t>
      </w:r>
      <w:r>
        <w:t xml:space="preserve"> </w:t>
      </w:r>
      <w:r w:rsidR="004A0C5F" w:rsidRPr="00391C0B">
        <w:rPr>
          <w:iCs/>
        </w:rPr>
        <w:t>2007</w:t>
      </w:r>
      <w:r w:rsidR="00407695">
        <w:rPr>
          <w:iCs/>
        </w:rPr>
        <w:t>;</w:t>
      </w:r>
      <w:r w:rsidR="00407695">
        <w:t xml:space="preserve"> 58</w:t>
      </w:r>
      <w:r w:rsidR="004A0C5F">
        <w:t>: 131-147</w:t>
      </w:r>
      <w:r>
        <w:rPr>
          <w:iCs/>
        </w:rPr>
        <w:t>.</w:t>
      </w:r>
    </w:p>
    <w:p w:rsidR="00EE7CF9" w:rsidRPr="00391C0B" w:rsidRDefault="00EE7CF9" w:rsidP="0035582B">
      <w:pPr>
        <w:pStyle w:val="ListParagraph"/>
        <w:numPr>
          <w:ilvl w:val="0"/>
          <w:numId w:val="36"/>
        </w:numPr>
        <w:spacing w:line="360" w:lineRule="auto"/>
        <w:jc w:val="both"/>
      </w:pPr>
      <w:r>
        <w:t xml:space="preserve"> </w:t>
      </w:r>
      <w:r w:rsidRPr="00391C0B">
        <w:t>Luqman</w:t>
      </w:r>
      <w:r w:rsidR="00F06848">
        <w:t xml:space="preserve"> </w:t>
      </w:r>
      <w:r w:rsidR="00F06848" w:rsidRPr="00391C0B">
        <w:t>S</w:t>
      </w:r>
      <w:r w:rsidR="00F06848">
        <w:t>,</w:t>
      </w:r>
      <w:r w:rsidR="00F06848" w:rsidRPr="00391C0B">
        <w:t xml:space="preserve"> </w:t>
      </w:r>
      <w:r w:rsidR="00F06848">
        <w:t xml:space="preserve">Rizvi </w:t>
      </w:r>
      <w:r w:rsidR="00F06848" w:rsidRPr="00391C0B">
        <w:t>S</w:t>
      </w:r>
      <w:r w:rsidR="00F06848">
        <w:t>.</w:t>
      </w:r>
      <w:r w:rsidR="00F06848" w:rsidRPr="00391C0B">
        <w:t xml:space="preserve">J. </w:t>
      </w:r>
      <w:r w:rsidRPr="00391C0B">
        <w:t xml:space="preserve"> Protection of lipid peroxidation and carbonyl formation in proteins by capsaicin in human erythrocyte</w:t>
      </w:r>
      <w:r>
        <w:t>s subjected to oxidative stress,</w:t>
      </w:r>
      <w:r w:rsidRPr="00566692">
        <w:t xml:space="preserve"> </w:t>
      </w:r>
      <w:r w:rsidRPr="00391C0B">
        <w:t xml:space="preserve"> </w:t>
      </w:r>
      <w:commentRangeStart w:id="53"/>
      <w:r w:rsidR="007B2D3D">
        <w:rPr>
          <w:i/>
        </w:rPr>
        <w:t xml:space="preserve">Phytother </w:t>
      </w:r>
      <w:r w:rsidRPr="005A3BBB">
        <w:rPr>
          <w:i/>
        </w:rPr>
        <w:t>Res</w:t>
      </w:r>
      <w:r w:rsidR="00407695">
        <w:t>.</w:t>
      </w:r>
      <w:r>
        <w:t xml:space="preserve"> </w:t>
      </w:r>
      <w:commentRangeEnd w:id="53"/>
      <w:r w:rsidR="00AD4109">
        <w:rPr>
          <w:rStyle w:val="CommentReference"/>
        </w:rPr>
        <w:commentReference w:id="53"/>
      </w:r>
      <w:r w:rsidR="004A0C5F" w:rsidRPr="00391C0B">
        <w:t>2006</w:t>
      </w:r>
      <w:r w:rsidR="004A0C5F">
        <w:t>;</w:t>
      </w:r>
      <w:r>
        <w:t>20</w:t>
      </w:r>
      <w:r w:rsidR="004A0C5F">
        <w:t>:</w:t>
      </w:r>
      <w:r>
        <w:t xml:space="preserve"> </w:t>
      </w:r>
      <w:r w:rsidRPr="00391C0B">
        <w:t>30</w:t>
      </w:r>
      <w:r w:rsidR="00E15581">
        <w:t>3-</w:t>
      </w:r>
      <w:r>
        <w:t>6.</w:t>
      </w:r>
    </w:p>
    <w:p w:rsidR="00EE7CF9" w:rsidRPr="008062BE" w:rsidRDefault="009509E6" w:rsidP="0035582B">
      <w:pPr>
        <w:pStyle w:val="Heading1"/>
        <w:numPr>
          <w:ilvl w:val="0"/>
          <w:numId w:val="36"/>
        </w:numPr>
        <w:shd w:val="clear" w:color="auto" w:fill="FFFFFF"/>
        <w:spacing w:before="0" w:after="0" w:line="360" w:lineRule="auto"/>
        <w:jc w:val="both"/>
        <w:rPr>
          <w:rFonts w:ascii="Times New Roman" w:hAnsi="Times New Roman"/>
          <w:b w:val="0"/>
          <w:kern w:val="36"/>
          <w:sz w:val="24"/>
          <w:szCs w:val="24"/>
        </w:rPr>
      </w:pPr>
      <w:hyperlink r:id="rId16" w:history="1">
        <w:r w:rsidR="00EE7CF9" w:rsidRPr="008062BE">
          <w:rPr>
            <w:rFonts w:ascii="Times New Roman" w:hAnsi="Times New Roman"/>
            <w:b w:val="0"/>
            <w:sz w:val="24"/>
            <w:szCs w:val="24"/>
          </w:rPr>
          <w:t xml:space="preserve"> Palanisamy</w:t>
        </w:r>
      </w:hyperlink>
      <w:r w:rsidR="00F06848">
        <w:t xml:space="preserve"> </w:t>
      </w:r>
      <w:r w:rsidR="00F06848" w:rsidRPr="00F06848">
        <w:rPr>
          <w:rFonts w:ascii="Times New Roman" w:hAnsi="Times New Roman"/>
          <w:b w:val="0"/>
          <w:sz w:val="24"/>
          <w:szCs w:val="24"/>
        </w:rPr>
        <w:t>N</w:t>
      </w:r>
      <w:r w:rsidR="00F06848">
        <w:rPr>
          <w:rFonts w:ascii="Times New Roman" w:hAnsi="Times New Roman"/>
          <w:b w:val="0"/>
          <w:sz w:val="24"/>
          <w:szCs w:val="24"/>
        </w:rPr>
        <w:t>,</w:t>
      </w:r>
      <w:r w:rsidR="00EE7CF9" w:rsidRPr="008062BE">
        <w:rPr>
          <w:rFonts w:ascii="Times New Roman" w:hAnsi="Times New Roman"/>
          <w:b w:val="0"/>
          <w:sz w:val="24"/>
          <w:szCs w:val="24"/>
        </w:rPr>
        <w:t xml:space="preserve"> </w:t>
      </w:r>
      <w:hyperlink r:id="rId17" w:history="1">
        <w:r w:rsidR="00EE7CF9" w:rsidRPr="008062BE">
          <w:rPr>
            <w:rFonts w:ascii="Times New Roman" w:hAnsi="Times New Roman"/>
            <w:b w:val="0"/>
            <w:sz w:val="24"/>
            <w:szCs w:val="24"/>
          </w:rPr>
          <w:t xml:space="preserve"> Manian</w:t>
        </w:r>
      </w:hyperlink>
      <w:r w:rsidR="00F06848">
        <w:rPr>
          <w:rFonts w:ascii="Times New Roman" w:hAnsi="Times New Roman"/>
          <w:b w:val="0"/>
          <w:sz w:val="24"/>
          <w:szCs w:val="24"/>
        </w:rPr>
        <w:t xml:space="preserve"> </w:t>
      </w:r>
      <w:r w:rsidR="00F06848" w:rsidRPr="00F06848">
        <w:rPr>
          <w:rFonts w:ascii="Times New Roman" w:hAnsi="Times New Roman"/>
          <w:b w:val="0"/>
          <w:sz w:val="24"/>
          <w:szCs w:val="24"/>
        </w:rPr>
        <w:t>S.</w:t>
      </w:r>
      <w:r w:rsidR="00F06848">
        <w:rPr>
          <w:rFonts w:ascii="Times New Roman" w:hAnsi="Times New Roman"/>
          <w:b w:val="0"/>
          <w:sz w:val="24"/>
          <w:szCs w:val="24"/>
        </w:rPr>
        <w:t xml:space="preserve"> </w:t>
      </w:r>
      <w:r w:rsidR="00E15581" w:rsidRPr="008062BE">
        <w:rPr>
          <w:rFonts w:ascii="Times New Roman" w:hAnsi="Times New Roman"/>
          <w:b w:val="0"/>
          <w:sz w:val="24"/>
          <w:szCs w:val="24"/>
          <w:shd w:val="clear" w:color="auto" w:fill="FFFFFF"/>
        </w:rPr>
        <w:t>Protective</w:t>
      </w:r>
      <w:r w:rsidR="00EE7CF9" w:rsidRPr="008062BE">
        <w:rPr>
          <w:rFonts w:ascii="Times New Roman" w:hAnsi="Times New Roman"/>
          <w:b w:val="0"/>
          <w:sz w:val="24"/>
          <w:szCs w:val="24"/>
        </w:rPr>
        <w:t xml:space="preserve"> effects of </w:t>
      </w:r>
      <w:r w:rsidR="00EE7CF9" w:rsidRPr="008062BE">
        <w:rPr>
          <w:rFonts w:ascii="Times New Roman" w:hAnsi="Times New Roman"/>
          <w:b w:val="0"/>
          <w:i/>
          <w:iCs/>
          <w:sz w:val="24"/>
          <w:szCs w:val="24"/>
        </w:rPr>
        <w:t>Asparagusracemosus</w:t>
      </w:r>
      <w:r w:rsidR="00EE7CF9" w:rsidRPr="008062BE">
        <w:rPr>
          <w:rFonts w:ascii="Times New Roman" w:hAnsi="Times New Roman"/>
          <w:b w:val="0"/>
          <w:sz w:val="24"/>
          <w:szCs w:val="24"/>
        </w:rPr>
        <w:t> on oxidative damage in isoniazid-induced hepatotoxic rats</w:t>
      </w:r>
      <w:r w:rsidR="00EE7CF9">
        <w:rPr>
          <w:rFonts w:ascii="Times New Roman" w:hAnsi="Times New Roman"/>
          <w:b w:val="0"/>
          <w:sz w:val="24"/>
          <w:szCs w:val="24"/>
        </w:rPr>
        <w:t>:</w:t>
      </w:r>
      <w:r w:rsidR="00EE7CF9" w:rsidRPr="008062BE">
        <w:rPr>
          <w:rFonts w:ascii="Times New Roman" w:hAnsi="Times New Roman"/>
          <w:b w:val="0"/>
          <w:sz w:val="24"/>
          <w:szCs w:val="24"/>
        </w:rPr>
        <w:t xml:space="preserve"> </w:t>
      </w:r>
      <w:r w:rsidR="00EE7CF9" w:rsidRPr="004B5586">
        <w:rPr>
          <w:rFonts w:ascii="Times New Roman" w:hAnsi="Times New Roman"/>
          <w:b w:val="0"/>
          <w:iCs/>
          <w:kern w:val="36"/>
          <w:sz w:val="24"/>
          <w:szCs w:val="24"/>
        </w:rPr>
        <w:t xml:space="preserve">an in </w:t>
      </w:r>
      <w:commentRangeStart w:id="54"/>
      <w:r w:rsidR="00EE7CF9" w:rsidRPr="004B5586">
        <w:rPr>
          <w:rFonts w:ascii="Times New Roman" w:hAnsi="Times New Roman"/>
          <w:b w:val="0"/>
          <w:iCs/>
          <w:kern w:val="36"/>
          <w:sz w:val="24"/>
          <w:szCs w:val="24"/>
        </w:rPr>
        <w:t>vivo</w:t>
      </w:r>
      <w:commentRangeEnd w:id="54"/>
      <w:r w:rsidR="00AC7A7F">
        <w:rPr>
          <w:rStyle w:val="CommentReference"/>
          <w:rFonts w:ascii="Times New Roman" w:hAnsi="Times New Roman"/>
          <w:b w:val="0"/>
          <w:bCs w:val="0"/>
          <w:kern w:val="0"/>
        </w:rPr>
        <w:commentReference w:id="54"/>
      </w:r>
      <w:r w:rsidR="00EE7CF9" w:rsidRPr="004B5586">
        <w:rPr>
          <w:rFonts w:ascii="Times New Roman" w:hAnsi="Times New Roman"/>
          <w:b w:val="0"/>
          <w:iCs/>
          <w:kern w:val="36"/>
          <w:sz w:val="24"/>
          <w:szCs w:val="24"/>
        </w:rPr>
        <w:t> study</w:t>
      </w:r>
      <w:r w:rsidR="00EE7CF9" w:rsidRPr="008062BE">
        <w:rPr>
          <w:rFonts w:ascii="Times New Roman" w:hAnsi="Times New Roman"/>
          <w:b w:val="0"/>
          <w:i/>
          <w:iCs/>
          <w:sz w:val="24"/>
          <w:szCs w:val="24"/>
        </w:rPr>
        <w:t>,</w:t>
      </w:r>
      <w:r w:rsidR="007B2D3D">
        <w:rPr>
          <w:rFonts w:ascii="Times New Roman" w:hAnsi="Times New Roman"/>
          <w:b w:val="0"/>
          <w:i/>
          <w:iCs/>
          <w:sz w:val="24"/>
          <w:szCs w:val="24"/>
        </w:rPr>
        <w:t xml:space="preserve"> </w:t>
      </w:r>
      <w:commentRangeStart w:id="55"/>
      <w:r w:rsidR="00244E40">
        <w:rPr>
          <w:rFonts w:ascii="Times New Roman" w:hAnsi="Times New Roman"/>
          <w:b w:val="0"/>
          <w:i/>
          <w:iCs/>
          <w:sz w:val="24"/>
          <w:szCs w:val="24"/>
        </w:rPr>
        <w:t>Toxicol Indus</w:t>
      </w:r>
      <w:r w:rsidR="00407695">
        <w:rPr>
          <w:rFonts w:ascii="Times New Roman" w:hAnsi="Times New Roman"/>
          <w:b w:val="0"/>
          <w:i/>
          <w:iCs/>
          <w:sz w:val="24"/>
          <w:szCs w:val="24"/>
        </w:rPr>
        <w:t xml:space="preserve"> Health</w:t>
      </w:r>
      <w:commentRangeEnd w:id="55"/>
      <w:r w:rsidR="00AD4109">
        <w:rPr>
          <w:rStyle w:val="CommentReference"/>
          <w:rFonts w:ascii="Times New Roman" w:hAnsi="Times New Roman"/>
          <w:b w:val="0"/>
          <w:bCs w:val="0"/>
          <w:kern w:val="0"/>
        </w:rPr>
        <w:commentReference w:id="55"/>
      </w:r>
      <w:r w:rsidR="00407695">
        <w:rPr>
          <w:rFonts w:ascii="Times New Roman" w:hAnsi="Times New Roman"/>
          <w:b w:val="0"/>
          <w:i/>
          <w:iCs/>
          <w:sz w:val="24"/>
          <w:szCs w:val="24"/>
        </w:rPr>
        <w:t>.</w:t>
      </w:r>
      <w:r w:rsidR="00EE7CF9">
        <w:rPr>
          <w:rFonts w:ascii="Times New Roman" w:hAnsi="Times New Roman"/>
          <w:b w:val="0"/>
          <w:i/>
          <w:iCs/>
          <w:sz w:val="24"/>
          <w:szCs w:val="24"/>
        </w:rPr>
        <w:t xml:space="preserve"> </w:t>
      </w:r>
      <w:r w:rsidR="00E15581" w:rsidRPr="008062BE">
        <w:rPr>
          <w:rFonts w:ascii="Times New Roman" w:hAnsi="Times New Roman"/>
          <w:b w:val="0"/>
          <w:iCs/>
          <w:sz w:val="24"/>
          <w:szCs w:val="24"/>
        </w:rPr>
        <w:t>2012</w:t>
      </w:r>
      <w:r w:rsidR="00244E40">
        <w:rPr>
          <w:rFonts w:ascii="Times New Roman" w:hAnsi="Times New Roman"/>
          <w:b w:val="0"/>
          <w:iCs/>
          <w:sz w:val="24"/>
          <w:szCs w:val="24"/>
        </w:rPr>
        <w:t>; 28:238</w:t>
      </w:r>
      <w:r w:rsidR="00E15581">
        <w:rPr>
          <w:rFonts w:ascii="Times New Roman" w:hAnsi="Times New Roman"/>
          <w:b w:val="0"/>
          <w:iCs/>
          <w:sz w:val="24"/>
          <w:szCs w:val="24"/>
        </w:rPr>
        <w:t>-</w:t>
      </w:r>
      <w:r w:rsidR="00EE7CF9">
        <w:rPr>
          <w:rFonts w:ascii="Times New Roman" w:hAnsi="Times New Roman"/>
          <w:b w:val="0"/>
          <w:iCs/>
          <w:sz w:val="24"/>
          <w:szCs w:val="24"/>
        </w:rPr>
        <w:t>44</w:t>
      </w:r>
      <w:r w:rsidR="005D5084">
        <w:rPr>
          <w:rFonts w:ascii="Times New Roman" w:hAnsi="Times New Roman"/>
          <w:b w:val="0"/>
          <w:iCs/>
          <w:sz w:val="24"/>
          <w:szCs w:val="24"/>
        </w:rPr>
        <w:t>.</w:t>
      </w:r>
      <w:r w:rsidR="00EE7CF9" w:rsidRPr="008062BE">
        <w:rPr>
          <w:rFonts w:ascii="Times New Roman" w:hAnsi="Times New Roman"/>
          <w:b w:val="0"/>
          <w:iCs/>
          <w:sz w:val="24"/>
          <w:szCs w:val="24"/>
        </w:rPr>
        <w:t xml:space="preserve"> </w:t>
      </w:r>
    </w:p>
    <w:p w:rsidR="00EE7CF9" w:rsidRPr="00391C0B" w:rsidRDefault="00EE7CF9" w:rsidP="0035582B">
      <w:pPr>
        <w:pStyle w:val="ListParagraph"/>
        <w:numPr>
          <w:ilvl w:val="0"/>
          <w:numId w:val="36"/>
        </w:numPr>
        <w:suppressAutoHyphens/>
        <w:spacing w:line="360" w:lineRule="auto"/>
        <w:jc w:val="both"/>
      </w:pPr>
      <w:r w:rsidRPr="00391C0B">
        <w:t>Hussain</w:t>
      </w:r>
      <w:r w:rsidR="00F06848">
        <w:t xml:space="preserve"> A.</w:t>
      </w:r>
      <w:r w:rsidR="00F06848" w:rsidRPr="00391C0B">
        <w:t xml:space="preserve"> </w:t>
      </w:r>
      <w:r w:rsidRPr="00391C0B">
        <w:t xml:space="preserve"> Ahmad</w:t>
      </w:r>
      <w:r w:rsidR="00F06848">
        <w:t xml:space="preserve"> </w:t>
      </w:r>
      <w:r w:rsidR="00F06848" w:rsidRPr="00391C0B">
        <w:t>M</w:t>
      </w:r>
      <w:r w:rsidR="00F06848">
        <w:t>.</w:t>
      </w:r>
      <w:r w:rsidR="00F06848" w:rsidRPr="00391C0B">
        <w:t>P</w:t>
      </w:r>
      <w:r w:rsidRPr="00391C0B">
        <w:t>, Wahab</w:t>
      </w:r>
      <w:r w:rsidR="00F06848">
        <w:t xml:space="preserve"> </w:t>
      </w:r>
      <w:r w:rsidR="00F06848" w:rsidRPr="00391C0B">
        <w:t>S</w:t>
      </w:r>
      <w:r w:rsidR="00F06848">
        <w:t>.</w:t>
      </w:r>
      <w:r w:rsidRPr="00391C0B">
        <w:t xml:space="preserve">  A Review on Pharmacological and Phytochemical Profi</w:t>
      </w:r>
      <w:r>
        <w:t xml:space="preserve">le of </w:t>
      </w:r>
      <w:r w:rsidRPr="00017C3E">
        <w:rPr>
          <w:i/>
        </w:rPr>
        <w:t>Asparagus racemosus</w:t>
      </w:r>
      <w:r w:rsidR="002D1975">
        <w:t xml:space="preserve"> Willd,</w:t>
      </w:r>
      <w:r w:rsidRPr="00391C0B">
        <w:t xml:space="preserve"> </w:t>
      </w:r>
      <w:commentRangeStart w:id="56"/>
      <w:r w:rsidRPr="00C415D4">
        <w:rPr>
          <w:i/>
        </w:rPr>
        <w:t>Pharmacologyonline</w:t>
      </w:r>
      <w:commentRangeEnd w:id="56"/>
      <w:r w:rsidR="00AD4109">
        <w:rPr>
          <w:rStyle w:val="CommentReference"/>
        </w:rPr>
        <w:commentReference w:id="56"/>
      </w:r>
      <w:r w:rsidR="00E15581">
        <w:rPr>
          <w:i/>
        </w:rPr>
        <w:t>.</w:t>
      </w:r>
      <w:r w:rsidR="00E15581" w:rsidRPr="00E15581">
        <w:t xml:space="preserve"> </w:t>
      </w:r>
      <w:r w:rsidR="00E15581" w:rsidRPr="00391C0B">
        <w:t>2011</w:t>
      </w:r>
      <w:r w:rsidR="00E15581">
        <w:t>;</w:t>
      </w:r>
      <w:r w:rsidRPr="00391C0B">
        <w:t xml:space="preserve"> 3</w:t>
      </w:r>
      <w:r w:rsidR="00E15581">
        <w:t>:1353-</w:t>
      </w:r>
      <w:r w:rsidRPr="00391C0B">
        <w:t>64</w:t>
      </w:r>
      <w:r w:rsidR="005D5084">
        <w:t>.</w:t>
      </w:r>
    </w:p>
    <w:p w:rsidR="00EE7CF9" w:rsidRPr="00391C0B" w:rsidRDefault="00EE7CF9" w:rsidP="0035582B">
      <w:pPr>
        <w:pStyle w:val="ListParagraph"/>
        <w:suppressAutoHyphens/>
        <w:spacing w:line="360" w:lineRule="auto"/>
        <w:jc w:val="both"/>
        <w:rPr>
          <w:b/>
          <w:bCs/>
        </w:rPr>
      </w:pPr>
    </w:p>
    <w:p w:rsidR="009957C7" w:rsidRDefault="009957C7" w:rsidP="0035582B">
      <w:pPr>
        <w:jc w:val="both"/>
      </w:pPr>
    </w:p>
    <w:p w:rsidR="0035582B" w:rsidRDefault="0035582B">
      <w:pPr>
        <w:jc w:val="both"/>
      </w:pPr>
    </w:p>
    <w:sectPr w:rsidR="0035582B" w:rsidSect="0035582B">
      <w:headerReference w:type="even" r:id="rId18"/>
      <w:headerReference w:type="default" r:id="rId19"/>
      <w:footerReference w:type="even" r:id="rId20"/>
      <w:footerReference w:type="default" r:id="rId21"/>
      <w:headerReference w:type="first" r:id="rId22"/>
      <w:footerReference w:type="first" r:id="rId23"/>
      <w:pgSz w:w="12240" w:h="15840" w:code="1"/>
      <w:pgMar w:top="-607" w:right="1440" w:bottom="270" w:left="1440" w:header="270" w:footer="76"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0T17:42:00Z" w:initials="K">
    <w:p w:rsidR="00D92DCA" w:rsidRDefault="00D92DCA" w:rsidP="00D92DCA">
      <w:pPr>
        <w:rPr>
          <w:rFonts w:ascii="Bookman Old Style" w:hAnsi="Bookman Old Style"/>
        </w:rPr>
      </w:pPr>
      <w:r>
        <w:rPr>
          <w:rStyle w:val="CommentReference"/>
        </w:rPr>
        <w:annotationRef/>
      </w:r>
      <w:r>
        <w:rPr>
          <w:rFonts w:ascii="Bookman Old Style" w:hAnsi="Bookman Old Style"/>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D92DCA" w:rsidRPr="00B07E1A" w:rsidRDefault="00D92DCA" w:rsidP="00D92DCA">
      <w:pPr>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41</w:t>
      </w:r>
      <w:r w:rsidRPr="00502FAD">
        <w:rPr>
          <w:rFonts w:ascii="Bookman Old Style" w:hAnsi="Bookman Old Style"/>
          <w:highlight w:val="green"/>
        </w:rPr>
        <w:t>%</w:t>
      </w:r>
      <w:r w:rsidRPr="00B07E1A">
        <w:rPr>
          <w:rFonts w:ascii="Bookman Old Style" w:hAnsi="Bookman Old Style"/>
        </w:rPr>
        <w:t xml:space="preserve"> </w:t>
      </w:r>
    </w:p>
    <w:p w:rsidR="00D92DCA" w:rsidRPr="00E41274" w:rsidRDefault="00D92DCA" w:rsidP="00D92DCA">
      <w:pPr>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D92DCA" w:rsidRDefault="00D92DCA">
      <w:pPr>
        <w:pStyle w:val="CommentText"/>
      </w:pPr>
    </w:p>
  </w:comment>
  <w:comment w:id="1" w:author="kapil chauhan" w:date="2019-10-07T15:35:00Z" w:initials="kc">
    <w:p w:rsidR="00222AC6" w:rsidRPr="00222AC6" w:rsidRDefault="00222AC6">
      <w:pPr>
        <w:pStyle w:val="CommentText"/>
      </w:pPr>
      <w:r>
        <w:rPr>
          <w:rStyle w:val="CommentReference"/>
        </w:rPr>
        <w:annotationRef/>
      </w:r>
      <w:r w:rsidRPr="00222AC6">
        <w:rPr>
          <w:b/>
          <w:i/>
        </w:rPr>
        <w:t>ASPARAGUS</w:t>
      </w:r>
    </w:p>
  </w:comment>
  <w:comment w:id="2" w:author="Kapil" w:date="2021-03-28T14:08:00Z" w:initials="K">
    <w:p w:rsidR="00AC7A7F" w:rsidRDefault="00AC7A7F">
      <w:pPr>
        <w:pStyle w:val="CommentText"/>
      </w:pPr>
      <w:r>
        <w:rPr>
          <w:rStyle w:val="CommentReference"/>
        </w:rPr>
        <w:annotationRef/>
      </w:r>
      <w:r w:rsidRPr="00F94B24">
        <w:rPr>
          <w:rFonts w:ascii="Bookman Old Style" w:hAnsi="Bookman Old Style"/>
        </w:rPr>
        <w:t>Article is a perfect piece of work. Suitable for publication after some minor changes.</w:t>
      </w:r>
    </w:p>
  </w:comment>
  <w:comment w:id="4" w:author="Kapil" w:date="2021-03-28T14:11:00Z" w:initials="K">
    <w:p w:rsidR="00AC7A7F" w:rsidRDefault="00AC7A7F" w:rsidP="00AC7A7F">
      <w:pPr>
        <w:rPr>
          <w:rFonts w:ascii="Bookman Old Style" w:hAnsi="Bookman Old Style"/>
        </w:rPr>
      </w:pPr>
      <w:r>
        <w:rPr>
          <w:rStyle w:val="CommentReference"/>
        </w:rPr>
        <w:annotationRef/>
      </w:r>
      <w:r>
        <w:rPr>
          <w:rFonts w:ascii="Bookman Old Style" w:hAnsi="Bookman Old Style"/>
        </w:rPr>
        <w:t>current</w:t>
      </w:r>
    </w:p>
    <w:p w:rsidR="00AC7A7F" w:rsidRDefault="00AC7A7F" w:rsidP="00AC7A7F">
      <w:pPr>
        <w:rPr>
          <w:rFonts w:ascii="Bookman Old Style" w:hAnsi="Bookman Old Style"/>
          <w:highlight w:val="yellow"/>
        </w:rPr>
      </w:pPr>
      <w:r w:rsidRPr="006B3A13">
        <w:rPr>
          <w:rFonts w:ascii="Bookman Old Style" w:hAnsi="Bookman Old Style"/>
        </w:rPr>
        <w:t>Please use some scientific words, remove words like we, I, our, your</w:t>
      </w:r>
      <w:r>
        <w:rPr>
          <w:rFonts w:ascii="Bookman Old Style" w:hAnsi="Bookman Old Style"/>
        </w:rPr>
        <w:t>,</w:t>
      </w:r>
      <w:r w:rsidRPr="006B3A13">
        <w:rPr>
          <w:rFonts w:ascii="Bookman Old Style" w:hAnsi="Bookman Old Style"/>
        </w:rPr>
        <w:t xml:space="preserve"> etc</w:t>
      </w:r>
      <w:r>
        <w:rPr>
          <w:rFonts w:ascii="Bookman Old Style" w:hAnsi="Bookman Old Style"/>
        </w:rPr>
        <w:t>.</w:t>
      </w:r>
      <w:r w:rsidRPr="006B3A13">
        <w:rPr>
          <w:rFonts w:ascii="Bookman Old Style" w:hAnsi="Bookman Old Style"/>
          <w:highlight w:val="yellow"/>
        </w:rPr>
        <w:t xml:space="preserve"> </w:t>
      </w:r>
    </w:p>
    <w:p w:rsidR="00AC7A7F" w:rsidRDefault="00AC7A7F">
      <w:pPr>
        <w:pStyle w:val="CommentText"/>
      </w:pPr>
    </w:p>
  </w:comment>
  <w:comment w:id="5" w:author="Kapil" w:date="2021-03-28T14:12:00Z" w:initials="K">
    <w:p w:rsidR="007E7F2E" w:rsidRPr="00EE2A57" w:rsidRDefault="007E7F2E" w:rsidP="007E7F2E">
      <w:pPr>
        <w:rPr>
          <w:rFonts w:ascii="Bookman Old Style" w:hAnsi="Bookman Old Style"/>
        </w:rPr>
      </w:pPr>
      <w:r>
        <w:rPr>
          <w:rStyle w:val="CommentReference"/>
        </w:rPr>
        <w:annotationRef/>
      </w:r>
      <w:r w:rsidRPr="00EE2A57">
        <w:rPr>
          <w:rFonts w:ascii="Bookman Old Style" w:hAnsi="Bookman Old Style"/>
        </w:rPr>
        <w:t>Arrange alphabetically</w:t>
      </w:r>
    </w:p>
    <w:p w:rsidR="007E7F2E" w:rsidRDefault="007E7F2E">
      <w:pPr>
        <w:pStyle w:val="CommentText"/>
      </w:pPr>
    </w:p>
  </w:comment>
  <w:comment w:id="3" w:author="Kapil" w:date="2021-03-28T14:01:00Z" w:initials="K">
    <w:p w:rsidR="001B3001" w:rsidRDefault="001B3001" w:rsidP="001B3001">
      <w:pPr>
        <w:pStyle w:val="CommentText"/>
      </w:pPr>
      <w:r>
        <w:rPr>
          <w:rStyle w:val="CommentReference"/>
        </w:rPr>
        <w:annotationRef/>
      </w:r>
      <w:r>
        <w:t>Arrrange abstract in below parts</w:t>
      </w:r>
    </w:p>
    <w:p w:rsidR="001B3001" w:rsidRDefault="001B3001" w:rsidP="001B3001">
      <w:pPr>
        <w:pStyle w:val="CommentText"/>
      </w:pPr>
      <w:r>
        <w:t>1. Objective</w:t>
      </w:r>
    </w:p>
    <w:p w:rsidR="001B3001" w:rsidRDefault="001B3001" w:rsidP="001B3001">
      <w:pPr>
        <w:pStyle w:val="CommentText"/>
      </w:pPr>
      <w:r>
        <w:t>2. Method</w:t>
      </w:r>
    </w:p>
    <w:p w:rsidR="001B3001" w:rsidRDefault="001B3001" w:rsidP="001B3001">
      <w:pPr>
        <w:pStyle w:val="CommentText"/>
      </w:pPr>
      <w:r>
        <w:t>3. Results</w:t>
      </w:r>
    </w:p>
    <w:p w:rsidR="001B3001" w:rsidRDefault="001B3001" w:rsidP="001B3001">
      <w:pPr>
        <w:pStyle w:val="CommentText"/>
      </w:pPr>
      <w:r>
        <w:t>4. Conclusion</w:t>
      </w:r>
    </w:p>
    <w:p w:rsidR="001B3001" w:rsidRDefault="001B3001" w:rsidP="001B3001">
      <w:pPr>
        <w:pStyle w:val="CommentText"/>
      </w:pPr>
      <w:r>
        <w:t>5. Keywords</w:t>
      </w:r>
    </w:p>
    <w:p w:rsidR="001B3001" w:rsidRDefault="001B3001">
      <w:pPr>
        <w:pStyle w:val="CommentText"/>
      </w:pPr>
    </w:p>
  </w:comment>
  <w:comment w:id="7" w:author="Kapil" w:date="2021-05-10T17:48:00Z" w:initials="K">
    <w:p w:rsidR="00D92DCA" w:rsidRDefault="00D92DCA" w:rsidP="00D92DCA">
      <w:pPr>
        <w:rPr>
          <w:rFonts w:ascii="Bookman Old Style" w:hAnsi="Bookman Old Style"/>
        </w:rPr>
      </w:pPr>
      <w:r>
        <w:rPr>
          <w:rStyle w:val="CommentReference"/>
        </w:rPr>
        <w:annotationRef/>
      </w:r>
      <w:r w:rsidRPr="00073C62">
        <w:rPr>
          <w:rFonts w:ascii="Bookman Old Style" w:hAnsi="Bookman Old Style"/>
        </w:rPr>
        <w:t xml:space="preserve">The </w:t>
      </w:r>
      <w:r>
        <w:rPr>
          <w:rFonts w:ascii="Bookman Old Style" w:hAnsi="Bookman Old Style"/>
        </w:rPr>
        <w:t>content</w:t>
      </w:r>
      <w:r w:rsidRPr="00073C62">
        <w:rPr>
          <w:rFonts w:ascii="Bookman Old Style" w:hAnsi="Bookman Old Style"/>
        </w:rPr>
        <w:t xml:space="preserve"> relevantly addressed the research problems, is comprehensive, and well-organised</w:t>
      </w:r>
      <w:r>
        <w:rPr>
          <w:rFonts w:ascii="Bookman Old Style" w:hAnsi="Bookman Old Style"/>
        </w:rPr>
        <w:t xml:space="preserve"> </w:t>
      </w:r>
      <w:r w:rsidRPr="00073C62">
        <w:rPr>
          <w:rFonts w:ascii="Bookman Old Style" w:hAnsi="Bookman Old Style"/>
        </w:rPr>
        <w:t>in sequence that facilitate better unders</w:t>
      </w:r>
      <w:r>
        <w:rPr>
          <w:rFonts w:ascii="Bookman Old Style" w:hAnsi="Bookman Old Style"/>
        </w:rPr>
        <w:t>tanding of the research issues</w:t>
      </w:r>
      <w:r w:rsidRPr="00073C62">
        <w:rPr>
          <w:rFonts w:ascii="Bookman Old Style" w:hAnsi="Bookman Old Style"/>
        </w:rPr>
        <w:t xml:space="preserve">. </w:t>
      </w:r>
    </w:p>
    <w:p w:rsidR="00D92DCA" w:rsidRDefault="00D92DCA">
      <w:pPr>
        <w:pStyle w:val="CommentText"/>
      </w:pPr>
    </w:p>
  </w:comment>
  <w:comment w:id="6" w:author="Kapil" w:date="2021-03-28T14:09:00Z" w:initials="K">
    <w:p w:rsidR="00AC7A7F" w:rsidRDefault="00AC7A7F" w:rsidP="00AC7A7F">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C7A7F" w:rsidRDefault="00AC7A7F">
      <w:pPr>
        <w:pStyle w:val="CommentText"/>
      </w:pPr>
    </w:p>
  </w:comment>
  <w:comment w:id="8" w:author="kapil chauhan" w:date="2019-10-07T15:39:00Z" w:initials="kc">
    <w:p w:rsidR="00222AC6" w:rsidRPr="005F78ED" w:rsidRDefault="00222AC6" w:rsidP="00222AC6">
      <w:pPr>
        <w:spacing w:line="360" w:lineRule="auto"/>
        <w:jc w:val="both"/>
      </w:pPr>
      <w:r>
        <w:rPr>
          <w:rStyle w:val="CommentReference"/>
        </w:rPr>
        <w:annotationRef/>
      </w:r>
      <w:r w:rsidRPr="005F78ED">
        <w:rPr>
          <w:rFonts w:eastAsia="Calibri"/>
        </w:rPr>
        <w:t xml:space="preserve">There is no information on </w:t>
      </w:r>
      <w:r w:rsidRPr="005F78ED">
        <w:rPr>
          <w:i/>
        </w:rPr>
        <w:t>ASPARAGUS RACEMOSUS in this section. (</w:t>
      </w:r>
      <w:r w:rsidRPr="005F78ED">
        <w:t xml:space="preserve">Needs some information about </w:t>
      </w:r>
      <w:r w:rsidRPr="005F78ED">
        <w:rPr>
          <w:i/>
        </w:rPr>
        <w:t xml:space="preserve"> ASPARAGUS RACEMOSUS including previous studies on its antioxidant effects)</w:t>
      </w:r>
    </w:p>
    <w:p w:rsidR="00222AC6" w:rsidRDefault="00222AC6">
      <w:pPr>
        <w:pStyle w:val="CommentText"/>
      </w:pPr>
    </w:p>
  </w:comment>
  <w:comment w:id="9" w:author="Kapil" w:date="2021-03-28T14:09:00Z" w:initials="K">
    <w:p w:rsidR="00AC7A7F" w:rsidRDefault="00AC7A7F" w:rsidP="00AC7A7F">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C7A7F" w:rsidRDefault="00AC7A7F">
      <w:pPr>
        <w:pStyle w:val="CommentText"/>
      </w:pPr>
    </w:p>
  </w:comment>
  <w:comment w:id="10" w:author="Kapil" w:date="2021-03-28T14:09:00Z" w:initials="K">
    <w:p w:rsidR="00AC7A7F" w:rsidRDefault="00AC7A7F" w:rsidP="00AC7A7F">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C7A7F" w:rsidRDefault="00AC7A7F">
      <w:pPr>
        <w:pStyle w:val="CommentText"/>
      </w:pPr>
    </w:p>
  </w:comment>
  <w:comment w:id="12" w:author="Kapil" w:date="2021-05-10T17:48:00Z" w:initials="K">
    <w:p w:rsidR="00D92DCA" w:rsidRPr="00AB42B9" w:rsidRDefault="00D92DCA" w:rsidP="00D92DCA">
      <w:r>
        <w:rPr>
          <w:rStyle w:val="CommentReference"/>
        </w:rPr>
        <w:annotationRef/>
      </w:r>
      <w:r w:rsidRPr="00AB42B9">
        <w:rPr>
          <w:rFonts w:ascii="Bookman Old Style" w:hAnsi="Bookman Old Style"/>
        </w:rPr>
        <w:t>Methodology adopted for various activities has been mentioned with utmost clarity.</w:t>
      </w:r>
    </w:p>
    <w:p w:rsidR="00D92DCA" w:rsidRDefault="00D92DCA">
      <w:pPr>
        <w:pStyle w:val="CommentText"/>
      </w:pPr>
    </w:p>
  </w:comment>
  <w:comment w:id="11" w:author="Kapil" w:date="2021-03-28T14:09:00Z" w:initials="K">
    <w:p w:rsidR="00AC7A7F" w:rsidRDefault="00AC7A7F" w:rsidP="00AC7A7F">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C7A7F" w:rsidRDefault="00AC7A7F">
      <w:pPr>
        <w:pStyle w:val="CommentText"/>
      </w:pPr>
    </w:p>
  </w:comment>
  <w:comment w:id="14" w:author="Kapil" w:date="2021-05-10T17:48:00Z" w:initials="K">
    <w:p w:rsidR="00D92DCA" w:rsidRPr="00AB42B9" w:rsidRDefault="00D92DCA" w:rsidP="00D92DCA">
      <w:r>
        <w:rPr>
          <w:rStyle w:val="CommentReference"/>
        </w:rPr>
        <w:annotationRef/>
      </w:r>
      <w:r w:rsidRPr="00AB42B9">
        <w:rPr>
          <w:rFonts w:ascii="Bookman Old Style" w:hAnsi="Bookman Old Style"/>
        </w:rPr>
        <w:t>Methodology adopted for various activities has been mentioned with utmost clarity.</w:t>
      </w:r>
    </w:p>
    <w:p w:rsidR="00D92DCA" w:rsidRDefault="00D92DCA">
      <w:pPr>
        <w:pStyle w:val="CommentText"/>
      </w:pPr>
    </w:p>
  </w:comment>
  <w:comment w:id="13" w:author="Kapil" w:date="2021-03-28T14:09:00Z" w:initials="K">
    <w:p w:rsidR="00AC7A7F" w:rsidRDefault="00AC7A7F" w:rsidP="00AC7A7F">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C7A7F" w:rsidRDefault="00AC7A7F">
      <w:pPr>
        <w:pStyle w:val="CommentText"/>
      </w:pPr>
    </w:p>
  </w:comment>
  <w:comment w:id="15" w:author="Kapil" w:date="2021-03-28T14:09:00Z" w:initials="K">
    <w:p w:rsidR="00AC7A7F" w:rsidRDefault="00AC7A7F" w:rsidP="00AC7A7F">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C7A7F" w:rsidRDefault="00AC7A7F">
      <w:pPr>
        <w:pStyle w:val="CommentText"/>
      </w:pPr>
    </w:p>
  </w:comment>
  <w:comment w:id="16" w:author="Kapil" w:date="2021-05-10T17:48:00Z" w:initials="K">
    <w:p w:rsidR="00D92DCA" w:rsidRPr="00AB42B9" w:rsidRDefault="00D92DCA" w:rsidP="00D92DCA">
      <w:r>
        <w:rPr>
          <w:rStyle w:val="CommentReference"/>
        </w:rPr>
        <w:annotationRef/>
      </w:r>
      <w:r w:rsidRPr="00AB42B9">
        <w:rPr>
          <w:rFonts w:ascii="Bookman Old Style" w:hAnsi="Bookman Old Style"/>
        </w:rPr>
        <w:t>Methodology adopted for various activities has been mentioned with utmost clarity.</w:t>
      </w:r>
    </w:p>
    <w:p w:rsidR="00D92DCA" w:rsidRDefault="00D92DCA">
      <w:pPr>
        <w:pStyle w:val="CommentText"/>
      </w:pPr>
    </w:p>
  </w:comment>
  <w:comment w:id="17" w:author="Kapil" w:date="2021-03-28T14:09:00Z" w:initials="K">
    <w:p w:rsidR="00AC7A7F" w:rsidRDefault="00AC7A7F" w:rsidP="00AC7A7F">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C7A7F" w:rsidRDefault="00AC7A7F">
      <w:pPr>
        <w:pStyle w:val="CommentText"/>
      </w:pPr>
    </w:p>
  </w:comment>
  <w:comment w:id="19" w:author="Kapil" w:date="2021-05-10T17:49:00Z" w:initials="K">
    <w:p w:rsidR="00D92DCA" w:rsidRPr="00AB42B9" w:rsidRDefault="00D92DCA" w:rsidP="00D92DCA">
      <w:r>
        <w:rPr>
          <w:rStyle w:val="CommentReference"/>
        </w:rPr>
        <w:annotationRef/>
      </w:r>
      <w:r w:rsidRPr="00AB42B9">
        <w:rPr>
          <w:rFonts w:ascii="Bookman Old Style" w:hAnsi="Bookman Old Style"/>
        </w:rPr>
        <w:t>Methodology adopted for various activities has been mentioned with utmost clarity.</w:t>
      </w:r>
    </w:p>
    <w:p w:rsidR="00D92DCA" w:rsidRDefault="00D92DCA">
      <w:pPr>
        <w:pStyle w:val="CommentText"/>
      </w:pPr>
    </w:p>
  </w:comment>
  <w:comment w:id="18" w:author="Kapil" w:date="2021-03-28T14:09:00Z" w:initials="K">
    <w:p w:rsidR="00AC7A7F" w:rsidRDefault="00AC7A7F" w:rsidP="00AC7A7F">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C7A7F" w:rsidRDefault="00AC7A7F">
      <w:pPr>
        <w:pStyle w:val="CommentText"/>
      </w:pPr>
    </w:p>
  </w:comment>
  <w:comment w:id="20" w:author="Kapil" w:date="2021-03-28T14:10:00Z" w:initials="K">
    <w:p w:rsidR="00AC7A7F" w:rsidRDefault="00AC7A7F" w:rsidP="00AC7A7F">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C7A7F" w:rsidRDefault="00AC7A7F">
      <w:pPr>
        <w:pStyle w:val="CommentText"/>
      </w:pPr>
    </w:p>
  </w:comment>
  <w:comment w:id="21" w:author="kapil chauhan" w:date="2019-10-07T15:40:00Z" w:initials="kc">
    <w:p w:rsidR="00222AC6" w:rsidRDefault="00222AC6">
      <w:pPr>
        <w:pStyle w:val="CommentText"/>
      </w:pPr>
      <w:r>
        <w:rPr>
          <w:rStyle w:val="CommentReference"/>
        </w:rPr>
        <w:annotationRef/>
      </w:r>
      <w:r>
        <w:t>Numbers?</w:t>
      </w:r>
    </w:p>
  </w:comment>
  <w:comment w:id="22" w:author="Kapil" w:date="2021-03-28T19:14:00Z" w:initials="K">
    <w:p w:rsidR="00D5316A" w:rsidRDefault="00D5316A" w:rsidP="00D5316A">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D5316A" w:rsidRDefault="00D5316A">
      <w:pPr>
        <w:pStyle w:val="CommentText"/>
      </w:pPr>
    </w:p>
  </w:comment>
  <w:comment w:id="23" w:author="kapil chauhan" w:date="2019-10-07T15:40:00Z" w:initials="kc">
    <w:p w:rsidR="00222AC6" w:rsidRPr="005F78ED" w:rsidRDefault="00222AC6" w:rsidP="00222AC6">
      <w:pPr>
        <w:spacing w:line="360" w:lineRule="auto"/>
        <w:rPr>
          <w:b/>
        </w:rPr>
      </w:pPr>
      <w:r>
        <w:rPr>
          <w:rStyle w:val="CommentReference"/>
        </w:rPr>
        <w:annotationRef/>
      </w:r>
      <w:r w:rsidRPr="005F78ED">
        <w:rPr>
          <w:b/>
        </w:rPr>
        <w:t>Activity???  Level??</w:t>
      </w:r>
    </w:p>
    <w:p w:rsidR="00222AC6" w:rsidRDefault="00222AC6">
      <w:pPr>
        <w:pStyle w:val="CommentText"/>
      </w:pPr>
    </w:p>
  </w:comment>
  <w:comment w:id="24" w:author="kapil chauhan" w:date="2019-10-07T15:41:00Z" w:initials="kc">
    <w:p w:rsidR="00222AC6" w:rsidRPr="00222AC6" w:rsidRDefault="00222AC6">
      <w:pPr>
        <w:pStyle w:val="CommentText"/>
      </w:pPr>
      <w:r>
        <w:rPr>
          <w:rStyle w:val="CommentReference"/>
        </w:rPr>
        <w:annotationRef/>
      </w:r>
      <w:r w:rsidRPr="00222AC6">
        <w:t>anxiogenic response?????</w:t>
      </w:r>
    </w:p>
  </w:comment>
  <w:comment w:id="25" w:author="kapil chauhan" w:date="2019-10-07T15:43:00Z" w:initials="kc">
    <w:p w:rsidR="00222AC6" w:rsidRPr="00391C0B" w:rsidRDefault="00222AC6" w:rsidP="00222AC6">
      <w:pPr>
        <w:autoSpaceDE w:val="0"/>
        <w:autoSpaceDN w:val="0"/>
        <w:adjustRightInd w:val="0"/>
        <w:spacing w:line="360" w:lineRule="auto"/>
        <w:jc w:val="both"/>
        <w:rPr>
          <w:rFonts w:eastAsia="Calibri"/>
        </w:rPr>
      </w:pPr>
      <w:r>
        <w:rPr>
          <w:rStyle w:val="CommentReference"/>
        </w:rPr>
        <w:annotationRef/>
      </w:r>
      <w:r w:rsidRPr="00391C0B">
        <w:rPr>
          <w:rFonts w:eastAsia="Calibri"/>
        </w:rPr>
        <w:t>This effect was indicated by an increase in the concentration of lipid peroxidation</w:t>
      </w:r>
      <w:r>
        <w:rPr>
          <w:rFonts w:eastAsia="Calibri"/>
        </w:rPr>
        <w:t xml:space="preserve"> (TBARS)</w:t>
      </w:r>
      <w:r w:rsidRPr="00391C0B">
        <w:rPr>
          <w:rFonts w:eastAsia="Calibri"/>
        </w:rPr>
        <w:t>, cytokines,</w:t>
      </w:r>
      <w:r>
        <w:rPr>
          <w:rFonts w:eastAsia="Calibri"/>
        </w:rPr>
        <w:t xml:space="preserve"> </w:t>
      </w:r>
      <w:r>
        <w:rPr>
          <w:rFonts w:eastAsia="Calibri"/>
          <w:color w:val="00B0F0"/>
        </w:rPr>
        <w:t>NO</w:t>
      </w:r>
      <w:r>
        <w:rPr>
          <w:rFonts w:eastAsia="Calibri"/>
        </w:rPr>
        <w:t xml:space="preserve"> </w:t>
      </w:r>
      <w:r w:rsidRPr="00391C0B">
        <w:rPr>
          <w:rFonts w:eastAsia="Calibri"/>
        </w:rPr>
        <w:t xml:space="preserve"> and decrease in the concentration of the GSH, SOD and </w:t>
      </w:r>
      <w:r w:rsidRPr="006738D2">
        <w:rPr>
          <w:rFonts w:eastAsia="Calibri"/>
          <w:color w:val="00B0F0"/>
        </w:rPr>
        <w:t>CAT</w:t>
      </w:r>
      <w:r w:rsidRPr="00391C0B">
        <w:rPr>
          <w:rFonts w:eastAsia="Calibri"/>
        </w:rPr>
        <w:t>.</w:t>
      </w:r>
      <w:r>
        <w:rPr>
          <w:rFonts w:eastAsia="Calibri"/>
        </w:rPr>
        <w:t xml:space="preserve"> </w:t>
      </w:r>
      <w:r>
        <w:t>MEAR</w:t>
      </w:r>
      <w:r w:rsidRPr="00391C0B">
        <w:t xml:space="preserve"> supplementation</w:t>
      </w:r>
      <w:r>
        <w:t xml:space="preserve"> (21 day)</w:t>
      </w:r>
      <w:r w:rsidRPr="00391C0B">
        <w:t xml:space="preserve"> </w:t>
      </w:r>
      <w:r>
        <w:t xml:space="preserve">along with LPS (4 mg/kg i.p on 21 day) resulted   in reduction in   </w:t>
      </w:r>
      <w:r>
        <w:rPr>
          <w:lang w:val="en-IN" w:eastAsia="en-IN"/>
        </w:rPr>
        <w:t>AST, ALT</w:t>
      </w:r>
      <w:r w:rsidRPr="00391C0B">
        <w:rPr>
          <w:lang w:val="en-IN" w:eastAsia="en-IN"/>
        </w:rPr>
        <w:t xml:space="preserve">, </w:t>
      </w:r>
      <w:r>
        <w:rPr>
          <w:lang w:val="en-IN" w:eastAsia="en-IN"/>
        </w:rPr>
        <w:t xml:space="preserve">ALP </w:t>
      </w:r>
      <w:r w:rsidRPr="00391C0B">
        <w:rPr>
          <w:rFonts w:eastAsia="BPKBL H+ MTSY"/>
        </w:rPr>
        <w:t xml:space="preserve">and </w:t>
      </w:r>
      <w:r>
        <w:rPr>
          <w:rFonts w:eastAsia="BPKBL H+ MTSY"/>
        </w:rPr>
        <w:t>TB</w:t>
      </w:r>
      <w:r w:rsidRPr="00391C0B">
        <w:t xml:space="preserve"> </w:t>
      </w:r>
      <w:r>
        <w:rPr>
          <w:lang w:val="en-IN" w:eastAsia="en-IN"/>
        </w:rPr>
        <w:t>whereas</w:t>
      </w:r>
      <w:r w:rsidRPr="00391C0B">
        <w:rPr>
          <w:lang w:val="en-IN" w:eastAsia="en-IN"/>
        </w:rPr>
        <w:t xml:space="preserve"> the level of TC</w:t>
      </w:r>
      <w:r>
        <w:rPr>
          <w:lang w:val="en-IN" w:eastAsia="en-IN"/>
        </w:rPr>
        <w:t xml:space="preserve"> </w:t>
      </w:r>
      <w:r w:rsidRPr="00391C0B">
        <w:rPr>
          <w:lang w:val="en-IN" w:eastAsia="en-IN"/>
        </w:rPr>
        <w:t>and ALB</w:t>
      </w:r>
      <w:r>
        <w:rPr>
          <w:lang w:val="en-IN" w:eastAsia="en-IN"/>
        </w:rPr>
        <w:t xml:space="preserve"> increased</w:t>
      </w:r>
      <w:r w:rsidRPr="00391C0B">
        <w:t xml:space="preserve"> compared with only LPS-treated group</w:t>
      </w:r>
      <w:r>
        <w:t>.</w:t>
      </w:r>
    </w:p>
    <w:p w:rsidR="00222AC6" w:rsidRDefault="00222AC6">
      <w:pPr>
        <w:pStyle w:val="CommentText"/>
      </w:pPr>
    </w:p>
  </w:comment>
  <w:comment w:id="26" w:author="Kapil" w:date="2021-03-28T14:11:00Z" w:initials="K">
    <w:p w:rsidR="00AC7A7F" w:rsidRDefault="00AC7A7F" w:rsidP="00AC7A7F">
      <w:pPr>
        <w:rPr>
          <w:rFonts w:ascii="Bookman Old Style" w:hAnsi="Bookman Old Style"/>
        </w:rPr>
      </w:pPr>
      <w:r>
        <w:rPr>
          <w:rStyle w:val="CommentReference"/>
        </w:rPr>
        <w:annotationRef/>
      </w:r>
      <w:r>
        <w:rPr>
          <w:rFonts w:ascii="Bookman Old Style" w:hAnsi="Bookman Old Style"/>
        </w:rPr>
        <w:t>current</w:t>
      </w:r>
    </w:p>
    <w:p w:rsidR="00AC7A7F" w:rsidRDefault="00AC7A7F" w:rsidP="00AC7A7F">
      <w:pPr>
        <w:rPr>
          <w:rFonts w:ascii="Bookman Old Style" w:hAnsi="Bookman Old Style"/>
          <w:highlight w:val="yellow"/>
        </w:rPr>
      </w:pPr>
      <w:r w:rsidRPr="006B3A13">
        <w:rPr>
          <w:rFonts w:ascii="Bookman Old Style" w:hAnsi="Bookman Old Style"/>
        </w:rPr>
        <w:t>Please use some scientific words, remove words like we, I, our, your</w:t>
      </w:r>
      <w:r>
        <w:rPr>
          <w:rFonts w:ascii="Bookman Old Style" w:hAnsi="Bookman Old Style"/>
        </w:rPr>
        <w:t>,</w:t>
      </w:r>
      <w:r w:rsidRPr="006B3A13">
        <w:rPr>
          <w:rFonts w:ascii="Bookman Old Style" w:hAnsi="Bookman Old Style"/>
        </w:rPr>
        <w:t xml:space="preserve"> etc</w:t>
      </w:r>
      <w:r>
        <w:rPr>
          <w:rFonts w:ascii="Bookman Old Style" w:hAnsi="Bookman Old Style"/>
        </w:rPr>
        <w:t>.</w:t>
      </w:r>
      <w:r w:rsidRPr="006B3A13">
        <w:rPr>
          <w:rFonts w:ascii="Bookman Old Style" w:hAnsi="Bookman Old Style"/>
          <w:highlight w:val="yellow"/>
        </w:rPr>
        <w:t xml:space="preserve"> </w:t>
      </w:r>
    </w:p>
    <w:p w:rsidR="00AC7A7F" w:rsidRDefault="00AC7A7F">
      <w:pPr>
        <w:pStyle w:val="CommentText"/>
      </w:pPr>
    </w:p>
  </w:comment>
  <w:comment w:id="27" w:author="kapil chauhan" w:date="2019-10-07T15:44:00Z" w:initials="kc">
    <w:p w:rsidR="00BD3579" w:rsidRDefault="00BD3579">
      <w:pPr>
        <w:pStyle w:val="CommentText"/>
      </w:pPr>
      <w:r>
        <w:rPr>
          <w:rStyle w:val="CommentReference"/>
        </w:rPr>
        <w:annotationRef/>
      </w:r>
      <w:hyperlink r:id="rId3" w:history="1">
        <w:r w:rsidRPr="006738D2">
          <w:rPr>
            <w:color w:val="00B0F0"/>
          </w:rPr>
          <w:t>Palanisamy</w:t>
        </w:r>
      </w:hyperlink>
      <w:r w:rsidRPr="006738D2">
        <w:rPr>
          <w:color w:val="00B0F0"/>
        </w:rPr>
        <w:t xml:space="preserve"> and </w:t>
      </w:r>
      <w:hyperlink r:id="rId4" w:history="1">
        <w:r w:rsidRPr="006738D2">
          <w:rPr>
            <w:color w:val="00B0F0"/>
          </w:rPr>
          <w:t xml:space="preserve"> Manian</w:t>
        </w:r>
      </w:hyperlink>
    </w:p>
  </w:comment>
  <w:comment w:id="28" w:author="kapil chauhan" w:date="2019-10-07T15:46:00Z" w:initials="kc">
    <w:p w:rsidR="00BD3579" w:rsidRPr="005F78ED" w:rsidRDefault="00BD3579" w:rsidP="00BD3579">
      <w:pPr>
        <w:pStyle w:val="CommentText"/>
      </w:pPr>
      <w:r>
        <w:rPr>
          <w:rStyle w:val="CommentReference"/>
        </w:rPr>
        <w:annotationRef/>
      </w:r>
      <w:r w:rsidRPr="005F78ED">
        <w:t>Check the reference list:</w:t>
      </w:r>
      <w:r w:rsidRPr="005F78ED">
        <w:rPr>
          <w:vertAlign w:val="superscript"/>
        </w:rPr>
        <w:t xml:space="preserve"> </w:t>
      </w:r>
      <w:r w:rsidRPr="005F78ED">
        <w:rPr>
          <w:b/>
        </w:rPr>
        <w:t>26???????</w:t>
      </w:r>
    </w:p>
    <w:p w:rsidR="00BD3579" w:rsidRDefault="00BD3579">
      <w:pPr>
        <w:pStyle w:val="CommentText"/>
      </w:pPr>
    </w:p>
  </w:comment>
  <w:comment w:id="29" w:author="kapil chauhan" w:date="2019-10-07T15:45:00Z" w:initials="kc">
    <w:p w:rsidR="00BD3579" w:rsidRPr="00BD3579" w:rsidRDefault="00BD3579" w:rsidP="00BD3579">
      <w:pPr>
        <w:shd w:val="clear" w:color="auto" w:fill="FFFFFF"/>
        <w:spacing w:after="150" w:line="480" w:lineRule="auto"/>
        <w:jc w:val="both"/>
      </w:pPr>
      <w:r>
        <w:rPr>
          <w:rStyle w:val="CommentReference"/>
        </w:rPr>
        <w:annotationRef/>
      </w:r>
      <w:r w:rsidRPr="00BD3579">
        <w:t>Please give  a reference for this information</w:t>
      </w:r>
    </w:p>
    <w:p w:rsidR="00BD3579" w:rsidRDefault="00BD3579">
      <w:pPr>
        <w:pStyle w:val="CommentText"/>
      </w:pPr>
    </w:p>
  </w:comment>
  <w:comment w:id="30" w:author="Kapil" w:date="2021-03-28T14:10:00Z" w:initials="K">
    <w:p w:rsidR="00AC7A7F" w:rsidRDefault="00AC7A7F" w:rsidP="00AC7A7F">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AC7A7F" w:rsidRDefault="00AC7A7F">
      <w:pPr>
        <w:pStyle w:val="CommentText"/>
      </w:pPr>
    </w:p>
  </w:comment>
  <w:comment w:id="32" w:author="Kapil" w:date="2021-03-28T14:18:00Z" w:initials="K">
    <w:p w:rsidR="005A7FAC" w:rsidRPr="00186B8E" w:rsidRDefault="005A7FAC" w:rsidP="005A7FAC">
      <w:pPr>
        <w:jc w:val="both"/>
        <w:rPr>
          <w:rFonts w:ascii="Bookman Old Style" w:hAnsi="Bookman Old Style"/>
        </w:rPr>
      </w:pPr>
      <w:r>
        <w:rPr>
          <w:rStyle w:val="CommentReference"/>
        </w:rPr>
        <w:annotationRef/>
      </w:r>
      <w:r w:rsidRPr="00186B8E">
        <w:rPr>
          <w:rFonts w:ascii="Bookman Old Style" w:hAnsi="Bookman Old Style"/>
        </w:rPr>
        <w:t>Please follow the journal specifications for references</w:t>
      </w:r>
      <w:r>
        <w:rPr>
          <w:rFonts w:ascii="Bookman Old Style" w:hAnsi="Bookman Old Style"/>
        </w:rPr>
        <w:t xml:space="preserve">. </w:t>
      </w:r>
      <w:r w:rsidRPr="00351C84">
        <w:rPr>
          <w:rFonts w:ascii="Bookman Old Style" w:hAnsi="Bookman Old Style"/>
        </w:rPr>
        <w:t>For example</w:t>
      </w:r>
    </w:p>
    <w:p w:rsidR="005A7FAC" w:rsidRDefault="005A7FAC" w:rsidP="005A7FAC">
      <w:pPr>
        <w:jc w:val="both"/>
        <w:rPr>
          <w:rFonts w:ascii="Bookman Old Style" w:hAnsi="Bookman Old Style"/>
        </w:rPr>
      </w:pPr>
      <w:r w:rsidRPr="00186B8E">
        <w:rPr>
          <w:rFonts w:ascii="Bookman Old Style" w:hAnsi="Bookman Old Style"/>
        </w:rPr>
        <w:t xml:space="preserve">Chioma ED. </w:t>
      </w:r>
      <w:r>
        <w:rPr>
          <w:rFonts w:ascii="Bookman Old Style" w:hAnsi="Bookman Old Style"/>
        </w:rPr>
        <w:t xml:space="preserve"> </w:t>
      </w:r>
      <w:r w:rsidRPr="00186B8E">
        <w:rPr>
          <w:rFonts w:ascii="Bookman Old Style" w:hAnsi="Bookman Old Style"/>
        </w:rPr>
        <w:t>Formulation and evaluation of etodolac niosomes by modified ether injection technique. Universal J Pharm Res 2016; 1(1): 1-4.</w:t>
      </w:r>
    </w:p>
    <w:p w:rsidR="005A7FAC" w:rsidRDefault="009509E6" w:rsidP="005A7FAC">
      <w:pPr>
        <w:pStyle w:val="CommentText"/>
      </w:pPr>
      <w:hyperlink r:id="rId5" w:history="1">
        <w:r w:rsidR="005A7FAC" w:rsidRPr="006504E1">
          <w:rPr>
            <w:rStyle w:val="Hyperlink"/>
            <w:rFonts w:ascii="Bookman Old Style" w:hAnsi="Bookman Old Style"/>
          </w:rPr>
          <w:t>http://doi.org/10.22270/ujpr.v1i1.R1</w:t>
        </w:r>
      </w:hyperlink>
    </w:p>
  </w:comment>
  <w:comment w:id="31" w:author="kapil chauhan" w:date="2019-10-07T15:49:00Z" w:initials="kc">
    <w:p w:rsidR="00AD4109" w:rsidRDefault="00BD3579" w:rsidP="00BD3579">
      <w:pPr>
        <w:pStyle w:val="CommentText"/>
      </w:pPr>
      <w:r>
        <w:rPr>
          <w:rStyle w:val="CommentReference"/>
        </w:rPr>
        <w:annotationRef/>
      </w:r>
      <w:r w:rsidR="00AD4109">
        <w:t>Not written in accordance to format of  UJPR</w:t>
      </w:r>
    </w:p>
    <w:p w:rsidR="00AD4109" w:rsidRDefault="00AD4109" w:rsidP="00BD3579">
      <w:pPr>
        <w:pStyle w:val="CommentText"/>
      </w:pPr>
    </w:p>
    <w:p w:rsidR="00BD3579" w:rsidRDefault="00BD3579" w:rsidP="00BD3579">
      <w:pPr>
        <w:pStyle w:val="CommentText"/>
      </w:pPr>
      <w:r>
        <w:t>Authors should add  references after 2010. Mostly are from so old literature</w:t>
      </w:r>
    </w:p>
    <w:p w:rsidR="00BD3579" w:rsidRDefault="00BD3579">
      <w:pPr>
        <w:pStyle w:val="CommentText"/>
      </w:pPr>
    </w:p>
  </w:comment>
  <w:comment w:id="33" w:author="Kapil" w:date="2021-03-28T14:17:00Z" w:initials="K">
    <w:p w:rsidR="005A7FAC" w:rsidRDefault="005A7FAC" w:rsidP="005A7FAC">
      <w:pPr>
        <w:rPr>
          <w:rFonts w:ascii="Bookman Old Style" w:hAnsi="Bookman Old Style"/>
        </w:rPr>
      </w:pPr>
      <w:r>
        <w:rPr>
          <w:rStyle w:val="CommentReference"/>
        </w:rPr>
        <w:annotationRef/>
      </w:r>
      <w:r w:rsidRPr="00186B8E">
        <w:rPr>
          <w:rFonts w:ascii="Bookman Old Style" w:hAnsi="Bookman Old Style"/>
        </w:rPr>
        <w:t>Please add DOI to articles if available like this</w:t>
      </w:r>
    </w:p>
    <w:p w:rsidR="005A7FAC" w:rsidRDefault="009509E6" w:rsidP="005A7FAC">
      <w:pPr>
        <w:pStyle w:val="CommentText"/>
      </w:pPr>
      <w:hyperlink r:id="rId6" w:history="1">
        <w:r w:rsidR="005A7FAC" w:rsidRPr="006504E1">
          <w:rPr>
            <w:rStyle w:val="Hyperlink"/>
            <w:rFonts w:ascii="Bookman Old Style" w:hAnsi="Bookman Old Style"/>
          </w:rPr>
          <w:t>http://doi.org/10.22270/ujpr.v1i1.R1</w:t>
        </w:r>
      </w:hyperlink>
    </w:p>
  </w:comment>
  <w:comment w:id="34" w:author="kapil chauhan" w:date="2019-10-07T15:49:00Z" w:initials="kc">
    <w:p w:rsidR="00AD4109" w:rsidRDefault="00AD4109">
      <w:pPr>
        <w:pStyle w:val="CommentText"/>
      </w:pPr>
      <w:r>
        <w:rPr>
          <w:rStyle w:val="CommentReference"/>
        </w:rPr>
        <w:annotationRef/>
      </w:r>
      <w:r>
        <w:t>Italic?</w:t>
      </w:r>
    </w:p>
  </w:comment>
  <w:comment w:id="35" w:author="kapil chauhan" w:date="2019-10-07T15:49:00Z" w:initials="kc">
    <w:p w:rsidR="00AD4109" w:rsidRDefault="00AD4109">
      <w:pPr>
        <w:pStyle w:val="CommentText"/>
      </w:pPr>
      <w:r>
        <w:rPr>
          <w:rStyle w:val="CommentReference"/>
        </w:rPr>
        <w:annotationRef/>
      </w:r>
      <w:r>
        <w:t>Italic?</w:t>
      </w:r>
    </w:p>
  </w:comment>
  <w:comment w:id="36" w:author="kapil chauhan" w:date="2019-10-07T15:49:00Z" w:initials="kc">
    <w:p w:rsidR="00AD4109" w:rsidRDefault="00AD4109">
      <w:pPr>
        <w:pStyle w:val="CommentText"/>
      </w:pPr>
      <w:r>
        <w:rPr>
          <w:rStyle w:val="CommentReference"/>
        </w:rPr>
        <w:annotationRef/>
      </w:r>
      <w:r>
        <w:t>Italic?</w:t>
      </w:r>
    </w:p>
  </w:comment>
  <w:comment w:id="37" w:author="kapil chauhan" w:date="2019-10-07T15:49:00Z" w:initials="kc">
    <w:p w:rsidR="00AD4109" w:rsidRDefault="00AD4109">
      <w:pPr>
        <w:pStyle w:val="CommentText"/>
      </w:pPr>
      <w:r>
        <w:rPr>
          <w:rStyle w:val="CommentReference"/>
        </w:rPr>
        <w:annotationRef/>
      </w:r>
      <w:r>
        <w:t>Italic?</w:t>
      </w:r>
    </w:p>
  </w:comment>
  <w:comment w:id="38" w:author="kapil chauhan" w:date="2019-10-07T15:49:00Z" w:initials="kc">
    <w:p w:rsidR="00AD4109" w:rsidRDefault="00AD4109">
      <w:pPr>
        <w:pStyle w:val="CommentText"/>
      </w:pPr>
      <w:r>
        <w:rPr>
          <w:rStyle w:val="CommentReference"/>
        </w:rPr>
        <w:annotationRef/>
      </w:r>
      <w:r>
        <w:t>Italic?</w:t>
      </w:r>
    </w:p>
  </w:comment>
  <w:comment w:id="39" w:author="kapil chauhan" w:date="2019-10-07T15:49:00Z" w:initials="kc">
    <w:p w:rsidR="00AD4109" w:rsidRDefault="00AD4109">
      <w:pPr>
        <w:pStyle w:val="CommentText"/>
      </w:pPr>
      <w:r>
        <w:rPr>
          <w:rStyle w:val="CommentReference"/>
        </w:rPr>
        <w:annotationRef/>
      </w:r>
      <w:r>
        <w:t>Italic?</w:t>
      </w:r>
    </w:p>
  </w:comment>
  <w:comment w:id="40" w:author="kapil chauhan" w:date="2019-10-07T15:50:00Z" w:initials="kc">
    <w:p w:rsidR="00AD4109" w:rsidRDefault="00AD4109">
      <w:pPr>
        <w:pStyle w:val="CommentText"/>
      </w:pPr>
      <w:r>
        <w:rPr>
          <w:rStyle w:val="CommentReference"/>
        </w:rPr>
        <w:annotationRef/>
      </w:r>
      <w:r>
        <w:t>Italic?</w:t>
      </w:r>
    </w:p>
  </w:comment>
  <w:comment w:id="41" w:author="Kapil" w:date="2021-03-28T14:10:00Z" w:initials="K">
    <w:p w:rsidR="00AC7A7F" w:rsidRDefault="00AC7A7F">
      <w:pPr>
        <w:pStyle w:val="CommentText"/>
      </w:pPr>
      <w:r>
        <w:rPr>
          <w:rStyle w:val="CommentReference"/>
        </w:rPr>
        <w:annotationRef/>
      </w:r>
      <w:r>
        <w:t>Italic?</w:t>
      </w:r>
    </w:p>
  </w:comment>
  <w:comment w:id="42" w:author="kapil chauhan" w:date="2019-10-07T15:50:00Z" w:initials="kc">
    <w:p w:rsidR="00AD4109" w:rsidRDefault="00AD4109">
      <w:pPr>
        <w:pStyle w:val="CommentText"/>
      </w:pPr>
      <w:r>
        <w:rPr>
          <w:rStyle w:val="CommentReference"/>
        </w:rPr>
        <w:annotationRef/>
      </w:r>
      <w:r>
        <w:t>Italic?</w:t>
      </w:r>
    </w:p>
  </w:comment>
  <w:comment w:id="43" w:author="kapil chauhan" w:date="2019-10-07T15:50:00Z" w:initials="kc">
    <w:p w:rsidR="00AD4109" w:rsidRDefault="00AD4109">
      <w:pPr>
        <w:pStyle w:val="CommentText"/>
      </w:pPr>
      <w:r>
        <w:rPr>
          <w:rStyle w:val="CommentReference"/>
        </w:rPr>
        <w:annotationRef/>
      </w:r>
      <w:r>
        <w:t>Italic?</w:t>
      </w:r>
    </w:p>
  </w:comment>
  <w:comment w:id="44" w:author="kapil chauhan" w:date="2019-10-07T15:50:00Z" w:initials="kc">
    <w:p w:rsidR="00AD4109" w:rsidRDefault="00AD4109">
      <w:pPr>
        <w:pStyle w:val="CommentText"/>
      </w:pPr>
      <w:r>
        <w:rPr>
          <w:rStyle w:val="CommentReference"/>
        </w:rPr>
        <w:annotationRef/>
      </w:r>
      <w:r>
        <w:t>Italic?</w:t>
      </w:r>
    </w:p>
  </w:comment>
  <w:comment w:id="45" w:author="kapil chauhan" w:date="2019-10-07T15:50:00Z" w:initials="kc">
    <w:p w:rsidR="00AD4109" w:rsidRDefault="00AD4109">
      <w:pPr>
        <w:pStyle w:val="CommentText"/>
      </w:pPr>
      <w:r>
        <w:rPr>
          <w:rStyle w:val="CommentReference"/>
        </w:rPr>
        <w:annotationRef/>
      </w:r>
      <w:r>
        <w:t>Italic?</w:t>
      </w:r>
    </w:p>
  </w:comment>
  <w:comment w:id="46" w:author="kapil chauhan" w:date="2019-10-07T15:50:00Z" w:initials="kc">
    <w:p w:rsidR="00AD4109" w:rsidRDefault="00AD4109">
      <w:pPr>
        <w:pStyle w:val="CommentText"/>
      </w:pPr>
      <w:r>
        <w:rPr>
          <w:rStyle w:val="CommentReference"/>
        </w:rPr>
        <w:annotationRef/>
      </w:r>
      <w:r>
        <w:t>Italic?</w:t>
      </w:r>
    </w:p>
  </w:comment>
  <w:comment w:id="47" w:author="Kapil" w:date="2021-03-28T14:10:00Z" w:initials="K">
    <w:p w:rsidR="00AC7A7F" w:rsidRDefault="00AC7A7F">
      <w:pPr>
        <w:pStyle w:val="CommentText"/>
      </w:pPr>
      <w:r>
        <w:rPr>
          <w:rStyle w:val="CommentReference"/>
        </w:rPr>
        <w:annotationRef/>
      </w:r>
      <w:r>
        <w:t>Italic?</w:t>
      </w:r>
    </w:p>
  </w:comment>
  <w:comment w:id="48" w:author="kapil chauhan" w:date="2019-10-07T15:50:00Z" w:initials="kc">
    <w:p w:rsidR="00AD4109" w:rsidRDefault="00AD4109">
      <w:pPr>
        <w:pStyle w:val="CommentText"/>
      </w:pPr>
      <w:r>
        <w:rPr>
          <w:rStyle w:val="CommentReference"/>
        </w:rPr>
        <w:annotationRef/>
      </w:r>
      <w:r>
        <w:t>Italic?</w:t>
      </w:r>
    </w:p>
  </w:comment>
  <w:comment w:id="49" w:author="kapil chauhan" w:date="2019-10-07T15:50:00Z" w:initials="kc">
    <w:p w:rsidR="00AD4109" w:rsidRDefault="00AD4109">
      <w:pPr>
        <w:pStyle w:val="CommentText"/>
      </w:pPr>
      <w:r>
        <w:rPr>
          <w:rStyle w:val="CommentReference"/>
        </w:rPr>
        <w:annotationRef/>
      </w:r>
      <w:r>
        <w:t>Italic?</w:t>
      </w:r>
    </w:p>
  </w:comment>
  <w:comment w:id="50" w:author="kapil chauhan" w:date="2019-10-07T15:50:00Z" w:initials="kc">
    <w:p w:rsidR="00AD4109" w:rsidRDefault="00AD4109">
      <w:pPr>
        <w:pStyle w:val="CommentText"/>
      </w:pPr>
      <w:r>
        <w:rPr>
          <w:rStyle w:val="CommentReference"/>
        </w:rPr>
        <w:annotationRef/>
      </w:r>
      <w:r>
        <w:t>Italic?</w:t>
      </w:r>
    </w:p>
  </w:comment>
  <w:comment w:id="51" w:author="kapil chauhan" w:date="2019-10-07T15:50:00Z" w:initials="kc">
    <w:p w:rsidR="00AD4109" w:rsidRDefault="00AD4109">
      <w:pPr>
        <w:pStyle w:val="CommentText"/>
      </w:pPr>
      <w:r>
        <w:rPr>
          <w:rStyle w:val="CommentReference"/>
        </w:rPr>
        <w:annotationRef/>
      </w:r>
      <w:r>
        <w:t>Italic?</w:t>
      </w:r>
    </w:p>
  </w:comment>
  <w:comment w:id="52" w:author="kapil chauhan" w:date="2019-10-07T15:50:00Z" w:initials="kc">
    <w:p w:rsidR="00AD4109" w:rsidRDefault="00AD4109">
      <w:pPr>
        <w:pStyle w:val="CommentText"/>
      </w:pPr>
      <w:r>
        <w:rPr>
          <w:rStyle w:val="CommentReference"/>
        </w:rPr>
        <w:annotationRef/>
      </w:r>
      <w:r>
        <w:t>Italic?</w:t>
      </w:r>
    </w:p>
  </w:comment>
  <w:comment w:id="53" w:author="kapil chauhan" w:date="2019-10-07T15:50:00Z" w:initials="kc">
    <w:p w:rsidR="00AD4109" w:rsidRDefault="00AD4109">
      <w:pPr>
        <w:pStyle w:val="CommentText"/>
      </w:pPr>
      <w:r>
        <w:rPr>
          <w:rStyle w:val="CommentReference"/>
        </w:rPr>
        <w:annotationRef/>
      </w:r>
      <w:r>
        <w:t>Italic?</w:t>
      </w:r>
    </w:p>
  </w:comment>
  <w:comment w:id="54" w:author="Kapil" w:date="2021-03-28T14:12:00Z" w:initials="K">
    <w:p w:rsidR="00AC7A7F" w:rsidRDefault="00AC7A7F">
      <w:pPr>
        <w:pStyle w:val="CommentText"/>
      </w:pPr>
      <w:r>
        <w:rPr>
          <w:rStyle w:val="CommentReference"/>
        </w:rPr>
        <w:annotationRef/>
      </w:r>
      <w:r>
        <w:t>Should be in italic</w:t>
      </w:r>
    </w:p>
  </w:comment>
  <w:comment w:id="55" w:author="kapil chauhan" w:date="2019-10-07T15:50:00Z" w:initials="kc">
    <w:p w:rsidR="00AD4109" w:rsidRDefault="00AD4109">
      <w:pPr>
        <w:pStyle w:val="CommentText"/>
      </w:pPr>
      <w:r>
        <w:rPr>
          <w:rStyle w:val="CommentReference"/>
        </w:rPr>
        <w:annotationRef/>
      </w:r>
      <w:r>
        <w:t>Italic?</w:t>
      </w:r>
    </w:p>
  </w:comment>
  <w:comment w:id="56" w:author="kapil chauhan" w:date="2019-10-07T15:50:00Z" w:initials="kc">
    <w:p w:rsidR="00AD4109" w:rsidRDefault="00AD4109">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EAC" w:rsidRDefault="00F83EAC" w:rsidP="0033266D">
      <w:r>
        <w:separator/>
      </w:r>
    </w:p>
  </w:endnote>
  <w:endnote w:type="continuationSeparator" w:id="1">
    <w:p w:rsidR="00F83EAC" w:rsidRDefault="00F83EAC" w:rsidP="0033266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PKBL H+ MTSY">
    <w:altName w:val="Arial Unicode MS"/>
    <w:panose1 w:val="00000000000000000000"/>
    <w:charset w:val="80"/>
    <w:family w:val="swiss"/>
    <w:notTrueType/>
    <w:pitch w:val="default"/>
    <w:sig w:usb0="00000003" w:usb1="08070000" w:usb2="00000010" w:usb3="00000000" w:csb0="00020001" w:csb1="00000000"/>
  </w:font>
  <w:font w:name="+mn-e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E-HZ">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97" w:rsidRDefault="006E7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6B" w:rsidRDefault="009509E6">
    <w:pPr>
      <w:pStyle w:val="Footer"/>
      <w:jc w:val="right"/>
    </w:pPr>
    <w:r>
      <w:fldChar w:fldCharType="begin"/>
    </w:r>
    <w:r w:rsidR="009C6737">
      <w:instrText xml:space="preserve"> PAGE   \* MERGEFORMAT </w:instrText>
    </w:r>
    <w:r>
      <w:fldChar w:fldCharType="separate"/>
    </w:r>
    <w:r w:rsidR="00D92DCA">
      <w:rPr>
        <w:noProof/>
      </w:rPr>
      <w:t>10</w:t>
    </w:r>
    <w:r>
      <w:rPr>
        <w:noProof/>
      </w:rPr>
      <w:fldChar w:fldCharType="end"/>
    </w:r>
  </w:p>
  <w:p w:rsidR="00C67B6B" w:rsidRDefault="00F83E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97" w:rsidRDefault="006E7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EAC" w:rsidRDefault="00F83EAC" w:rsidP="0033266D">
      <w:r>
        <w:separator/>
      </w:r>
    </w:p>
  </w:footnote>
  <w:footnote w:type="continuationSeparator" w:id="1">
    <w:p w:rsidR="00F83EAC" w:rsidRDefault="00F83EAC" w:rsidP="00332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97" w:rsidRDefault="009509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320" o:spid="_x0000_s15362" type="#_x0000_t136" style="position:absolute;margin-left:0;margin-top:0;width:426.75pt;height:54.75pt;rotation:315;z-index:-251654144;mso-position-horizontal:center;mso-position-horizontal-relative:margin;mso-position-vertical:center;mso-position-vertical-relative:margin" o:allowincell="f" fillcolor="#002060" stroked="f">
          <v:fill opacity=".5"/>
          <v:textpath style="font-family:&quot;Times New Roman&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4A" w:rsidRDefault="009509E6" w:rsidP="00665C52">
    <w:pPr>
      <w:pStyle w:val="Header"/>
      <w:tabs>
        <w:tab w:val="clear" w:pos="4320"/>
        <w:tab w:val="clear" w:pos="864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321" o:spid="_x0000_s15363" type="#_x0000_t136" style="position:absolute;margin-left:0;margin-top:0;width:426.75pt;height:54.75pt;rotation:315;z-index:-251652096;mso-position-horizontal:center;mso-position-horizontal-relative:margin;mso-position-vertical:center;mso-position-vertical-relative:margin" o:allowincell="f" fillcolor="#002060" stroked="f">
          <v:fill opacity=".5"/>
          <v:textpath style="font-family:&quot;Times New Roman&quot;;font-size:48pt" string="Reviewer's Comments"/>
          <w10:wrap anchorx="margin" anchory="margin"/>
        </v:shape>
      </w:pict>
    </w:r>
  </w:p>
  <w:p w:rsidR="0087164A" w:rsidRDefault="00F83EAC">
    <w:pPr>
      <w:pStyle w:val="Header"/>
    </w:pPr>
  </w:p>
  <w:p w:rsidR="0087164A" w:rsidRDefault="00F83EAC">
    <w:pPr>
      <w:pStyle w:val="Header"/>
    </w:pPr>
  </w:p>
  <w:p w:rsidR="0087164A" w:rsidRDefault="00F83EAC">
    <w:pPr>
      <w:pStyle w:val="Header"/>
    </w:pPr>
  </w:p>
  <w:p w:rsidR="0087164A" w:rsidRPr="0087164A" w:rsidRDefault="00F83E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97" w:rsidRDefault="009509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319" o:spid="_x0000_s15361" type="#_x0000_t136" style="position:absolute;margin-left:0;margin-top:0;width:426.75pt;height:54.75pt;rotation:315;z-index:-251656192;mso-position-horizontal:center;mso-position-horizontal-relative:margin;mso-position-vertical:center;mso-position-vertical-relative:margin" o:allowincell="f" fillcolor="#002060" stroked="f">
          <v:fill opacity=".5"/>
          <v:textpath style="font-family:&quot;Times New Roman&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5EE"/>
    <w:multiLevelType w:val="hybridMultilevel"/>
    <w:tmpl w:val="4358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005E1"/>
    <w:multiLevelType w:val="hybridMultilevel"/>
    <w:tmpl w:val="54CA41D4"/>
    <w:lvl w:ilvl="0" w:tplc="C52A948E">
      <w:start w:val="1"/>
      <w:numFmt w:val="bullet"/>
      <w:lvlText w:val=""/>
      <w:lvlJc w:val="left"/>
      <w:pPr>
        <w:tabs>
          <w:tab w:val="num" w:pos="720"/>
        </w:tabs>
        <w:ind w:left="720" w:hanging="360"/>
      </w:pPr>
      <w:rPr>
        <w:rFonts w:ascii="Wingdings 2" w:hAnsi="Wingdings 2" w:hint="default"/>
      </w:rPr>
    </w:lvl>
    <w:lvl w:ilvl="1" w:tplc="B274AAE4" w:tentative="1">
      <w:start w:val="1"/>
      <w:numFmt w:val="bullet"/>
      <w:lvlText w:val=""/>
      <w:lvlJc w:val="left"/>
      <w:pPr>
        <w:tabs>
          <w:tab w:val="num" w:pos="1440"/>
        </w:tabs>
        <w:ind w:left="1440" w:hanging="360"/>
      </w:pPr>
      <w:rPr>
        <w:rFonts w:ascii="Wingdings 2" w:hAnsi="Wingdings 2" w:hint="default"/>
      </w:rPr>
    </w:lvl>
    <w:lvl w:ilvl="2" w:tplc="6576EEDE" w:tentative="1">
      <w:start w:val="1"/>
      <w:numFmt w:val="bullet"/>
      <w:lvlText w:val=""/>
      <w:lvlJc w:val="left"/>
      <w:pPr>
        <w:tabs>
          <w:tab w:val="num" w:pos="2160"/>
        </w:tabs>
        <w:ind w:left="2160" w:hanging="360"/>
      </w:pPr>
      <w:rPr>
        <w:rFonts w:ascii="Wingdings 2" w:hAnsi="Wingdings 2" w:hint="default"/>
      </w:rPr>
    </w:lvl>
    <w:lvl w:ilvl="3" w:tplc="5D109110" w:tentative="1">
      <w:start w:val="1"/>
      <w:numFmt w:val="bullet"/>
      <w:lvlText w:val=""/>
      <w:lvlJc w:val="left"/>
      <w:pPr>
        <w:tabs>
          <w:tab w:val="num" w:pos="2880"/>
        </w:tabs>
        <w:ind w:left="2880" w:hanging="360"/>
      </w:pPr>
      <w:rPr>
        <w:rFonts w:ascii="Wingdings 2" w:hAnsi="Wingdings 2" w:hint="default"/>
      </w:rPr>
    </w:lvl>
    <w:lvl w:ilvl="4" w:tplc="BF8614F8" w:tentative="1">
      <w:start w:val="1"/>
      <w:numFmt w:val="bullet"/>
      <w:lvlText w:val=""/>
      <w:lvlJc w:val="left"/>
      <w:pPr>
        <w:tabs>
          <w:tab w:val="num" w:pos="3600"/>
        </w:tabs>
        <w:ind w:left="3600" w:hanging="360"/>
      </w:pPr>
      <w:rPr>
        <w:rFonts w:ascii="Wingdings 2" w:hAnsi="Wingdings 2" w:hint="default"/>
      </w:rPr>
    </w:lvl>
    <w:lvl w:ilvl="5" w:tplc="E5D6C0F4" w:tentative="1">
      <w:start w:val="1"/>
      <w:numFmt w:val="bullet"/>
      <w:lvlText w:val=""/>
      <w:lvlJc w:val="left"/>
      <w:pPr>
        <w:tabs>
          <w:tab w:val="num" w:pos="4320"/>
        </w:tabs>
        <w:ind w:left="4320" w:hanging="360"/>
      </w:pPr>
      <w:rPr>
        <w:rFonts w:ascii="Wingdings 2" w:hAnsi="Wingdings 2" w:hint="default"/>
      </w:rPr>
    </w:lvl>
    <w:lvl w:ilvl="6" w:tplc="FDE02346" w:tentative="1">
      <w:start w:val="1"/>
      <w:numFmt w:val="bullet"/>
      <w:lvlText w:val=""/>
      <w:lvlJc w:val="left"/>
      <w:pPr>
        <w:tabs>
          <w:tab w:val="num" w:pos="5040"/>
        </w:tabs>
        <w:ind w:left="5040" w:hanging="360"/>
      </w:pPr>
      <w:rPr>
        <w:rFonts w:ascii="Wingdings 2" w:hAnsi="Wingdings 2" w:hint="default"/>
      </w:rPr>
    </w:lvl>
    <w:lvl w:ilvl="7" w:tplc="83AE252A" w:tentative="1">
      <w:start w:val="1"/>
      <w:numFmt w:val="bullet"/>
      <w:lvlText w:val=""/>
      <w:lvlJc w:val="left"/>
      <w:pPr>
        <w:tabs>
          <w:tab w:val="num" w:pos="5760"/>
        </w:tabs>
        <w:ind w:left="5760" w:hanging="360"/>
      </w:pPr>
      <w:rPr>
        <w:rFonts w:ascii="Wingdings 2" w:hAnsi="Wingdings 2" w:hint="default"/>
      </w:rPr>
    </w:lvl>
    <w:lvl w:ilvl="8" w:tplc="1F3EEC64" w:tentative="1">
      <w:start w:val="1"/>
      <w:numFmt w:val="bullet"/>
      <w:lvlText w:val=""/>
      <w:lvlJc w:val="left"/>
      <w:pPr>
        <w:tabs>
          <w:tab w:val="num" w:pos="6480"/>
        </w:tabs>
        <w:ind w:left="6480" w:hanging="360"/>
      </w:pPr>
      <w:rPr>
        <w:rFonts w:ascii="Wingdings 2" w:hAnsi="Wingdings 2" w:hint="default"/>
      </w:rPr>
    </w:lvl>
  </w:abstractNum>
  <w:abstractNum w:abstractNumId="2">
    <w:nsid w:val="06A87935"/>
    <w:multiLevelType w:val="hybridMultilevel"/>
    <w:tmpl w:val="BFA247FC"/>
    <w:lvl w:ilvl="0" w:tplc="FFC6E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90141"/>
    <w:multiLevelType w:val="hybridMultilevel"/>
    <w:tmpl w:val="96560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F1781"/>
    <w:multiLevelType w:val="hybridMultilevel"/>
    <w:tmpl w:val="DDDCDF9A"/>
    <w:lvl w:ilvl="0" w:tplc="D9B21008">
      <w:start w:val="1"/>
      <w:numFmt w:val="bullet"/>
      <w:lvlText w:val="•"/>
      <w:lvlJc w:val="left"/>
      <w:pPr>
        <w:tabs>
          <w:tab w:val="num" w:pos="720"/>
        </w:tabs>
        <w:ind w:left="720" w:hanging="360"/>
      </w:pPr>
      <w:rPr>
        <w:rFonts w:ascii="Arial" w:hAnsi="Arial" w:hint="default"/>
      </w:rPr>
    </w:lvl>
    <w:lvl w:ilvl="1" w:tplc="61F69542" w:tentative="1">
      <w:start w:val="1"/>
      <w:numFmt w:val="bullet"/>
      <w:lvlText w:val="•"/>
      <w:lvlJc w:val="left"/>
      <w:pPr>
        <w:tabs>
          <w:tab w:val="num" w:pos="1440"/>
        </w:tabs>
        <w:ind w:left="1440" w:hanging="360"/>
      </w:pPr>
      <w:rPr>
        <w:rFonts w:ascii="Arial" w:hAnsi="Arial" w:hint="default"/>
      </w:rPr>
    </w:lvl>
    <w:lvl w:ilvl="2" w:tplc="A650EF60" w:tentative="1">
      <w:start w:val="1"/>
      <w:numFmt w:val="bullet"/>
      <w:lvlText w:val="•"/>
      <w:lvlJc w:val="left"/>
      <w:pPr>
        <w:tabs>
          <w:tab w:val="num" w:pos="2160"/>
        </w:tabs>
        <w:ind w:left="2160" w:hanging="360"/>
      </w:pPr>
      <w:rPr>
        <w:rFonts w:ascii="Arial" w:hAnsi="Arial" w:hint="default"/>
      </w:rPr>
    </w:lvl>
    <w:lvl w:ilvl="3" w:tplc="FB929DB8" w:tentative="1">
      <w:start w:val="1"/>
      <w:numFmt w:val="bullet"/>
      <w:lvlText w:val="•"/>
      <w:lvlJc w:val="left"/>
      <w:pPr>
        <w:tabs>
          <w:tab w:val="num" w:pos="2880"/>
        </w:tabs>
        <w:ind w:left="2880" w:hanging="360"/>
      </w:pPr>
      <w:rPr>
        <w:rFonts w:ascii="Arial" w:hAnsi="Arial" w:hint="default"/>
      </w:rPr>
    </w:lvl>
    <w:lvl w:ilvl="4" w:tplc="3970F71A" w:tentative="1">
      <w:start w:val="1"/>
      <w:numFmt w:val="bullet"/>
      <w:lvlText w:val="•"/>
      <w:lvlJc w:val="left"/>
      <w:pPr>
        <w:tabs>
          <w:tab w:val="num" w:pos="3600"/>
        </w:tabs>
        <w:ind w:left="3600" w:hanging="360"/>
      </w:pPr>
      <w:rPr>
        <w:rFonts w:ascii="Arial" w:hAnsi="Arial" w:hint="default"/>
      </w:rPr>
    </w:lvl>
    <w:lvl w:ilvl="5" w:tplc="3D3EBCF4" w:tentative="1">
      <w:start w:val="1"/>
      <w:numFmt w:val="bullet"/>
      <w:lvlText w:val="•"/>
      <w:lvlJc w:val="left"/>
      <w:pPr>
        <w:tabs>
          <w:tab w:val="num" w:pos="4320"/>
        </w:tabs>
        <w:ind w:left="4320" w:hanging="360"/>
      </w:pPr>
      <w:rPr>
        <w:rFonts w:ascii="Arial" w:hAnsi="Arial" w:hint="default"/>
      </w:rPr>
    </w:lvl>
    <w:lvl w:ilvl="6" w:tplc="705287C0" w:tentative="1">
      <w:start w:val="1"/>
      <w:numFmt w:val="bullet"/>
      <w:lvlText w:val="•"/>
      <w:lvlJc w:val="left"/>
      <w:pPr>
        <w:tabs>
          <w:tab w:val="num" w:pos="5040"/>
        </w:tabs>
        <w:ind w:left="5040" w:hanging="360"/>
      </w:pPr>
      <w:rPr>
        <w:rFonts w:ascii="Arial" w:hAnsi="Arial" w:hint="default"/>
      </w:rPr>
    </w:lvl>
    <w:lvl w:ilvl="7" w:tplc="569876D2" w:tentative="1">
      <w:start w:val="1"/>
      <w:numFmt w:val="bullet"/>
      <w:lvlText w:val="•"/>
      <w:lvlJc w:val="left"/>
      <w:pPr>
        <w:tabs>
          <w:tab w:val="num" w:pos="5760"/>
        </w:tabs>
        <w:ind w:left="5760" w:hanging="360"/>
      </w:pPr>
      <w:rPr>
        <w:rFonts w:ascii="Arial" w:hAnsi="Arial" w:hint="default"/>
      </w:rPr>
    </w:lvl>
    <w:lvl w:ilvl="8" w:tplc="E5C44690" w:tentative="1">
      <w:start w:val="1"/>
      <w:numFmt w:val="bullet"/>
      <w:lvlText w:val="•"/>
      <w:lvlJc w:val="left"/>
      <w:pPr>
        <w:tabs>
          <w:tab w:val="num" w:pos="6480"/>
        </w:tabs>
        <w:ind w:left="6480" w:hanging="360"/>
      </w:pPr>
      <w:rPr>
        <w:rFonts w:ascii="Arial" w:hAnsi="Arial" w:hint="default"/>
      </w:rPr>
    </w:lvl>
  </w:abstractNum>
  <w:abstractNum w:abstractNumId="5">
    <w:nsid w:val="0BA14EA1"/>
    <w:multiLevelType w:val="multilevel"/>
    <w:tmpl w:val="702CC548"/>
    <w:lvl w:ilvl="0">
      <w:start w:val="1"/>
      <w:numFmt w:val="decimal"/>
      <w:lvlText w:val="%1."/>
      <w:lvlJc w:val="left"/>
      <w:pPr>
        <w:ind w:left="630" w:hanging="360"/>
      </w:pPr>
      <w:rPr>
        <w:rFonts w:hint="default"/>
        <w:b/>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0DB627D4"/>
    <w:multiLevelType w:val="hybridMultilevel"/>
    <w:tmpl w:val="9FDA1548"/>
    <w:lvl w:ilvl="0" w:tplc="C2C6C43E">
      <w:start w:val="1"/>
      <w:numFmt w:val="bullet"/>
      <w:lvlText w:val="•"/>
      <w:lvlJc w:val="left"/>
      <w:pPr>
        <w:tabs>
          <w:tab w:val="num" w:pos="810"/>
        </w:tabs>
        <w:ind w:left="810" w:hanging="360"/>
      </w:pPr>
      <w:rPr>
        <w:rFonts w:ascii="Arial" w:hAnsi="Arial" w:hint="default"/>
        <w:sz w:val="28"/>
        <w:szCs w:val="28"/>
      </w:rPr>
    </w:lvl>
    <w:lvl w:ilvl="1" w:tplc="CD909052">
      <w:start w:val="1"/>
      <w:numFmt w:val="bullet"/>
      <w:lvlText w:val="•"/>
      <w:lvlJc w:val="left"/>
      <w:pPr>
        <w:tabs>
          <w:tab w:val="num" w:pos="1440"/>
        </w:tabs>
        <w:ind w:left="1440" w:hanging="360"/>
      </w:pPr>
      <w:rPr>
        <w:rFonts w:ascii="Arial" w:hAnsi="Arial" w:hint="default"/>
      </w:rPr>
    </w:lvl>
    <w:lvl w:ilvl="2" w:tplc="1B003CBE" w:tentative="1">
      <w:start w:val="1"/>
      <w:numFmt w:val="bullet"/>
      <w:lvlText w:val="•"/>
      <w:lvlJc w:val="left"/>
      <w:pPr>
        <w:tabs>
          <w:tab w:val="num" w:pos="2160"/>
        </w:tabs>
        <w:ind w:left="2160" w:hanging="360"/>
      </w:pPr>
      <w:rPr>
        <w:rFonts w:ascii="Arial" w:hAnsi="Arial" w:hint="default"/>
      </w:rPr>
    </w:lvl>
    <w:lvl w:ilvl="3" w:tplc="B5FABAA8" w:tentative="1">
      <w:start w:val="1"/>
      <w:numFmt w:val="bullet"/>
      <w:lvlText w:val="•"/>
      <w:lvlJc w:val="left"/>
      <w:pPr>
        <w:tabs>
          <w:tab w:val="num" w:pos="2880"/>
        </w:tabs>
        <w:ind w:left="2880" w:hanging="360"/>
      </w:pPr>
      <w:rPr>
        <w:rFonts w:ascii="Arial" w:hAnsi="Arial" w:hint="default"/>
      </w:rPr>
    </w:lvl>
    <w:lvl w:ilvl="4" w:tplc="357E7A8E" w:tentative="1">
      <w:start w:val="1"/>
      <w:numFmt w:val="bullet"/>
      <w:lvlText w:val="•"/>
      <w:lvlJc w:val="left"/>
      <w:pPr>
        <w:tabs>
          <w:tab w:val="num" w:pos="3600"/>
        </w:tabs>
        <w:ind w:left="3600" w:hanging="360"/>
      </w:pPr>
      <w:rPr>
        <w:rFonts w:ascii="Arial" w:hAnsi="Arial" w:hint="default"/>
      </w:rPr>
    </w:lvl>
    <w:lvl w:ilvl="5" w:tplc="07C0A09E" w:tentative="1">
      <w:start w:val="1"/>
      <w:numFmt w:val="bullet"/>
      <w:lvlText w:val="•"/>
      <w:lvlJc w:val="left"/>
      <w:pPr>
        <w:tabs>
          <w:tab w:val="num" w:pos="4320"/>
        </w:tabs>
        <w:ind w:left="4320" w:hanging="360"/>
      </w:pPr>
      <w:rPr>
        <w:rFonts w:ascii="Arial" w:hAnsi="Arial" w:hint="default"/>
      </w:rPr>
    </w:lvl>
    <w:lvl w:ilvl="6" w:tplc="3694324A" w:tentative="1">
      <w:start w:val="1"/>
      <w:numFmt w:val="bullet"/>
      <w:lvlText w:val="•"/>
      <w:lvlJc w:val="left"/>
      <w:pPr>
        <w:tabs>
          <w:tab w:val="num" w:pos="5040"/>
        </w:tabs>
        <w:ind w:left="5040" w:hanging="360"/>
      </w:pPr>
      <w:rPr>
        <w:rFonts w:ascii="Arial" w:hAnsi="Arial" w:hint="default"/>
      </w:rPr>
    </w:lvl>
    <w:lvl w:ilvl="7" w:tplc="CAB058C4" w:tentative="1">
      <w:start w:val="1"/>
      <w:numFmt w:val="bullet"/>
      <w:lvlText w:val="•"/>
      <w:lvlJc w:val="left"/>
      <w:pPr>
        <w:tabs>
          <w:tab w:val="num" w:pos="5760"/>
        </w:tabs>
        <w:ind w:left="5760" w:hanging="360"/>
      </w:pPr>
      <w:rPr>
        <w:rFonts w:ascii="Arial" w:hAnsi="Arial" w:hint="default"/>
      </w:rPr>
    </w:lvl>
    <w:lvl w:ilvl="8" w:tplc="D9DEB6BC" w:tentative="1">
      <w:start w:val="1"/>
      <w:numFmt w:val="bullet"/>
      <w:lvlText w:val="•"/>
      <w:lvlJc w:val="left"/>
      <w:pPr>
        <w:tabs>
          <w:tab w:val="num" w:pos="6480"/>
        </w:tabs>
        <w:ind w:left="6480" w:hanging="360"/>
      </w:pPr>
      <w:rPr>
        <w:rFonts w:ascii="Arial" w:hAnsi="Arial" w:hint="default"/>
      </w:rPr>
    </w:lvl>
  </w:abstractNum>
  <w:abstractNum w:abstractNumId="7">
    <w:nsid w:val="109C664B"/>
    <w:multiLevelType w:val="hybridMultilevel"/>
    <w:tmpl w:val="942252C2"/>
    <w:lvl w:ilvl="0" w:tplc="63BA310A">
      <w:start w:val="1"/>
      <w:numFmt w:val="low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15D077A2"/>
    <w:multiLevelType w:val="multilevel"/>
    <w:tmpl w:val="1CAC7BF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496877"/>
    <w:multiLevelType w:val="hybridMultilevel"/>
    <w:tmpl w:val="EFAA076A"/>
    <w:lvl w:ilvl="0" w:tplc="C2C6C43E">
      <w:start w:val="1"/>
      <w:numFmt w:val="bullet"/>
      <w:lvlText w:val="•"/>
      <w:lvlJc w:val="left"/>
      <w:pPr>
        <w:tabs>
          <w:tab w:val="num" w:pos="1544"/>
        </w:tabs>
        <w:ind w:left="1544" w:hanging="360"/>
      </w:pPr>
      <w:rPr>
        <w:rFonts w:ascii="Arial" w:hAnsi="Arial" w:hint="default"/>
        <w:sz w:val="28"/>
        <w:szCs w:val="28"/>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0">
    <w:nsid w:val="1A363862"/>
    <w:multiLevelType w:val="hybridMultilevel"/>
    <w:tmpl w:val="7AF46238"/>
    <w:lvl w:ilvl="0" w:tplc="771870DE">
      <w:start w:val="1"/>
      <w:numFmt w:val="bullet"/>
      <w:lvlText w:val="•"/>
      <w:lvlJc w:val="left"/>
      <w:pPr>
        <w:tabs>
          <w:tab w:val="num" w:pos="720"/>
        </w:tabs>
        <w:ind w:left="720" w:hanging="360"/>
      </w:pPr>
      <w:rPr>
        <w:rFonts w:ascii="Arial" w:hAnsi="Arial" w:hint="default"/>
      </w:rPr>
    </w:lvl>
    <w:lvl w:ilvl="1" w:tplc="3FB69F60" w:tentative="1">
      <w:start w:val="1"/>
      <w:numFmt w:val="bullet"/>
      <w:lvlText w:val=""/>
      <w:lvlJc w:val="left"/>
      <w:pPr>
        <w:tabs>
          <w:tab w:val="num" w:pos="1440"/>
        </w:tabs>
        <w:ind w:left="1440" w:hanging="360"/>
      </w:pPr>
      <w:rPr>
        <w:rFonts w:ascii="Wingdings 2" w:hAnsi="Wingdings 2" w:hint="default"/>
      </w:rPr>
    </w:lvl>
    <w:lvl w:ilvl="2" w:tplc="8EC805B0" w:tentative="1">
      <w:start w:val="1"/>
      <w:numFmt w:val="bullet"/>
      <w:lvlText w:val=""/>
      <w:lvlJc w:val="left"/>
      <w:pPr>
        <w:tabs>
          <w:tab w:val="num" w:pos="2160"/>
        </w:tabs>
        <w:ind w:left="2160" w:hanging="360"/>
      </w:pPr>
      <w:rPr>
        <w:rFonts w:ascii="Wingdings 2" w:hAnsi="Wingdings 2" w:hint="default"/>
      </w:rPr>
    </w:lvl>
    <w:lvl w:ilvl="3" w:tplc="AA842774" w:tentative="1">
      <w:start w:val="1"/>
      <w:numFmt w:val="bullet"/>
      <w:lvlText w:val=""/>
      <w:lvlJc w:val="left"/>
      <w:pPr>
        <w:tabs>
          <w:tab w:val="num" w:pos="2880"/>
        </w:tabs>
        <w:ind w:left="2880" w:hanging="360"/>
      </w:pPr>
      <w:rPr>
        <w:rFonts w:ascii="Wingdings 2" w:hAnsi="Wingdings 2" w:hint="default"/>
      </w:rPr>
    </w:lvl>
    <w:lvl w:ilvl="4" w:tplc="E8DA7A82" w:tentative="1">
      <w:start w:val="1"/>
      <w:numFmt w:val="bullet"/>
      <w:lvlText w:val=""/>
      <w:lvlJc w:val="left"/>
      <w:pPr>
        <w:tabs>
          <w:tab w:val="num" w:pos="3600"/>
        </w:tabs>
        <w:ind w:left="3600" w:hanging="360"/>
      </w:pPr>
      <w:rPr>
        <w:rFonts w:ascii="Wingdings 2" w:hAnsi="Wingdings 2" w:hint="default"/>
      </w:rPr>
    </w:lvl>
    <w:lvl w:ilvl="5" w:tplc="441C6D92" w:tentative="1">
      <w:start w:val="1"/>
      <w:numFmt w:val="bullet"/>
      <w:lvlText w:val=""/>
      <w:lvlJc w:val="left"/>
      <w:pPr>
        <w:tabs>
          <w:tab w:val="num" w:pos="4320"/>
        </w:tabs>
        <w:ind w:left="4320" w:hanging="360"/>
      </w:pPr>
      <w:rPr>
        <w:rFonts w:ascii="Wingdings 2" w:hAnsi="Wingdings 2" w:hint="default"/>
      </w:rPr>
    </w:lvl>
    <w:lvl w:ilvl="6" w:tplc="163C6A32" w:tentative="1">
      <w:start w:val="1"/>
      <w:numFmt w:val="bullet"/>
      <w:lvlText w:val=""/>
      <w:lvlJc w:val="left"/>
      <w:pPr>
        <w:tabs>
          <w:tab w:val="num" w:pos="5040"/>
        </w:tabs>
        <w:ind w:left="5040" w:hanging="360"/>
      </w:pPr>
      <w:rPr>
        <w:rFonts w:ascii="Wingdings 2" w:hAnsi="Wingdings 2" w:hint="default"/>
      </w:rPr>
    </w:lvl>
    <w:lvl w:ilvl="7" w:tplc="9932820A" w:tentative="1">
      <w:start w:val="1"/>
      <w:numFmt w:val="bullet"/>
      <w:lvlText w:val=""/>
      <w:lvlJc w:val="left"/>
      <w:pPr>
        <w:tabs>
          <w:tab w:val="num" w:pos="5760"/>
        </w:tabs>
        <w:ind w:left="5760" w:hanging="360"/>
      </w:pPr>
      <w:rPr>
        <w:rFonts w:ascii="Wingdings 2" w:hAnsi="Wingdings 2" w:hint="default"/>
      </w:rPr>
    </w:lvl>
    <w:lvl w:ilvl="8" w:tplc="40D21CDE" w:tentative="1">
      <w:start w:val="1"/>
      <w:numFmt w:val="bullet"/>
      <w:lvlText w:val=""/>
      <w:lvlJc w:val="left"/>
      <w:pPr>
        <w:tabs>
          <w:tab w:val="num" w:pos="6480"/>
        </w:tabs>
        <w:ind w:left="6480" w:hanging="360"/>
      </w:pPr>
      <w:rPr>
        <w:rFonts w:ascii="Wingdings 2" w:hAnsi="Wingdings 2" w:hint="default"/>
      </w:rPr>
    </w:lvl>
  </w:abstractNum>
  <w:abstractNum w:abstractNumId="11">
    <w:nsid w:val="1C3E3AFD"/>
    <w:multiLevelType w:val="hybridMultilevel"/>
    <w:tmpl w:val="594079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1CB04482"/>
    <w:multiLevelType w:val="hybridMultilevel"/>
    <w:tmpl w:val="04184D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E30854"/>
    <w:multiLevelType w:val="multilevel"/>
    <w:tmpl w:val="1494BB60"/>
    <w:lvl w:ilvl="0">
      <w:start w:val="1"/>
      <w:numFmt w:val="decimal"/>
      <w:lvlText w:val="%1."/>
      <w:lvlJc w:val="left"/>
      <w:pPr>
        <w:tabs>
          <w:tab w:val="num" w:pos="720"/>
        </w:tabs>
        <w:ind w:left="720" w:hanging="360"/>
      </w:pPr>
      <w:rPr>
        <w:rFonts w:hint="default"/>
      </w:rPr>
    </w:lvl>
    <w:lvl w:ilvl="1">
      <w:start w:val="52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62059EB"/>
    <w:multiLevelType w:val="hybridMultilevel"/>
    <w:tmpl w:val="AECA298E"/>
    <w:lvl w:ilvl="0" w:tplc="7CA40BEA">
      <w:start w:val="1"/>
      <w:numFmt w:val="bullet"/>
      <w:lvlText w:val="•"/>
      <w:lvlJc w:val="left"/>
      <w:pPr>
        <w:tabs>
          <w:tab w:val="num" w:pos="720"/>
        </w:tabs>
        <w:ind w:left="720" w:hanging="360"/>
      </w:pPr>
      <w:rPr>
        <w:rFonts w:ascii="Arial" w:hAnsi="Arial" w:hint="default"/>
      </w:rPr>
    </w:lvl>
    <w:lvl w:ilvl="1" w:tplc="8084B2F2" w:tentative="1">
      <w:start w:val="1"/>
      <w:numFmt w:val="bullet"/>
      <w:lvlText w:val="•"/>
      <w:lvlJc w:val="left"/>
      <w:pPr>
        <w:tabs>
          <w:tab w:val="num" w:pos="1440"/>
        </w:tabs>
        <w:ind w:left="1440" w:hanging="360"/>
      </w:pPr>
      <w:rPr>
        <w:rFonts w:ascii="Arial" w:hAnsi="Arial" w:hint="default"/>
      </w:rPr>
    </w:lvl>
    <w:lvl w:ilvl="2" w:tplc="5E160D38" w:tentative="1">
      <w:start w:val="1"/>
      <w:numFmt w:val="bullet"/>
      <w:lvlText w:val="•"/>
      <w:lvlJc w:val="left"/>
      <w:pPr>
        <w:tabs>
          <w:tab w:val="num" w:pos="2160"/>
        </w:tabs>
        <w:ind w:left="2160" w:hanging="360"/>
      </w:pPr>
      <w:rPr>
        <w:rFonts w:ascii="Arial" w:hAnsi="Arial" w:hint="default"/>
      </w:rPr>
    </w:lvl>
    <w:lvl w:ilvl="3" w:tplc="8486899C" w:tentative="1">
      <w:start w:val="1"/>
      <w:numFmt w:val="bullet"/>
      <w:lvlText w:val="•"/>
      <w:lvlJc w:val="left"/>
      <w:pPr>
        <w:tabs>
          <w:tab w:val="num" w:pos="2880"/>
        </w:tabs>
        <w:ind w:left="2880" w:hanging="360"/>
      </w:pPr>
      <w:rPr>
        <w:rFonts w:ascii="Arial" w:hAnsi="Arial" w:hint="default"/>
      </w:rPr>
    </w:lvl>
    <w:lvl w:ilvl="4" w:tplc="89F2B164" w:tentative="1">
      <w:start w:val="1"/>
      <w:numFmt w:val="bullet"/>
      <w:lvlText w:val="•"/>
      <w:lvlJc w:val="left"/>
      <w:pPr>
        <w:tabs>
          <w:tab w:val="num" w:pos="3600"/>
        </w:tabs>
        <w:ind w:left="3600" w:hanging="360"/>
      </w:pPr>
      <w:rPr>
        <w:rFonts w:ascii="Arial" w:hAnsi="Arial" w:hint="default"/>
      </w:rPr>
    </w:lvl>
    <w:lvl w:ilvl="5" w:tplc="F4FE68B4" w:tentative="1">
      <w:start w:val="1"/>
      <w:numFmt w:val="bullet"/>
      <w:lvlText w:val="•"/>
      <w:lvlJc w:val="left"/>
      <w:pPr>
        <w:tabs>
          <w:tab w:val="num" w:pos="4320"/>
        </w:tabs>
        <w:ind w:left="4320" w:hanging="360"/>
      </w:pPr>
      <w:rPr>
        <w:rFonts w:ascii="Arial" w:hAnsi="Arial" w:hint="default"/>
      </w:rPr>
    </w:lvl>
    <w:lvl w:ilvl="6" w:tplc="3A1E0214" w:tentative="1">
      <w:start w:val="1"/>
      <w:numFmt w:val="bullet"/>
      <w:lvlText w:val="•"/>
      <w:lvlJc w:val="left"/>
      <w:pPr>
        <w:tabs>
          <w:tab w:val="num" w:pos="5040"/>
        </w:tabs>
        <w:ind w:left="5040" w:hanging="360"/>
      </w:pPr>
      <w:rPr>
        <w:rFonts w:ascii="Arial" w:hAnsi="Arial" w:hint="default"/>
      </w:rPr>
    </w:lvl>
    <w:lvl w:ilvl="7" w:tplc="156665A2" w:tentative="1">
      <w:start w:val="1"/>
      <w:numFmt w:val="bullet"/>
      <w:lvlText w:val="•"/>
      <w:lvlJc w:val="left"/>
      <w:pPr>
        <w:tabs>
          <w:tab w:val="num" w:pos="5760"/>
        </w:tabs>
        <w:ind w:left="5760" w:hanging="360"/>
      </w:pPr>
      <w:rPr>
        <w:rFonts w:ascii="Arial" w:hAnsi="Arial" w:hint="default"/>
      </w:rPr>
    </w:lvl>
    <w:lvl w:ilvl="8" w:tplc="8688A674" w:tentative="1">
      <w:start w:val="1"/>
      <w:numFmt w:val="bullet"/>
      <w:lvlText w:val="•"/>
      <w:lvlJc w:val="left"/>
      <w:pPr>
        <w:tabs>
          <w:tab w:val="num" w:pos="6480"/>
        </w:tabs>
        <w:ind w:left="6480" w:hanging="360"/>
      </w:pPr>
      <w:rPr>
        <w:rFonts w:ascii="Arial" w:hAnsi="Arial" w:hint="default"/>
      </w:rPr>
    </w:lvl>
  </w:abstractNum>
  <w:abstractNum w:abstractNumId="15">
    <w:nsid w:val="2B854DD3"/>
    <w:multiLevelType w:val="hybridMultilevel"/>
    <w:tmpl w:val="B8F62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8D3D8D"/>
    <w:multiLevelType w:val="hybridMultilevel"/>
    <w:tmpl w:val="D48ED6E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192E13"/>
    <w:multiLevelType w:val="hybridMultilevel"/>
    <w:tmpl w:val="52584B1C"/>
    <w:lvl w:ilvl="0" w:tplc="C868E3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B86FB9"/>
    <w:multiLevelType w:val="hybridMultilevel"/>
    <w:tmpl w:val="B260C280"/>
    <w:lvl w:ilvl="0" w:tplc="C2C6C43E">
      <w:start w:val="1"/>
      <w:numFmt w:val="bullet"/>
      <w:lvlText w:val="•"/>
      <w:lvlJc w:val="left"/>
      <w:pPr>
        <w:tabs>
          <w:tab w:val="num" w:pos="1231"/>
        </w:tabs>
        <w:ind w:left="1231" w:hanging="360"/>
      </w:pPr>
      <w:rPr>
        <w:rFonts w:ascii="Arial" w:hAnsi="Arial" w:hint="default"/>
        <w:sz w:val="28"/>
        <w:szCs w:val="28"/>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9">
    <w:nsid w:val="3B9E6CC3"/>
    <w:multiLevelType w:val="multilevel"/>
    <w:tmpl w:val="2C063A92"/>
    <w:lvl w:ilvl="0">
      <w:start w:val="1"/>
      <w:numFmt w:val="decimal"/>
      <w:lvlText w:val="%1."/>
      <w:lvlJc w:val="left"/>
      <w:pPr>
        <w:ind w:left="630" w:hanging="360"/>
      </w:pPr>
      <w:rPr>
        <w:rFonts w:hint="default"/>
        <w:b/>
        <w:vertAlign w:val="baseline"/>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3E8A7370"/>
    <w:multiLevelType w:val="hybridMultilevel"/>
    <w:tmpl w:val="CF96327C"/>
    <w:lvl w:ilvl="0" w:tplc="311C7B54">
      <w:start w:val="1"/>
      <w:numFmt w:val="bullet"/>
      <w:lvlText w:val="•"/>
      <w:lvlJc w:val="left"/>
      <w:pPr>
        <w:tabs>
          <w:tab w:val="num" w:pos="720"/>
        </w:tabs>
        <w:ind w:left="720" w:hanging="360"/>
      </w:pPr>
      <w:rPr>
        <w:rFonts w:ascii="Arial" w:hAnsi="Arial" w:hint="default"/>
      </w:rPr>
    </w:lvl>
    <w:lvl w:ilvl="1" w:tplc="E6D8A508" w:tentative="1">
      <w:start w:val="1"/>
      <w:numFmt w:val="bullet"/>
      <w:lvlText w:val="•"/>
      <w:lvlJc w:val="left"/>
      <w:pPr>
        <w:tabs>
          <w:tab w:val="num" w:pos="1440"/>
        </w:tabs>
        <w:ind w:left="1440" w:hanging="360"/>
      </w:pPr>
      <w:rPr>
        <w:rFonts w:ascii="Arial" w:hAnsi="Arial" w:hint="default"/>
      </w:rPr>
    </w:lvl>
    <w:lvl w:ilvl="2" w:tplc="CE68E300" w:tentative="1">
      <w:start w:val="1"/>
      <w:numFmt w:val="bullet"/>
      <w:lvlText w:val="•"/>
      <w:lvlJc w:val="left"/>
      <w:pPr>
        <w:tabs>
          <w:tab w:val="num" w:pos="2160"/>
        </w:tabs>
        <w:ind w:left="2160" w:hanging="360"/>
      </w:pPr>
      <w:rPr>
        <w:rFonts w:ascii="Arial" w:hAnsi="Arial" w:hint="default"/>
      </w:rPr>
    </w:lvl>
    <w:lvl w:ilvl="3" w:tplc="105AAF9C" w:tentative="1">
      <w:start w:val="1"/>
      <w:numFmt w:val="bullet"/>
      <w:lvlText w:val="•"/>
      <w:lvlJc w:val="left"/>
      <w:pPr>
        <w:tabs>
          <w:tab w:val="num" w:pos="2880"/>
        </w:tabs>
        <w:ind w:left="2880" w:hanging="360"/>
      </w:pPr>
      <w:rPr>
        <w:rFonts w:ascii="Arial" w:hAnsi="Arial" w:hint="default"/>
      </w:rPr>
    </w:lvl>
    <w:lvl w:ilvl="4" w:tplc="7B2021C6" w:tentative="1">
      <w:start w:val="1"/>
      <w:numFmt w:val="bullet"/>
      <w:lvlText w:val="•"/>
      <w:lvlJc w:val="left"/>
      <w:pPr>
        <w:tabs>
          <w:tab w:val="num" w:pos="3600"/>
        </w:tabs>
        <w:ind w:left="3600" w:hanging="360"/>
      </w:pPr>
      <w:rPr>
        <w:rFonts w:ascii="Arial" w:hAnsi="Arial" w:hint="default"/>
      </w:rPr>
    </w:lvl>
    <w:lvl w:ilvl="5" w:tplc="2480AA4C" w:tentative="1">
      <w:start w:val="1"/>
      <w:numFmt w:val="bullet"/>
      <w:lvlText w:val="•"/>
      <w:lvlJc w:val="left"/>
      <w:pPr>
        <w:tabs>
          <w:tab w:val="num" w:pos="4320"/>
        </w:tabs>
        <w:ind w:left="4320" w:hanging="360"/>
      </w:pPr>
      <w:rPr>
        <w:rFonts w:ascii="Arial" w:hAnsi="Arial" w:hint="default"/>
      </w:rPr>
    </w:lvl>
    <w:lvl w:ilvl="6" w:tplc="C0F02916" w:tentative="1">
      <w:start w:val="1"/>
      <w:numFmt w:val="bullet"/>
      <w:lvlText w:val="•"/>
      <w:lvlJc w:val="left"/>
      <w:pPr>
        <w:tabs>
          <w:tab w:val="num" w:pos="5040"/>
        </w:tabs>
        <w:ind w:left="5040" w:hanging="360"/>
      </w:pPr>
      <w:rPr>
        <w:rFonts w:ascii="Arial" w:hAnsi="Arial" w:hint="default"/>
      </w:rPr>
    </w:lvl>
    <w:lvl w:ilvl="7" w:tplc="9A983722" w:tentative="1">
      <w:start w:val="1"/>
      <w:numFmt w:val="bullet"/>
      <w:lvlText w:val="•"/>
      <w:lvlJc w:val="left"/>
      <w:pPr>
        <w:tabs>
          <w:tab w:val="num" w:pos="5760"/>
        </w:tabs>
        <w:ind w:left="5760" w:hanging="360"/>
      </w:pPr>
      <w:rPr>
        <w:rFonts w:ascii="Arial" w:hAnsi="Arial" w:hint="default"/>
      </w:rPr>
    </w:lvl>
    <w:lvl w:ilvl="8" w:tplc="9EB2B00A" w:tentative="1">
      <w:start w:val="1"/>
      <w:numFmt w:val="bullet"/>
      <w:lvlText w:val="•"/>
      <w:lvlJc w:val="left"/>
      <w:pPr>
        <w:tabs>
          <w:tab w:val="num" w:pos="6480"/>
        </w:tabs>
        <w:ind w:left="6480" w:hanging="360"/>
      </w:pPr>
      <w:rPr>
        <w:rFonts w:ascii="Arial" w:hAnsi="Arial" w:hint="default"/>
      </w:rPr>
    </w:lvl>
  </w:abstractNum>
  <w:abstractNum w:abstractNumId="21">
    <w:nsid w:val="3F9C7B06"/>
    <w:multiLevelType w:val="hybridMultilevel"/>
    <w:tmpl w:val="D0D4CB9A"/>
    <w:lvl w:ilvl="0" w:tplc="87147CC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14C27"/>
    <w:multiLevelType w:val="hybridMultilevel"/>
    <w:tmpl w:val="816A6878"/>
    <w:lvl w:ilvl="0" w:tplc="5EC875A0">
      <w:start w:val="1"/>
      <w:numFmt w:val="lowerRoman"/>
      <w:lvlText w:val="(%1)"/>
      <w:lvlJc w:val="righ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532D45"/>
    <w:multiLevelType w:val="hybridMultilevel"/>
    <w:tmpl w:val="4426F7C8"/>
    <w:lvl w:ilvl="0" w:tplc="E9FCEE8E">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623BD7"/>
    <w:multiLevelType w:val="hybridMultilevel"/>
    <w:tmpl w:val="08202E8A"/>
    <w:lvl w:ilvl="0" w:tplc="C784AB0C">
      <w:start w:val="1"/>
      <w:numFmt w:val="decimal"/>
      <w:lvlText w:val="%1."/>
      <w:lvlJc w:val="left"/>
      <w:pPr>
        <w:tabs>
          <w:tab w:val="num" w:pos="540"/>
        </w:tabs>
        <w:ind w:left="540" w:hanging="360"/>
      </w:pPr>
      <w:rPr>
        <w:rFonts w:ascii="Times New Roman" w:eastAsia="Times New Roman" w:hAnsi="Times New Roman" w:cs="Times New Roman"/>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43BE13C6"/>
    <w:multiLevelType w:val="hybridMultilevel"/>
    <w:tmpl w:val="A96AB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1D148E"/>
    <w:multiLevelType w:val="hybridMultilevel"/>
    <w:tmpl w:val="77C8CF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243B94"/>
    <w:multiLevelType w:val="hybridMultilevel"/>
    <w:tmpl w:val="D98A1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71526C"/>
    <w:multiLevelType w:val="hybridMultilevel"/>
    <w:tmpl w:val="9290081E"/>
    <w:lvl w:ilvl="0" w:tplc="EA0E9D52">
      <w:start w:val="1"/>
      <w:numFmt w:val="decimal"/>
      <w:lvlText w:val="%1."/>
      <w:lvlJc w:val="left"/>
      <w:pPr>
        <w:ind w:left="144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50353485"/>
    <w:multiLevelType w:val="hybridMultilevel"/>
    <w:tmpl w:val="92F8C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24EF8"/>
    <w:multiLevelType w:val="hybridMultilevel"/>
    <w:tmpl w:val="A59CF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293CEA"/>
    <w:multiLevelType w:val="hybridMultilevel"/>
    <w:tmpl w:val="758845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3C7505"/>
    <w:multiLevelType w:val="hybridMultilevel"/>
    <w:tmpl w:val="D5C69040"/>
    <w:lvl w:ilvl="0" w:tplc="16263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A70FCE"/>
    <w:multiLevelType w:val="hybridMultilevel"/>
    <w:tmpl w:val="034CC73E"/>
    <w:lvl w:ilvl="0" w:tplc="75001E58">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nsid w:val="5D3E5A16"/>
    <w:multiLevelType w:val="hybridMultilevel"/>
    <w:tmpl w:val="68642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FC19DD"/>
    <w:multiLevelType w:val="multilevel"/>
    <w:tmpl w:val="5B94D21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i w:val="0"/>
      </w:rPr>
    </w:lvl>
    <w:lvl w:ilvl="2">
      <w:start w:val="9"/>
      <w:numFmt w:val="decimal"/>
      <w:isLgl/>
      <w:lvlText w:val="%1.%2.%3"/>
      <w:lvlJc w:val="left"/>
      <w:pPr>
        <w:tabs>
          <w:tab w:val="num" w:pos="1200"/>
        </w:tabs>
        <w:ind w:left="1200" w:hanging="840"/>
      </w:pPr>
      <w:rPr>
        <w:rFonts w:hint="default"/>
        <w:i w:val="0"/>
      </w:rPr>
    </w:lvl>
    <w:lvl w:ilvl="3">
      <w:start w:val="6"/>
      <w:numFmt w:val="decimal"/>
      <w:isLgl/>
      <w:lvlText w:val="%1.%2.%3.%4"/>
      <w:lvlJc w:val="left"/>
      <w:pPr>
        <w:tabs>
          <w:tab w:val="num" w:pos="1440"/>
        </w:tabs>
        <w:ind w:left="1440" w:hanging="108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800"/>
        </w:tabs>
        <w:ind w:left="1800" w:hanging="144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2160"/>
        </w:tabs>
        <w:ind w:left="2160" w:hanging="1800"/>
      </w:pPr>
      <w:rPr>
        <w:rFonts w:hint="default"/>
        <w:i w:val="0"/>
      </w:rPr>
    </w:lvl>
    <w:lvl w:ilvl="8">
      <w:start w:val="1"/>
      <w:numFmt w:val="decimal"/>
      <w:isLgl/>
      <w:lvlText w:val="%1.%2.%3.%4.%5.%6.%7.%8.%9"/>
      <w:lvlJc w:val="left"/>
      <w:pPr>
        <w:tabs>
          <w:tab w:val="num" w:pos="2520"/>
        </w:tabs>
        <w:ind w:left="2520" w:hanging="2160"/>
      </w:pPr>
      <w:rPr>
        <w:rFonts w:hint="default"/>
        <w:i w:val="0"/>
      </w:rPr>
    </w:lvl>
  </w:abstractNum>
  <w:abstractNum w:abstractNumId="36">
    <w:nsid w:val="6B2406C7"/>
    <w:multiLevelType w:val="hybridMultilevel"/>
    <w:tmpl w:val="7126585A"/>
    <w:lvl w:ilvl="0" w:tplc="CDAE360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310B34"/>
    <w:multiLevelType w:val="hybridMultilevel"/>
    <w:tmpl w:val="006454E0"/>
    <w:lvl w:ilvl="0" w:tplc="771870DE">
      <w:start w:val="1"/>
      <w:numFmt w:val="bullet"/>
      <w:lvlText w:val="•"/>
      <w:lvlJc w:val="left"/>
      <w:pPr>
        <w:tabs>
          <w:tab w:val="num" w:pos="720"/>
        </w:tabs>
        <w:ind w:left="720" w:hanging="360"/>
      </w:pPr>
      <w:rPr>
        <w:rFonts w:ascii="Arial" w:hAnsi="Arial" w:hint="default"/>
      </w:rPr>
    </w:lvl>
    <w:lvl w:ilvl="1" w:tplc="6D6C2D1E" w:tentative="1">
      <w:start w:val="1"/>
      <w:numFmt w:val="bullet"/>
      <w:lvlText w:val="•"/>
      <w:lvlJc w:val="left"/>
      <w:pPr>
        <w:tabs>
          <w:tab w:val="num" w:pos="1440"/>
        </w:tabs>
        <w:ind w:left="1440" w:hanging="360"/>
      </w:pPr>
      <w:rPr>
        <w:rFonts w:ascii="Arial" w:hAnsi="Arial" w:hint="default"/>
      </w:rPr>
    </w:lvl>
    <w:lvl w:ilvl="2" w:tplc="2DF20D42" w:tentative="1">
      <w:start w:val="1"/>
      <w:numFmt w:val="bullet"/>
      <w:lvlText w:val="•"/>
      <w:lvlJc w:val="left"/>
      <w:pPr>
        <w:tabs>
          <w:tab w:val="num" w:pos="2160"/>
        </w:tabs>
        <w:ind w:left="2160" w:hanging="360"/>
      </w:pPr>
      <w:rPr>
        <w:rFonts w:ascii="Arial" w:hAnsi="Arial" w:hint="default"/>
      </w:rPr>
    </w:lvl>
    <w:lvl w:ilvl="3" w:tplc="1C8ED318" w:tentative="1">
      <w:start w:val="1"/>
      <w:numFmt w:val="bullet"/>
      <w:lvlText w:val="•"/>
      <w:lvlJc w:val="left"/>
      <w:pPr>
        <w:tabs>
          <w:tab w:val="num" w:pos="2880"/>
        </w:tabs>
        <w:ind w:left="2880" w:hanging="360"/>
      </w:pPr>
      <w:rPr>
        <w:rFonts w:ascii="Arial" w:hAnsi="Arial" w:hint="default"/>
      </w:rPr>
    </w:lvl>
    <w:lvl w:ilvl="4" w:tplc="F7E0F862" w:tentative="1">
      <w:start w:val="1"/>
      <w:numFmt w:val="bullet"/>
      <w:lvlText w:val="•"/>
      <w:lvlJc w:val="left"/>
      <w:pPr>
        <w:tabs>
          <w:tab w:val="num" w:pos="3600"/>
        </w:tabs>
        <w:ind w:left="3600" w:hanging="360"/>
      </w:pPr>
      <w:rPr>
        <w:rFonts w:ascii="Arial" w:hAnsi="Arial" w:hint="default"/>
      </w:rPr>
    </w:lvl>
    <w:lvl w:ilvl="5" w:tplc="4F84D1BC" w:tentative="1">
      <w:start w:val="1"/>
      <w:numFmt w:val="bullet"/>
      <w:lvlText w:val="•"/>
      <w:lvlJc w:val="left"/>
      <w:pPr>
        <w:tabs>
          <w:tab w:val="num" w:pos="4320"/>
        </w:tabs>
        <w:ind w:left="4320" w:hanging="360"/>
      </w:pPr>
      <w:rPr>
        <w:rFonts w:ascii="Arial" w:hAnsi="Arial" w:hint="default"/>
      </w:rPr>
    </w:lvl>
    <w:lvl w:ilvl="6" w:tplc="D6066038" w:tentative="1">
      <w:start w:val="1"/>
      <w:numFmt w:val="bullet"/>
      <w:lvlText w:val="•"/>
      <w:lvlJc w:val="left"/>
      <w:pPr>
        <w:tabs>
          <w:tab w:val="num" w:pos="5040"/>
        </w:tabs>
        <w:ind w:left="5040" w:hanging="360"/>
      </w:pPr>
      <w:rPr>
        <w:rFonts w:ascii="Arial" w:hAnsi="Arial" w:hint="default"/>
      </w:rPr>
    </w:lvl>
    <w:lvl w:ilvl="7" w:tplc="BD74AC06" w:tentative="1">
      <w:start w:val="1"/>
      <w:numFmt w:val="bullet"/>
      <w:lvlText w:val="•"/>
      <w:lvlJc w:val="left"/>
      <w:pPr>
        <w:tabs>
          <w:tab w:val="num" w:pos="5760"/>
        </w:tabs>
        <w:ind w:left="5760" w:hanging="360"/>
      </w:pPr>
      <w:rPr>
        <w:rFonts w:ascii="Arial" w:hAnsi="Arial" w:hint="default"/>
      </w:rPr>
    </w:lvl>
    <w:lvl w:ilvl="8" w:tplc="12F0F68C" w:tentative="1">
      <w:start w:val="1"/>
      <w:numFmt w:val="bullet"/>
      <w:lvlText w:val="•"/>
      <w:lvlJc w:val="left"/>
      <w:pPr>
        <w:tabs>
          <w:tab w:val="num" w:pos="6480"/>
        </w:tabs>
        <w:ind w:left="6480" w:hanging="360"/>
      </w:pPr>
      <w:rPr>
        <w:rFonts w:ascii="Arial" w:hAnsi="Arial" w:hint="default"/>
      </w:rPr>
    </w:lvl>
  </w:abstractNum>
  <w:abstractNum w:abstractNumId="38">
    <w:nsid w:val="6F7D4FDA"/>
    <w:multiLevelType w:val="hybridMultilevel"/>
    <w:tmpl w:val="C37276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BB199A"/>
    <w:multiLevelType w:val="hybridMultilevel"/>
    <w:tmpl w:val="BFA247FC"/>
    <w:lvl w:ilvl="0" w:tplc="FFC6E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B43699"/>
    <w:multiLevelType w:val="hybridMultilevel"/>
    <w:tmpl w:val="E88E4B3E"/>
    <w:lvl w:ilvl="0" w:tplc="F920CA28">
      <w:start w:val="1"/>
      <w:numFmt w:val="decimal"/>
      <w:lvlText w:val="%1."/>
      <w:lvlJc w:val="left"/>
      <w:pPr>
        <w:tabs>
          <w:tab w:val="num" w:pos="429"/>
        </w:tabs>
        <w:ind w:left="429" w:hanging="360"/>
      </w:pPr>
      <w:rPr>
        <w:rFonts w:hint="default"/>
      </w:rPr>
    </w:lvl>
    <w:lvl w:ilvl="1" w:tplc="04090019" w:tentative="1">
      <w:start w:val="1"/>
      <w:numFmt w:val="lowerLetter"/>
      <w:lvlText w:val="%2."/>
      <w:lvlJc w:val="left"/>
      <w:pPr>
        <w:tabs>
          <w:tab w:val="num" w:pos="1149"/>
        </w:tabs>
        <w:ind w:left="1149" w:hanging="360"/>
      </w:pPr>
    </w:lvl>
    <w:lvl w:ilvl="2" w:tplc="0409001B" w:tentative="1">
      <w:start w:val="1"/>
      <w:numFmt w:val="lowerRoman"/>
      <w:lvlText w:val="%3."/>
      <w:lvlJc w:val="right"/>
      <w:pPr>
        <w:tabs>
          <w:tab w:val="num" w:pos="1869"/>
        </w:tabs>
        <w:ind w:left="1869" w:hanging="180"/>
      </w:pPr>
    </w:lvl>
    <w:lvl w:ilvl="3" w:tplc="0409000F" w:tentative="1">
      <w:start w:val="1"/>
      <w:numFmt w:val="decimal"/>
      <w:lvlText w:val="%4."/>
      <w:lvlJc w:val="left"/>
      <w:pPr>
        <w:tabs>
          <w:tab w:val="num" w:pos="2589"/>
        </w:tabs>
        <w:ind w:left="2589" w:hanging="360"/>
      </w:pPr>
    </w:lvl>
    <w:lvl w:ilvl="4" w:tplc="04090019" w:tentative="1">
      <w:start w:val="1"/>
      <w:numFmt w:val="lowerLetter"/>
      <w:lvlText w:val="%5."/>
      <w:lvlJc w:val="left"/>
      <w:pPr>
        <w:tabs>
          <w:tab w:val="num" w:pos="3309"/>
        </w:tabs>
        <w:ind w:left="3309" w:hanging="360"/>
      </w:pPr>
    </w:lvl>
    <w:lvl w:ilvl="5" w:tplc="0409001B" w:tentative="1">
      <w:start w:val="1"/>
      <w:numFmt w:val="lowerRoman"/>
      <w:lvlText w:val="%6."/>
      <w:lvlJc w:val="right"/>
      <w:pPr>
        <w:tabs>
          <w:tab w:val="num" w:pos="4029"/>
        </w:tabs>
        <w:ind w:left="4029" w:hanging="180"/>
      </w:pPr>
    </w:lvl>
    <w:lvl w:ilvl="6" w:tplc="0409000F" w:tentative="1">
      <w:start w:val="1"/>
      <w:numFmt w:val="decimal"/>
      <w:lvlText w:val="%7."/>
      <w:lvlJc w:val="left"/>
      <w:pPr>
        <w:tabs>
          <w:tab w:val="num" w:pos="4749"/>
        </w:tabs>
        <w:ind w:left="4749" w:hanging="360"/>
      </w:pPr>
    </w:lvl>
    <w:lvl w:ilvl="7" w:tplc="04090019" w:tentative="1">
      <w:start w:val="1"/>
      <w:numFmt w:val="lowerLetter"/>
      <w:lvlText w:val="%8."/>
      <w:lvlJc w:val="left"/>
      <w:pPr>
        <w:tabs>
          <w:tab w:val="num" w:pos="5469"/>
        </w:tabs>
        <w:ind w:left="5469" w:hanging="360"/>
      </w:pPr>
    </w:lvl>
    <w:lvl w:ilvl="8" w:tplc="0409001B" w:tentative="1">
      <w:start w:val="1"/>
      <w:numFmt w:val="lowerRoman"/>
      <w:lvlText w:val="%9."/>
      <w:lvlJc w:val="right"/>
      <w:pPr>
        <w:tabs>
          <w:tab w:val="num" w:pos="6189"/>
        </w:tabs>
        <w:ind w:left="6189" w:hanging="180"/>
      </w:pPr>
    </w:lvl>
  </w:abstractNum>
  <w:abstractNum w:abstractNumId="41">
    <w:nsid w:val="7E8762BE"/>
    <w:multiLevelType w:val="hybridMultilevel"/>
    <w:tmpl w:val="1AEC1874"/>
    <w:lvl w:ilvl="0" w:tplc="04090011">
      <w:start w:val="1"/>
      <w:numFmt w:val="decimal"/>
      <w:lvlText w:val="%1)"/>
      <w:lvlJc w:val="left"/>
      <w:pPr>
        <w:tabs>
          <w:tab w:val="num" w:pos="720"/>
        </w:tabs>
        <w:ind w:left="720" w:hanging="360"/>
      </w:pPr>
      <w:rPr>
        <w:rFonts w:hint="default"/>
      </w:rPr>
    </w:lvl>
    <w:lvl w:ilvl="1" w:tplc="6AA6BC9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BB1426"/>
    <w:multiLevelType w:val="hybridMultilevel"/>
    <w:tmpl w:val="08202E8A"/>
    <w:lvl w:ilvl="0" w:tplc="C784AB0C">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17"/>
  </w:num>
  <w:num w:numId="3">
    <w:abstractNumId w:val="25"/>
  </w:num>
  <w:num w:numId="4">
    <w:abstractNumId w:val="40"/>
  </w:num>
  <w:num w:numId="5">
    <w:abstractNumId w:val="7"/>
  </w:num>
  <w:num w:numId="6">
    <w:abstractNumId w:val="41"/>
  </w:num>
  <w:num w:numId="7">
    <w:abstractNumId w:val="0"/>
  </w:num>
  <w:num w:numId="8">
    <w:abstractNumId w:val="33"/>
  </w:num>
  <w:num w:numId="9">
    <w:abstractNumId w:val="22"/>
  </w:num>
  <w:num w:numId="10">
    <w:abstractNumId w:val="42"/>
  </w:num>
  <w:num w:numId="11">
    <w:abstractNumId w:val="24"/>
  </w:num>
  <w:num w:numId="12">
    <w:abstractNumId w:val="36"/>
  </w:num>
  <w:num w:numId="13">
    <w:abstractNumId w:val="29"/>
  </w:num>
  <w:num w:numId="14">
    <w:abstractNumId w:val="27"/>
  </w:num>
  <w:num w:numId="15">
    <w:abstractNumId w:val="30"/>
  </w:num>
  <w:num w:numId="16">
    <w:abstractNumId w:val="3"/>
  </w:num>
  <w:num w:numId="17">
    <w:abstractNumId w:val="28"/>
  </w:num>
  <w:num w:numId="18">
    <w:abstractNumId w:val="37"/>
  </w:num>
  <w:num w:numId="19">
    <w:abstractNumId w:val="20"/>
  </w:num>
  <w:num w:numId="20">
    <w:abstractNumId w:val="14"/>
  </w:num>
  <w:num w:numId="21">
    <w:abstractNumId w:val="4"/>
  </w:num>
  <w:num w:numId="22">
    <w:abstractNumId w:val="21"/>
  </w:num>
  <w:num w:numId="23">
    <w:abstractNumId w:val="13"/>
  </w:num>
  <w:num w:numId="24">
    <w:abstractNumId w:val="35"/>
  </w:num>
  <w:num w:numId="25">
    <w:abstractNumId w:val="6"/>
  </w:num>
  <w:num w:numId="26">
    <w:abstractNumId w:val="15"/>
  </w:num>
  <w:num w:numId="27">
    <w:abstractNumId w:val="34"/>
  </w:num>
  <w:num w:numId="28">
    <w:abstractNumId w:val="18"/>
  </w:num>
  <w:num w:numId="29">
    <w:abstractNumId w:val="9"/>
  </w:num>
  <w:num w:numId="30">
    <w:abstractNumId w:val="10"/>
  </w:num>
  <w:num w:numId="31">
    <w:abstractNumId w:val="31"/>
  </w:num>
  <w:num w:numId="32">
    <w:abstractNumId w:val="23"/>
  </w:num>
  <w:num w:numId="33">
    <w:abstractNumId w:val="12"/>
  </w:num>
  <w:num w:numId="34">
    <w:abstractNumId w:val="2"/>
  </w:num>
  <w:num w:numId="35">
    <w:abstractNumId w:val="39"/>
  </w:num>
  <w:num w:numId="36">
    <w:abstractNumId w:val="11"/>
  </w:num>
  <w:num w:numId="37">
    <w:abstractNumId w:val="19"/>
  </w:num>
  <w:num w:numId="38">
    <w:abstractNumId w:val="32"/>
  </w:num>
  <w:num w:numId="39">
    <w:abstractNumId w:val="38"/>
  </w:num>
  <w:num w:numId="40">
    <w:abstractNumId w:val="8"/>
  </w:num>
  <w:num w:numId="41">
    <w:abstractNumId w:val="5"/>
  </w:num>
  <w:num w:numId="42">
    <w:abstractNumId w:val="26"/>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hdrShapeDefaults>
    <o:shapedefaults v:ext="edit" spidmax="26626"/>
    <o:shapelayout v:ext="edit">
      <o:idmap v:ext="edit" data="15"/>
    </o:shapelayout>
  </w:hdrShapeDefaults>
  <w:footnotePr>
    <w:footnote w:id="0"/>
    <w:footnote w:id="1"/>
  </w:footnotePr>
  <w:endnotePr>
    <w:endnote w:id="0"/>
    <w:endnote w:id="1"/>
  </w:endnotePr>
  <w:compat/>
  <w:rsids>
    <w:rsidRoot w:val="00EE7CF9"/>
    <w:rsid w:val="00013037"/>
    <w:rsid w:val="00045B83"/>
    <w:rsid w:val="00063A6F"/>
    <w:rsid w:val="000D3706"/>
    <w:rsid w:val="000E03CB"/>
    <w:rsid w:val="00114D25"/>
    <w:rsid w:val="00124234"/>
    <w:rsid w:val="00161B7E"/>
    <w:rsid w:val="001778A5"/>
    <w:rsid w:val="001A3712"/>
    <w:rsid w:val="001B3001"/>
    <w:rsid w:val="001E4FD4"/>
    <w:rsid w:val="00222AC6"/>
    <w:rsid w:val="00234BA2"/>
    <w:rsid w:val="00244E40"/>
    <w:rsid w:val="0028202C"/>
    <w:rsid w:val="002D1975"/>
    <w:rsid w:val="00312319"/>
    <w:rsid w:val="00317BD5"/>
    <w:rsid w:val="0033266D"/>
    <w:rsid w:val="0035582B"/>
    <w:rsid w:val="00374DF2"/>
    <w:rsid w:val="003A3271"/>
    <w:rsid w:val="003F3295"/>
    <w:rsid w:val="00406D14"/>
    <w:rsid w:val="00407695"/>
    <w:rsid w:val="0046275B"/>
    <w:rsid w:val="004765D6"/>
    <w:rsid w:val="004A0C5F"/>
    <w:rsid w:val="004B5A4D"/>
    <w:rsid w:val="004D32E5"/>
    <w:rsid w:val="004E35A1"/>
    <w:rsid w:val="00533F1C"/>
    <w:rsid w:val="005535B2"/>
    <w:rsid w:val="00556C45"/>
    <w:rsid w:val="00581E4F"/>
    <w:rsid w:val="0059214B"/>
    <w:rsid w:val="005A7FAC"/>
    <w:rsid w:val="005D5084"/>
    <w:rsid w:val="00601A59"/>
    <w:rsid w:val="0060365C"/>
    <w:rsid w:val="006417ED"/>
    <w:rsid w:val="00647AEF"/>
    <w:rsid w:val="0065029C"/>
    <w:rsid w:val="00657945"/>
    <w:rsid w:val="0069366A"/>
    <w:rsid w:val="006D4F71"/>
    <w:rsid w:val="006E7C97"/>
    <w:rsid w:val="00744BE9"/>
    <w:rsid w:val="00770329"/>
    <w:rsid w:val="00777DCC"/>
    <w:rsid w:val="00786299"/>
    <w:rsid w:val="007B2D3D"/>
    <w:rsid w:val="007D4CD6"/>
    <w:rsid w:val="007E48DD"/>
    <w:rsid w:val="007E7F2E"/>
    <w:rsid w:val="007F43BC"/>
    <w:rsid w:val="00807705"/>
    <w:rsid w:val="00852AC7"/>
    <w:rsid w:val="00865141"/>
    <w:rsid w:val="00894EA9"/>
    <w:rsid w:val="00904399"/>
    <w:rsid w:val="00927873"/>
    <w:rsid w:val="009509E6"/>
    <w:rsid w:val="00956CCB"/>
    <w:rsid w:val="009957C7"/>
    <w:rsid w:val="009C05BE"/>
    <w:rsid w:val="009C6737"/>
    <w:rsid w:val="00A51128"/>
    <w:rsid w:val="00A91499"/>
    <w:rsid w:val="00AC7A7F"/>
    <w:rsid w:val="00AD4109"/>
    <w:rsid w:val="00B01045"/>
    <w:rsid w:val="00B031E1"/>
    <w:rsid w:val="00B502C1"/>
    <w:rsid w:val="00BC48C0"/>
    <w:rsid w:val="00BD3579"/>
    <w:rsid w:val="00C333EE"/>
    <w:rsid w:val="00C34B6A"/>
    <w:rsid w:val="00C37EE5"/>
    <w:rsid w:val="00C45068"/>
    <w:rsid w:val="00C84BF3"/>
    <w:rsid w:val="00CB1DDC"/>
    <w:rsid w:val="00D5316A"/>
    <w:rsid w:val="00D5317E"/>
    <w:rsid w:val="00D92320"/>
    <w:rsid w:val="00D92DCA"/>
    <w:rsid w:val="00DE10BD"/>
    <w:rsid w:val="00DE70A9"/>
    <w:rsid w:val="00E15341"/>
    <w:rsid w:val="00E15581"/>
    <w:rsid w:val="00E16197"/>
    <w:rsid w:val="00E60A08"/>
    <w:rsid w:val="00E64903"/>
    <w:rsid w:val="00E83568"/>
    <w:rsid w:val="00EC671A"/>
    <w:rsid w:val="00EE7CF9"/>
    <w:rsid w:val="00F00327"/>
    <w:rsid w:val="00F06848"/>
    <w:rsid w:val="00F14296"/>
    <w:rsid w:val="00F40D4F"/>
    <w:rsid w:val="00F83EAC"/>
    <w:rsid w:val="00FD4F3F"/>
    <w:rsid w:val="00FE2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7CF9"/>
    <w:pPr>
      <w:keepNext/>
      <w:spacing w:before="240" w:after="60"/>
      <w:outlineLvl w:val="0"/>
    </w:pPr>
    <w:rPr>
      <w:rFonts w:ascii="Cambria" w:hAnsi="Cambria"/>
      <w:b/>
      <w:bCs/>
      <w:kern w:val="32"/>
      <w:sz w:val="32"/>
      <w:szCs w:val="32"/>
    </w:rPr>
  </w:style>
  <w:style w:type="paragraph" w:styleId="Heading7">
    <w:name w:val="heading 7"/>
    <w:basedOn w:val="Normal"/>
    <w:next w:val="Normal"/>
    <w:link w:val="Heading7Char"/>
    <w:qFormat/>
    <w:rsid w:val="00EE7CF9"/>
    <w:pPr>
      <w:widowControl w:val="0"/>
      <w:autoSpaceDE w:val="0"/>
      <w:autoSpaceDN w:val="0"/>
      <w:adjustRightInd w:val="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CF9"/>
    <w:rPr>
      <w:rFonts w:ascii="Cambria" w:eastAsia="Times New Roman" w:hAnsi="Cambria" w:cs="Times New Roman"/>
      <w:b/>
      <w:bCs/>
      <w:kern w:val="32"/>
      <w:sz w:val="32"/>
      <w:szCs w:val="32"/>
    </w:rPr>
  </w:style>
  <w:style w:type="character" w:customStyle="1" w:styleId="Heading7Char">
    <w:name w:val="Heading 7 Char"/>
    <w:basedOn w:val="DefaultParagraphFont"/>
    <w:link w:val="Heading7"/>
    <w:rsid w:val="00EE7CF9"/>
    <w:rPr>
      <w:rFonts w:ascii="Times New Roman" w:eastAsia="Times New Roman" w:hAnsi="Times New Roman" w:cs="Times New Roman"/>
      <w:sz w:val="24"/>
      <w:szCs w:val="24"/>
    </w:rPr>
  </w:style>
  <w:style w:type="numbering" w:customStyle="1" w:styleId="NoList1">
    <w:name w:val="No List1"/>
    <w:next w:val="NoList"/>
    <w:semiHidden/>
    <w:rsid w:val="00EE7CF9"/>
  </w:style>
  <w:style w:type="table" w:styleId="TableGrid">
    <w:name w:val="Table Grid"/>
    <w:basedOn w:val="TableNormal"/>
    <w:rsid w:val="00EE7C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E7CF9"/>
    <w:pPr>
      <w:tabs>
        <w:tab w:val="center" w:pos="4320"/>
        <w:tab w:val="right" w:pos="8640"/>
      </w:tabs>
    </w:pPr>
  </w:style>
  <w:style w:type="character" w:customStyle="1" w:styleId="FooterChar">
    <w:name w:val="Footer Char"/>
    <w:basedOn w:val="DefaultParagraphFont"/>
    <w:link w:val="Footer"/>
    <w:uiPriority w:val="99"/>
    <w:rsid w:val="00EE7CF9"/>
    <w:rPr>
      <w:rFonts w:ascii="Times New Roman" w:eastAsia="Times New Roman" w:hAnsi="Times New Roman" w:cs="Times New Roman"/>
      <w:sz w:val="24"/>
      <w:szCs w:val="24"/>
    </w:rPr>
  </w:style>
  <w:style w:type="character" w:styleId="PageNumber">
    <w:name w:val="page number"/>
    <w:rsid w:val="00EE7CF9"/>
  </w:style>
  <w:style w:type="paragraph" w:styleId="Header">
    <w:name w:val="header"/>
    <w:basedOn w:val="Normal"/>
    <w:link w:val="HeaderChar"/>
    <w:uiPriority w:val="99"/>
    <w:rsid w:val="00EE7CF9"/>
    <w:pPr>
      <w:tabs>
        <w:tab w:val="center" w:pos="4320"/>
        <w:tab w:val="right" w:pos="8640"/>
      </w:tabs>
    </w:pPr>
  </w:style>
  <w:style w:type="character" w:customStyle="1" w:styleId="HeaderChar">
    <w:name w:val="Header Char"/>
    <w:basedOn w:val="DefaultParagraphFont"/>
    <w:link w:val="Header"/>
    <w:uiPriority w:val="99"/>
    <w:rsid w:val="00EE7CF9"/>
    <w:rPr>
      <w:rFonts w:ascii="Times New Roman" w:eastAsia="Times New Roman" w:hAnsi="Times New Roman" w:cs="Times New Roman"/>
      <w:sz w:val="24"/>
      <w:szCs w:val="24"/>
    </w:rPr>
  </w:style>
  <w:style w:type="paragraph" w:styleId="BodyText">
    <w:name w:val="Body Text"/>
    <w:basedOn w:val="Normal"/>
    <w:link w:val="BodyTextChar"/>
    <w:rsid w:val="00EE7CF9"/>
    <w:rPr>
      <w:b/>
      <w:bCs/>
    </w:rPr>
  </w:style>
  <w:style w:type="character" w:customStyle="1" w:styleId="BodyTextChar">
    <w:name w:val="Body Text Char"/>
    <w:basedOn w:val="DefaultParagraphFont"/>
    <w:link w:val="BodyText"/>
    <w:rsid w:val="00EE7CF9"/>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EE7CF9"/>
    <w:pPr>
      <w:spacing w:after="120"/>
      <w:ind w:left="360"/>
    </w:pPr>
  </w:style>
  <w:style w:type="character" w:customStyle="1" w:styleId="BodyTextIndentChar">
    <w:name w:val="Body Text Indent Char"/>
    <w:basedOn w:val="DefaultParagraphFont"/>
    <w:link w:val="BodyTextIndent"/>
    <w:uiPriority w:val="99"/>
    <w:semiHidden/>
    <w:rsid w:val="00EE7CF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E7CF9"/>
    <w:pPr>
      <w:spacing w:after="120" w:line="480" w:lineRule="auto"/>
      <w:ind w:left="360"/>
    </w:pPr>
  </w:style>
  <w:style w:type="character" w:customStyle="1" w:styleId="BodyTextIndent2Char">
    <w:name w:val="Body Text Indent 2 Char"/>
    <w:basedOn w:val="DefaultParagraphFont"/>
    <w:link w:val="BodyTextIndent2"/>
    <w:uiPriority w:val="99"/>
    <w:semiHidden/>
    <w:rsid w:val="00EE7CF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EE7CF9"/>
    <w:pPr>
      <w:spacing w:after="120"/>
      <w:ind w:left="360"/>
    </w:pPr>
    <w:rPr>
      <w:sz w:val="16"/>
      <w:szCs w:val="16"/>
    </w:rPr>
  </w:style>
  <w:style w:type="character" w:customStyle="1" w:styleId="BodyTextIndent3Char">
    <w:name w:val="Body Text Indent 3 Char"/>
    <w:basedOn w:val="DefaultParagraphFont"/>
    <w:link w:val="BodyTextIndent3"/>
    <w:uiPriority w:val="99"/>
    <w:rsid w:val="00EE7CF9"/>
    <w:rPr>
      <w:rFonts w:ascii="Times New Roman" w:eastAsia="Times New Roman" w:hAnsi="Times New Roman" w:cs="Times New Roman"/>
      <w:sz w:val="16"/>
      <w:szCs w:val="16"/>
    </w:rPr>
  </w:style>
  <w:style w:type="paragraph" w:styleId="ListParagraph">
    <w:name w:val="List Paragraph"/>
    <w:basedOn w:val="Normal"/>
    <w:uiPriority w:val="34"/>
    <w:qFormat/>
    <w:rsid w:val="00EE7CF9"/>
    <w:pPr>
      <w:ind w:left="720"/>
      <w:contextualSpacing/>
    </w:pPr>
  </w:style>
  <w:style w:type="paragraph" w:styleId="NormalWeb">
    <w:name w:val="Normal (Web)"/>
    <w:basedOn w:val="Normal"/>
    <w:uiPriority w:val="99"/>
    <w:unhideWhenUsed/>
    <w:rsid w:val="00EE7CF9"/>
    <w:pPr>
      <w:spacing w:before="100" w:beforeAutospacing="1" w:after="100" w:afterAutospacing="1"/>
    </w:pPr>
  </w:style>
  <w:style w:type="paragraph" w:styleId="Caption">
    <w:name w:val="caption"/>
    <w:basedOn w:val="Normal"/>
    <w:next w:val="Normal"/>
    <w:uiPriority w:val="35"/>
    <w:unhideWhenUsed/>
    <w:qFormat/>
    <w:rsid w:val="00EE7CF9"/>
    <w:pPr>
      <w:spacing w:after="200" w:line="276" w:lineRule="auto"/>
    </w:pPr>
    <w:rPr>
      <w:rFonts w:ascii="Calibri" w:hAnsi="Calibri"/>
      <w:b/>
      <w:bCs/>
      <w:sz w:val="20"/>
      <w:szCs w:val="20"/>
    </w:rPr>
  </w:style>
  <w:style w:type="paragraph" w:styleId="BalloonText">
    <w:name w:val="Balloon Text"/>
    <w:basedOn w:val="Normal"/>
    <w:link w:val="BalloonTextChar"/>
    <w:uiPriority w:val="99"/>
    <w:semiHidden/>
    <w:unhideWhenUsed/>
    <w:rsid w:val="00EE7CF9"/>
    <w:rPr>
      <w:rFonts w:ascii="Tahoma" w:hAnsi="Tahoma"/>
      <w:sz w:val="16"/>
      <w:szCs w:val="16"/>
    </w:rPr>
  </w:style>
  <w:style w:type="character" w:customStyle="1" w:styleId="BalloonTextChar">
    <w:name w:val="Balloon Text Char"/>
    <w:basedOn w:val="DefaultParagraphFont"/>
    <w:link w:val="BalloonText"/>
    <w:uiPriority w:val="99"/>
    <w:semiHidden/>
    <w:rsid w:val="00EE7CF9"/>
    <w:rPr>
      <w:rFonts w:ascii="Tahoma" w:eastAsia="Times New Roman" w:hAnsi="Tahoma" w:cs="Times New Roman"/>
      <w:sz w:val="16"/>
      <w:szCs w:val="16"/>
    </w:rPr>
  </w:style>
  <w:style w:type="paragraph" w:customStyle="1" w:styleId="Default">
    <w:name w:val="Default"/>
    <w:rsid w:val="00EE7C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9">
    <w:name w:val="Pa9"/>
    <w:basedOn w:val="Normal"/>
    <w:next w:val="Normal"/>
    <w:uiPriority w:val="99"/>
    <w:rsid w:val="00EE7CF9"/>
    <w:pPr>
      <w:autoSpaceDE w:val="0"/>
      <w:autoSpaceDN w:val="0"/>
      <w:adjustRightInd w:val="0"/>
      <w:spacing w:line="201" w:lineRule="atLeast"/>
    </w:pPr>
    <w:rPr>
      <w:rFonts w:ascii="Helvetica 55 Roman" w:eastAsia="Calibri" w:hAnsi="Helvetica 55 Roman"/>
    </w:rPr>
  </w:style>
  <w:style w:type="paragraph" w:customStyle="1" w:styleId="Pa7">
    <w:name w:val="Pa7"/>
    <w:basedOn w:val="Normal"/>
    <w:next w:val="Normal"/>
    <w:uiPriority w:val="99"/>
    <w:rsid w:val="00EE7CF9"/>
    <w:pPr>
      <w:autoSpaceDE w:val="0"/>
      <w:autoSpaceDN w:val="0"/>
      <w:adjustRightInd w:val="0"/>
      <w:spacing w:line="181" w:lineRule="atLeast"/>
    </w:pPr>
    <w:rPr>
      <w:rFonts w:ascii="Helvetica 55 Roman" w:eastAsia="Calibri" w:hAnsi="Helvetica 55 Roman"/>
    </w:rPr>
  </w:style>
  <w:style w:type="character" w:styleId="Hyperlink">
    <w:name w:val="Hyperlink"/>
    <w:uiPriority w:val="99"/>
    <w:unhideWhenUsed/>
    <w:rsid w:val="00EE7CF9"/>
    <w:rPr>
      <w:color w:val="0000FF"/>
      <w:u w:val="single"/>
    </w:rPr>
  </w:style>
  <w:style w:type="character" w:customStyle="1" w:styleId="go">
    <w:name w:val="go"/>
    <w:basedOn w:val="DefaultParagraphFont"/>
    <w:rsid w:val="00807705"/>
  </w:style>
  <w:style w:type="character" w:styleId="CommentReference">
    <w:name w:val="annotation reference"/>
    <w:basedOn w:val="DefaultParagraphFont"/>
    <w:uiPriority w:val="99"/>
    <w:semiHidden/>
    <w:unhideWhenUsed/>
    <w:rsid w:val="00222AC6"/>
    <w:rPr>
      <w:sz w:val="16"/>
      <w:szCs w:val="16"/>
    </w:rPr>
  </w:style>
  <w:style w:type="paragraph" w:styleId="CommentText">
    <w:name w:val="annotation text"/>
    <w:basedOn w:val="Normal"/>
    <w:link w:val="CommentTextChar"/>
    <w:unhideWhenUsed/>
    <w:rsid w:val="00222AC6"/>
    <w:rPr>
      <w:sz w:val="20"/>
      <w:szCs w:val="20"/>
    </w:rPr>
  </w:style>
  <w:style w:type="character" w:customStyle="1" w:styleId="CommentTextChar">
    <w:name w:val="Comment Text Char"/>
    <w:basedOn w:val="DefaultParagraphFont"/>
    <w:link w:val="CommentText"/>
    <w:rsid w:val="00222A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2AC6"/>
    <w:rPr>
      <w:b/>
      <w:bCs/>
    </w:rPr>
  </w:style>
  <w:style w:type="character" w:customStyle="1" w:styleId="CommentSubjectChar">
    <w:name w:val="Comment Subject Char"/>
    <w:basedOn w:val="CommentTextChar"/>
    <w:link w:val="CommentSubject"/>
    <w:uiPriority w:val="99"/>
    <w:semiHidden/>
    <w:rsid w:val="00222AC6"/>
    <w:rPr>
      <w:b/>
      <w:bCs/>
    </w:rPr>
  </w:style>
  <w:style w:type="character" w:styleId="Emphasis">
    <w:name w:val="Emphasis"/>
    <w:uiPriority w:val="20"/>
    <w:qFormat/>
    <w:rsid w:val="005A7FAC"/>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journals.sagepub.com/author/Palanisamy%2C+N"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6" Type="http://schemas.openxmlformats.org/officeDocument/2006/relationships/hyperlink" Target="http://doi.org/10.22270/ujpr.v1i1.R1" TargetMode="External"/><Relationship Id="rId5" Type="http://schemas.openxmlformats.org/officeDocument/2006/relationships/hyperlink" Target="http://doi.org/10.22270/ujpr.v1i1.R1" TargetMode="External"/><Relationship Id="rId4" Type="http://schemas.openxmlformats.org/officeDocument/2006/relationships/hyperlink" Target="http://journals.sagepub.com/author/Manian%2C+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ubmed/?term=Siddiqui%20HH%5BAuthor%5D&amp;cauthor=true&amp;cauthor_uid=2573080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cbi.nlm.nih.gov/pubmed/?term=Hussain%20A%5BAuthor%5D&amp;cauthor=true&amp;cauthor_uid=25730806" TargetMode="External"/><Relationship Id="rId17" Type="http://schemas.openxmlformats.org/officeDocument/2006/relationships/hyperlink" Target="http://journals.sagepub.com/author/Manian%2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journals.sagepub.com/author/Palanisamy%2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Ahmad%20MP%5BAuthor%5D&amp;cauthor=true&amp;cauthor_uid=257308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term=Adak%20M%5BAuthor%5D&amp;cauthor=true&amp;cauthor_uid=25730806" TargetMode="External"/><Relationship Id="rId23" Type="http://schemas.openxmlformats.org/officeDocument/2006/relationships/footer" Target="footer3.xml"/><Relationship Id="rId10" Type="http://schemas.openxmlformats.org/officeDocument/2006/relationships/hyperlink" Target="http://journals.sagepub.com/author/Manian%2C+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ncbi.nlm.nih.gov/pubmed/?term=Wahab%20S%5BAuthor%5D&amp;cauthor=true&amp;cauthor_uid=25730806"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87F1-95D4-454F-9197-8F90B950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Kapil</cp:lastModifiedBy>
  <cp:revision>51</cp:revision>
  <dcterms:created xsi:type="dcterms:W3CDTF">2019-01-03T14:51:00Z</dcterms:created>
  <dcterms:modified xsi:type="dcterms:W3CDTF">2021-05-11T00:49:00Z</dcterms:modified>
</cp:coreProperties>
</file>