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42" w:rsidRPr="006C1E68" w:rsidRDefault="00BC7142" w:rsidP="00BC7142">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7C302F" w:rsidRDefault="007C302F" w:rsidP="00053B21">
      <w:pPr>
        <w:jc w:val="center"/>
        <w:rPr>
          <w:rFonts w:ascii="Times New Roman" w:hAnsi="Times New Roman" w:cs="Times New Roman"/>
          <w:b/>
          <w:sz w:val="24"/>
          <w:szCs w:val="24"/>
        </w:rPr>
      </w:pPr>
      <w:commentRangeStart w:id="0"/>
      <w:r>
        <w:rPr>
          <w:rFonts w:ascii="Times New Roman" w:hAnsi="Times New Roman" w:cs="Times New Roman"/>
          <w:b/>
          <w:noProof/>
          <w:sz w:val="24"/>
          <w:szCs w:val="24"/>
        </w:rPr>
        <w:drawing>
          <wp:inline distT="0" distB="0" distL="0" distR="0">
            <wp:extent cx="5197006" cy="1652002"/>
            <wp:effectExtent l="19050" t="0" r="364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196282" cy="1651772"/>
                    </a:xfrm>
                    <a:prstGeom prst="rect">
                      <a:avLst/>
                    </a:prstGeom>
                    <a:noFill/>
                    <a:ln w="9525">
                      <a:noFill/>
                      <a:miter lim="800000"/>
                      <a:headEnd/>
                      <a:tailEnd/>
                    </a:ln>
                  </pic:spPr>
                </pic:pic>
              </a:graphicData>
            </a:graphic>
          </wp:inline>
        </w:drawing>
      </w:r>
      <w:commentRangeEnd w:id="0"/>
      <w:r w:rsidR="00867503">
        <w:rPr>
          <w:rStyle w:val="CommentReference"/>
        </w:rPr>
        <w:commentReference w:id="0"/>
      </w:r>
    </w:p>
    <w:p w:rsidR="008A306F" w:rsidRPr="00053B21" w:rsidRDefault="00053B21" w:rsidP="00053B21">
      <w:pPr>
        <w:jc w:val="center"/>
        <w:rPr>
          <w:rFonts w:ascii="Times New Roman" w:hAnsi="Times New Roman" w:cs="Times New Roman"/>
          <w:b/>
          <w:sz w:val="24"/>
          <w:szCs w:val="24"/>
        </w:rPr>
      </w:pPr>
      <w:r w:rsidRPr="00053B21">
        <w:rPr>
          <w:rFonts w:ascii="Times New Roman" w:hAnsi="Times New Roman" w:cs="Times New Roman"/>
          <w:b/>
          <w:sz w:val="24"/>
          <w:szCs w:val="24"/>
        </w:rPr>
        <w:t xml:space="preserve">Evaluation of anti-inflammatory activity of topical etoricoxib emulgel by carrageenan induced </w:t>
      </w:r>
      <w:commentRangeStart w:id="1"/>
      <w:r w:rsidRPr="00053B21">
        <w:rPr>
          <w:rFonts w:ascii="Times New Roman" w:hAnsi="Times New Roman" w:cs="Times New Roman"/>
          <w:b/>
          <w:sz w:val="24"/>
          <w:szCs w:val="24"/>
        </w:rPr>
        <w:t xml:space="preserve">paw oedema </w:t>
      </w:r>
      <w:commentRangeEnd w:id="1"/>
      <w:r w:rsidR="00BC7142">
        <w:rPr>
          <w:rStyle w:val="CommentReference"/>
        </w:rPr>
        <w:commentReference w:id="1"/>
      </w:r>
      <w:r w:rsidRPr="00053B21">
        <w:rPr>
          <w:rFonts w:ascii="Times New Roman" w:hAnsi="Times New Roman" w:cs="Times New Roman"/>
          <w:b/>
          <w:sz w:val="24"/>
          <w:szCs w:val="24"/>
        </w:rPr>
        <w:t>method</w:t>
      </w:r>
    </w:p>
    <w:p w:rsidR="00053B21" w:rsidRPr="00053B21" w:rsidRDefault="00053B21" w:rsidP="00053B21">
      <w:pPr>
        <w:pStyle w:val="Heading1"/>
        <w:shd w:val="clear" w:color="auto" w:fill="FFFFFF" w:themeFill="background1"/>
        <w:spacing w:before="0" w:beforeAutospacing="0" w:after="0" w:afterAutospacing="0"/>
        <w:jc w:val="both"/>
        <w:rPr>
          <w:sz w:val="24"/>
          <w:szCs w:val="24"/>
        </w:rPr>
      </w:pPr>
      <w:r w:rsidRPr="00053B21">
        <w:rPr>
          <w:sz w:val="24"/>
          <w:szCs w:val="24"/>
        </w:rPr>
        <w:t>ABSTRACT</w:t>
      </w:r>
    </w:p>
    <w:p w:rsidR="00053B21" w:rsidRPr="00053B21" w:rsidRDefault="00053B21" w:rsidP="00053B21">
      <w:pPr>
        <w:pStyle w:val="Heading1"/>
        <w:shd w:val="clear" w:color="auto" w:fill="FFFFFF" w:themeFill="background1"/>
        <w:spacing w:before="0" w:beforeAutospacing="0" w:after="0" w:afterAutospacing="0"/>
        <w:jc w:val="both"/>
        <w:rPr>
          <w:b w:val="0"/>
          <w:noProof/>
          <w:sz w:val="24"/>
          <w:szCs w:val="24"/>
          <w:lang w:eastAsia="en-US"/>
        </w:rPr>
      </w:pPr>
      <w:commentRangeStart w:id="2"/>
      <w:r w:rsidRPr="00053B21">
        <w:rPr>
          <w:b w:val="0"/>
          <w:noProof/>
          <w:sz w:val="24"/>
          <w:szCs w:val="24"/>
          <w:lang w:eastAsia="en-US"/>
        </w:rPr>
        <w:t xml:space="preserve">Emulgel is one of the emerging topical drug delivery system for the delivery of hydrophobic drugs which overcome various disadvantages of ointments and creams such as greasiness and phase inversion. </w:t>
      </w:r>
    </w:p>
    <w:p w:rsidR="00053B21" w:rsidRPr="00053B21" w:rsidRDefault="00053B21" w:rsidP="00053B21">
      <w:pPr>
        <w:pStyle w:val="Heading1"/>
        <w:shd w:val="clear" w:color="auto" w:fill="FFFFFF" w:themeFill="background1"/>
        <w:spacing w:before="0" w:beforeAutospacing="0" w:after="0" w:afterAutospacing="0"/>
        <w:jc w:val="both"/>
        <w:rPr>
          <w:b w:val="0"/>
          <w:noProof/>
          <w:sz w:val="24"/>
          <w:szCs w:val="24"/>
          <w:lang w:eastAsia="en-US"/>
        </w:rPr>
      </w:pPr>
      <w:r w:rsidRPr="00053B21">
        <w:rPr>
          <w:b w:val="0"/>
          <w:noProof/>
          <w:sz w:val="24"/>
          <w:szCs w:val="24"/>
          <w:lang w:eastAsia="en-US"/>
        </w:rPr>
        <w:t>Etoricoxib is poorly aqueous soluble Non steroidal Anti-Inflammatory Drug (NSAID).  It is used in osteoarthritis, rheumatoid arthritis, acute gouty arthritis, ankylosing spondylitis, low back pain, acute postoperative pain, and primary dysmenorrheal. Its oral delivery is associated with greater chance of adverse effects or therapeutic failure and large amount of drug is lost in the vicinity of the target organ. Also oral administration of etoricoxib causes gastro-intestinal irritation. The aim of the present study was to develop an emulgel formulations using the gelling agent like Carbopol 9</w:t>
      </w:r>
      <w:r>
        <w:rPr>
          <w:b w:val="0"/>
          <w:noProof/>
          <w:sz w:val="24"/>
          <w:szCs w:val="24"/>
          <w:lang w:eastAsia="en-US"/>
        </w:rPr>
        <w:t>34 and HPMCK4M with emulsifiers</w:t>
      </w:r>
      <w:r w:rsidRPr="00053B21">
        <w:rPr>
          <w:b w:val="0"/>
          <w:noProof/>
          <w:sz w:val="24"/>
          <w:szCs w:val="24"/>
          <w:lang w:eastAsia="en-US"/>
        </w:rPr>
        <w:t xml:space="preserve">like Span 20 and </w:t>
      </w:r>
      <w:commentRangeStart w:id="3"/>
      <w:r w:rsidR="005A70BF">
        <w:rPr>
          <w:b w:val="0"/>
          <w:noProof/>
          <w:sz w:val="24"/>
          <w:szCs w:val="24"/>
          <w:lang w:eastAsia="en-US"/>
        </w:rPr>
        <w:t>t</w:t>
      </w:r>
      <w:r w:rsidRPr="00053B21">
        <w:rPr>
          <w:b w:val="0"/>
          <w:noProof/>
          <w:sz w:val="24"/>
          <w:szCs w:val="24"/>
          <w:lang w:eastAsia="en-US"/>
        </w:rPr>
        <w:t>ween</w:t>
      </w:r>
      <w:commentRangeEnd w:id="3"/>
      <w:r w:rsidR="005A70BF">
        <w:rPr>
          <w:rStyle w:val="CommentReference"/>
          <w:rFonts w:asciiTheme="minorHAnsi" w:eastAsiaTheme="minorHAnsi" w:hAnsiTheme="minorHAnsi" w:cstheme="minorBidi"/>
          <w:b w:val="0"/>
          <w:bCs w:val="0"/>
          <w:kern w:val="0"/>
          <w:lang w:val="en-US" w:eastAsia="en-US"/>
        </w:rPr>
        <w:commentReference w:id="3"/>
      </w:r>
      <w:r w:rsidRPr="00053B21">
        <w:rPr>
          <w:b w:val="0"/>
          <w:noProof/>
          <w:sz w:val="24"/>
          <w:szCs w:val="24"/>
          <w:lang w:eastAsia="en-US"/>
        </w:rPr>
        <w:t xml:space="preserve"> 20. Six emulgel formulations were developed and evaluated on different parameters like physical appearance, pH, viscosity, extrudability, drug content, spreadability, </w:t>
      </w:r>
      <w:r w:rsidRPr="00053B21">
        <w:rPr>
          <w:b w:val="0"/>
          <w:iCs/>
          <w:noProof/>
          <w:sz w:val="24"/>
          <w:szCs w:val="24"/>
          <w:lang w:eastAsia="en-US"/>
        </w:rPr>
        <w:t>In-vitro</w:t>
      </w:r>
      <w:r w:rsidRPr="00053B21">
        <w:rPr>
          <w:b w:val="0"/>
          <w:i/>
          <w:iCs/>
          <w:noProof/>
          <w:sz w:val="24"/>
          <w:szCs w:val="24"/>
          <w:lang w:eastAsia="en-US"/>
        </w:rPr>
        <w:t xml:space="preserve"> </w:t>
      </w:r>
      <w:r w:rsidRPr="00053B21">
        <w:rPr>
          <w:b w:val="0"/>
          <w:noProof/>
          <w:sz w:val="24"/>
          <w:szCs w:val="24"/>
          <w:lang w:eastAsia="en-US"/>
        </w:rPr>
        <w:t xml:space="preserve">diffusion studies, and skin irritation test. Best formulation of batch EG1 was further evaluated for stability study and anti-inflammatory activity in carrageenan induced rat paw edema. Anti-inflammatory effect of formulation EG1 was compared with standard market product Indomethacin. </w:t>
      </w:r>
    </w:p>
    <w:p w:rsidR="00053B21" w:rsidRPr="00053B21" w:rsidRDefault="00053B21" w:rsidP="00053B21">
      <w:pPr>
        <w:pStyle w:val="Heading1"/>
        <w:shd w:val="clear" w:color="auto" w:fill="FFFFFF" w:themeFill="background1"/>
        <w:spacing w:before="0" w:beforeAutospacing="0" w:after="0" w:afterAutospacing="0"/>
        <w:jc w:val="both"/>
        <w:rPr>
          <w:b w:val="0"/>
          <w:noProof/>
          <w:sz w:val="24"/>
          <w:szCs w:val="24"/>
          <w:lang w:eastAsia="en-US"/>
        </w:rPr>
      </w:pPr>
      <w:r w:rsidRPr="00053B21">
        <w:rPr>
          <w:noProof/>
          <w:sz w:val="24"/>
          <w:szCs w:val="24"/>
          <w:lang w:eastAsia="en-US"/>
        </w:rPr>
        <w:t>Keywords:</w:t>
      </w:r>
      <w:r w:rsidRPr="00053B21">
        <w:rPr>
          <w:b w:val="0"/>
          <w:noProof/>
          <w:sz w:val="24"/>
          <w:szCs w:val="24"/>
          <w:lang w:eastAsia="en-US"/>
        </w:rPr>
        <w:t xml:space="preserve"> Anti-inflammatory effect, carrageenan, emulgel, etoricoxib,  gelling agent, hydrophobic.</w:t>
      </w:r>
    </w:p>
    <w:commentRangeEnd w:id="2"/>
    <w:p w:rsidR="00053B21" w:rsidRPr="00053B21" w:rsidRDefault="00BC7142" w:rsidP="00053B21">
      <w:pPr>
        <w:pStyle w:val="Heading1"/>
        <w:shd w:val="clear" w:color="auto" w:fill="FFFFFF" w:themeFill="background1"/>
        <w:spacing w:before="0" w:beforeAutospacing="0" w:after="0" w:afterAutospacing="0"/>
        <w:jc w:val="both"/>
        <w:rPr>
          <w:b w:val="0"/>
          <w:noProof/>
          <w:sz w:val="24"/>
          <w:szCs w:val="24"/>
          <w:lang w:eastAsia="en-US"/>
        </w:rPr>
      </w:pPr>
      <w:r>
        <w:rPr>
          <w:rStyle w:val="CommentReference"/>
          <w:rFonts w:asciiTheme="minorHAnsi" w:eastAsiaTheme="minorHAnsi" w:hAnsiTheme="minorHAnsi" w:cstheme="minorBidi"/>
          <w:b w:val="0"/>
          <w:bCs w:val="0"/>
          <w:kern w:val="0"/>
          <w:lang w:val="en-US" w:eastAsia="en-US"/>
        </w:rPr>
        <w:commentReference w:id="2"/>
      </w:r>
    </w:p>
    <w:p w:rsidR="00053B21" w:rsidRPr="00053B21" w:rsidRDefault="00053B21" w:rsidP="00053B21">
      <w:pPr>
        <w:pStyle w:val="Heading1"/>
        <w:shd w:val="clear" w:color="auto" w:fill="FFFFFF" w:themeFill="background1"/>
        <w:spacing w:before="0" w:beforeAutospacing="0" w:after="0" w:afterAutospacing="0"/>
        <w:jc w:val="both"/>
        <w:rPr>
          <w:b w:val="0"/>
          <w:noProof/>
          <w:sz w:val="24"/>
          <w:szCs w:val="24"/>
          <w:lang w:eastAsia="en-US"/>
        </w:rPr>
      </w:pPr>
    </w:p>
    <w:p w:rsidR="00053B21" w:rsidRPr="00053B21" w:rsidRDefault="00053B21" w:rsidP="00053B21">
      <w:pPr>
        <w:autoSpaceDE w:val="0"/>
        <w:autoSpaceDN w:val="0"/>
        <w:adjustRightInd w:val="0"/>
        <w:spacing w:after="0" w:line="240" w:lineRule="auto"/>
        <w:jc w:val="both"/>
        <w:rPr>
          <w:rFonts w:ascii="Times New Roman" w:hAnsi="Times New Roman" w:cs="Times New Roman"/>
          <w:b/>
          <w:bCs/>
          <w:kern w:val="36"/>
          <w:sz w:val="24"/>
          <w:szCs w:val="24"/>
        </w:rPr>
      </w:pPr>
      <w:r w:rsidRPr="00053B21">
        <w:rPr>
          <w:rStyle w:val="Heading1Char"/>
          <w:rFonts w:eastAsiaTheme="minorEastAsia"/>
          <w:sz w:val="24"/>
          <w:szCs w:val="24"/>
        </w:rPr>
        <w:t>Introduction</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commentRangeStart w:id="4"/>
      <w:r w:rsidRPr="00053B21">
        <w:rPr>
          <w:rFonts w:ascii="Times New Roman" w:hAnsi="Times New Roman" w:cs="Times New Roman"/>
          <w:sz w:val="24"/>
          <w:szCs w:val="24"/>
        </w:rPr>
        <w:t>Drug delivery via skin has a potential view for a long time because skin is easy to access with large surface area and the route is non invasive. This route of drug delivery has gained popularity due to some advantages like, it avoids first pass effects, gastrointestinal irritation, and metabolic degradation associated with oral administration</w:t>
      </w:r>
      <w:r w:rsidRPr="00053B21">
        <w:rPr>
          <w:rFonts w:ascii="Times New Roman" w:hAnsi="Times New Roman" w:cs="Times New Roman"/>
          <w:sz w:val="24"/>
          <w:szCs w:val="24"/>
          <w:vertAlign w:val="superscript"/>
        </w:rPr>
        <w:t>1,2</w:t>
      </w:r>
      <w:r w:rsidRPr="00053B21">
        <w:rPr>
          <w:rFonts w:ascii="Times New Roman" w:hAnsi="Times New Roman" w:cs="Times New Roman"/>
          <w:sz w:val="24"/>
          <w:szCs w:val="24"/>
        </w:rPr>
        <w:t xml:space="preserve">. </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 xml:space="preserve">Gels are a relatively newer class of drug delivery systems constituting large amounts of aqueous or hydro alcoholic liquid in a complex network of solid particles.  Topical gel formulations provide suitable delivery </w:t>
      </w:r>
      <w:r>
        <w:rPr>
          <w:rFonts w:ascii="Times New Roman" w:hAnsi="Times New Roman" w:cs="Times New Roman"/>
          <w:sz w:val="24"/>
          <w:szCs w:val="24"/>
        </w:rPr>
        <w:t xml:space="preserve">system for drugs </w:t>
      </w:r>
      <w:commentRangeStart w:id="5"/>
      <w:r>
        <w:rPr>
          <w:rFonts w:ascii="Times New Roman" w:hAnsi="Times New Roman" w:cs="Times New Roman"/>
          <w:sz w:val="24"/>
          <w:szCs w:val="24"/>
        </w:rPr>
        <w:t>because</w:t>
      </w:r>
      <w:r w:rsidRPr="00053B21">
        <w:rPr>
          <w:rFonts w:ascii="Times New Roman" w:hAnsi="Times New Roman" w:cs="Times New Roman"/>
          <w:sz w:val="24"/>
          <w:szCs w:val="24"/>
        </w:rPr>
        <w:t>they</w:t>
      </w:r>
      <w:commentRangeEnd w:id="5"/>
      <w:r w:rsidR="009A4B07">
        <w:rPr>
          <w:rStyle w:val="CommentReference"/>
        </w:rPr>
        <w:commentReference w:id="5"/>
      </w:r>
      <w:r w:rsidRPr="00053B21">
        <w:rPr>
          <w:rFonts w:ascii="Times New Roman" w:hAnsi="Times New Roman" w:cs="Times New Roman"/>
          <w:sz w:val="24"/>
          <w:szCs w:val="24"/>
        </w:rPr>
        <w:t xml:space="preserve"> are less greasy and can be easily removed from the skin</w:t>
      </w:r>
      <w:r w:rsidRPr="00053B21">
        <w:rPr>
          <w:rFonts w:ascii="Times New Roman" w:hAnsi="Times New Roman" w:cs="Times New Roman"/>
          <w:sz w:val="24"/>
          <w:szCs w:val="24"/>
          <w:vertAlign w:val="superscript"/>
        </w:rPr>
        <w:t>3</w:t>
      </w:r>
      <w:r w:rsidRPr="00053B21">
        <w:rPr>
          <w:rFonts w:ascii="Times New Roman" w:hAnsi="Times New Roman" w:cs="Times New Roman"/>
          <w:sz w:val="24"/>
          <w:szCs w:val="24"/>
        </w:rPr>
        <w:t>. They are intended to be applied to the skin or certain mucous membranes for protective, prophylactic or therapeutic purposes.  They embrace a higher aqueous component that assists in dissolution of drugs, and facilitate easy drug release through the vehicle that is essentially a liquid</w:t>
      </w:r>
      <w:r w:rsidRPr="00053B21">
        <w:rPr>
          <w:rFonts w:ascii="Times New Roman" w:hAnsi="Times New Roman" w:cs="Times New Roman"/>
          <w:sz w:val="24"/>
          <w:szCs w:val="24"/>
          <w:vertAlign w:val="superscript"/>
        </w:rPr>
        <w:t>4</w:t>
      </w:r>
      <w:r w:rsidRPr="00053B21">
        <w:rPr>
          <w:rFonts w:ascii="Times New Roman" w:hAnsi="Times New Roman" w:cs="Times New Roman"/>
          <w:sz w:val="24"/>
          <w:szCs w:val="24"/>
        </w:rPr>
        <w:t xml:space="preserve">. Despite many advantages some limitations are associated with gels, major drawback remains, which is its ability to deliver hydrophobic drugs. To overcome this limitation, emulgel have been </w:t>
      </w:r>
      <w:commentRangeEnd w:id="4"/>
      <w:r w:rsidR="000066CD">
        <w:rPr>
          <w:rStyle w:val="CommentReference"/>
        </w:rPr>
        <w:commentReference w:id="4"/>
      </w:r>
      <w:r w:rsidRPr="00053B21">
        <w:rPr>
          <w:rFonts w:ascii="Times New Roman" w:hAnsi="Times New Roman" w:cs="Times New Roman"/>
          <w:sz w:val="24"/>
          <w:szCs w:val="24"/>
        </w:rPr>
        <w:t xml:space="preserve">emerged as an effective delivery system aiding the incorporation of hydrophobic drugs in gel dosage forms. When gels and emulsions are utilized in combination, the </w:t>
      </w:r>
      <w:commentRangeStart w:id="6"/>
      <w:r w:rsidRPr="00053B21">
        <w:rPr>
          <w:rFonts w:ascii="Times New Roman" w:hAnsi="Times New Roman" w:cs="Times New Roman"/>
          <w:sz w:val="24"/>
          <w:szCs w:val="24"/>
        </w:rPr>
        <w:t>dosage forms are referred as emulgel</w:t>
      </w:r>
      <w:r w:rsidRPr="00053B21">
        <w:rPr>
          <w:rFonts w:ascii="Times New Roman" w:hAnsi="Times New Roman" w:cs="Times New Roman"/>
          <w:sz w:val="24"/>
          <w:szCs w:val="24"/>
          <w:vertAlign w:val="superscript"/>
        </w:rPr>
        <w:t>5</w:t>
      </w:r>
      <w:r w:rsidRPr="00053B21">
        <w:rPr>
          <w:rFonts w:ascii="Times New Roman" w:hAnsi="Times New Roman" w:cs="Times New Roman"/>
          <w:sz w:val="24"/>
          <w:szCs w:val="24"/>
        </w:rPr>
        <w:t>.  Emulgel is emerging field for the topical drug delivery, and till date it has less marketed product, so it is interesting and challenging to focus on emulgel</w:t>
      </w:r>
      <w:r w:rsidRPr="00053B21">
        <w:rPr>
          <w:rFonts w:ascii="Times New Roman" w:hAnsi="Times New Roman" w:cs="Times New Roman"/>
          <w:sz w:val="24"/>
          <w:szCs w:val="24"/>
          <w:vertAlign w:val="superscript"/>
        </w:rPr>
        <w:t>6</w:t>
      </w:r>
      <w:r w:rsidRPr="00053B21">
        <w:rPr>
          <w:rFonts w:ascii="Times New Roman" w:hAnsi="Times New Roman" w:cs="Times New Roman"/>
          <w:b/>
          <w:bCs/>
          <w:sz w:val="24"/>
          <w:szCs w:val="24"/>
        </w:rPr>
        <w:t>.</w:t>
      </w:r>
      <w:r w:rsidRPr="00053B21">
        <w:rPr>
          <w:rFonts w:ascii="Times New Roman" w:hAnsi="Times New Roman" w:cs="Times New Roman"/>
          <w:sz w:val="24"/>
          <w:szCs w:val="24"/>
        </w:rPr>
        <w:t xml:space="preserve"> Emulgel is the approach using the benefits of both emulsion and gels, gaining the dual controlled release </w:t>
      </w:r>
      <w:commentRangeEnd w:id="6"/>
      <w:r w:rsidR="000066CD">
        <w:rPr>
          <w:rStyle w:val="CommentReference"/>
        </w:rPr>
        <w:commentReference w:id="6"/>
      </w:r>
      <w:r w:rsidRPr="00053B21">
        <w:rPr>
          <w:rFonts w:ascii="Times New Roman" w:hAnsi="Times New Roman" w:cs="Times New Roman"/>
          <w:sz w:val="24"/>
          <w:szCs w:val="24"/>
        </w:rPr>
        <w:t xml:space="preserve">effect where the emulsion either oil in water or water in oil is gelled by </w:t>
      </w:r>
      <w:r w:rsidRPr="00053B21">
        <w:rPr>
          <w:rFonts w:ascii="Times New Roman" w:hAnsi="Times New Roman" w:cs="Times New Roman"/>
          <w:sz w:val="24"/>
          <w:szCs w:val="24"/>
        </w:rPr>
        <w:lastRenderedPageBreak/>
        <w:t xml:space="preserve">incorporation in the gel base, simply the emulgel are emulsion in gel. Emulgel possess the properties as thixotropic, grease less, easily spreadable, easily removable, emollient, non staining, </w:t>
      </w:r>
      <w:commentRangeStart w:id="7"/>
      <w:r w:rsidRPr="00053B21">
        <w:rPr>
          <w:rFonts w:ascii="Times New Roman" w:hAnsi="Times New Roman" w:cs="Times New Roman"/>
          <w:sz w:val="24"/>
          <w:szCs w:val="24"/>
        </w:rPr>
        <w:t>water soluble, long shelf life, biofriendly and pleasing appearance that improves the patient acceptability</w:t>
      </w:r>
      <w:r w:rsidRPr="00053B21">
        <w:rPr>
          <w:rFonts w:ascii="Times New Roman" w:hAnsi="Times New Roman" w:cs="Times New Roman"/>
          <w:sz w:val="24"/>
          <w:szCs w:val="24"/>
          <w:vertAlign w:val="superscript"/>
        </w:rPr>
        <w:t>7</w:t>
      </w:r>
      <w:r w:rsidRPr="00053B21">
        <w:rPr>
          <w:rFonts w:ascii="Times New Roman" w:hAnsi="Times New Roman" w:cs="Times New Roman"/>
          <w:sz w:val="24"/>
          <w:szCs w:val="24"/>
        </w:rPr>
        <w:t>.</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Etoricoxib is a Non </w:t>
      </w:r>
      <w:commentRangeStart w:id="8"/>
      <w:r>
        <w:rPr>
          <w:rFonts w:ascii="Times New Roman" w:hAnsi="Times New Roman" w:cs="Times New Roman"/>
          <w:sz w:val="24"/>
          <w:szCs w:val="24"/>
        </w:rPr>
        <w:t>steroidal</w:t>
      </w:r>
      <w:r w:rsidRPr="00053B21">
        <w:rPr>
          <w:rFonts w:ascii="Times New Roman" w:hAnsi="Times New Roman" w:cs="Times New Roman"/>
          <w:sz w:val="24"/>
          <w:szCs w:val="24"/>
        </w:rPr>
        <w:t xml:space="preserve">Anti-Inflammatory </w:t>
      </w:r>
      <w:commentRangeEnd w:id="8"/>
      <w:r w:rsidR="009A4B07">
        <w:rPr>
          <w:rStyle w:val="CommentReference"/>
        </w:rPr>
        <w:commentReference w:id="8"/>
      </w:r>
      <w:r w:rsidRPr="00053B21">
        <w:rPr>
          <w:rFonts w:ascii="Times New Roman" w:hAnsi="Times New Roman" w:cs="Times New Roman"/>
          <w:sz w:val="24"/>
          <w:szCs w:val="24"/>
        </w:rPr>
        <w:t>Drug (NSAID) belonging to the class of cyclooxygenase 2 (COX-2) inhibitors used in the treatment of relieving moderate pain and swelling of joints associated with different forms of arthritis</w:t>
      </w:r>
      <w:r w:rsidRPr="00053B21">
        <w:rPr>
          <w:rFonts w:ascii="Times New Roman" w:hAnsi="Times New Roman" w:cs="Times New Roman"/>
          <w:sz w:val="24"/>
          <w:szCs w:val="24"/>
          <w:vertAlign w:val="superscript"/>
        </w:rPr>
        <w:t>8</w:t>
      </w:r>
      <w:r w:rsidRPr="00053B21">
        <w:rPr>
          <w:rFonts w:ascii="Times New Roman" w:hAnsi="Times New Roman" w:cs="Times New Roman"/>
          <w:sz w:val="24"/>
          <w:szCs w:val="24"/>
        </w:rPr>
        <w:t>. Clinical trials have established the efficacy of etoricoxib in osteoarthritis, rheumatoid arthritis, acute gouty arthritis, low back pain, acute postoperative pain, and primary dysmenorrheal</w:t>
      </w:r>
      <w:r w:rsidRPr="00053B21">
        <w:rPr>
          <w:rFonts w:ascii="Times New Roman" w:hAnsi="Times New Roman" w:cs="Times New Roman"/>
          <w:sz w:val="24"/>
          <w:szCs w:val="24"/>
          <w:vertAlign w:val="superscript"/>
        </w:rPr>
        <w:t>9</w:t>
      </w:r>
      <w:r w:rsidR="002A121F">
        <w:rPr>
          <w:rFonts w:ascii="Times New Roman" w:hAnsi="Times New Roman" w:cs="Times New Roman"/>
          <w:sz w:val="24"/>
          <w:szCs w:val="24"/>
          <w:vertAlign w:val="superscript"/>
        </w:rPr>
        <w:t>,10</w:t>
      </w:r>
      <w:r w:rsidRPr="00053B21">
        <w:rPr>
          <w:rFonts w:ascii="Times New Roman" w:hAnsi="Times New Roman" w:cs="Times New Roman"/>
          <w:sz w:val="24"/>
          <w:szCs w:val="24"/>
        </w:rPr>
        <w:t xml:space="preserve">. </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In the present study, an attempt has been made to develop emulgel formulations of etoricoxib so as to reduce the side effects of oral administration and to enhance percutaneous absorption.</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selected </w:t>
      </w:r>
      <w:commentRangeStart w:id="9"/>
      <w:r>
        <w:rPr>
          <w:rFonts w:ascii="Times New Roman" w:hAnsi="Times New Roman" w:cs="Times New Roman"/>
          <w:sz w:val="24"/>
          <w:szCs w:val="24"/>
        </w:rPr>
        <w:t>formulations</w:t>
      </w:r>
      <w:r w:rsidRPr="00053B21">
        <w:rPr>
          <w:rFonts w:ascii="Times New Roman" w:hAnsi="Times New Roman" w:cs="Times New Roman"/>
          <w:sz w:val="24"/>
          <w:szCs w:val="24"/>
        </w:rPr>
        <w:t>were</w:t>
      </w:r>
      <w:commentRangeEnd w:id="9"/>
      <w:r w:rsidR="009A4B07">
        <w:rPr>
          <w:rStyle w:val="CommentReference"/>
        </w:rPr>
        <w:commentReference w:id="9"/>
      </w:r>
      <w:r w:rsidRPr="00053B21">
        <w:rPr>
          <w:rFonts w:ascii="Times New Roman" w:hAnsi="Times New Roman" w:cs="Times New Roman"/>
          <w:sz w:val="24"/>
          <w:szCs w:val="24"/>
        </w:rPr>
        <w:t xml:space="preserve"> </w:t>
      </w:r>
      <w:commentRangeEnd w:id="7"/>
      <w:r w:rsidR="000066CD">
        <w:rPr>
          <w:rStyle w:val="CommentReference"/>
        </w:rPr>
        <w:commentReference w:id="7"/>
      </w:r>
      <w:r w:rsidRPr="00053B21">
        <w:rPr>
          <w:rFonts w:ascii="Times New Roman" w:hAnsi="Times New Roman" w:cs="Times New Roman"/>
          <w:sz w:val="24"/>
          <w:szCs w:val="24"/>
        </w:rPr>
        <w:t>further characterized for anti-inflammatory activity and compared with standard market product Indomethacin.</w:t>
      </w:r>
    </w:p>
    <w:p w:rsidR="00053B21" w:rsidRPr="00053B21" w:rsidRDefault="00053B21" w:rsidP="00053B21">
      <w:pPr>
        <w:autoSpaceDE w:val="0"/>
        <w:autoSpaceDN w:val="0"/>
        <w:adjustRightInd w:val="0"/>
        <w:spacing w:after="0" w:line="240" w:lineRule="auto"/>
        <w:jc w:val="both"/>
        <w:rPr>
          <w:rFonts w:ascii="Times New Roman" w:hAnsi="Times New Roman" w:cs="Times New Roman"/>
          <w:b/>
          <w:bCs/>
          <w:i/>
          <w:iCs/>
          <w:sz w:val="24"/>
          <w:szCs w:val="24"/>
        </w:rPr>
      </w:pPr>
    </w:p>
    <w:p w:rsidR="00053B21" w:rsidRPr="00053B21" w:rsidRDefault="00053B21" w:rsidP="00053B21">
      <w:pPr>
        <w:autoSpaceDE w:val="0"/>
        <w:autoSpaceDN w:val="0"/>
        <w:adjustRightInd w:val="0"/>
        <w:spacing w:after="0" w:line="240" w:lineRule="auto"/>
        <w:jc w:val="both"/>
        <w:rPr>
          <w:rFonts w:ascii="Times New Roman" w:hAnsi="Times New Roman" w:cs="Times New Roman"/>
          <w:b/>
          <w:bCs/>
          <w:sz w:val="24"/>
          <w:szCs w:val="24"/>
        </w:rPr>
      </w:pPr>
      <w:r w:rsidRPr="00053B21">
        <w:rPr>
          <w:rFonts w:ascii="Times New Roman" w:hAnsi="Times New Roman" w:cs="Times New Roman"/>
          <w:b/>
          <w:bCs/>
          <w:sz w:val="24"/>
          <w:szCs w:val="24"/>
        </w:rPr>
        <w:t>Materials and methods</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 xml:space="preserve">Etoricoxib was </w:t>
      </w:r>
      <w:commentRangeStart w:id="10"/>
      <w:r w:rsidRPr="00053B21">
        <w:rPr>
          <w:rFonts w:ascii="Times New Roman" w:hAnsi="Times New Roman" w:cs="Times New Roman"/>
          <w:sz w:val="24"/>
          <w:szCs w:val="24"/>
        </w:rPr>
        <w:t xml:space="preserve">obtained from Abumec Pharmaceuticals Ltd, Kaduna. Carbopol 934, HPMC K4M and Light Liquid paraffin Adler Products Limited, Lagos. </w:t>
      </w:r>
      <w:commentRangeStart w:id="11"/>
      <w:r w:rsidR="005A70BF">
        <w:rPr>
          <w:rFonts w:ascii="Times New Roman" w:hAnsi="Times New Roman" w:cs="Times New Roman"/>
          <w:sz w:val="24"/>
          <w:szCs w:val="24"/>
        </w:rPr>
        <w:t>t</w:t>
      </w:r>
      <w:r w:rsidRPr="00053B21">
        <w:rPr>
          <w:rFonts w:ascii="Times New Roman" w:hAnsi="Times New Roman" w:cs="Times New Roman"/>
          <w:sz w:val="24"/>
          <w:szCs w:val="24"/>
        </w:rPr>
        <w:t>wee</w:t>
      </w:r>
      <w:commentRangeEnd w:id="11"/>
      <w:r w:rsidR="005A70BF">
        <w:rPr>
          <w:rStyle w:val="CommentReference"/>
        </w:rPr>
        <w:commentReference w:id="11"/>
      </w:r>
      <w:r w:rsidRPr="00053B21">
        <w:rPr>
          <w:rFonts w:ascii="Times New Roman" w:hAnsi="Times New Roman" w:cs="Times New Roman"/>
          <w:sz w:val="24"/>
          <w:szCs w:val="24"/>
        </w:rPr>
        <w:t>n 20, Span 20 and Propylene glycol were obtained from Agary Pharmaceutical Limited, Lagos. Methyl paraben was obtained from Bentos Pharmaceutical Products Limited, Oyo state, Nigeria.</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All other ingredients used were of analytical grade.</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commentRangeStart w:id="12"/>
      <w:r w:rsidRPr="00053B21">
        <w:rPr>
          <w:rFonts w:ascii="Times New Roman" w:hAnsi="Times New Roman" w:cs="Times New Roman"/>
          <w:b/>
          <w:bCs/>
          <w:sz w:val="24"/>
          <w:szCs w:val="24"/>
        </w:rPr>
        <w:t>Preparation of Etoricoxib emulgel</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The gels i</w:t>
      </w:r>
      <w:r>
        <w:rPr>
          <w:rFonts w:ascii="Times New Roman" w:hAnsi="Times New Roman" w:cs="Times New Roman"/>
          <w:sz w:val="24"/>
          <w:szCs w:val="24"/>
        </w:rPr>
        <w:t xml:space="preserve">n formulations were prepared </w:t>
      </w:r>
      <w:commentRangeStart w:id="13"/>
      <w:r>
        <w:rPr>
          <w:rFonts w:ascii="Times New Roman" w:hAnsi="Times New Roman" w:cs="Times New Roman"/>
          <w:sz w:val="24"/>
          <w:szCs w:val="24"/>
        </w:rPr>
        <w:t>by</w:t>
      </w:r>
      <w:r w:rsidRPr="00053B21">
        <w:rPr>
          <w:rFonts w:ascii="Times New Roman" w:hAnsi="Times New Roman" w:cs="Times New Roman"/>
          <w:sz w:val="24"/>
          <w:szCs w:val="24"/>
        </w:rPr>
        <w:t>dispersing</w:t>
      </w:r>
      <w:commentRangeEnd w:id="13"/>
      <w:r w:rsidR="002A121F">
        <w:rPr>
          <w:rStyle w:val="CommentReference"/>
        </w:rPr>
        <w:commentReference w:id="13"/>
      </w:r>
      <w:r w:rsidRPr="00053B21">
        <w:rPr>
          <w:rFonts w:ascii="Times New Roman" w:hAnsi="Times New Roman" w:cs="Times New Roman"/>
          <w:sz w:val="24"/>
          <w:szCs w:val="24"/>
        </w:rPr>
        <w:t xml:space="preserve"> carbopol and HPMCK4M in purified water with constant stirring at a moderate speed and then the pH are adjusted to around 6 using tri-ethanol amine. The oil phase of the emulsion was prepared by dissolving Span 20 in light liquid paraffin while the aqueous phase was prepared by dissolving </w:t>
      </w:r>
      <w:commentRangeStart w:id="14"/>
      <w:r w:rsidR="005A70BF">
        <w:rPr>
          <w:rFonts w:ascii="Times New Roman" w:hAnsi="Times New Roman" w:cs="Times New Roman"/>
          <w:sz w:val="24"/>
          <w:szCs w:val="24"/>
        </w:rPr>
        <w:t>t</w:t>
      </w:r>
      <w:r w:rsidRPr="00053B21">
        <w:rPr>
          <w:rFonts w:ascii="Times New Roman" w:hAnsi="Times New Roman" w:cs="Times New Roman"/>
          <w:sz w:val="24"/>
          <w:szCs w:val="24"/>
        </w:rPr>
        <w:t>ween</w:t>
      </w:r>
      <w:commentRangeEnd w:id="14"/>
      <w:r w:rsidR="005A70BF">
        <w:rPr>
          <w:rStyle w:val="CommentReference"/>
        </w:rPr>
        <w:commentReference w:id="14"/>
      </w:r>
      <w:r w:rsidRPr="00053B21">
        <w:rPr>
          <w:rFonts w:ascii="Times New Roman" w:hAnsi="Times New Roman" w:cs="Times New Roman"/>
          <w:sz w:val="24"/>
          <w:szCs w:val="24"/>
        </w:rPr>
        <w:t xml:space="preserve"> 20 in purified water. Methyl paraben was dissolved in propylene glycol whereas drug was dissolved in ethanol and both solutions were mixed with the aqueous phase. Both the oily and aqueous phases were separately heated to 70° to 80°C; then </w:t>
      </w:r>
      <w:commentRangeEnd w:id="10"/>
      <w:r w:rsidR="000066CD">
        <w:rPr>
          <w:rStyle w:val="CommentReference"/>
        </w:rPr>
        <w:commentReference w:id="10"/>
      </w:r>
      <w:r w:rsidRPr="00053B21">
        <w:rPr>
          <w:rFonts w:ascii="Times New Roman" w:hAnsi="Times New Roman" w:cs="Times New Roman"/>
          <w:sz w:val="24"/>
          <w:szCs w:val="24"/>
        </w:rPr>
        <w:t xml:space="preserve">the oily phase were added to the aqueous phase with continuous stirring until cooled to room temperature. Finally </w:t>
      </w:r>
      <w:commentRangeEnd w:id="12"/>
      <w:r w:rsidR="00BC7142">
        <w:rPr>
          <w:rStyle w:val="CommentReference"/>
        </w:rPr>
        <w:commentReference w:id="12"/>
      </w:r>
      <w:r w:rsidRPr="00053B21">
        <w:rPr>
          <w:rFonts w:ascii="Times New Roman" w:hAnsi="Times New Roman" w:cs="Times New Roman"/>
          <w:sz w:val="24"/>
          <w:szCs w:val="24"/>
        </w:rPr>
        <w:t>the emulgel was prepared by mixing the both gel and emulsion in 1:1 ratio</w:t>
      </w:r>
      <w:commentRangeStart w:id="15"/>
      <w:r w:rsidRPr="00053B21">
        <w:rPr>
          <w:rFonts w:ascii="Times New Roman" w:hAnsi="Times New Roman" w:cs="Times New Roman"/>
          <w:sz w:val="24"/>
          <w:szCs w:val="24"/>
          <w:vertAlign w:val="superscript"/>
        </w:rPr>
        <w:t>11</w:t>
      </w:r>
      <w:commentRangeEnd w:id="15"/>
      <w:r w:rsidR="00BC7142">
        <w:rPr>
          <w:rStyle w:val="CommentReference"/>
        </w:rPr>
        <w:commentReference w:id="15"/>
      </w:r>
      <w:r w:rsidRPr="00053B21">
        <w:rPr>
          <w:rFonts w:ascii="Times New Roman" w:hAnsi="Times New Roman" w:cs="Times New Roman"/>
          <w:sz w:val="24"/>
          <w:szCs w:val="24"/>
        </w:rPr>
        <w:t xml:space="preserve">. The composition of different formulations is shown in </w:t>
      </w:r>
      <w:commentRangeStart w:id="16"/>
      <w:r w:rsidR="002A121F">
        <w:rPr>
          <w:rFonts w:ascii="Times New Roman" w:hAnsi="Times New Roman" w:cs="Times New Roman"/>
          <w:bCs/>
          <w:sz w:val="24"/>
          <w:szCs w:val="24"/>
        </w:rPr>
        <w:t>t</w:t>
      </w:r>
      <w:r w:rsidRPr="00053B21">
        <w:rPr>
          <w:rFonts w:ascii="Times New Roman" w:hAnsi="Times New Roman" w:cs="Times New Roman"/>
          <w:bCs/>
          <w:sz w:val="24"/>
          <w:szCs w:val="24"/>
        </w:rPr>
        <w:t>able</w:t>
      </w:r>
      <w:commentRangeEnd w:id="16"/>
      <w:r w:rsidR="002A121F">
        <w:rPr>
          <w:rStyle w:val="CommentReference"/>
        </w:rPr>
        <w:commentReference w:id="16"/>
      </w:r>
      <w:r w:rsidRPr="00053B21">
        <w:rPr>
          <w:rFonts w:ascii="Times New Roman" w:hAnsi="Times New Roman" w:cs="Times New Roman"/>
          <w:bCs/>
          <w:sz w:val="24"/>
          <w:szCs w:val="24"/>
        </w:rPr>
        <w:t xml:space="preserve"> 1</w:t>
      </w:r>
      <w:r w:rsidRPr="00053B21">
        <w:rPr>
          <w:rFonts w:ascii="Times New Roman" w:hAnsi="Times New Roman" w:cs="Times New Roman"/>
          <w:sz w:val="24"/>
          <w:szCs w:val="24"/>
        </w:rPr>
        <w:t>.</w:t>
      </w:r>
    </w:p>
    <w:p w:rsidR="00053B21" w:rsidRPr="00053B21" w:rsidRDefault="00053B21" w:rsidP="00053B21">
      <w:pPr>
        <w:spacing w:after="0" w:line="240" w:lineRule="auto"/>
        <w:jc w:val="center"/>
        <w:rPr>
          <w:rFonts w:ascii="Times New Roman" w:eastAsia="Times New Roman" w:hAnsi="Times New Roman" w:cs="Times New Roman"/>
          <w:b/>
          <w:bCs/>
          <w:color w:val="000000"/>
          <w:sz w:val="24"/>
          <w:szCs w:val="24"/>
        </w:rPr>
      </w:pPr>
      <w:r w:rsidRPr="00053B21">
        <w:rPr>
          <w:rFonts w:ascii="Times New Roman" w:eastAsia="Times New Roman" w:hAnsi="Times New Roman" w:cs="Times New Roman"/>
          <w:b/>
          <w:bCs/>
          <w:color w:val="000000"/>
          <w:sz w:val="24"/>
          <w:szCs w:val="24"/>
        </w:rPr>
        <w:t>Table 1: Quantative composition of etoricoxib emulgel formulations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83"/>
        <w:gridCol w:w="683"/>
        <w:gridCol w:w="683"/>
        <w:gridCol w:w="942"/>
        <w:gridCol w:w="709"/>
        <w:gridCol w:w="683"/>
      </w:tblGrid>
      <w:tr w:rsidR="00053B21" w:rsidRPr="00053B21" w:rsidTr="00053B21">
        <w:trPr>
          <w:jc w:val="center"/>
        </w:trPr>
        <w:tc>
          <w:tcPr>
            <w:tcW w:w="18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b/>
                <w:bCs/>
                <w:color w:val="000000"/>
                <w:sz w:val="24"/>
                <w:szCs w:val="24"/>
              </w:rPr>
              <w:t xml:space="preserve">Ingredients (%w/w) </w:t>
            </w:r>
          </w:p>
        </w:tc>
        <w:tc>
          <w:tcPr>
            <w:tcW w:w="633"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b/>
                <w:bCs/>
                <w:color w:val="000000"/>
                <w:sz w:val="24"/>
                <w:szCs w:val="24"/>
              </w:rPr>
              <w:t>EG1</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b/>
                <w:bCs/>
                <w:color w:val="000000"/>
                <w:sz w:val="24"/>
                <w:szCs w:val="24"/>
              </w:rPr>
              <w:t>EG2</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b/>
                <w:bCs/>
                <w:color w:val="000000"/>
                <w:sz w:val="24"/>
                <w:szCs w:val="24"/>
              </w:rPr>
              <w:t xml:space="preserve">EG3 </w:t>
            </w:r>
          </w:p>
        </w:tc>
        <w:tc>
          <w:tcPr>
            <w:tcW w:w="942"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b/>
                <w:bCs/>
                <w:color w:val="000000"/>
                <w:sz w:val="24"/>
                <w:szCs w:val="24"/>
              </w:rPr>
              <w:t xml:space="preserve">EG4 </w:t>
            </w:r>
          </w:p>
        </w:tc>
        <w:tc>
          <w:tcPr>
            <w:tcW w:w="7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b/>
                <w:bCs/>
                <w:color w:val="000000"/>
                <w:sz w:val="24"/>
                <w:szCs w:val="24"/>
              </w:rPr>
              <w:t xml:space="preserve">EG5 </w:t>
            </w:r>
          </w:p>
        </w:tc>
        <w:tc>
          <w:tcPr>
            <w:tcW w:w="457"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b/>
                <w:bCs/>
                <w:color w:val="000000"/>
                <w:sz w:val="24"/>
                <w:szCs w:val="24"/>
              </w:rPr>
              <w:t xml:space="preserve">EG6 </w:t>
            </w:r>
          </w:p>
        </w:tc>
      </w:tr>
      <w:tr w:rsidR="00053B21" w:rsidRPr="00053B21" w:rsidTr="00053B21">
        <w:trPr>
          <w:jc w:val="center"/>
        </w:trPr>
        <w:tc>
          <w:tcPr>
            <w:tcW w:w="18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hAnsi="Times New Roman" w:cs="Times New Roman"/>
                <w:color w:val="000000"/>
                <w:sz w:val="24"/>
                <w:szCs w:val="24"/>
              </w:rPr>
              <w:t>Etoricoxib</w:t>
            </w:r>
          </w:p>
        </w:tc>
        <w:tc>
          <w:tcPr>
            <w:tcW w:w="633"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c>
          <w:tcPr>
            <w:tcW w:w="942"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c>
          <w:tcPr>
            <w:tcW w:w="7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c>
          <w:tcPr>
            <w:tcW w:w="457"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r>
      <w:tr w:rsidR="00053B21" w:rsidRPr="00053B21" w:rsidTr="00053B21">
        <w:trPr>
          <w:jc w:val="center"/>
        </w:trPr>
        <w:tc>
          <w:tcPr>
            <w:tcW w:w="18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Carbopol 934 </w:t>
            </w:r>
          </w:p>
        </w:tc>
        <w:tc>
          <w:tcPr>
            <w:tcW w:w="633"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c>
          <w:tcPr>
            <w:tcW w:w="942"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 </w:t>
            </w:r>
          </w:p>
        </w:tc>
        <w:tc>
          <w:tcPr>
            <w:tcW w:w="7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 </w:t>
            </w:r>
          </w:p>
        </w:tc>
        <w:tc>
          <w:tcPr>
            <w:tcW w:w="457"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 </w:t>
            </w:r>
          </w:p>
        </w:tc>
      </w:tr>
      <w:tr w:rsidR="00053B21" w:rsidRPr="00053B21" w:rsidTr="00053B21">
        <w:trPr>
          <w:jc w:val="center"/>
        </w:trPr>
        <w:tc>
          <w:tcPr>
            <w:tcW w:w="1809"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HPMC K4M</w:t>
            </w:r>
          </w:p>
        </w:tc>
        <w:tc>
          <w:tcPr>
            <w:tcW w:w="633"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1</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 xml:space="preserve">1.5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2</w:t>
            </w:r>
          </w:p>
        </w:tc>
        <w:tc>
          <w:tcPr>
            <w:tcW w:w="942"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 xml:space="preserve">- </w:t>
            </w:r>
          </w:p>
        </w:tc>
        <w:tc>
          <w:tcPr>
            <w:tcW w:w="709"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 xml:space="preserve">- </w:t>
            </w:r>
          </w:p>
        </w:tc>
        <w:tc>
          <w:tcPr>
            <w:tcW w:w="457"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 xml:space="preserve">- </w:t>
            </w:r>
          </w:p>
        </w:tc>
      </w:tr>
      <w:tr w:rsidR="00053B21" w:rsidRPr="00053B21" w:rsidTr="00053B21">
        <w:trPr>
          <w:jc w:val="center"/>
        </w:trPr>
        <w:tc>
          <w:tcPr>
            <w:tcW w:w="18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Xanthan Gum </w:t>
            </w:r>
          </w:p>
        </w:tc>
        <w:tc>
          <w:tcPr>
            <w:tcW w:w="633"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 </w:t>
            </w:r>
          </w:p>
        </w:tc>
        <w:tc>
          <w:tcPr>
            <w:tcW w:w="942"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c>
          <w:tcPr>
            <w:tcW w:w="7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c>
          <w:tcPr>
            <w:tcW w:w="457"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r>
      <w:tr w:rsidR="00053B21" w:rsidRPr="00053B21" w:rsidTr="00053B21">
        <w:trPr>
          <w:jc w:val="center"/>
        </w:trPr>
        <w:tc>
          <w:tcPr>
            <w:tcW w:w="18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Light Liquid paraffin </w:t>
            </w:r>
          </w:p>
        </w:tc>
        <w:tc>
          <w:tcPr>
            <w:tcW w:w="633"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7.5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5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7.5 </w:t>
            </w:r>
          </w:p>
        </w:tc>
        <w:tc>
          <w:tcPr>
            <w:tcW w:w="942"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5 </w:t>
            </w:r>
          </w:p>
        </w:tc>
        <w:tc>
          <w:tcPr>
            <w:tcW w:w="7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7.5 </w:t>
            </w:r>
          </w:p>
        </w:tc>
        <w:tc>
          <w:tcPr>
            <w:tcW w:w="457"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5 </w:t>
            </w:r>
          </w:p>
        </w:tc>
      </w:tr>
      <w:tr w:rsidR="00053B21" w:rsidRPr="00053B21" w:rsidTr="00053B21">
        <w:trPr>
          <w:jc w:val="center"/>
        </w:trPr>
        <w:tc>
          <w:tcPr>
            <w:tcW w:w="18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Tween 20 </w:t>
            </w:r>
          </w:p>
        </w:tc>
        <w:tc>
          <w:tcPr>
            <w:tcW w:w="633"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0.6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c>
          <w:tcPr>
            <w:tcW w:w="942"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 </w:t>
            </w:r>
          </w:p>
        </w:tc>
        <w:tc>
          <w:tcPr>
            <w:tcW w:w="7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 </w:t>
            </w:r>
          </w:p>
        </w:tc>
        <w:tc>
          <w:tcPr>
            <w:tcW w:w="457"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 </w:t>
            </w:r>
          </w:p>
        </w:tc>
      </w:tr>
      <w:tr w:rsidR="00053B21" w:rsidRPr="00053B21" w:rsidTr="00053B21">
        <w:trPr>
          <w:jc w:val="center"/>
        </w:trPr>
        <w:tc>
          <w:tcPr>
            <w:tcW w:w="1809"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Span 20</w:t>
            </w:r>
          </w:p>
        </w:tc>
        <w:tc>
          <w:tcPr>
            <w:tcW w:w="633"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 </w:t>
            </w:r>
          </w:p>
        </w:tc>
        <w:tc>
          <w:tcPr>
            <w:tcW w:w="942"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0.6 </w:t>
            </w:r>
          </w:p>
        </w:tc>
        <w:tc>
          <w:tcPr>
            <w:tcW w:w="7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c>
          <w:tcPr>
            <w:tcW w:w="457"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 </w:t>
            </w:r>
          </w:p>
        </w:tc>
      </w:tr>
      <w:tr w:rsidR="00053B21" w:rsidRPr="00053B21" w:rsidTr="00053B21">
        <w:trPr>
          <w:jc w:val="center"/>
        </w:trPr>
        <w:tc>
          <w:tcPr>
            <w:tcW w:w="18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Propylene glycol </w:t>
            </w:r>
          </w:p>
        </w:tc>
        <w:tc>
          <w:tcPr>
            <w:tcW w:w="633"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7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7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7 </w:t>
            </w:r>
          </w:p>
        </w:tc>
        <w:tc>
          <w:tcPr>
            <w:tcW w:w="942"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7 </w:t>
            </w:r>
          </w:p>
        </w:tc>
        <w:tc>
          <w:tcPr>
            <w:tcW w:w="7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7 </w:t>
            </w:r>
          </w:p>
        </w:tc>
        <w:tc>
          <w:tcPr>
            <w:tcW w:w="457"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7 </w:t>
            </w:r>
          </w:p>
        </w:tc>
      </w:tr>
      <w:tr w:rsidR="00053B21" w:rsidRPr="00053B21" w:rsidTr="00053B21">
        <w:trPr>
          <w:jc w:val="center"/>
        </w:trPr>
        <w:tc>
          <w:tcPr>
            <w:tcW w:w="18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Ethanol </w:t>
            </w:r>
          </w:p>
        </w:tc>
        <w:tc>
          <w:tcPr>
            <w:tcW w:w="633"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10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 xml:space="preserve">10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 xml:space="preserve">10 </w:t>
            </w:r>
          </w:p>
        </w:tc>
        <w:tc>
          <w:tcPr>
            <w:tcW w:w="942"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 xml:space="preserve">10 </w:t>
            </w:r>
          </w:p>
        </w:tc>
        <w:tc>
          <w:tcPr>
            <w:tcW w:w="709"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 xml:space="preserve">10 </w:t>
            </w:r>
          </w:p>
        </w:tc>
        <w:tc>
          <w:tcPr>
            <w:tcW w:w="457"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 xml:space="preserve">10 </w:t>
            </w:r>
          </w:p>
        </w:tc>
      </w:tr>
      <w:tr w:rsidR="00053B21" w:rsidRPr="00053B21" w:rsidTr="00053B21">
        <w:trPr>
          <w:jc w:val="center"/>
        </w:trPr>
        <w:tc>
          <w:tcPr>
            <w:tcW w:w="18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Methyl paraben </w:t>
            </w:r>
          </w:p>
        </w:tc>
        <w:tc>
          <w:tcPr>
            <w:tcW w:w="633"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0.03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 xml:space="preserve">0.03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 xml:space="preserve">0.03 </w:t>
            </w:r>
          </w:p>
        </w:tc>
        <w:tc>
          <w:tcPr>
            <w:tcW w:w="942"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 xml:space="preserve">0.03 </w:t>
            </w:r>
          </w:p>
        </w:tc>
        <w:tc>
          <w:tcPr>
            <w:tcW w:w="709"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 xml:space="preserve">0.03 </w:t>
            </w:r>
          </w:p>
        </w:tc>
        <w:tc>
          <w:tcPr>
            <w:tcW w:w="457"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 xml:space="preserve">0.03 </w:t>
            </w:r>
          </w:p>
        </w:tc>
      </w:tr>
      <w:tr w:rsidR="00053B21" w:rsidRPr="00053B21" w:rsidTr="00053B21">
        <w:trPr>
          <w:jc w:val="center"/>
        </w:trPr>
        <w:tc>
          <w:tcPr>
            <w:tcW w:w="18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Purified water q.s. </w:t>
            </w:r>
          </w:p>
        </w:tc>
        <w:tc>
          <w:tcPr>
            <w:tcW w:w="633"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100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100 </w:t>
            </w:r>
          </w:p>
        </w:tc>
        <w:tc>
          <w:tcPr>
            <w:tcW w:w="630"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100 </w:t>
            </w:r>
          </w:p>
        </w:tc>
        <w:tc>
          <w:tcPr>
            <w:tcW w:w="942"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100 </w:t>
            </w:r>
          </w:p>
        </w:tc>
        <w:tc>
          <w:tcPr>
            <w:tcW w:w="709"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100 </w:t>
            </w:r>
          </w:p>
        </w:tc>
        <w:tc>
          <w:tcPr>
            <w:tcW w:w="457"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 xml:space="preserve">100 </w:t>
            </w:r>
          </w:p>
        </w:tc>
      </w:tr>
    </w:tbl>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p>
    <w:p w:rsidR="00053B21" w:rsidRPr="00053B21" w:rsidRDefault="00053B21" w:rsidP="00053B21">
      <w:pPr>
        <w:autoSpaceDE w:val="0"/>
        <w:autoSpaceDN w:val="0"/>
        <w:adjustRightInd w:val="0"/>
        <w:spacing w:after="0" w:line="240" w:lineRule="auto"/>
        <w:jc w:val="both"/>
        <w:rPr>
          <w:rFonts w:ascii="Times New Roman" w:hAnsi="Times New Roman" w:cs="Times New Roman"/>
          <w:b/>
          <w:bCs/>
          <w:sz w:val="24"/>
          <w:szCs w:val="24"/>
        </w:rPr>
      </w:pPr>
      <w:commentRangeStart w:id="17"/>
      <w:r w:rsidRPr="00053B21">
        <w:rPr>
          <w:rFonts w:ascii="Times New Roman" w:hAnsi="Times New Roman" w:cs="Times New Roman"/>
          <w:b/>
          <w:bCs/>
          <w:sz w:val="24"/>
          <w:szCs w:val="24"/>
        </w:rPr>
        <w:t>Evaluation of etoricoxib emulgel</w:t>
      </w:r>
    </w:p>
    <w:p w:rsidR="00053B21" w:rsidRPr="00053B21" w:rsidRDefault="00053B21" w:rsidP="00053B21">
      <w:pPr>
        <w:autoSpaceDE w:val="0"/>
        <w:autoSpaceDN w:val="0"/>
        <w:adjustRightInd w:val="0"/>
        <w:spacing w:after="0" w:line="240" w:lineRule="auto"/>
        <w:jc w:val="both"/>
        <w:rPr>
          <w:rFonts w:ascii="Times New Roman" w:hAnsi="Times New Roman" w:cs="Times New Roman"/>
          <w:b/>
          <w:sz w:val="24"/>
          <w:szCs w:val="24"/>
        </w:rPr>
      </w:pPr>
      <w:r w:rsidRPr="00053B21">
        <w:rPr>
          <w:rFonts w:ascii="Times New Roman" w:hAnsi="Times New Roman" w:cs="Times New Roman"/>
          <w:b/>
          <w:sz w:val="24"/>
          <w:szCs w:val="24"/>
        </w:rPr>
        <w:t>Physical Examination</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The prepared etori</w:t>
      </w:r>
      <w:r>
        <w:rPr>
          <w:rFonts w:ascii="Times New Roman" w:hAnsi="Times New Roman" w:cs="Times New Roman"/>
          <w:sz w:val="24"/>
          <w:szCs w:val="24"/>
        </w:rPr>
        <w:t>coxib emulgel formulations were</w:t>
      </w:r>
      <w:r w:rsidRPr="00053B21">
        <w:rPr>
          <w:rFonts w:ascii="Times New Roman" w:hAnsi="Times New Roman" w:cs="Times New Roman"/>
          <w:sz w:val="24"/>
          <w:szCs w:val="24"/>
        </w:rPr>
        <w:t>inspected visually for their colour, homogeneity, consistency, grittiness and phase separation. The evaluation of the developed formulations for</w:t>
      </w:r>
      <w:r>
        <w:rPr>
          <w:rFonts w:ascii="Times New Roman" w:hAnsi="Times New Roman" w:cs="Times New Roman"/>
          <w:sz w:val="24"/>
          <w:szCs w:val="24"/>
        </w:rPr>
        <w:t xml:space="preserve"> clarity observed visually </w:t>
      </w:r>
      <w:commentRangeStart w:id="18"/>
      <w:r>
        <w:rPr>
          <w:rFonts w:ascii="Times New Roman" w:hAnsi="Times New Roman" w:cs="Times New Roman"/>
          <w:sz w:val="24"/>
          <w:szCs w:val="24"/>
        </w:rPr>
        <w:t>withnaked</w:t>
      </w:r>
      <w:r w:rsidRPr="00053B21">
        <w:rPr>
          <w:rFonts w:ascii="Times New Roman" w:hAnsi="Times New Roman" w:cs="Times New Roman"/>
          <w:sz w:val="24"/>
          <w:szCs w:val="24"/>
        </w:rPr>
        <w:t>eye</w:t>
      </w:r>
      <w:commentRangeEnd w:id="18"/>
      <w:r w:rsidR="009A4B07">
        <w:rPr>
          <w:rStyle w:val="CommentReference"/>
        </w:rPr>
        <w:commentReference w:id="18"/>
      </w:r>
      <w:r w:rsidRPr="00053B21">
        <w:rPr>
          <w:rFonts w:ascii="Times New Roman" w:hAnsi="Times New Roman" w:cs="Times New Roman"/>
          <w:sz w:val="24"/>
          <w:szCs w:val="24"/>
        </w:rPr>
        <w:t xml:space="preserve">. Smears of gels were prepared on glass </w:t>
      </w:r>
      <w:r w:rsidRPr="00053B21">
        <w:rPr>
          <w:rFonts w:ascii="Times New Roman" w:hAnsi="Times New Roman" w:cs="Times New Roman"/>
          <w:sz w:val="24"/>
          <w:szCs w:val="24"/>
        </w:rPr>
        <w:lastRenderedPageBreak/>
        <w:t>slides and observed under a compound microscope for the presence of any insoluble particles or grittiness</w:t>
      </w:r>
      <w:commentRangeStart w:id="19"/>
      <w:r w:rsidRPr="00053B21">
        <w:rPr>
          <w:rFonts w:ascii="Times New Roman" w:hAnsi="Times New Roman" w:cs="Times New Roman"/>
          <w:sz w:val="24"/>
          <w:szCs w:val="24"/>
          <w:vertAlign w:val="superscript"/>
        </w:rPr>
        <w:t>12</w:t>
      </w:r>
      <w:commentRangeEnd w:id="19"/>
      <w:r w:rsidR="00BC7142">
        <w:rPr>
          <w:rStyle w:val="CommentReference"/>
        </w:rPr>
        <w:commentReference w:id="19"/>
      </w:r>
      <w:r w:rsidRPr="00053B21">
        <w:rPr>
          <w:rFonts w:ascii="Times New Roman" w:hAnsi="Times New Roman" w:cs="Times New Roman"/>
          <w:sz w:val="24"/>
          <w:szCs w:val="24"/>
        </w:rPr>
        <w:t>.</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b/>
          <w:bCs/>
          <w:sz w:val="24"/>
          <w:szCs w:val="24"/>
        </w:rPr>
        <w:t>pH</w:t>
      </w:r>
      <w:r w:rsidRPr="00053B21">
        <w:rPr>
          <w:rFonts w:ascii="Times New Roman" w:hAnsi="Times New Roman" w:cs="Times New Roman"/>
          <w:b/>
          <w:bCs/>
          <w:sz w:val="24"/>
          <w:szCs w:val="24"/>
        </w:rPr>
        <w:br/>
      </w:r>
      <w:r w:rsidRPr="00053B21">
        <w:rPr>
          <w:rFonts w:ascii="Times New Roman" w:hAnsi="Times New Roman" w:cs="Times New Roman"/>
          <w:sz w:val="24"/>
          <w:szCs w:val="24"/>
        </w:rPr>
        <w:t xml:space="preserve">The </w:t>
      </w:r>
      <w:commentRangeStart w:id="20"/>
      <w:r w:rsidRPr="00053B21">
        <w:rPr>
          <w:rFonts w:ascii="Times New Roman" w:hAnsi="Times New Roman" w:cs="Times New Roman"/>
          <w:sz w:val="24"/>
          <w:szCs w:val="24"/>
        </w:rPr>
        <w:t>pH of the sample was measured by a digital pH meter (New Heights Pharmaceuticals ltd, Nigeria) at room temperature. The electrode was dipped in gel for 10 seconds, and the value was read on the digital interface</w:t>
      </w:r>
      <w:commentRangeStart w:id="21"/>
      <w:r w:rsidRPr="00053B21">
        <w:rPr>
          <w:rFonts w:ascii="Times New Roman" w:hAnsi="Times New Roman" w:cs="Times New Roman"/>
          <w:sz w:val="24"/>
          <w:szCs w:val="24"/>
          <w:vertAlign w:val="superscript"/>
        </w:rPr>
        <w:t>13</w:t>
      </w:r>
      <w:commentRangeEnd w:id="21"/>
      <w:r w:rsidR="00BC7142">
        <w:rPr>
          <w:rStyle w:val="CommentReference"/>
        </w:rPr>
        <w:commentReference w:id="21"/>
      </w:r>
      <w:r w:rsidRPr="00053B21">
        <w:rPr>
          <w:rFonts w:ascii="Times New Roman" w:hAnsi="Times New Roman" w:cs="Times New Roman"/>
          <w:sz w:val="24"/>
          <w:szCs w:val="24"/>
        </w:rPr>
        <w:t>.</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b/>
          <w:bCs/>
          <w:sz w:val="24"/>
          <w:szCs w:val="24"/>
        </w:rPr>
        <w:t>Extrudability</w:t>
      </w:r>
      <w:r w:rsidRPr="00053B21">
        <w:rPr>
          <w:rFonts w:ascii="Times New Roman" w:hAnsi="Times New Roman" w:cs="Times New Roman"/>
          <w:b/>
          <w:bCs/>
          <w:sz w:val="24"/>
          <w:szCs w:val="24"/>
        </w:rPr>
        <w:br/>
      </w:r>
      <w:r w:rsidRPr="00053B21">
        <w:rPr>
          <w:rFonts w:ascii="Times New Roman" w:hAnsi="Times New Roman" w:cs="Times New Roman"/>
          <w:sz w:val="24"/>
          <w:szCs w:val="24"/>
        </w:rPr>
        <w:t>It is an empirical test to measure the force required to extrude the material from tube. In the current study, the method adopted for extrudability is based upon the quantity of etoricoxib emulgel and quantity extruded from lacquered aluminium collapsible tube on application of weight in grams required to ex</w:t>
      </w:r>
      <w:r>
        <w:rPr>
          <w:rFonts w:ascii="Times New Roman" w:hAnsi="Times New Roman" w:cs="Times New Roman"/>
          <w:sz w:val="24"/>
          <w:szCs w:val="24"/>
        </w:rPr>
        <w:t xml:space="preserve">trude at least 0.5 cm ribbon </w:t>
      </w:r>
      <w:commentRangeStart w:id="22"/>
      <w:r>
        <w:rPr>
          <w:rFonts w:ascii="Times New Roman" w:hAnsi="Times New Roman" w:cs="Times New Roman"/>
          <w:sz w:val="24"/>
          <w:szCs w:val="24"/>
        </w:rPr>
        <w:t>of</w:t>
      </w:r>
      <w:r w:rsidRPr="00053B21">
        <w:rPr>
          <w:rFonts w:ascii="Times New Roman" w:hAnsi="Times New Roman" w:cs="Times New Roman"/>
          <w:sz w:val="24"/>
          <w:szCs w:val="24"/>
        </w:rPr>
        <w:t>emulge</w:t>
      </w:r>
      <w:commentRangeEnd w:id="22"/>
      <w:r w:rsidR="009A4B07">
        <w:rPr>
          <w:rStyle w:val="CommentReference"/>
        </w:rPr>
        <w:commentReference w:id="22"/>
      </w:r>
      <w:r w:rsidRPr="00053B21">
        <w:rPr>
          <w:rFonts w:ascii="Times New Roman" w:hAnsi="Times New Roman" w:cs="Times New Roman"/>
          <w:sz w:val="24"/>
          <w:szCs w:val="24"/>
        </w:rPr>
        <w:t>l in 10 seconds. More the quantity extruded, better is extrudability</w:t>
      </w:r>
      <w:r w:rsidRPr="00053B21">
        <w:rPr>
          <w:rFonts w:ascii="Times New Roman" w:hAnsi="Times New Roman" w:cs="Times New Roman"/>
          <w:sz w:val="24"/>
          <w:szCs w:val="24"/>
          <w:vertAlign w:val="superscript"/>
        </w:rPr>
        <w:t>14,15</w:t>
      </w:r>
      <w:r w:rsidRPr="00053B21">
        <w:rPr>
          <w:rFonts w:ascii="Times New Roman" w:hAnsi="Times New Roman" w:cs="Times New Roman"/>
          <w:sz w:val="24"/>
          <w:szCs w:val="24"/>
        </w:rPr>
        <w:t>.</w:t>
      </w:r>
    </w:p>
    <w:p w:rsidR="00053B21" w:rsidRPr="00053B21" w:rsidRDefault="00053B21" w:rsidP="00053B21">
      <w:pPr>
        <w:autoSpaceDE w:val="0"/>
        <w:autoSpaceDN w:val="0"/>
        <w:adjustRightInd w:val="0"/>
        <w:spacing w:after="0" w:line="240" w:lineRule="auto"/>
        <w:jc w:val="both"/>
        <w:rPr>
          <w:rFonts w:ascii="Times New Roman" w:hAnsi="Times New Roman" w:cs="Times New Roman"/>
          <w:b/>
          <w:bCs/>
          <w:sz w:val="24"/>
          <w:szCs w:val="24"/>
        </w:rPr>
      </w:pPr>
      <w:r w:rsidRPr="00053B21">
        <w:rPr>
          <w:rFonts w:ascii="Times New Roman" w:hAnsi="Times New Roman" w:cs="Times New Roman"/>
          <w:b/>
          <w:bCs/>
          <w:sz w:val="24"/>
          <w:szCs w:val="24"/>
        </w:rPr>
        <w:t>Viscosity</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 xml:space="preserve">The viscosity of formulated etoricoxib emulgel was determined using Brookfield viscometer (Cinthex Pharmaceoutical </w:t>
      </w:r>
      <w:commentRangeEnd w:id="17"/>
      <w:r w:rsidR="000066CD">
        <w:rPr>
          <w:rStyle w:val="CommentReference"/>
        </w:rPr>
        <w:commentReference w:id="17"/>
      </w:r>
      <w:r w:rsidRPr="00053B21">
        <w:rPr>
          <w:rFonts w:ascii="Times New Roman" w:hAnsi="Times New Roman" w:cs="Times New Roman"/>
          <w:sz w:val="24"/>
          <w:szCs w:val="24"/>
        </w:rPr>
        <w:t>Limited, Nigeria) with spindle no. 18 at 100 rpm at 25±0.5°C</w:t>
      </w:r>
      <w:r w:rsidRPr="00053B21">
        <w:rPr>
          <w:rFonts w:ascii="Times New Roman" w:hAnsi="Times New Roman" w:cs="Times New Roman"/>
          <w:sz w:val="24"/>
          <w:szCs w:val="24"/>
          <w:vertAlign w:val="superscript"/>
        </w:rPr>
        <w:t>16</w:t>
      </w:r>
      <w:r w:rsidRPr="00053B21">
        <w:rPr>
          <w:rFonts w:ascii="Times New Roman" w:hAnsi="Times New Roman" w:cs="Times New Roman"/>
          <w:sz w:val="24"/>
          <w:szCs w:val="24"/>
        </w:rPr>
        <w:t>.</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b/>
          <w:bCs/>
          <w:sz w:val="24"/>
          <w:szCs w:val="24"/>
        </w:rPr>
        <w:t>Drug content</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 xml:space="preserve">The drug content of etoricoxib emulgel was measured by dissolving a known weight of the emulgel formulation (one gram) </w:t>
      </w:r>
      <w:r>
        <w:rPr>
          <w:rFonts w:ascii="Times New Roman" w:hAnsi="Times New Roman" w:cs="Times New Roman"/>
          <w:sz w:val="24"/>
          <w:szCs w:val="24"/>
        </w:rPr>
        <w:t>in 100 ml methanol, appropriate</w:t>
      </w:r>
      <w:r w:rsidRPr="00053B21">
        <w:rPr>
          <w:rFonts w:ascii="Times New Roman" w:hAnsi="Times New Roman" w:cs="Times New Roman"/>
          <w:sz w:val="24"/>
          <w:szCs w:val="24"/>
        </w:rPr>
        <w:t xml:space="preserve">dilutions were made and the resulting solution was then filtering using millipore filter (0.45 μm). Absorbance was measured at </w:t>
      </w:r>
      <w:r w:rsidRPr="00053B21">
        <w:rPr>
          <w:rFonts w:ascii="Times New Roman" w:hAnsi="Times New Roman" w:cs="Times New Roman"/>
          <w:bCs/>
          <w:sz w:val="24"/>
          <w:szCs w:val="24"/>
        </w:rPr>
        <w:t>275</w:t>
      </w:r>
      <w:r w:rsidRPr="00053B21">
        <w:rPr>
          <w:rFonts w:ascii="Times New Roman" w:hAnsi="Times New Roman" w:cs="Times New Roman"/>
          <w:sz w:val="24"/>
          <w:szCs w:val="24"/>
        </w:rPr>
        <w:t xml:space="preserve"> nm using UVspectrophotometer (Shimadzu UV 1800). Drug content was calculated using the slope and the intercept obtained by linear regression analysis of standard calibration curve</w:t>
      </w:r>
      <w:r w:rsidRPr="00053B21">
        <w:rPr>
          <w:rFonts w:ascii="Times New Roman" w:hAnsi="Times New Roman" w:cs="Times New Roman"/>
          <w:sz w:val="24"/>
          <w:szCs w:val="24"/>
          <w:vertAlign w:val="superscript"/>
        </w:rPr>
        <w:t>17</w:t>
      </w:r>
      <w:r w:rsidRPr="00053B21">
        <w:rPr>
          <w:rFonts w:ascii="Times New Roman" w:hAnsi="Times New Roman" w:cs="Times New Roman"/>
          <w:sz w:val="24"/>
          <w:szCs w:val="24"/>
        </w:rPr>
        <w:t>.</w:t>
      </w:r>
    </w:p>
    <w:p w:rsidR="00053B21" w:rsidRPr="00053B21" w:rsidRDefault="00053B21" w:rsidP="00053B21">
      <w:pPr>
        <w:autoSpaceDE w:val="0"/>
        <w:autoSpaceDN w:val="0"/>
        <w:adjustRightInd w:val="0"/>
        <w:spacing w:after="0" w:line="240" w:lineRule="auto"/>
        <w:jc w:val="both"/>
        <w:rPr>
          <w:rFonts w:ascii="Times New Roman" w:hAnsi="Times New Roman" w:cs="Times New Roman"/>
          <w:b/>
          <w:bCs/>
          <w:sz w:val="24"/>
          <w:szCs w:val="24"/>
        </w:rPr>
      </w:pPr>
      <w:r w:rsidRPr="00053B21">
        <w:rPr>
          <w:rFonts w:ascii="Times New Roman" w:hAnsi="Times New Roman" w:cs="Times New Roman"/>
          <w:b/>
          <w:bCs/>
          <w:sz w:val="24"/>
          <w:szCs w:val="24"/>
        </w:rPr>
        <w:t xml:space="preserve">Skin Irritation Test </w:t>
      </w:r>
    </w:p>
    <w:p w:rsidR="00053B21" w:rsidRDefault="00053B21" w:rsidP="00053B21">
      <w:pPr>
        <w:autoSpaceDE w:val="0"/>
        <w:autoSpaceDN w:val="0"/>
        <w:adjustRightInd w:val="0"/>
        <w:spacing w:after="0" w:line="240" w:lineRule="auto"/>
        <w:jc w:val="both"/>
        <w:rPr>
          <w:rFonts w:ascii="Times New Roman" w:hAnsi="Times New Roman" w:cs="Times New Roman"/>
          <w:bCs/>
          <w:sz w:val="24"/>
          <w:szCs w:val="24"/>
        </w:rPr>
      </w:pPr>
      <w:r w:rsidRPr="00053B21">
        <w:rPr>
          <w:rFonts w:ascii="Times New Roman" w:hAnsi="Times New Roman" w:cs="Times New Roman"/>
          <w:bCs/>
          <w:sz w:val="24"/>
          <w:szCs w:val="24"/>
        </w:rPr>
        <w:t xml:space="preserve">A set of 4 rats was used in the study. A 0.5 gm of </w:t>
      </w:r>
      <w:r w:rsidRPr="00053B21">
        <w:rPr>
          <w:rFonts w:ascii="Times New Roman" w:hAnsi="Times New Roman" w:cs="Times New Roman"/>
          <w:sz w:val="24"/>
          <w:szCs w:val="24"/>
        </w:rPr>
        <w:t>etoricoxib</w:t>
      </w:r>
      <w:r w:rsidRPr="00053B21">
        <w:rPr>
          <w:rFonts w:ascii="Times New Roman" w:hAnsi="Times New Roman" w:cs="Times New Roman"/>
          <w:bCs/>
          <w:sz w:val="24"/>
          <w:szCs w:val="24"/>
        </w:rPr>
        <w:t xml:space="preserve"> emulgel formulation was applied on the properly shaven </w:t>
      </w:r>
      <w:commentRangeEnd w:id="20"/>
      <w:r w:rsidR="00BC7142">
        <w:rPr>
          <w:rStyle w:val="CommentReference"/>
        </w:rPr>
        <w:commentReference w:id="20"/>
      </w:r>
      <w:r w:rsidRPr="00053B21">
        <w:rPr>
          <w:rFonts w:ascii="Times New Roman" w:hAnsi="Times New Roman" w:cs="Times New Roman"/>
          <w:bCs/>
          <w:sz w:val="24"/>
          <w:szCs w:val="24"/>
        </w:rPr>
        <w:t>area of skin approximately 2.54x2.54 cm</w:t>
      </w:r>
      <w:r w:rsidRPr="00053B21">
        <w:rPr>
          <w:rFonts w:ascii="Times New Roman" w:hAnsi="Times New Roman" w:cs="Times New Roman"/>
          <w:bCs/>
          <w:sz w:val="24"/>
          <w:szCs w:val="24"/>
          <w:vertAlign w:val="superscript"/>
        </w:rPr>
        <w:t>2</w:t>
      </w:r>
      <w:r w:rsidRPr="00053B21">
        <w:rPr>
          <w:rFonts w:ascii="Times New Roman" w:hAnsi="Times New Roman" w:cs="Times New Roman"/>
          <w:bCs/>
          <w:sz w:val="24"/>
          <w:szCs w:val="24"/>
        </w:rPr>
        <w:t>. When the undesirable changes like skin color; change in skin morphology was checked for a period of 24 hr</w:t>
      </w:r>
      <w:r w:rsidRPr="00053B21">
        <w:rPr>
          <w:rFonts w:ascii="Times New Roman" w:hAnsi="Times New Roman" w:cs="Times New Roman"/>
          <w:bCs/>
          <w:sz w:val="24"/>
          <w:szCs w:val="24"/>
          <w:vertAlign w:val="superscript"/>
        </w:rPr>
        <w:t>18</w:t>
      </w:r>
      <w:r w:rsidRPr="00053B21">
        <w:rPr>
          <w:rFonts w:ascii="Times New Roman" w:hAnsi="Times New Roman" w:cs="Times New Roman"/>
          <w:bCs/>
          <w:sz w:val="24"/>
          <w:szCs w:val="24"/>
        </w:rPr>
        <w:t>.</w:t>
      </w:r>
    </w:p>
    <w:p w:rsidR="00053B21" w:rsidRPr="00053B21" w:rsidRDefault="00053B21" w:rsidP="00053B21">
      <w:pPr>
        <w:spacing w:after="0" w:line="240" w:lineRule="auto"/>
        <w:jc w:val="center"/>
        <w:rPr>
          <w:rFonts w:ascii="Times New Roman" w:eastAsia="Times New Roman" w:hAnsi="Times New Roman" w:cs="Times New Roman"/>
          <w:b/>
          <w:bCs/>
          <w:iCs/>
          <w:color w:val="000000"/>
          <w:sz w:val="24"/>
          <w:szCs w:val="24"/>
        </w:rPr>
      </w:pPr>
      <w:r w:rsidRPr="00053B21">
        <w:rPr>
          <w:rFonts w:ascii="Times New Roman" w:eastAsia="Times New Roman" w:hAnsi="Times New Roman" w:cs="Times New Roman"/>
          <w:b/>
          <w:bCs/>
          <w:iCs/>
          <w:color w:val="000000"/>
          <w:sz w:val="24"/>
          <w:szCs w:val="24"/>
        </w:rPr>
        <w:t>Table 2: Physicochemical characterization of etoricoxib emulgel</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0"/>
        <w:gridCol w:w="1496"/>
        <w:gridCol w:w="540"/>
        <w:gridCol w:w="1136"/>
        <w:gridCol w:w="1603"/>
        <w:gridCol w:w="1308"/>
        <w:gridCol w:w="1603"/>
      </w:tblGrid>
      <w:tr w:rsidR="00053B21" w:rsidRPr="00053B21" w:rsidTr="00A333F6">
        <w:trPr>
          <w:jc w:val="center"/>
        </w:trPr>
        <w:tc>
          <w:tcPr>
            <w:tcW w:w="1294" w:type="dxa"/>
            <w:vMerge w:val="restart"/>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b/>
                <w:bCs/>
                <w:color w:val="000000"/>
                <w:sz w:val="24"/>
                <w:szCs w:val="24"/>
              </w:rPr>
              <w:t>Formulation Code</w:t>
            </w:r>
          </w:p>
        </w:tc>
        <w:tc>
          <w:tcPr>
            <w:tcW w:w="6756" w:type="dxa"/>
            <w:gridSpan w:val="6"/>
            <w:shd w:val="clear" w:color="auto" w:fill="auto"/>
            <w:vAlign w:val="center"/>
          </w:tcPr>
          <w:p w:rsidR="00053B21" w:rsidRPr="00053B21" w:rsidRDefault="00053B21" w:rsidP="00A333F6">
            <w:pPr>
              <w:jc w:val="center"/>
              <w:rPr>
                <w:rFonts w:ascii="Times New Roman" w:eastAsia="Times New Roman" w:hAnsi="Times New Roman" w:cs="Times New Roman"/>
                <w:b/>
                <w:sz w:val="24"/>
                <w:szCs w:val="24"/>
              </w:rPr>
            </w:pPr>
            <w:r w:rsidRPr="00053B21">
              <w:rPr>
                <w:rFonts w:ascii="Times New Roman" w:eastAsia="Times New Roman" w:hAnsi="Times New Roman" w:cs="Times New Roman"/>
                <w:b/>
                <w:sz w:val="24"/>
                <w:szCs w:val="24"/>
              </w:rPr>
              <w:t>Parameters</w:t>
            </w:r>
          </w:p>
        </w:tc>
      </w:tr>
      <w:tr w:rsidR="00053B21" w:rsidRPr="00053B21" w:rsidTr="00A333F6">
        <w:trPr>
          <w:jc w:val="center"/>
        </w:trPr>
        <w:tc>
          <w:tcPr>
            <w:tcW w:w="1294" w:type="dxa"/>
            <w:vMerge/>
            <w:shd w:val="clear" w:color="auto" w:fill="auto"/>
            <w:vAlign w:val="center"/>
          </w:tcPr>
          <w:p w:rsidR="00053B21" w:rsidRPr="00053B21" w:rsidRDefault="00053B21" w:rsidP="00A333F6">
            <w:pPr>
              <w:rPr>
                <w:rFonts w:ascii="Times New Roman" w:eastAsia="Times New Roman" w:hAnsi="Times New Roman" w:cs="Times New Roman"/>
                <w:bCs/>
                <w:color w:val="000000"/>
                <w:sz w:val="24"/>
                <w:szCs w:val="24"/>
              </w:rPr>
            </w:pPr>
          </w:p>
        </w:tc>
        <w:tc>
          <w:tcPr>
            <w:tcW w:w="1334" w:type="dxa"/>
            <w:shd w:val="clear" w:color="auto" w:fill="auto"/>
            <w:vAlign w:val="center"/>
          </w:tcPr>
          <w:p w:rsidR="00053B21" w:rsidRPr="00053B21" w:rsidRDefault="00053B21" w:rsidP="00A333F6">
            <w:pPr>
              <w:jc w:val="center"/>
              <w:rPr>
                <w:rFonts w:ascii="Times New Roman" w:eastAsia="Times New Roman" w:hAnsi="Times New Roman" w:cs="Times New Roman"/>
                <w:b/>
                <w:color w:val="000000"/>
                <w:sz w:val="24"/>
                <w:szCs w:val="24"/>
              </w:rPr>
            </w:pPr>
            <w:r w:rsidRPr="00053B21">
              <w:rPr>
                <w:rFonts w:ascii="Times New Roman" w:eastAsia="Times New Roman" w:hAnsi="Times New Roman" w:cs="Times New Roman"/>
                <w:b/>
                <w:color w:val="000000"/>
                <w:sz w:val="24"/>
                <w:szCs w:val="24"/>
              </w:rPr>
              <w:t>Nature</w:t>
            </w:r>
          </w:p>
        </w:tc>
        <w:tc>
          <w:tcPr>
            <w:tcW w:w="540" w:type="dxa"/>
            <w:shd w:val="clear" w:color="auto" w:fill="auto"/>
            <w:vAlign w:val="center"/>
          </w:tcPr>
          <w:p w:rsidR="00053B21" w:rsidRPr="00053B21" w:rsidRDefault="00053B21" w:rsidP="00A333F6">
            <w:pPr>
              <w:jc w:val="center"/>
              <w:rPr>
                <w:rFonts w:ascii="Times New Roman" w:eastAsia="Times New Roman" w:hAnsi="Times New Roman" w:cs="Times New Roman"/>
                <w:b/>
                <w:color w:val="000000"/>
                <w:sz w:val="24"/>
                <w:szCs w:val="24"/>
              </w:rPr>
            </w:pPr>
            <w:r w:rsidRPr="00053B21">
              <w:rPr>
                <w:rFonts w:ascii="Times New Roman" w:eastAsia="Times New Roman" w:hAnsi="Times New Roman" w:cs="Times New Roman"/>
                <w:b/>
                <w:color w:val="000000"/>
                <w:sz w:val="24"/>
                <w:szCs w:val="24"/>
              </w:rPr>
              <w:t>pH</w:t>
            </w:r>
          </w:p>
        </w:tc>
        <w:tc>
          <w:tcPr>
            <w:tcW w:w="990" w:type="dxa"/>
            <w:shd w:val="clear" w:color="auto" w:fill="auto"/>
            <w:vAlign w:val="center"/>
          </w:tcPr>
          <w:p w:rsidR="00053B21" w:rsidRPr="00053B21" w:rsidRDefault="00053B21" w:rsidP="00A333F6">
            <w:pPr>
              <w:jc w:val="center"/>
              <w:rPr>
                <w:rFonts w:ascii="Times New Roman" w:eastAsia="Times New Roman" w:hAnsi="Times New Roman" w:cs="Times New Roman"/>
                <w:b/>
                <w:color w:val="000000"/>
                <w:sz w:val="24"/>
                <w:szCs w:val="24"/>
              </w:rPr>
            </w:pPr>
            <w:r w:rsidRPr="00053B21">
              <w:rPr>
                <w:rFonts w:ascii="Times New Roman" w:eastAsia="Times New Roman" w:hAnsi="Times New Roman" w:cs="Times New Roman"/>
                <w:b/>
                <w:color w:val="000000"/>
                <w:sz w:val="24"/>
                <w:szCs w:val="24"/>
              </w:rPr>
              <w:t>Viscosity</w:t>
            </w:r>
          </w:p>
          <w:p w:rsidR="00053B21" w:rsidRPr="00053B21" w:rsidRDefault="00053B21" w:rsidP="00A333F6">
            <w:pPr>
              <w:jc w:val="center"/>
              <w:rPr>
                <w:rFonts w:ascii="Times New Roman" w:eastAsia="Times New Roman" w:hAnsi="Times New Roman" w:cs="Times New Roman"/>
                <w:b/>
                <w:color w:val="000000"/>
                <w:sz w:val="24"/>
                <w:szCs w:val="24"/>
              </w:rPr>
            </w:pPr>
            <w:r w:rsidRPr="00053B21">
              <w:rPr>
                <w:rFonts w:ascii="Times New Roman" w:eastAsia="Times New Roman" w:hAnsi="Times New Roman" w:cs="Times New Roman"/>
                <w:b/>
                <w:color w:val="000000"/>
                <w:sz w:val="24"/>
                <w:szCs w:val="24"/>
              </w:rPr>
              <w:t>(cps)</w:t>
            </w:r>
          </w:p>
        </w:tc>
        <w:tc>
          <w:tcPr>
            <w:tcW w:w="1372" w:type="dxa"/>
            <w:shd w:val="clear" w:color="auto" w:fill="auto"/>
            <w:vAlign w:val="center"/>
          </w:tcPr>
          <w:p w:rsidR="00053B21" w:rsidRPr="00053B21" w:rsidRDefault="00053B21" w:rsidP="00A333F6">
            <w:pPr>
              <w:jc w:val="center"/>
              <w:rPr>
                <w:rFonts w:ascii="Times New Roman" w:eastAsia="Times New Roman" w:hAnsi="Times New Roman" w:cs="Times New Roman"/>
                <w:b/>
                <w:sz w:val="24"/>
                <w:szCs w:val="24"/>
              </w:rPr>
            </w:pPr>
            <w:r w:rsidRPr="00053B21">
              <w:rPr>
                <w:rFonts w:ascii="Times New Roman" w:eastAsia="Times New Roman" w:hAnsi="Times New Roman" w:cs="Times New Roman"/>
                <w:b/>
                <w:sz w:val="24"/>
                <w:szCs w:val="24"/>
              </w:rPr>
              <w:t>Spreadability gm cm/sec</w:t>
            </w:r>
          </w:p>
        </w:tc>
        <w:tc>
          <w:tcPr>
            <w:tcW w:w="1148" w:type="dxa"/>
            <w:shd w:val="clear" w:color="auto" w:fill="auto"/>
            <w:vAlign w:val="center"/>
          </w:tcPr>
          <w:p w:rsidR="00053B21" w:rsidRPr="00053B21" w:rsidRDefault="00053B21" w:rsidP="00A333F6">
            <w:pPr>
              <w:jc w:val="center"/>
              <w:rPr>
                <w:rFonts w:ascii="Times New Roman" w:eastAsia="Times New Roman" w:hAnsi="Times New Roman" w:cs="Times New Roman"/>
                <w:b/>
                <w:color w:val="000000"/>
                <w:sz w:val="24"/>
                <w:szCs w:val="24"/>
              </w:rPr>
            </w:pPr>
            <w:r w:rsidRPr="00053B21">
              <w:rPr>
                <w:rFonts w:ascii="Times New Roman" w:eastAsia="Times New Roman" w:hAnsi="Times New Roman" w:cs="Times New Roman"/>
                <w:b/>
                <w:color w:val="000000"/>
                <w:sz w:val="24"/>
                <w:szCs w:val="24"/>
              </w:rPr>
              <w:t>Drug content</w:t>
            </w:r>
          </w:p>
          <w:p w:rsidR="00053B21" w:rsidRPr="00053B21" w:rsidRDefault="00053B21" w:rsidP="00A333F6">
            <w:pPr>
              <w:jc w:val="center"/>
              <w:rPr>
                <w:rFonts w:ascii="Times New Roman" w:eastAsia="Times New Roman" w:hAnsi="Times New Roman" w:cs="Times New Roman"/>
                <w:b/>
                <w:color w:val="000000"/>
                <w:sz w:val="24"/>
                <w:szCs w:val="24"/>
              </w:rPr>
            </w:pPr>
            <w:r w:rsidRPr="00053B21">
              <w:rPr>
                <w:rFonts w:ascii="Times New Roman" w:eastAsia="Times New Roman" w:hAnsi="Times New Roman" w:cs="Times New Roman"/>
                <w:b/>
                <w:color w:val="000000"/>
                <w:sz w:val="24"/>
                <w:szCs w:val="24"/>
              </w:rPr>
              <w:t>(%w/w)</w:t>
            </w:r>
          </w:p>
        </w:tc>
        <w:tc>
          <w:tcPr>
            <w:tcW w:w="1372" w:type="dxa"/>
            <w:shd w:val="clear" w:color="auto" w:fill="auto"/>
            <w:vAlign w:val="center"/>
          </w:tcPr>
          <w:p w:rsidR="00053B21" w:rsidRPr="00053B21" w:rsidRDefault="00053B21" w:rsidP="00A333F6">
            <w:pPr>
              <w:jc w:val="center"/>
              <w:rPr>
                <w:rFonts w:ascii="Times New Roman" w:eastAsia="Times New Roman" w:hAnsi="Times New Roman" w:cs="Times New Roman"/>
                <w:b/>
                <w:color w:val="000000"/>
                <w:sz w:val="24"/>
                <w:szCs w:val="24"/>
              </w:rPr>
            </w:pPr>
            <w:r w:rsidRPr="00053B21">
              <w:rPr>
                <w:rFonts w:ascii="Times New Roman" w:eastAsia="Times New Roman" w:hAnsi="Times New Roman" w:cs="Times New Roman"/>
                <w:b/>
                <w:color w:val="000000"/>
                <w:sz w:val="24"/>
                <w:szCs w:val="24"/>
              </w:rPr>
              <w:t>Extrudability</w:t>
            </w:r>
          </w:p>
          <w:p w:rsidR="00053B21" w:rsidRPr="00053B21" w:rsidRDefault="00053B21" w:rsidP="00A333F6">
            <w:pPr>
              <w:jc w:val="center"/>
              <w:rPr>
                <w:rFonts w:ascii="Times New Roman" w:eastAsia="Times New Roman" w:hAnsi="Times New Roman" w:cs="Times New Roman"/>
                <w:b/>
                <w:color w:val="000000"/>
                <w:sz w:val="24"/>
                <w:szCs w:val="24"/>
              </w:rPr>
            </w:pPr>
          </w:p>
        </w:tc>
      </w:tr>
      <w:tr w:rsidR="00053B21" w:rsidRPr="00053B21" w:rsidTr="00A333F6">
        <w:trPr>
          <w:jc w:val="center"/>
        </w:trPr>
        <w:tc>
          <w:tcPr>
            <w:tcW w:w="1294"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bCs/>
                <w:color w:val="000000"/>
                <w:sz w:val="24"/>
                <w:szCs w:val="24"/>
              </w:rPr>
              <w:t>EG1</w:t>
            </w:r>
          </w:p>
        </w:tc>
        <w:tc>
          <w:tcPr>
            <w:tcW w:w="1334"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White, Homogenous</w:t>
            </w:r>
          </w:p>
        </w:tc>
        <w:tc>
          <w:tcPr>
            <w:tcW w:w="540"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6.8</w:t>
            </w:r>
          </w:p>
        </w:tc>
        <w:tc>
          <w:tcPr>
            <w:tcW w:w="990"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12208</w:t>
            </w:r>
          </w:p>
        </w:tc>
        <w:tc>
          <w:tcPr>
            <w:tcW w:w="1372"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sz w:val="24"/>
                <w:szCs w:val="24"/>
              </w:rPr>
              <w:t>17.8±0.18</w:t>
            </w:r>
          </w:p>
        </w:tc>
        <w:tc>
          <w:tcPr>
            <w:tcW w:w="1148"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96.25±0.09</w:t>
            </w:r>
          </w:p>
        </w:tc>
        <w:tc>
          <w:tcPr>
            <w:tcW w:w="1372"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w:t>
            </w:r>
          </w:p>
        </w:tc>
      </w:tr>
      <w:tr w:rsidR="00053B21" w:rsidRPr="00053B21" w:rsidTr="00A333F6">
        <w:trPr>
          <w:jc w:val="center"/>
        </w:trPr>
        <w:tc>
          <w:tcPr>
            <w:tcW w:w="1294"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bCs/>
                <w:color w:val="000000"/>
                <w:sz w:val="24"/>
                <w:szCs w:val="24"/>
              </w:rPr>
              <w:t>EG2</w:t>
            </w:r>
          </w:p>
        </w:tc>
        <w:tc>
          <w:tcPr>
            <w:tcW w:w="1334"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White, Homogenous</w:t>
            </w:r>
          </w:p>
        </w:tc>
        <w:tc>
          <w:tcPr>
            <w:tcW w:w="540"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6.9</w:t>
            </w:r>
          </w:p>
        </w:tc>
        <w:tc>
          <w:tcPr>
            <w:tcW w:w="990"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12510</w:t>
            </w:r>
          </w:p>
        </w:tc>
        <w:tc>
          <w:tcPr>
            <w:tcW w:w="1372"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sz w:val="24"/>
                <w:szCs w:val="24"/>
              </w:rPr>
              <w:t>25.4±0.09</w:t>
            </w:r>
          </w:p>
        </w:tc>
        <w:tc>
          <w:tcPr>
            <w:tcW w:w="1148"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98.36±0.15</w:t>
            </w:r>
          </w:p>
        </w:tc>
        <w:tc>
          <w:tcPr>
            <w:tcW w:w="1372"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w:t>
            </w:r>
          </w:p>
        </w:tc>
      </w:tr>
      <w:tr w:rsidR="00053B21" w:rsidRPr="00053B21" w:rsidTr="00A333F6">
        <w:trPr>
          <w:jc w:val="center"/>
        </w:trPr>
        <w:tc>
          <w:tcPr>
            <w:tcW w:w="1294" w:type="dxa"/>
            <w:shd w:val="clear" w:color="auto" w:fill="auto"/>
            <w:vAlign w:val="center"/>
          </w:tcPr>
          <w:p w:rsidR="00053B21" w:rsidRPr="00053B21" w:rsidRDefault="00053B21" w:rsidP="00A333F6">
            <w:pPr>
              <w:rPr>
                <w:rFonts w:ascii="Times New Roman" w:eastAsia="Times New Roman" w:hAnsi="Times New Roman" w:cs="Times New Roman"/>
                <w:color w:val="000000"/>
                <w:sz w:val="24"/>
                <w:szCs w:val="24"/>
              </w:rPr>
            </w:pPr>
            <w:r w:rsidRPr="00053B21">
              <w:rPr>
                <w:rFonts w:ascii="Times New Roman" w:eastAsia="Times New Roman" w:hAnsi="Times New Roman" w:cs="Times New Roman"/>
                <w:bCs/>
                <w:color w:val="000000"/>
                <w:sz w:val="24"/>
                <w:szCs w:val="24"/>
              </w:rPr>
              <w:t>EG3</w:t>
            </w:r>
          </w:p>
        </w:tc>
        <w:tc>
          <w:tcPr>
            <w:tcW w:w="1334" w:type="dxa"/>
            <w:shd w:val="clear" w:color="auto" w:fill="auto"/>
            <w:vAlign w:val="center"/>
          </w:tcPr>
          <w:p w:rsidR="00053B21" w:rsidRPr="00053B21" w:rsidRDefault="00053B21" w:rsidP="00A333F6">
            <w:pPr>
              <w:jc w:val="cente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White, Homogenous</w:t>
            </w:r>
          </w:p>
        </w:tc>
        <w:tc>
          <w:tcPr>
            <w:tcW w:w="540" w:type="dxa"/>
            <w:shd w:val="clear" w:color="auto" w:fill="auto"/>
            <w:vAlign w:val="center"/>
          </w:tcPr>
          <w:p w:rsidR="00053B21" w:rsidRPr="00053B21" w:rsidRDefault="00053B21" w:rsidP="00A333F6">
            <w:pPr>
              <w:jc w:val="cente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7.1</w:t>
            </w:r>
          </w:p>
        </w:tc>
        <w:tc>
          <w:tcPr>
            <w:tcW w:w="990" w:type="dxa"/>
            <w:shd w:val="clear" w:color="auto" w:fill="auto"/>
            <w:vAlign w:val="center"/>
          </w:tcPr>
          <w:p w:rsidR="00053B21" w:rsidRPr="00053B21" w:rsidRDefault="00053B21" w:rsidP="00A333F6">
            <w:pPr>
              <w:jc w:val="cente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12415</w:t>
            </w:r>
          </w:p>
        </w:tc>
        <w:tc>
          <w:tcPr>
            <w:tcW w:w="1372" w:type="dxa"/>
            <w:shd w:val="clear" w:color="auto" w:fill="auto"/>
            <w:vAlign w:val="center"/>
          </w:tcPr>
          <w:p w:rsidR="00053B21" w:rsidRPr="00053B21" w:rsidRDefault="00053B21" w:rsidP="00A333F6">
            <w:pPr>
              <w:jc w:val="center"/>
              <w:rPr>
                <w:rFonts w:ascii="Times New Roman" w:eastAsia="Times New Roman" w:hAnsi="Times New Roman" w:cs="Times New Roman"/>
                <w:color w:val="000000"/>
                <w:sz w:val="24"/>
                <w:szCs w:val="24"/>
              </w:rPr>
            </w:pPr>
            <w:r w:rsidRPr="00053B21">
              <w:rPr>
                <w:rFonts w:ascii="Times New Roman" w:eastAsia="Times New Roman" w:hAnsi="Times New Roman" w:cs="Times New Roman"/>
                <w:sz w:val="24"/>
                <w:szCs w:val="24"/>
              </w:rPr>
              <w:t>27.1±0.44</w:t>
            </w:r>
          </w:p>
        </w:tc>
        <w:tc>
          <w:tcPr>
            <w:tcW w:w="1148" w:type="dxa"/>
            <w:shd w:val="clear" w:color="auto" w:fill="auto"/>
            <w:vAlign w:val="center"/>
          </w:tcPr>
          <w:p w:rsidR="00053B21" w:rsidRPr="00053B21" w:rsidRDefault="00053B21" w:rsidP="00A333F6">
            <w:pPr>
              <w:jc w:val="cente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95.23±0.22</w:t>
            </w:r>
          </w:p>
        </w:tc>
        <w:tc>
          <w:tcPr>
            <w:tcW w:w="1372" w:type="dxa"/>
            <w:shd w:val="clear" w:color="auto" w:fill="auto"/>
            <w:vAlign w:val="center"/>
          </w:tcPr>
          <w:p w:rsidR="00053B21" w:rsidRPr="00053B21" w:rsidRDefault="00053B21" w:rsidP="00A333F6">
            <w:pPr>
              <w:jc w:val="center"/>
              <w:rPr>
                <w:rFonts w:ascii="Times New Roman" w:eastAsia="Times New Roman" w:hAnsi="Times New Roman" w:cs="Times New Roman"/>
                <w:color w:val="000000"/>
                <w:sz w:val="24"/>
                <w:szCs w:val="24"/>
              </w:rPr>
            </w:pPr>
            <w:r w:rsidRPr="00053B21">
              <w:rPr>
                <w:rFonts w:ascii="Times New Roman" w:eastAsia="Times New Roman" w:hAnsi="Times New Roman" w:cs="Times New Roman"/>
                <w:color w:val="000000"/>
                <w:sz w:val="24"/>
                <w:szCs w:val="24"/>
              </w:rPr>
              <w:t>++</w:t>
            </w:r>
          </w:p>
        </w:tc>
      </w:tr>
      <w:tr w:rsidR="00053B21" w:rsidRPr="00053B21" w:rsidTr="00A333F6">
        <w:trPr>
          <w:jc w:val="center"/>
        </w:trPr>
        <w:tc>
          <w:tcPr>
            <w:tcW w:w="1294"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bCs/>
                <w:color w:val="000000"/>
                <w:sz w:val="24"/>
                <w:szCs w:val="24"/>
              </w:rPr>
              <w:t>EG4</w:t>
            </w:r>
          </w:p>
        </w:tc>
        <w:tc>
          <w:tcPr>
            <w:tcW w:w="1334"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White, Homogenous</w:t>
            </w:r>
          </w:p>
        </w:tc>
        <w:tc>
          <w:tcPr>
            <w:tcW w:w="540"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sz w:val="24"/>
                <w:szCs w:val="24"/>
              </w:rPr>
              <w:t>7.0</w:t>
            </w:r>
          </w:p>
        </w:tc>
        <w:tc>
          <w:tcPr>
            <w:tcW w:w="990"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12522</w:t>
            </w:r>
          </w:p>
        </w:tc>
        <w:tc>
          <w:tcPr>
            <w:tcW w:w="1372"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sz w:val="24"/>
                <w:szCs w:val="24"/>
              </w:rPr>
              <w:t>29.5±0.21</w:t>
            </w:r>
          </w:p>
        </w:tc>
        <w:tc>
          <w:tcPr>
            <w:tcW w:w="1148"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94.67±0.18</w:t>
            </w:r>
          </w:p>
        </w:tc>
        <w:tc>
          <w:tcPr>
            <w:tcW w:w="1372"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w:t>
            </w:r>
          </w:p>
        </w:tc>
      </w:tr>
      <w:tr w:rsidR="00053B21" w:rsidRPr="00053B21" w:rsidTr="00A333F6">
        <w:trPr>
          <w:jc w:val="center"/>
        </w:trPr>
        <w:tc>
          <w:tcPr>
            <w:tcW w:w="1294"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bCs/>
                <w:color w:val="000000"/>
                <w:sz w:val="24"/>
                <w:szCs w:val="24"/>
              </w:rPr>
              <w:t>EG5</w:t>
            </w:r>
          </w:p>
        </w:tc>
        <w:tc>
          <w:tcPr>
            <w:tcW w:w="1334"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White, Homogenous</w:t>
            </w:r>
          </w:p>
        </w:tc>
        <w:tc>
          <w:tcPr>
            <w:tcW w:w="540"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6.8</w:t>
            </w:r>
          </w:p>
        </w:tc>
        <w:tc>
          <w:tcPr>
            <w:tcW w:w="990"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12800</w:t>
            </w:r>
          </w:p>
        </w:tc>
        <w:tc>
          <w:tcPr>
            <w:tcW w:w="1372"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sz w:val="24"/>
                <w:szCs w:val="24"/>
              </w:rPr>
              <w:t>28.4±0.27</w:t>
            </w:r>
          </w:p>
        </w:tc>
        <w:tc>
          <w:tcPr>
            <w:tcW w:w="1148"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93.54±0.52</w:t>
            </w:r>
          </w:p>
        </w:tc>
        <w:tc>
          <w:tcPr>
            <w:tcW w:w="1372"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w:t>
            </w:r>
          </w:p>
        </w:tc>
      </w:tr>
      <w:tr w:rsidR="00053B21" w:rsidRPr="00053B21" w:rsidTr="00A333F6">
        <w:trPr>
          <w:jc w:val="center"/>
        </w:trPr>
        <w:tc>
          <w:tcPr>
            <w:tcW w:w="1294" w:type="dxa"/>
            <w:shd w:val="clear" w:color="auto" w:fill="auto"/>
            <w:vAlign w:val="center"/>
          </w:tcPr>
          <w:p w:rsidR="00053B21" w:rsidRPr="00053B21" w:rsidRDefault="00053B21" w:rsidP="00A333F6">
            <w:pPr>
              <w:rPr>
                <w:rFonts w:ascii="Times New Roman" w:eastAsia="Times New Roman" w:hAnsi="Times New Roman" w:cs="Times New Roman"/>
                <w:sz w:val="24"/>
                <w:szCs w:val="24"/>
              </w:rPr>
            </w:pPr>
            <w:r w:rsidRPr="00053B21">
              <w:rPr>
                <w:rFonts w:ascii="Times New Roman" w:eastAsia="Times New Roman" w:hAnsi="Times New Roman" w:cs="Times New Roman"/>
                <w:bCs/>
                <w:color w:val="000000"/>
                <w:sz w:val="24"/>
                <w:szCs w:val="24"/>
              </w:rPr>
              <w:t>EG6</w:t>
            </w:r>
          </w:p>
        </w:tc>
        <w:tc>
          <w:tcPr>
            <w:tcW w:w="1334"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White, Homogenous</w:t>
            </w:r>
          </w:p>
        </w:tc>
        <w:tc>
          <w:tcPr>
            <w:tcW w:w="540"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sz w:val="24"/>
                <w:szCs w:val="24"/>
              </w:rPr>
              <w:t>7.0</w:t>
            </w:r>
          </w:p>
        </w:tc>
        <w:tc>
          <w:tcPr>
            <w:tcW w:w="990"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12648</w:t>
            </w:r>
          </w:p>
        </w:tc>
        <w:tc>
          <w:tcPr>
            <w:tcW w:w="1372"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sz w:val="24"/>
                <w:szCs w:val="24"/>
              </w:rPr>
              <w:t>32.6±0.15</w:t>
            </w:r>
          </w:p>
        </w:tc>
        <w:tc>
          <w:tcPr>
            <w:tcW w:w="1148"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98.74±0.08</w:t>
            </w:r>
          </w:p>
        </w:tc>
        <w:tc>
          <w:tcPr>
            <w:tcW w:w="1372" w:type="dxa"/>
            <w:shd w:val="clear" w:color="auto" w:fill="auto"/>
            <w:vAlign w:val="center"/>
          </w:tcPr>
          <w:p w:rsidR="00053B21" w:rsidRPr="00053B21" w:rsidRDefault="00053B21" w:rsidP="00A333F6">
            <w:pPr>
              <w:jc w:val="center"/>
              <w:rPr>
                <w:rFonts w:ascii="Times New Roman" w:eastAsia="Times New Roman" w:hAnsi="Times New Roman" w:cs="Times New Roman"/>
                <w:sz w:val="24"/>
                <w:szCs w:val="24"/>
              </w:rPr>
            </w:pPr>
            <w:r w:rsidRPr="00053B21">
              <w:rPr>
                <w:rFonts w:ascii="Times New Roman" w:eastAsia="Times New Roman" w:hAnsi="Times New Roman" w:cs="Times New Roman"/>
                <w:color w:val="000000"/>
                <w:sz w:val="24"/>
                <w:szCs w:val="24"/>
              </w:rPr>
              <w:t>+++</w:t>
            </w:r>
          </w:p>
        </w:tc>
      </w:tr>
    </w:tbl>
    <w:p w:rsidR="00053B21" w:rsidRPr="00053B21" w:rsidRDefault="00053B21" w:rsidP="00053B21">
      <w:pPr>
        <w:spacing w:after="0" w:line="240" w:lineRule="auto"/>
        <w:jc w:val="right"/>
        <w:rPr>
          <w:rFonts w:ascii="Times New Roman" w:hAnsi="Times New Roman" w:cs="Times New Roman"/>
          <w:b/>
          <w:bCs/>
          <w:iCs/>
          <w:color w:val="000000"/>
          <w:sz w:val="24"/>
          <w:szCs w:val="24"/>
        </w:rPr>
      </w:pPr>
      <w:r w:rsidRPr="00053B21">
        <w:rPr>
          <w:rFonts w:ascii="Times New Roman" w:eastAsia="Times New Roman" w:hAnsi="Times New Roman" w:cs="Times New Roman"/>
          <w:iCs/>
          <w:color w:val="000000"/>
          <w:sz w:val="24"/>
          <w:szCs w:val="24"/>
        </w:rPr>
        <w:t>Excellent +++, Good++, Satisfactory+</w:t>
      </w:r>
    </w:p>
    <w:p w:rsidR="00053B21" w:rsidRPr="00053B21" w:rsidRDefault="00053B21" w:rsidP="00053B21">
      <w:pPr>
        <w:autoSpaceDE w:val="0"/>
        <w:autoSpaceDN w:val="0"/>
        <w:adjustRightInd w:val="0"/>
        <w:spacing w:after="0" w:line="240" w:lineRule="auto"/>
        <w:jc w:val="both"/>
        <w:rPr>
          <w:rFonts w:ascii="Times New Roman" w:hAnsi="Times New Roman" w:cs="Times New Roman"/>
          <w:bCs/>
          <w:sz w:val="24"/>
          <w:szCs w:val="24"/>
        </w:rPr>
      </w:pPr>
    </w:p>
    <w:p w:rsidR="00053B21" w:rsidRPr="00053B21" w:rsidRDefault="00053B21" w:rsidP="00053B21">
      <w:pPr>
        <w:autoSpaceDE w:val="0"/>
        <w:autoSpaceDN w:val="0"/>
        <w:adjustRightInd w:val="0"/>
        <w:spacing w:after="0" w:line="240" w:lineRule="auto"/>
        <w:jc w:val="both"/>
        <w:rPr>
          <w:rFonts w:ascii="Times New Roman" w:hAnsi="Times New Roman" w:cs="Times New Roman"/>
          <w:b/>
          <w:bCs/>
          <w:sz w:val="24"/>
          <w:szCs w:val="24"/>
        </w:rPr>
      </w:pPr>
    </w:p>
    <w:p w:rsidR="00053B21" w:rsidRPr="00053B21" w:rsidRDefault="00053B21" w:rsidP="00053B21">
      <w:pPr>
        <w:autoSpaceDE w:val="0"/>
        <w:autoSpaceDN w:val="0"/>
        <w:adjustRightInd w:val="0"/>
        <w:spacing w:after="0" w:line="240" w:lineRule="auto"/>
        <w:jc w:val="both"/>
        <w:rPr>
          <w:rFonts w:ascii="Times New Roman" w:hAnsi="Times New Roman" w:cs="Times New Roman"/>
          <w:b/>
          <w:bCs/>
          <w:sz w:val="24"/>
          <w:szCs w:val="24"/>
        </w:rPr>
      </w:pPr>
      <w:commentRangeStart w:id="23"/>
      <w:r w:rsidRPr="00053B21">
        <w:rPr>
          <w:rFonts w:ascii="Times New Roman" w:hAnsi="Times New Roman" w:cs="Times New Roman"/>
          <w:b/>
          <w:bCs/>
          <w:sz w:val="24"/>
          <w:szCs w:val="24"/>
        </w:rPr>
        <w:t xml:space="preserve">In-vitro </w:t>
      </w:r>
      <w:commentRangeEnd w:id="23"/>
      <w:r w:rsidR="009A4B07">
        <w:rPr>
          <w:rStyle w:val="CommentReference"/>
        </w:rPr>
        <w:commentReference w:id="23"/>
      </w:r>
      <w:r w:rsidRPr="00053B21">
        <w:rPr>
          <w:rFonts w:ascii="Times New Roman" w:hAnsi="Times New Roman" w:cs="Times New Roman"/>
          <w:b/>
          <w:bCs/>
          <w:sz w:val="24"/>
          <w:szCs w:val="24"/>
        </w:rPr>
        <w:t>di</w:t>
      </w:r>
      <w:r w:rsidRPr="00053B21">
        <w:rPr>
          <w:rFonts w:ascii="Cambria Math" w:hAnsi="Cambria Math" w:cs="Cambria Math"/>
          <w:b/>
          <w:bCs/>
          <w:sz w:val="24"/>
          <w:szCs w:val="24"/>
        </w:rPr>
        <w:t>ﬀ</w:t>
      </w:r>
      <w:r w:rsidRPr="00053B21">
        <w:rPr>
          <w:rFonts w:ascii="Times New Roman" w:hAnsi="Times New Roman" w:cs="Times New Roman"/>
          <w:b/>
          <w:bCs/>
          <w:sz w:val="24"/>
          <w:szCs w:val="24"/>
        </w:rPr>
        <w:t>usion study</w:t>
      </w:r>
    </w:p>
    <w:p w:rsidR="00053B21" w:rsidRDefault="00053B21" w:rsidP="00053B21">
      <w:pPr>
        <w:autoSpaceDE w:val="0"/>
        <w:autoSpaceDN w:val="0"/>
        <w:adjustRightInd w:val="0"/>
        <w:spacing w:after="0" w:line="240" w:lineRule="auto"/>
        <w:jc w:val="both"/>
        <w:rPr>
          <w:rFonts w:ascii="Times New Roman" w:hAnsi="Times New Roman" w:cs="Times New Roman"/>
          <w:bCs/>
          <w:sz w:val="24"/>
          <w:szCs w:val="24"/>
        </w:rPr>
      </w:pPr>
      <w:r w:rsidRPr="00053B21">
        <w:rPr>
          <w:rFonts w:ascii="Times New Roman" w:hAnsi="Times New Roman" w:cs="Times New Roman"/>
          <w:bCs/>
          <w:sz w:val="24"/>
          <w:szCs w:val="24"/>
        </w:rPr>
        <w:t xml:space="preserve">The in-vitro </w:t>
      </w:r>
      <w:commentRangeStart w:id="24"/>
      <w:r w:rsidRPr="00053B21">
        <w:rPr>
          <w:rFonts w:ascii="Times New Roman" w:hAnsi="Times New Roman" w:cs="Times New Roman"/>
          <w:bCs/>
          <w:sz w:val="24"/>
          <w:szCs w:val="24"/>
        </w:rPr>
        <w:t>di</w:t>
      </w:r>
      <w:r w:rsidRPr="00053B21">
        <w:rPr>
          <w:rFonts w:ascii="Cambria Math" w:hAnsi="Cambria Math" w:cs="Cambria Math"/>
          <w:bCs/>
          <w:sz w:val="24"/>
          <w:szCs w:val="24"/>
        </w:rPr>
        <w:t>ﬀ</w:t>
      </w:r>
      <w:r w:rsidRPr="00053B21">
        <w:rPr>
          <w:rFonts w:ascii="Times New Roman" w:hAnsi="Times New Roman" w:cs="Times New Roman"/>
          <w:bCs/>
          <w:sz w:val="24"/>
          <w:szCs w:val="24"/>
        </w:rPr>
        <w:t>usion study of prepared gel was carried out in Keshary Chein di</w:t>
      </w:r>
      <w:r w:rsidRPr="00053B21">
        <w:rPr>
          <w:rFonts w:ascii="Cambria Math" w:hAnsi="Cambria Math" w:cs="Cambria Math"/>
          <w:bCs/>
          <w:sz w:val="24"/>
          <w:szCs w:val="24"/>
        </w:rPr>
        <w:t>ﬀ</w:t>
      </w:r>
      <w:r w:rsidRPr="00053B21">
        <w:rPr>
          <w:rFonts w:ascii="Times New Roman" w:hAnsi="Times New Roman" w:cs="Times New Roman"/>
          <w:bCs/>
          <w:sz w:val="24"/>
          <w:szCs w:val="24"/>
        </w:rPr>
        <w:t>usion cell apparatus. In Keshary-Chein di</w:t>
      </w:r>
      <w:r w:rsidRPr="00053B21">
        <w:rPr>
          <w:rFonts w:ascii="Cambria Math" w:hAnsi="Cambria Math" w:cs="Cambria Math"/>
          <w:bCs/>
          <w:sz w:val="24"/>
          <w:szCs w:val="24"/>
        </w:rPr>
        <w:t>ﬀ</w:t>
      </w:r>
      <w:r w:rsidRPr="00053B21">
        <w:rPr>
          <w:rFonts w:ascii="Times New Roman" w:hAnsi="Times New Roman" w:cs="Times New Roman"/>
          <w:bCs/>
          <w:sz w:val="24"/>
          <w:szCs w:val="24"/>
        </w:rPr>
        <w:t xml:space="preserve">usion cell, 500 mg of </w:t>
      </w:r>
      <w:r w:rsidRPr="00053B21">
        <w:rPr>
          <w:rFonts w:ascii="Times New Roman" w:hAnsi="Times New Roman" w:cs="Times New Roman"/>
          <w:sz w:val="24"/>
          <w:szCs w:val="24"/>
        </w:rPr>
        <w:t>etoricoxib</w:t>
      </w:r>
      <w:r w:rsidRPr="00053B21">
        <w:rPr>
          <w:rFonts w:ascii="Times New Roman" w:hAnsi="Times New Roman" w:cs="Times New Roman"/>
          <w:bCs/>
          <w:sz w:val="24"/>
          <w:szCs w:val="24"/>
        </w:rPr>
        <w:t xml:space="preserve"> emulgel was spread uniformly on the cellophan</w:t>
      </w:r>
      <w:r>
        <w:rPr>
          <w:rFonts w:ascii="Times New Roman" w:hAnsi="Times New Roman" w:cs="Times New Roman"/>
          <w:bCs/>
          <w:sz w:val="24"/>
          <w:szCs w:val="24"/>
        </w:rPr>
        <w:t xml:space="preserve">e membrane which was </w:t>
      </w:r>
      <w:commentRangeStart w:id="25"/>
      <w:r>
        <w:rPr>
          <w:rFonts w:ascii="Times New Roman" w:hAnsi="Times New Roman" w:cs="Times New Roman"/>
          <w:bCs/>
          <w:sz w:val="24"/>
          <w:szCs w:val="24"/>
        </w:rPr>
        <w:t>previously</w:t>
      </w:r>
      <w:r w:rsidRPr="00053B21">
        <w:rPr>
          <w:rFonts w:ascii="Times New Roman" w:hAnsi="Times New Roman" w:cs="Times New Roman"/>
          <w:bCs/>
          <w:sz w:val="24"/>
          <w:szCs w:val="24"/>
        </w:rPr>
        <w:t>soaked</w:t>
      </w:r>
      <w:commentRangeEnd w:id="25"/>
      <w:r w:rsidR="009A4B07">
        <w:rPr>
          <w:rStyle w:val="CommentReference"/>
        </w:rPr>
        <w:commentReference w:id="25"/>
      </w:r>
      <w:r w:rsidRPr="00053B21">
        <w:rPr>
          <w:rFonts w:ascii="Times New Roman" w:hAnsi="Times New Roman" w:cs="Times New Roman"/>
          <w:bCs/>
          <w:sz w:val="24"/>
          <w:szCs w:val="24"/>
        </w:rPr>
        <w:t xml:space="preserve"> in phosphate bu</w:t>
      </w:r>
      <w:r w:rsidRPr="00053B21">
        <w:rPr>
          <w:rFonts w:ascii="Cambria Math" w:hAnsi="Cambria Math" w:cs="Cambria Math"/>
          <w:bCs/>
          <w:sz w:val="24"/>
          <w:szCs w:val="24"/>
        </w:rPr>
        <w:t>ﬀ</w:t>
      </w:r>
      <w:r w:rsidRPr="00053B21">
        <w:rPr>
          <w:rFonts w:ascii="Times New Roman" w:hAnsi="Times New Roman" w:cs="Times New Roman"/>
          <w:bCs/>
          <w:sz w:val="24"/>
          <w:szCs w:val="24"/>
        </w:rPr>
        <w:t>er pH 5.5 for 24 h and was sandwiched between donor and receptor compartment. 6 ml of phosphate bu</w:t>
      </w:r>
      <w:r w:rsidRPr="00053B21">
        <w:rPr>
          <w:rFonts w:ascii="Cambria Math" w:hAnsi="Cambria Math" w:cs="Cambria Math"/>
          <w:bCs/>
          <w:sz w:val="24"/>
          <w:szCs w:val="24"/>
        </w:rPr>
        <w:t>ﬀ</w:t>
      </w:r>
      <w:r w:rsidRPr="00053B21">
        <w:rPr>
          <w:rFonts w:ascii="Times New Roman" w:hAnsi="Times New Roman" w:cs="Times New Roman"/>
          <w:bCs/>
          <w:sz w:val="24"/>
          <w:szCs w:val="24"/>
        </w:rPr>
        <w:t>er was used as receptor compartment. The temperature was maintained at 37±0.5°C. The whole assembly was fixed on a magnetic stirrer and the solution in the receptor compartment was constantly stirred using magnetic bead at 450 rpm. Sample of 1 ml was withdrawn and replacem</w:t>
      </w:r>
      <w:r>
        <w:rPr>
          <w:rFonts w:ascii="Times New Roman" w:hAnsi="Times New Roman" w:cs="Times New Roman"/>
          <w:bCs/>
          <w:sz w:val="24"/>
          <w:szCs w:val="24"/>
        </w:rPr>
        <w:t xml:space="preserve">ent was </w:t>
      </w:r>
      <w:commentRangeEnd w:id="24"/>
      <w:r w:rsidR="000066CD">
        <w:rPr>
          <w:rStyle w:val="CommentReference"/>
        </w:rPr>
        <w:commentReference w:id="24"/>
      </w:r>
      <w:r>
        <w:rPr>
          <w:rFonts w:ascii="Times New Roman" w:hAnsi="Times New Roman" w:cs="Times New Roman"/>
          <w:bCs/>
          <w:sz w:val="24"/>
          <w:szCs w:val="24"/>
        </w:rPr>
        <w:t>done with 1 ml of f</w:t>
      </w:r>
      <w:commentRangeStart w:id="26"/>
      <w:r>
        <w:rPr>
          <w:rFonts w:ascii="Times New Roman" w:hAnsi="Times New Roman" w:cs="Times New Roman"/>
          <w:bCs/>
          <w:sz w:val="24"/>
          <w:szCs w:val="24"/>
        </w:rPr>
        <w:t>resh</w:t>
      </w:r>
      <w:r w:rsidRPr="00053B21">
        <w:rPr>
          <w:rFonts w:ascii="Times New Roman" w:hAnsi="Times New Roman" w:cs="Times New Roman"/>
          <w:bCs/>
          <w:sz w:val="24"/>
          <w:szCs w:val="24"/>
        </w:rPr>
        <w:t>bu</w:t>
      </w:r>
      <w:r w:rsidRPr="00053B21">
        <w:rPr>
          <w:rFonts w:ascii="Cambria Math" w:hAnsi="Cambria Math" w:cs="Cambria Math"/>
          <w:bCs/>
          <w:sz w:val="24"/>
          <w:szCs w:val="24"/>
        </w:rPr>
        <w:t>ﬀ</w:t>
      </w:r>
      <w:r w:rsidRPr="00053B21">
        <w:rPr>
          <w:rFonts w:ascii="Times New Roman" w:hAnsi="Times New Roman" w:cs="Times New Roman"/>
          <w:bCs/>
          <w:sz w:val="24"/>
          <w:szCs w:val="24"/>
        </w:rPr>
        <w:t>er</w:t>
      </w:r>
      <w:commentRangeEnd w:id="26"/>
      <w:r w:rsidR="009A4B07">
        <w:rPr>
          <w:rStyle w:val="CommentReference"/>
        </w:rPr>
        <w:commentReference w:id="26"/>
      </w:r>
      <w:r w:rsidRPr="00053B21">
        <w:rPr>
          <w:rFonts w:ascii="Times New Roman" w:hAnsi="Times New Roman" w:cs="Times New Roman"/>
          <w:bCs/>
          <w:sz w:val="24"/>
          <w:szCs w:val="24"/>
        </w:rPr>
        <w:t xml:space="preserve">. The drug concentration on the receptor ﬂuid was </w:t>
      </w:r>
      <w:r w:rsidRPr="00053B21">
        <w:rPr>
          <w:rFonts w:ascii="Times New Roman" w:hAnsi="Times New Roman" w:cs="Times New Roman"/>
          <w:bCs/>
          <w:sz w:val="24"/>
          <w:szCs w:val="24"/>
        </w:rPr>
        <w:lastRenderedPageBreak/>
        <w:t>determined spectrophotometrically against blank at 275 nm. The cumulative amount of drug released expressed in % was plotted for formulation</w:t>
      </w:r>
      <w:r w:rsidRPr="00053B21">
        <w:rPr>
          <w:rFonts w:ascii="Times New Roman" w:hAnsi="Times New Roman" w:cs="Times New Roman"/>
          <w:bCs/>
          <w:sz w:val="24"/>
          <w:szCs w:val="24"/>
          <w:vertAlign w:val="superscript"/>
        </w:rPr>
        <w:t>19,20</w:t>
      </w:r>
      <w:r w:rsidRPr="00053B21">
        <w:rPr>
          <w:rFonts w:ascii="Times New Roman" w:hAnsi="Times New Roman" w:cs="Times New Roman"/>
          <w:bCs/>
          <w:sz w:val="24"/>
          <w:szCs w:val="24"/>
        </w:rPr>
        <w:t>.</w:t>
      </w:r>
    </w:p>
    <w:p w:rsidR="00053B21" w:rsidRPr="00053B21" w:rsidRDefault="00053B21" w:rsidP="00053B21">
      <w:pPr>
        <w:spacing w:after="0" w:line="240" w:lineRule="auto"/>
        <w:jc w:val="center"/>
        <w:rPr>
          <w:rFonts w:ascii="Times New Roman" w:eastAsia="Times New Roman" w:hAnsi="Times New Roman" w:cs="Times New Roman"/>
          <w:b/>
          <w:bCs/>
          <w:iCs/>
          <w:color w:val="000000"/>
          <w:sz w:val="24"/>
          <w:szCs w:val="24"/>
        </w:rPr>
      </w:pPr>
    </w:p>
    <w:p w:rsidR="00053B21" w:rsidRPr="00053B21" w:rsidRDefault="00053B21" w:rsidP="00053B21">
      <w:pPr>
        <w:spacing w:after="0" w:line="240" w:lineRule="auto"/>
        <w:rPr>
          <w:rFonts w:ascii="BookAntiqua-Bold" w:eastAsia="Times New Roman" w:hAnsi="BookAntiqua-Bold" w:cs="Times New Roman"/>
          <w:b/>
          <w:bCs/>
          <w:color w:val="000000"/>
          <w:sz w:val="24"/>
          <w:szCs w:val="24"/>
        </w:rPr>
      </w:pPr>
    </w:p>
    <w:p w:rsidR="00053B21" w:rsidRPr="00053B21" w:rsidRDefault="00053B21" w:rsidP="00053B21">
      <w:pPr>
        <w:widowControl w:val="0"/>
        <w:tabs>
          <w:tab w:val="left" w:pos="9720"/>
        </w:tabs>
        <w:autoSpaceDE w:val="0"/>
        <w:autoSpaceDN w:val="0"/>
        <w:adjustRightInd w:val="0"/>
        <w:spacing w:line="240" w:lineRule="auto"/>
        <w:ind w:right="90"/>
        <w:jc w:val="center"/>
        <w:rPr>
          <w:rFonts w:ascii="Times New Roman" w:eastAsia="Calibri" w:hAnsi="Times New Roman" w:cs="Times New Roman"/>
          <w:b/>
          <w:sz w:val="24"/>
          <w:szCs w:val="24"/>
        </w:rPr>
      </w:pPr>
      <w:r w:rsidRPr="00053B21">
        <w:rPr>
          <w:rFonts w:ascii="Times New Roman" w:eastAsia="Calibri" w:hAnsi="Times New Roman" w:cs="Times New Roman"/>
          <w:b/>
          <w:noProof/>
          <w:sz w:val="24"/>
          <w:szCs w:val="24"/>
        </w:rPr>
        <w:drawing>
          <wp:inline distT="0" distB="0" distL="0" distR="0">
            <wp:extent cx="3687572" cy="2245766"/>
            <wp:effectExtent l="19050" t="0" r="27178" b="2134"/>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3B21" w:rsidRPr="00053B21" w:rsidRDefault="00053B21" w:rsidP="00053B21">
      <w:pPr>
        <w:spacing w:after="0" w:line="240" w:lineRule="auto"/>
        <w:jc w:val="center"/>
        <w:rPr>
          <w:rFonts w:ascii="Cambria" w:hAnsi="Cambria"/>
          <w:b/>
          <w:color w:val="000000"/>
          <w:sz w:val="24"/>
          <w:szCs w:val="24"/>
        </w:rPr>
      </w:pPr>
      <w:r w:rsidRPr="00053B21">
        <w:rPr>
          <w:rFonts w:ascii="Times New Roman" w:eastAsia="Calibri" w:hAnsi="Times New Roman" w:cs="Times New Roman"/>
          <w:b/>
          <w:bCs/>
          <w:sz w:val="24"/>
          <w:szCs w:val="24"/>
        </w:rPr>
        <w:t xml:space="preserve">Figure </w:t>
      </w:r>
      <w:r w:rsidRPr="00053B21">
        <w:rPr>
          <w:rFonts w:ascii="Times New Roman" w:eastAsia="Calibri" w:hAnsi="Times New Roman" w:cs="Times New Roman"/>
          <w:b/>
          <w:sz w:val="24"/>
          <w:szCs w:val="24"/>
        </w:rPr>
        <w:t>1</w:t>
      </w:r>
      <w:r w:rsidRPr="00053B21">
        <w:rPr>
          <w:rFonts w:ascii="Times New Roman" w:eastAsia="Calibri" w:hAnsi="Times New Roman" w:cs="Times New Roman"/>
          <w:b/>
          <w:bCs/>
          <w:sz w:val="24"/>
          <w:szCs w:val="24"/>
        </w:rPr>
        <w:t xml:space="preserve">: </w:t>
      </w:r>
      <w:commentRangeStart w:id="27"/>
      <w:r w:rsidRPr="00053B21">
        <w:rPr>
          <w:rFonts w:ascii="Times New Roman" w:hAnsi="Times New Roman" w:cs="Times New Roman"/>
          <w:b/>
          <w:bCs/>
          <w:color w:val="000000"/>
          <w:sz w:val="24"/>
          <w:szCs w:val="24"/>
        </w:rPr>
        <w:t>In-vitro</w:t>
      </w:r>
      <w:r w:rsidRPr="00053B21">
        <w:rPr>
          <w:rFonts w:ascii="Times New Roman" w:hAnsi="Times New Roman" w:cs="Times New Roman"/>
          <w:b/>
          <w:bCs/>
          <w:i/>
          <w:color w:val="000000"/>
          <w:sz w:val="24"/>
          <w:szCs w:val="24"/>
        </w:rPr>
        <w:t xml:space="preserve"> </w:t>
      </w:r>
      <w:commentRangeEnd w:id="27"/>
      <w:r w:rsidR="009A4B07">
        <w:rPr>
          <w:rStyle w:val="CommentReference"/>
        </w:rPr>
        <w:commentReference w:id="27"/>
      </w:r>
      <w:r w:rsidRPr="00053B21">
        <w:rPr>
          <w:rFonts w:ascii="Times New Roman" w:hAnsi="Times New Roman" w:cs="Times New Roman"/>
          <w:b/>
          <w:bCs/>
          <w:color w:val="000000"/>
          <w:sz w:val="24"/>
          <w:szCs w:val="24"/>
        </w:rPr>
        <w:t>diffusion</w:t>
      </w:r>
      <w:r w:rsidRPr="00053B21">
        <w:rPr>
          <w:rFonts w:ascii="Times New Roman" w:hAnsi="Times New Roman" w:cs="Times New Roman"/>
          <w:b/>
          <w:bCs/>
          <w:i/>
          <w:color w:val="000000"/>
          <w:sz w:val="24"/>
          <w:szCs w:val="24"/>
        </w:rPr>
        <w:t xml:space="preserve"> </w:t>
      </w:r>
      <w:r w:rsidRPr="00053B21">
        <w:rPr>
          <w:rStyle w:val="fontstyle01"/>
          <w:b/>
          <w:sz w:val="24"/>
          <w:szCs w:val="24"/>
        </w:rPr>
        <w:t xml:space="preserve">profile of </w:t>
      </w:r>
      <w:r w:rsidRPr="00053B21">
        <w:rPr>
          <w:rFonts w:ascii="Times New Roman" w:eastAsia="Times New Roman" w:hAnsi="Times New Roman" w:cs="Times New Roman"/>
          <w:b/>
          <w:bCs/>
          <w:iCs/>
          <w:color w:val="000000"/>
          <w:sz w:val="24"/>
          <w:szCs w:val="24"/>
        </w:rPr>
        <w:t>etoricoxib</w:t>
      </w:r>
      <w:r w:rsidRPr="00053B21">
        <w:rPr>
          <w:rStyle w:val="fontstyle01"/>
          <w:b/>
          <w:sz w:val="24"/>
          <w:szCs w:val="24"/>
        </w:rPr>
        <w:t xml:space="preserve">  emulgel formulations</w:t>
      </w:r>
    </w:p>
    <w:p w:rsidR="00053B21" w:rsidRPr="00053B21" w:rsidRDefault="00053B21" w:rsidP="00053B21">
      <w:pPr>
        <w:spacing w:after="0" w:line="240" w:lineRule="auto"/>
        <w:rPr>
          <w:rFonts w:ascii="TimesNewRomanPS-BoldItalicMT" w:eastAsia="Times New Roman" w:hAnsi="TimesNewRomanPS-BoldItalicMT" w:cs="Times New Roman"/>
          <w:b/>
          <w:bCs/>
          <w:i/>
          <w:iCs/>
          <w:color w:val="000000"/>
          <w:sz w:val="24"/>
          <w:szCs w:val="24"/>
        </w:rPr>
      </w:pPr>
    </w:p>
    <w:p w:rsidR="00053B21" w:rsidRPr="00053B21" w:rsidRDefault="00053B21" w:rsidP="00053B21">
      <w:pPr>
        <w:widowControl w:val="0"/>
        <w:tabs>
          <w:tab w:val="left" w:pos="9720"/>
        </w:tabs>
        <w:autoSpaceDE w:val="0"/>
        <w:autoSpaceDN w:val="0"/>
        <w:adjustRightInd w:val="0"/>
        <w:spacing w:after="0" w:line="240" w:lineRule="auto"/>
        <w:ind w:right="90"/>
        <w:jc w:val="center"/>
        <w:rPr>
          <w:rFonts w:ascii="Times New Roman" w:eastAsia="Calibri" w:hAnsi="Times New Roman" w:cs="Times New Roman"/>
          <w:b/>
          <w:sz w:val="24"/>
          <w:szCs w:val="24"/>
        </w:rPr>
      </w:pPr>
      <w:r w:rsidRPr="00053B21">
        <w:rPr>
          <w:rFonts w:ascii="Times New Roman" w:eastAsia="Calibri" w:hAnsi="Times New Roman" w:cs="Times New Roman"/>
          <w:b/>
          <w:sz w:val="24"/>
          <w:szCs w:val="24"/>
        </w:rPr>
        <w:t>Table 3</w:t>
      </w:r>
      <w:r w:rsidRPr="00053B21">
        <w:rPr>
          <w:rFonts w:ascii="Times New Roman" w:eastAsia="Calibri" w:hAnsi="Times New Roman" w:cs="Times New Roman"/>
          <w:b/>
          <w:bCs/>
          <w:sz w:val="24"/>
          <w:szCs w:val="24"/>
        </w:rPr>
        <w:t>:</w:t>
      </w:r>
      <w:r w:rsidRPr="00053B21">
        <w:rPr>
          <w:rFonts w:ascii="Times New Roman" w:eastAsia="Calibri" w:hAnsi="Times New Roman" w:cs="Times New Roman"/>
          <w:b/>
          <w:sz w:val="24"/>
          <w:szCs w:val="24"/>
        </w:rPr>
        <w:t xml:space="preserve"> Drug release kinetic parameters for different </w:t>
      </w:r>
      <w:r w:rsidRPr="00053B21">
        <w:rPr>
          <w:rFonts w:ascii="Times New Roman" w:eastAsia="Calibri" w:hAnsi="Times New Roman" w:cs="Times New Roman"/>
          <w:b/>
          <w:bCs/>
          <w:sz w:val="24"/>
          <w:szCs w:val="24"/>
        </w:rPr>
        <w:t>etoricoxib emulgel formulations</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6"/>
        <w:gridCol w:w="949"/>
        <w:gridCol w:w="900"/>
        <w:gridCol w:w="997"/>
        <w:gridCol w:w="988"/>
        <w:gridCol w:w="1099"/>
        <w:gridCol w:w="1011"/>
        <w:gridCol w:w="1150"/>
        <w:gridCol w:w="992"/>
        <w:gridCol w:w="992"/>
      </w:tblGrid>
      <w:tr w:rsidR="00053B21" w:rsidRPr="00053B21" w:rsidTr="00053B21">
        <w:trPr>
          <w:trHeight w:val="294"/>
          <w:jc w:val="center"/>
        </w:trPr>
        <w:tc>
          <w:tcPr>
            <w:tcW w:w="1016" w:type="dxa"/>
            <w:vMerge w:val="restart"/>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r w:rsidRPr="00053B21">
              <w:rPr>
                <w:rFonts w:ascii="Times New Roman" w:eastAsia="Calibri" w:hAnsi="Times New Roman" w:cs="Times New Roman"/>
                <w:b/>
                <w:sz w:val="24"/>
                <w:szCs w:val="24"/>
              </w:rPr>
              <w:t>Batch Code</w:t>
            </w:r>
          </w:p>
        </w:tc>
        <w:tc>
          <w:tcPr>
            <w:tcW w:w="1849" w:type="dxa"/>
            <w:gridSpan w:val="2"/>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r w:rsidRPr="00053B21">
              <w:rPr>
                <w:rFonts w:ascii="Times New Roman" w:eastAsia="Calibri" w:hAnsi="Times New Roman" w:cs="Times New Roman"/>
                <w:b/>
                <w:sz w:val="24"/>
                <w:szCs w:val="24"/>
              </w:rPr>
              <w:t>Zero order model</w:t>
            </w:r>
          </w:p>
        </w:tc>
        <w:tc>
          <w:tcPr>
            <w:tcW w:w="1985" w:type="dxa"/>
            <w:gridSpan w:val="2"/>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r w:rsidRPr="00053B21">
              <w:rPr>
                <w:rFonts w:ascii="Times New Roman" w:eastAsia="Calibri" w:hAnsi="Times New Roman" w:cs="Times New Roman"/>
                <w:b/>
                <w:sz w:val="24"/>
                <w:szCs w:val="24"/>
              </w:rPr>
              <w:t>First order model</w:t>
            </w:r>
          </w:p>
        </w:tc>
        <w:tc>
          <w:tcPr>
            <w:tcW w:w="2110" w:type="dxa"/>
            <w:gridSpan w:val="2"/>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r w:rsidRPr="00053B21">
              <w:rPr>
                <w:rFonts w:ascii="Times New Roman" w:eastAsia="Calibri" w:hAnsi="Times New Roman" w:cs="Times New Roman"/>
                <w:b/>
                <w:sz w:val="24"/>
                <w:szCs w:val="24"/>
              </w:rPr>
              <w:t>Higuchi model</w:t>
            </w:r>
            <w:r w:rsidRPr="00053B21">
              <w:rPr>
                <w:rFonts w:ascii="Times New Roman" w:eastAsia="Calibri" w:hAnsi="Times New Roman" w:cs="Times New Roman"/>
                <w:b/>
                <w:sz w:val="24"/>
                <w:szCs w:val="24"/>
              </w:rPr>
              <w:tab/>
              <w:t xml:space="preserve">Higuchi model </w:t>
            </w:r>
          </w:p>
        </w:tc>
        <w:tc>
          <w:tcPr>
            <w:tcW w:w="3134" w:type="dxa"/>
            <w:gridSpan w:val="3"/>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r w:rsidRPr="00053B21">
              <w:rPr>
                <w:rFonts w:ascii="Times New Roman" w:eastAsia="Calibri" w:hAnsi="Times New Roman" w:cs="Times New Roman"/>
                <w:b/>
                <w:sz w:val="24"/>
                <w:szCs w:val="24"/>
              </w:rPr>
              <w:t>Korsmeyer-Peppas model</w:t>
            </w:r>
          </w:p>
        </w:tc>
      </w:tr>
      <w:tr w:rsidR="00053B21" w:rsidRPr="00053B21" w:rsidTr="00053B21">
        <w:trPr>
          <w:trHeight w:val="56"/>
          <w:jc w:val="center"/>
        </w:trPr>
        <w:tc>
          <w:tcPr>
            <w:tcW w:w="1016" w:type="dxa"/>
            <w:vMerge/>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p>
        </w:tc>
        <w:tc>
          <w:tcPr>
            <w:tcW w:w="949"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r w:rsidRPr="00053B21">
              <w:rPr>
                <w:rFonts w:ascii="Times New Roman" w:eastAsia="Calibri" w:hAnsi="Times New Roman" w:cs="Times New Roman"/>
                <w:b/>
                <w:sz w:val="24"/>
                <w:szCs w:val="24"/>
              </w:rPr>
              <w:t>R</w:t>
            </w:r>
          </w:p>
        </w:tc>
        <w:tc>
          <w:tcPr>
            <w:tcW w:w="900"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r w:rsidRPr="00053B21">
              <w:rPr>
                <w:rFonts w:ascii="Times New Roman" w:eastAsia="Calibri" w:hAnsi="Times New Roman" w:cs="Times New Roman"/>
                <w:b/>
                <w:sz w:val="24"/>
                <w:szCs w:val="24"/>
              </w:rPr>
              <w:t>K</w:t>
            </w:r>
          </w:p>
        </w:tc>
        <w:tc>
          <w:tcPr>
            <w:tcW w:w="997"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r w:rsidRPr="00053B21">
              <w:rPr>
                <w:rFonts w:ascii="Times New Roman" w:eastAsia="Calibri" w:hAnsi="Times New Roman" w:cs="Times New Roman"/>
                <w:b/>
                <w:sz w:val="24"/>
                <w:szCs w:val="24"/>
              </w:rPr>
              <w:t>R</w:t>
            </w:r>
          </w:p>
        </w:tc>
        <w:tc>
          <w:tcPr>
            <w:tcW w:w="988"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r w:rsidRPr="00053B21">
              <w:rPr>
                <w:rFonts w:ascii="Times New Roman" w:eastAsia="Calibri" w:hAnsi="Times New Roman" w:cs="Times New Roman"/>
                <w:b/>
                <w:sz w:val="24"/>
                <w:szCs w:val="24"/>
              </w:rPr>
              <w:t>K</w:t>
            </w:r>
          </w:p>
        </w:tc>
        <w:tc>
          <w:tcPr>
            <w:tcW w:w="1099"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r w:rsidRPr="00053B21">
              <w:rPr>
                <w:rFonts w:ascii="Times New Roman" w:eastAsia="Calibri" w:hAnsi="Times New Roman" w:cs="Times New Roman"/>
                <w:b/>
                <w:sz w:val="24"/>
                <w:szCs w:val="24"/>
              </w:rPr>
              <w:t>R</w:t>
            </w:r>
          </w:p>
        </w:tc>
        <w:tc>
          <w:tcPr>
            <w:tcW w:w="1011"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r w:rsidRPr="00053B21">
              <w:rPr>
                <w:rFonts w:ascii="Times New Roman" w:eastAsia="Calibri" w:hAnsi="Times New Roman" w:cs="Times New Roman"/>
                <w:b/>
                <w:sz w:val="24"/>
                <w:szCs w:val="24"/>
              </w:rPr>
              <w:t>K</w:t>
            </w:r>
          </w:p>
        </w:tc>
        <w:tc>
          <w:tcPr>
            <w:tcW w:w="1150"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r w:rsidRPr="00053B21">
              <w:rPr>
                <w:rFonts w:ascii="Times New Roman" w:eastAsia="Calibri" w:hAnsi="Times New Roman" w:cs="Times New Roman"/>
                <w:b/>
                <w:sz w:val="24"/>
                <w:szCs w:val="24"/>
              </w:rPr>
              <w:t>Slope(n)</w:t>
            </w:r>
          </w:p>
        </w:tc>
        <w:tc>
          <w:tcPr>
            <w:tcW w:w="992"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r w:rsidRPr="00053B21">
              <w:rPr>
                <w:rFonts w:ascii="Times New Roman" w:eastAsia="Calibri" w:hAnsi="Times New Roman" w:cs="Times New Roman"/>
                <w:b/>
                <w:sz w:val="24"/>
                <w:szCs w:val="24"/>
              </w:rPr>
              <w:t>R</w:t>
            </w:r>
          </w:p>
        </w:tc>
        <w:tc>
          <w:tcPr>
            <w:tcW w:w="992"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b/>
                <w:sz w:val="24"/>
                <w:szCs w:val="24"/>
              </w:rPr>
            </w:pPr>
            <w:r w:rsidRPr="00053B21">
              <w:rPr>
                <w:rFonts w:ascii="Times New Roman" w:eastAsia="Calibri" w:hAnsi="Times New Roman" w:cs="Times New Roman"/>
                <w:b/>
                <w:sz w:val="24"/>
                <w:szCs w:val="24"/>
              </w:rPr>
              <w:t>K</w:t>
            </w:r>
          </w:p>
        </w:tc>
      </w:tr>
      <w:tr w:rsidR="00053B21" w:rsidRPr="00053B21" w:rsidTr="00053B21">
        <w:trPr>
          <w:trHeight w:val="49"/>
          <w:jc w:val="center"/>
        </w:trPr>
        <w:tc>
          <w:tcPr>
            <w:tcW w:w="1016" w:type="dxa"/>
            <w:shd w:val="clear" w:color="auto" w:fill="auto"/>
            <w:vAlign w:val="center"/>
          </w:tcPr>
          <w:p w:rsidR="00053B21" w:rsidRPr="00053B21" w:rsidRDefault="00053B21" w:rsidP="00A333F6">
            <w:pPr>
              <w:spacing w:after="0" w:line="240" w:lineRule="auto"/>
              <w:rPr>
                <w:rFonts w:ascii="Times New Roman" w:eastAsia="Times New Roman" w:hAnsi="Times New Roman" w:cs="Times New Roman"/>
                <w:bCs/>
                <w:sz w:val="24"/>
                <w:szCs w:val="24"/>
              </w:rPr>
            </w:pPr>
            <w:r w:rsidRPr="00053B21">
              <w:rPr>
                <w:rFonts w:ascii="Times New Roman" w:eastAsia="Times New Roman" w:hAnsi="Times New Roman" w:cs="Times New Roman"/>
                <w:bCs/>
                <w:sz w:val="24"/>
                <w:szCs w:val="24"/>
              </w:rPr>
              <w:t>EG1</w:t>
            </w:r>
          </w:p>
        </w:tc>
        <w:tc>
          <w:tcPr>
            <w:tcW w:w="949"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0.8976</w:t>
            </w:r>
          </w:p>
        </w:tc>
        <w:tc>
          <w:tcPr>
            <w:tcW w:w="900"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3.6372</w:t>
            </w:r>
          </w:p>
        </w:tc>
        <w:tc>
          <w:tcPr>
            <w:tcW w:w="997"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0.9555</w:t>
            </w:r>
          </w:p>
        </w:tc>
        <w:tc>
          <w:tcPr>
            <w:tcW w:w="988"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-0.0549</w:t>
            </w:r>
          </w:p>
        </w:tc>
        <w:tc>
          <w:tcPr>
            <w:tcW w:w="1099"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0.9846</w:t>
            </w:r>
          </w:p>
        </w:tc>
        <w:tc>
          <w:tcPr>
            <w:tcW w:w="1011"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10.3551</w:t>
            </w:r>
          </w:p>
        </w:tc>
        <w:tc>
          <w:tcPr>
            <w:tcW w:w="1150"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0.6248</w:t>
            </w:r>
          </w:p>
        </w:tc>
        <w:tc>
          <w:tcPr>
            <w:tcW w:w="992"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0.9981</w:t>
            </w:r>
          </w:p>
        </w:tc>
        <w:tc>
          <w:tcPr>
            <w:tcW w:w="992"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7.8464</w:t>
            </w:r>
          </w:p>
        </w:tc>
      </w:tr>
      <w:tr w:rsidR="00053B21" w:rsidRPr="00053B21" w:rsidTr="00053B21">
        <w:trPr>
          <w:trHeight w:val="49"/>
          <w:jc w:val="center"/>
        </w:trPr>
        <w:tc>
          <w:tcPr>
            <w:tcW w:w="1016" w:type="dxa"/>
            <w:shd w:val="clear" w:color="auto" w:fill="auto"/>
            <w:vAlign w:val="center"/>
          </w:tcPr>
          <w:p w:rsidR="00053B21" w:rsidRPr="00053B21" w:rsidRDefault="00053B21" w:rsidP="00A333F6">
            <w:pPr>
              <w:spacing w:after="0" w:line="240" w:lineRule="auto"/>
              <w:rPr>
                <w:rFonts w:ascii="Times New Roman" w:eastAsia="Times New Roman" w:hAnsi="Times New Roman" w:cs="Times New Roman"/>
                <w:bCs/>
                <w:sz w:val="24"/>
                <w:szCs w:val="24"/>
              </w:rPr>
            </w:pPr>
            <w:r w:rsidRPr="00053B21">
              <w:rPr>
                <w:rFonts w:ascii="Times New Roman" w:eastAsia="Times New Roman" w:hAnsi="Times New Roman" w:cs="Times New Roman"/>
                <w:bCs/>
                <w:sz w:val="24"/>
                <w:szCs w:val="24"/>
              </w:rPr>
              <w:t>EG2</w:t>
            </w:r>
          </w:p>
        </w:tc>
        <w:tc>
          <w:tcPr>
            <w:tcW w:w="949"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0.9682</w:t>
            </w:r>
          </w:p>
        </w:tc>
        <w:tc>
          <w:tcPr>
            <w:tcW w:w="900"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2.6368</w:t>
            </w:r>
          </w:p>
        </w:tc>
        <w:tc>
          <w:tcPr>
            <w:tcW w:w="997"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0.9562</w:t>
            </w:r>
          </w:p>
        </w:tc>
        <w:tc>
          <w:tcPr>
            <w:tcW w:w="988"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-0.0358</w:t>
            </w:r>
          </w:p>
        </w:tc>
        <w:tc>
          <w:tcPr>
            <w:tcW w:w="1099"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0.9783</w:t>
            </w:r>
          </w:p>
        </w:tc>
        <w:tc>
          <w:tcPr>
            <w:tcW w:w="1011"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8.8968</w:t>
            </w:r>
          </w:p>
        </w:tc>
        <w:tc>
          <w:tcPr>
            <w:tcW w:w="1150"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0.7077</w:t>
            </w:r>
          </w:p>
        </w:tc>
        <w:tc>
          <w:tcPr>
            <w:tcW w:w="992"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0.9977</w:t>
            </w:r>
          </w:p>
        </w:tc>
        <w:tc>
          <w:tcPr>
            <w:tcW w:w="992"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4.7338</w:t>
            </w:r>
          </w:p>
        </w:tc>
      </w:tr>
      <w:tr w:rsidR="00053B21" w:rsidRPr="00053B21" w:rsidTr="00053B21">
        <w:trPr>
          <w:trHeight w:val="49"/>
          <w:jc w:val="center"/>
        </w:trPr>
        <w:tc>
          <w:tcPr>
            <w:tcW w:w="1016" w:type="dxa"/>
            <w:shd w:val="clear" w:color="auto" w:fill="auto"/>
            <w:vAlign w:val="center"/>
          </w:tcPr>
          <w:p w:rsidR="00053B21" w:rsidRPr="00053B21" w:rsidRDefault="00053B21" w:rsidP="00A333F6">
            <w:pPr>
              <w:spacing w:after="0" w:line="240" w:lineRule="auto"/>
              <w:rPr>
                <w:rFonts w:ascii="Times New Roman" w:eastAsia="Times New Roman" w:hAnsi="Times New Roman" w:cs="Times New Roman"/>
                <w:sz w:val="24"/>
                <w:szCs w:val="24"/>
              </w:rPr>
            </w:pPr>
            <w:r w:rsidRPr="00053B21">
              <w:rPr>
                <w:rFonts w:ascii="Times New Roman" w:eastAsia="Times New Roman" w:hAnsi="Times New Roman" w:cs="Times New Roman"/>
                <w:bCs/>
                <w:sz w:val="24"/>
                <w:szCs w:val="24"/>
              </w:rPr>
              <w:t>EG3</w:t>
            </w:r>
          </w:p>
        </w:tc>
        <w:tc>
          <w:tcPr>
            <w:tcW w:w="949"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0.9657</w:t>
            </w:r>
          </w:p>
        </w:tc>
        <w:tc>
          <w:tcPr>
            <w:tcW w:w="900"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2.0245</w:t>
            </w:r>
          </w:p>
        </w:tc>
        <w:tc>
          <w:tcPr>
            <w:tcW w:w="997"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0.9581</w:t>
            </w:r>
          </w:p>
        </w:tc>
        <w:tc>
          <w:tcPr>
            <w:tcW w:w="988"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-0.0252</w:t>
            </w:r>
          </w:p>
        </w:tc>
        <w:tc>
          <w:tcPr>
            <w:tcW w:w="1099"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0.9274</w:t>
            </w:r>
          </w:p>
        </w:tc>
        <w:tc>
          <w:tcPr>
            <w:tcW w:w="1011"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10.3922</w:t>
            </w:r>
          </w:p>
        </w:tc>
        <w:tc>
          <w:tcPr>
            <w:tcW w:w="1150"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0.8265</w:t>
            </w:r>
          </w:p>
        </w:tc>
        <w:tc>
          <w:tcPr>
            <w:tcW w:w="992"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0.9946</w:t>
            </w:r>
          </w:p>
        </w:tc>
        <w:tc>
          <w:tcPr>
            <w:tcW w:w="992"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2.8082</w:t>
            </w:r>
          </w:p>
        </w:tc>
      </w:tr>
      <w:tr w:rsidR="00053B21" w:rsidRPr="00053B21" w:rsidTr="00053B21">
        <w:trPr>
          <w:trHeight w:val="49"/>
          <w:jc w:val="center"/>
        </w:trPr>
        <w:tc>
          <w:tcPr>
            <w:tcW w:w="1016" w:type="dxa"/>
            <w:shd w:val="clear" w:color="auto" w:fill="auto"/>
            <w:vAlign w:val="center"/>
          </w:tcPr>
          <w:p w:rsidR="00053B21" w:rsidRPr="00053B21" w:rsidRDefault="00053B21" w:rsidP="00A333F6">
            <w:pPr>
              <w:spacing w:after="0" w:line="240" w:lineRule="auto"/>
              <w:rPr>
                <w:rFonts w:ascii="Times New Roman" w:eastAsia="Times New Roman" w:hAnsi="Times New Roman" w:cs="Times New Roman"/>
                <w:sz w:val="24"/>
                <w:szCs w:val="24"/>
              </w:rPr>
            </w:pPr>
            <w:r w:rsidRPr="00053B21">
              <w:rPr>
                <w:rFonts w:ascii="Times New Roman" w:eastAsia="Times New Roman" w:hAnsi="Times New Roman" w:cs="Times New Roman"/>
                <w:bCs/>
                <w:sz w:val="24"/>
                <w:szCs w:val="24"/>
              </w:rPr>
              <w:t>EG4</w:t>
            </w:r>
          </w:p>
        </w:tc>
        <w:tc>
          <w:tcPr>
            <w:tcW w:w="949"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0.8561</w:t>
            </w:r>
          </w:p>
        </w:tc>
        <w:tc>
          <w:tcPr>
            <w:tcW w:w="900"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4.2172</w:t>
            </w:r>
          </w:p>
        </w:tc>
        <w:tc>
          <w:tcPr>
            <w:tcW w:w="997"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0.9345</w:t>
            </w:r>
          </w:p>
        </w:tc>
        <w:tc>
          <w:tcPr>
            <w:tcW w:w="988"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-0.0783</w:t>
            </w:r>
          </w:p>
        </w:tc>
        <w:tc>
          <w:tcPr>
            <w:tcW w:w="1099"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0.9758</w:t>
            </w:r>
          </w:p>
        </w:tc>
        <w:tc>
          <w:tcPr>
            <w:tcW w:w="1011"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8.9453</w:t>
            </w:r>
          </w:p>
        </w:tc>
        <w:tc>
          <w:tcPr>
            <w:tcW w:w="1150"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0.5721</w:t>
            </w:r>
          </w:p>
        </w:tc>
        <w:tc>
          <w:tcPr>
            <w:tcW w:w="992"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0.9984</w:t>
            </w:r>
          </w:p>
        </w:tc>
        <w:tc>
          <w:tcPr>
            <w:tcW w:w="992"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11.5966</w:t>
            </w:r>
          </w:p>
        </w:tc>
      </w:tr>
      <w:tr w:rsidR="00053B21" w:rsidRPr="00053B21" w:rsidTr="00053B21">
        <w:trPr>
          <w:trHeight w:val="175"/>
          <w:jc w:val="center"/>
        </w:trPr>
        <w:tc>
          <w:tcPr>
            <w:tcW w:w="1016" w:type="dxa"/>
            <w:shd w:val="clear" w:color="auto" w:fill="auto"/>
            <w:vAlign w:val="center"/>
          </w:tcPr>
          <w:p w:rsidR="00053B21" w:rsidRPr="00053B21" w:rsidRDefault="00053B21" w:rsidP="00A333F6">
            <w:pPr>
              <w:spacing w:after="0" w:line="240" w:lineRule="auto"/>
              <w:rPr>
                <w:rFonts w:ascii="Times New Roman" w:eastAsia="Times New Roman" w:hAnsi="Times New Roman" w:cs="Times New Roman"/>
                <w:sz w:val="24"/>
                <w:szCs w:val="24"/>
              </w:rPr>
            </w:pPr>
            <w:r w:rsidRPr="00053B21">
              <w:rPr>
                <w:rFonts w:ascii="Times New Roman" w:eastAsia="Times New Roman" w:hAnsi="Times New Roman" w:cs="Times New Roman"/>
                <w:bCs/>
                <w:sz w:val="24"/>
                <w:szCs w:val="24"/>
              </w:rPr>
              <w:t>EG5</w:t>
            </w:r>
          </w:p>
        </w:tc>
        <w:tc>
          <w:tcPr>
            <w:tcW w:w="949"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0.9345</w:t>
            </w:r>
          </w:p>
        </w:tc>
        <w:tc>
          <w:tcPr>
            <w:tcW w:w="900"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2.6465</w:t>
            </w:r>
          </w:p>
        </w:tc>
        <w:tc>
          <w:tcPr>
            <w:tcW w:w="997"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0.9548</w:t>
            </w:r>
          </w:p>
        </w:tc>
        <w:tc>
          <w:tcPr>
            <w:tcW w:w="988"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-0.036</w:t>
            </w:r>
          </w:p>
        </w:tc>
        <w:tc>
          <w:tcPr>
            <w:tcW w:w="1099"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0.9368</w:t>
            </w:r>
          </w:p>
        </w:tc>
        <w:tc>
          <w:tcPr>
            <w:tcW w:w="1011"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10.4181</w:t>
            </w:r>
          </w:p>
        </w:tc>
        <w:tc>
          <w:tcPr>
            <w:tcW w:w="1150"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0.6184</w:t>
            </w:r>
          </w:p>
        </w:tc>
        <w:tc>
          <w:tcPr>
            <w:tcW w:w="992"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0.9937</w:t>
            </w:r>
          </w:p>
        </w:tc>
        <w:tc>
          <w:tcPr>
            <w:tcW w:w="992"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7.1578</w:t>
            </w:r>
          </w:p>
        </w:tc>
      </w:tr>
      <w:tr w:rsidR="00053B21" w:rsidRPr="00053B21" w:rsidTr="00053B21">
        <w:trPr>
          <w:trHeight w:val="175"/>
          <w:jc w:val="center"/>
        </w:trPr>
        <w:tc>
          <w:tcPr>
            <w:tcW w:w="1016" w:type="dxa"/>
            <w:shd w:val="clear" w:color="auto" w:fill="auto"/>
            <w:vAlign w:val="center"/>
          </w:tcPr>
          <w:p w:rsidR="00053B21" w:rsidRPr="00053B21" w:rsidRDefault="00053B21" w:rsidP="00A333F6">
            <w:pPr>
              <w:spacing w:after="0" w:line="240" w:lineRule="auto"/>
              <w:rPr>
                <w:rFonts w:ascii="Times New Roman" w:eastAsia="Times New Roman" w:hAnsi="Times New Roman" w:cs="Times New Roman"/>
                <w:bCs/>
                <w:sz w:val="24"/>
                <w:szCs w:val="24"/>
              </w:rPr>
            </w:pPr>
            <w:r w:rsidRPr="00053B21">
              <w:rPr>
                <w:rFonts w:ascii="Times New Roman" w:eastAsia="Times New Roman" w:hAnsi="Times New Roman" w:cs="Times New Roman"/>
                <w:bCs/>
                <w:sz w:val="24"/>
                <w:szCs w:val="24"/>
              </w:rPr>
              <w:t>EG6</w:t>
            </w:r>
          </w:p>
        </w:tc>
        <w:tc>
          <w:tcPr>
            <w:tcW w:w="949"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0.9621</w:t>
            </w:r>
          </w:p>
        </w:tc>
        <w:tc>
          <w:tcPr>
            <w:tcW w:w="900"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2.0239</w:t>
            </w:r>
          </w:p>
        </w:tc>
        <w:tc>
          <w:tcPr>
            <w:tcW w:w="997"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0.9563</w:t>
            </w:r>
          </w:p>
        </w:tc>
        <w:tc>
          <w:tcPr>
            <w:tcW w:w="988" w:type="dxa"/>
            <w:shd w:val="clear" w:color="auto" w:fill="auto"/>
            <w:vAlign w:val="bottom"/>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-0.0292</w:t>
            </w:r>
          </w:p>
        </w:tc>
        <w:tc>
          <w:tcPr>
            <w:tcW w:w="1099"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0.9682</w:t>
            </w:r>
          </w:p>
        </w:tc>
        <w:tc>
          <w:tcPr>
            <w:tcW w:w="1011"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8.6137</w:t>
            </w:r>
          </w:p>
        </w:tc>
        <w:tc>
          <w:tcPr>
            <w:tcW w:w="1150"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0.7018</w:t>
            </w:r>
          </w:p>
        </w:tc>
        <w:tc>
          <w:tcPr>
            <w:tcW w:w="992"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0.9954</w:t>
            </w:r>
          </w:p>
        </w:tc>
        <w:tc>
          <w:tcPr>
            <w:tcW w:w="992" w:type="dxa"/>
            <w:shd w:val="clear" w:color="auto" w:fill="auto"/>
          </w:tcPr>
          <w:p w:rsidR="00053B21" w:rsidRPr="00053B21" w:rsidRDefault="00053B21" w:rsidP="00A333F6">
            <w:pPr>
              <w:widowControl w:val="0"/>
              <w:tabs>
                <w:tab w:val="left" w:pos="9720"/>
              </w:tabs>
              <w:autoSpaceDE w:val="0"/>
              <w:autoSpaceDN w:val="0"/>
              <w:adjustRightInd w:val="0"/>
              <w:spacing w:after="0" w:line="240" w:lineRule="auto"/>
              <w:ind w:right="90"/>
              <w:rPr>
                <w:rFonts w:ascii="Times New Roman" w:eastAsia="Calibri" w:hAnsi="Times New Roman" w:cs="Times New Roman"/>
                <w:sz w:val="24"/>
                <w:szCs w:val="24"/>
              </w:rPr>
            </w:pPr>
            <w:r w:rsidRPr="00053B21">
              <w:rPr>
                <w:rFonts w:ascii="Times New Roman" w:eastAsia="Calibri" w:hAnsi="Times New Roman" w:cs="Times New Roman"/>
                <w:sz w:val="24"/>
                <w:szCs w:val="24"/>
              </w:rPr>
              <w:t>4.5348</w:t>
            </w:r>
          </w:p>
        </w:tc>
      </w:tr>
    </w:tbl>
    <w:p w:rsidR="00053B21" w:rsidRPr="00053B21" w:rsidRDefault="00053B21" w:rsidP="00053B21">
      <w:pPr>
        <w:autoSpaceDE w:val="0"/>
        <w:autoSpaceDN w:val="0"/>
        <w:adjustRightInd w:val="0"/>
        <w:spacing w:after="0" w:line="240" w:lineRule="auto"/>
        <w:jc w:val="both"/>
        <w:rPr>
          <w:rFonts w:ascii="Times New Roman" w:hAnsi="Times New Roman" w:cs="Times New Roman"/>
          <w:bCs/>
          <w:sz w:val="24"/>
          <w:szCs w:val="24"/>
        </w:rPr>
      </w:pPr>
    </w:p>
    <w:p w:rsidR="00053B21" w:rsidRPr="00053B21" w:rsidRDefault="00053B21" w:rsidP="00053B21">
      <w:pPr>
        <w:autoSpaceDE w:val="0"/>
        <w:autoSpaceDN w:val="0"/>
        <w:adjustRightInd w:val="0"/>
        <w:spacing w:after="0" w:line="240" w:lineRule="auto"/>
        <w:jc w:val="both"/>
        <w:rPr>
          <w:rFonts w:ascii="Times New Roman" w:hAnsi="Times New Roman" w:cs="Times New Roman"/>
          <w:b/>
          <w:bCs/>
          <w:sz w:val="24"/>
          <w:szCs w:val="24"/>
        </w:rPr>
      </w:pPr>
      <w:r w:rsidRPr="00053B21">
        <w:rPr>
          <w:rFonts w:ascii="Times New Roman" w:hAnsi="Times New Roman" w:cs="Times New Roman"/>
          <w:b/>
          <w:sz w:val="24"/>
          <w:szCs w:val="24"/>
        </w:rPr>
        <w:t>Anti-inflammatory study</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 xml:space="preserve">Healthy albino rats of either sex (Wistar strain) weighing 150-200 g were used in current study. The animals were kept in plastic cages with soft bedding, 6 per cage with free access to food and water and were </w:t>
      </w:r>
      <w:commentRangeStart w:id="28"/>
      <w:r w:rsidRPr="00053B21">
        <w:rPr>
          <w:rFonts w:ascii="Times New Roman" w:hAnsi="Times New Roman" w:cs="Times New Roman"/>
          <w:sz w:val="24"/>
          <w:szCs w:val="24"/>
        </w:rPr>
        <w:t>maintained under controlled temperature (27</w:t>
      </w:r>
      <w:r w:rsidRPr="00053B21">
        <w:rPr>
          <w:rFonts w:ascii="Times New Roman" w:hAnsi="Times New Roman" w:cs="Times New Roman"/>
          <w:bCs/>
          <w:sz w:val="24"/>
          <w:szCs w:val="24"/>
        </w:rPr>
        <w:t>±</w:t>
      </w:r>
      <w:r w:rsidRPr="00053B21">
        <w:rPr>
          <w:rFonts w:ascii="Times New Roman" w:hAnsi="Times New Roman" w:cs="Times New Roman"/>
          <w:sz w:val="24"/>
          <w:szCs w:val="24"/>
        </w:rPr>
        <w:t>2</w:t>
      </w:r>
      <w:r w:rsidRPr="00053B21">
        <w:rPr>
          <w:rFonts w:ascii="Times New Roman" w:hAnsi="Times New Roman" w:cs="Times New Roman"/>
          <w:bCs/>
          <w:sz w:val="24"/>
          <w:szCs w:val="24"/>
          <w:vertAlign w:val="superscript"/>
        </w:rPr>
        <w:t>0</w:t>
      </w:r>
      <w:r w:rsidRPr="00053B21">
        <w:rPr>
          <w:rFonts w:ascii="Times New Roman" w:hAnsi="Times New Roman" w:cs="Times New Roman"/>
          <w:sz w:val="24"/>
          <w:szCs w:val="24"/>
        </w:rPr>
        <w:t>C) and 12 hrs: 12 hrs light and dark cycle. Pr</w:t>
      </w:r>
      <w:r>
        <w:rPr>
          <w:rFonts w:ascii="Times New Roman" w:hAnsi="Times New Roman" w:cs="Times New Roman"/>
          <w:sz w:val="24"/>
          <w:szCs w:val="24"/>
        </w:rPr>
        <w:t xml:space="preserve">ior to the experiment, food </w:t>
      </w:r>
      <w:commentRangeStart w:id="29"/>
      <w:r>
        <w:rPr>
          <w:rFonts w:ascii="Times New Roman" w:hAnsi="Times New Roman" w:cs="Times New Roman"/>
          <w:sz w:val="24"/>
          <w:szCs w:val="24"/>
        </w:rPr>
        <w:t>was</w:t>
      </w:r>
      <w:r w:rsidRPr="00053B21">
        <w:rPr>
          <w:rFonts w:ascii="Times New Roman" w:hAnsi="Times New Roman" w:cs="Times New Roman"/>
          <w:sz w:val="24"/>
          <w:szCs w:val="24"/>
        </w:rPr>
        <w:t>withdrawn</w:t>
      </w:r>
      <w:commentRangeEnd w:id="29"/>
      <w:r w:rsidR="009A4B07">
        <w:rPr>
          <w:rStyle w:val="CommentReference"/>
        </w:rPr>
        <w:commentReference w:id="29"/>
      </w:r>
      <w:r w:rsidRPr="00053B21">
        <w:rPr>
          <w:rFonts w:ascii="Times New Roman" w:hAnsi="Times New Roman" w:cs="Times New Roman"/>
          <w:sz w:val="24"/>
          <w:szCs w:val="24"/>
        </w:rPr>
        <w:t xml:space="preserve"> overnight but adequate water was provided to the rats</w:t>
      </w:r>
      <w:r w:rsidRPr="00053B21">
        <w:rPr>
          <w:rFonts w:ascii="Times New Roman" w:hAnsi="Times New Roman" w:cs="Times New Roman"/>
          <w:sz w:val="24"/>
          <w:szCs w:val="24"/>
          <w:vertAlign w:val="superscript"/>
        </w:rPr>
        <w:t>21</w:t>
      </w:r>
      <w:r w:rsidR="002A121F">
        <w:rPr>
          <w:rFonts w:ascii="Times New Roman" w:hAnsi="Times New Roman" w:cs="Times New Roman"/>
          <w:sz w:val="24"/>
          <w:szCs w:val="24"/>
          <w:vertAlign w:val="superscript"/>
        </w:rPr>
        <w:t>,22,23</w:t>
      </w:r>
      <w:r w:rsidRPr="00053B21">
        <w:rPr>
          <w:rFonts w:ascii="Times New Roman" w:hAnsi="Times New Roman" w:cs="Times New Roman"/>
          <w:sz w:val="24"/>
          <w:szCs w:val="24"/>
        </w:rPr>
        <w:t xml:space="preserve">. </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The animals were divided into two</w:t>
      </w:r>
      <w:r>
        <w:rPr>
          <w:rFonts w:ascii="Times New Roman" w:hAnsi="Times New Roman" w:cs="Times New Roman"/>
          <w:sz w:val="24"/>
          <w:szCs w:val="24"/>
        </w:rPr>
        <w:t xml:space="preserve"> groups of 6 animals</w:t>
      </w:r>
      <w:r w:rsidRPr="00053B21">
        <w:rPr>
          <w:rFonts w:ascii="Times New Roman" w:hAnsi="Times New Roman" w:cs="Times New Roman"/>
          <w:sz w:val="24"/>
          <w:szCs w:val="24"/>
        </w:rPr>
        <w:t>each. Standard group was treated with indomethacin given by I.P., test group receive 2 g etoricoxib emulgel formulations of batch EG1 were applied over 9 cm</w:t>
      </w:r>
      <w:r w:rsidRPr="00053B21">
        <w:rPr>
          <w:rFonts w:ascii="Times New Roman" w:hAnsi="Times New Roman" w:cs="Times New Roman"/>
          <w:sz w:val="24"/>
          <w:szCs w:val="24"/>
          <w:vertAlign w:val="superscript"/>
        </w:rPr>
        <w:t xml:space="preserve">2 </w:t>
      </w:r>
      <w:r w:rsidRPr="00053B21">
        <w:rPr>
          <w:rFonts w:ascii="Times New Roman" w:hAnsi="Times New Roman" w:cs="Times New Roman"/>
          <w:sz w:val="24"/>
          <w:szCs w:val="24"/>
        </w:rPr>
        <w:t xml:space="preserve">as transdermal patch on the dorsal skin after removing the hair with a clipper. The area of application was occluded with bandages and it was left in place for 2 hrs. The dressing was then removed and the emulgel remaining on the surface was wiped off with cotton. The animals were then injected with 0.1 ml of 1% carrageenan solution in saline in plantar region of left hind paw and the paw volume was measured after 1, 2, 4, 6, 8 hr using water plethysmometer. </w:t>
      </w:r>
      <w:commentRangeEnd w:id="28"/>
      <w:r w:rsidR="000066CD">
        <w:rPr>
          <w:rStyle w:val="CommentReference"/>
        </w:rPr>
        <w:commentReference w:id="28"/>
      </w:r>
      <w:r w:rsidRPr="00053B21">
        <w:rPr>
          <w:rFonts w:ascii="Times New Roman" w:hAnsi="Times New Roman" w:cs="Times New Roman"/>
          <w:sz w:val="24"/>
          <w:szCs w:val="24"/>
        </w:rPr>
        <w:t>The right hind paw served as a reference non inflamed paw for comparison.</w:t>
      </w:r>
    </w:p>
    <w:p w:rsidR="00053B21" w:rsidRPr="00053B21" w:rsidRDefault="00053B21" w:rsidP="00053B21">
      <w:pPr>
        <w:autoSpaceDE w:val="0"/>
        <w:autoSpaceDN w:val="0"/>
        <w:adjustRightInd w:val="0"/>
        <w:spacing w:after="0" w:line="240" w:lineRule="auto"/>
        <w:jc w:val="both"/>
        <w:rPr>
          <w:rFonts w:ascii="Times New Roman" w:hAnsi="Times New Roman" w:cs="Times New Roman"/>
          <w:bCs/>
          <w:sz w:val="24"/>
          <w:szCs w:val="24"/>
        </w:rPr>
      </w:pPr>
      <w:commentRangeStart w:id="30"/>
      <w:r w:rsidRPr="00053B21">
        <w:rPr>
          <w:rFonts w:ascii="Times New Roman" w:hAnsi="Times New Roman" w:cs="Times New Roman"/>
          <w:b/>
          <w:bCs/>
          <w:sz w:val="24"/>
          <w:szCs w:val="24"/>
        </w:rPr>
        <w:lastRenderedPageBreak/>
        <w:t>Paw volume</w:t>
      </w:r>
      <w:commentRangeEnd w:id="30"/>
      <w:r w:rsidR="002A121F">
        <w:rPr>
          <w:rStyle w:val="CommentReference"/>
        </w:rPr>
        <w:commentReference w:id="30"/>
      </w:r>
      <w:r w:rsidRPr="00053B21">
        <w:rPr>
          <w:rFonts w:ascii="Times New Roman" w:hAnsi="Times New Roman" w:cs="Times New Roman"/>
          <w:b/>
          <w:bCs/>
          <w:sz w:val="24"/>
          <w:szCs w:val="24"/>
        </w:rPr>
        <w:t>:</w:t>
      </w:r>
      <w:r w:rsidRPr="00053B21">
        <w:rPr>
          <w:rFonts w:ascii="Times New Roman" w:hAnsi="Times New Roman" w:cs="Times New Roman"/>
          <w:bCs/>
          <w:sz w:val="24"/>
          <w:szCs w:val="24"/>
        </w:rPr>
        <w:t xml:space="preserve"> </w:t>
      </w:r>
      <w:commentRangeStart w:id="31"/>
      <w:r w:rsidRPr="00053B21">
        <w:rPr>
          <w:rFonts w:ascii="Times New Roman" w:hAnsi="Times New Roman" w:cs="Times New Roman"/>
          <w:sz w:val="24"/>
          <w:szCs w:val="24"/>
        </w:rPr>
        <w:t xml:space="preserve">Initial Rat paw volume was measured using plethysmometer. The paw was marked with ink at the level of lateral malleolus and immersed in mercury up to the mark in the plethysmometer. </w:t>
      </w:r>
      <w:r w:rsidRPr="00053B21">
        <w:rPr>
          <w:rFonts w:ascii="Times New Roman" w:hAnsi="Times New Roman" w:cs="Times New Roman"/>
          <w:bCs/>
          <w:sz w:val="24"/>
          <w:szCs w:val="24"/>
        </w:rPr>
        <w:t xml:space="preserve">Mean changes in paw volume were calculated and % inhibition of paw edema was calculated using formula: </w:t>
      </w:r>
    </w:p>
    <w:p w:rsidR="00053B21" w:rsidRPr="00053B21" w:rsidRDefault="00053B21" w:rsidP="00053B21">
      <w:pPr>
        <w:autoSpaceDE w:val="0"/>
        <w:autoSpaceDN w:val="0"/>
        <w:adjustRightInd w:val="0"/>
        <w:spacing w:after="0" w:line="240" w:lineRule="auto"/>
        <w:jc w:val="center"/>
        <w:rPr>
          <w:rFonts w:ascii="Times New Roman" w:hAnsi="Times New Roman" w:cs="Times New Roman"/>
          <w:bCs/>
          <w:sz w:val="24"/>
          <w:szCs w:val="24"/>
        </w:rPr>
      </w:pPr>
      <m:oMathPara>
        <m:oMath>
          <w:commentRangeStart w:id="32"/>
          <m:r>
            <m:rPr>
              <m:sty m:val="p"/>
            </m:rPr>
            <w:rPr>
              <w:rFonts w:ascii="Cambria Math" w:hAnsi="Cambria Math" w:cs="Times New Roman"/>
              <w:sz w:val="24"/>
              <w:szCs w:val="24"/>
            </w:rPr>
            <m:t xml:space="preserve">% Inhibition </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Vc- Vt </m:t>
              </m:r>
            </m:num>
            <m:den>
              <m:r>
                <m:rPr>
                  <m:sty m:val="p"/>
                </m:rPr>
                <w:rPr>
                  <w:rFonts w:ascii="Cambria Math" w:hAnsi="Cambria Math" w:cs="Times New Roman"/>
                  <w:sz w:val="24"/>
                  <w:szCs w:val="24"/>
                </w:rPr>
                <m:t xml:space="preserve">Vc </m:t>
              </m:r>
            </m:den>
          </m:f>
          <m:r>
            <w:rPr>
              <w:rFonts w:ascii="Cambria Math" w:hAnsi="Cambria Math" w:cs="Times New Roman"/>
              <w:sz w:val="24"/>
              <w:szCs w:val="24"/>
            </w:rPr>
            <m:t>×100</m:t>
          </m:r>
          <w:commentRangeEnd w:id="32"/>
          <m:r>
            <m:rPr>
              <m:sty m:val="p"/>
            </m:rPr>
            <w:rPr>
              <w:rStyle w:val="CommentReference"/>
            </w:rPr>
            <w:commentReference w:id="32"/>
          </m:r>
        </m:oMath>
      </m:oMathPara>
    </w:p>
    <w:p w:rsidR="001F2965"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bCs/>
          <w:sz w:val="24"/>
          <w:szCs w:val="24"/>
        </w:rPr>
        <w:t>Where, Vc is mean changes in paw volume of control group and Vt is mean changes in paw volume treated group.</w:t>
      </w:r>
      <w:r w:rsidRPr="00053B21">
        <w:rPr>
          <w:rFonts w:ascii="Times New Roman" w:hAnsi="Times New Roman" w:cs="Times New Roman"/>
          <w:sz w:val="24"/>
          <w:szCs w:val="24"/>
        </w:rPr>
        <w:t xml:space="preserve">                                                                                                 </w:t>
      </w:r>
    </w:p>
    <w:p w:rsidR="00053B21" w:rsidRPr="00053B21" w:rsidRDefault="00053B21" w:rsidP="00053B21">
      <w:pPr>
        <w:autoSpaceDE w:val="0"/>
        <w:autoSpaceDN w:val="0"/>
        <w:adjustRightInd w:val="0"/>
        <w:spacing w:after="0" w:line="240" w:lineRule="auto"/>
        <w:jc w:val="both"/>
        <w:rPr>
          <w:rFonts w:ascii="Times New Roman" w:hAnsi="Times New Roman" w:cs="Times New Roman"/>
          <w:bCs/>
          <w:sz w:val="24"/>
          <w:szCs w:val="24"/>
        </w:rPr>
      </w:pPr>
      <w:r w:rsidRPr="00053B21">
        <w:rPr>
          <w:rFonts w:ascii="Times New Roman" w:hAnsi="Times New Roman" w:cs="Times New Roman"/>
          <w:sz w:val="24"/>
          <w:szCs w:val="24"/>
        </w:rPr>
        <w:t xml:space="preserve">  </w:t>
      </w:r>
      <w:commentRangeStart w:id="33"/>
      <w:r w:rsidRPr="00053B21">
        <w:rPr>
          <w:rFonts w:ascii="Times New Roman" w:hAnsi="Times New Roman" w:cs="Times New Roman"/>
          <w:b/>
          <w:bCs/>
          <w:sz w:val="24"/>
          <w:szCs w:val="24"/>
        </w:rPr>
        <w:t>Paw thickness</w:t>
      </w:r>
      <w:commentRangeEnd w:id="33"/>
      <w:r w:rsidR="002A121F">
        <w:rPr>
          <w:rStyle w:val="CommentReference"/>
        </w:rPr>
        <w:commentReference w:id="33"/>
      </w:r>
      <w:r w:rsidRPr="00053B21">
        <w:rPr>
          <w:rFonts w:ascii="Times New Roman" w:hAnsi="Times New Roman" w:cs="Times New Roman"/>
          <w:b/>
          <w:bCs/>
          <w:sz w:val="24"/>
          <w:szCs w:val="24"/>
        </w:rPr>
        <w:t>:</w:t>
      </w:r>
      <w:r w:rsidRPr="00053B21">
        <w:rPr>
          <w:rFonts w:ascii="Times New Roman" w:hAnsi="Times New Roman" w:cs="Times New Roman"/>
          <w:bCs/>
          <w:sz w:val="24"/>
          <w:szCs w:val="24"/>
        </w:rPr>
        <w:t xml:space="preserve"> Paw thickness was measured by compressing the joint by rotating the screw of micrometer screw gauge till the pain elicited as indicated by squeaking or leg withdrawal. The distance moved by the screw gauge was recorded and % inhibition of paw thickness was calculated using formula: </w:t>
      </w:r>
    </w:p>
    <w:p w:rsidR="00053B21" w:rsidRPr="00053B21" w:rsidRDefault="00053B21" w:rsidP="00053B21">
      <w:pPr>
        <w:autoSpaceDE w:val="0"/>
        <w:autoSpaceDN w:val="0"/>
        <w:adjustRightInd w:val="0"/>
        <w:spacing w:after="0" w:line="240" w:lineRule="auto"/>
        <w:jc w:val="center"/>
        <w:rPr>
          <w:rFonts w:ascii="Times New Roman" w:hAnsi="Times New Roman" w:cs="Times New Roman"/>
          <w:bCs/>
          <w:sz w:val="24"/>
          <w:szCs w:val="24"/>
        </w:rPr>
      </w:pPr>
      <m:oMathPara>
        <m:oMath>
          <w:commentRangeStart w:id="34"/>
          <m:r>
            <m:rPr>
              <m:sty m:val="p"/>
            </m:rPr>
            <w:rPr>
              <w:rFonts w:ascii="Cambria Math" w:hAnsi="Cambria Math" w:cs="Times New Roman"/>
              <w:sz w:val="24"/>
              <w:szCs w:val="24"/>
            </w:rPr>
            <m:t xml:space="preserve">% Inhibition </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Tc- Tt </m:t>
              </m:r>
            </m:num>
            <m:den>
              <m:r>
                <m:rPr>
                  <m:sty m:val="p"/>
                </m:rPr>
                <w:rPr>
                  <w:rFonts w:ascii="Cambria Math" w:hAnsi="Cambria Math" w:cs="Times New Roman"/>
                  <w:sz w:val="24"/>
                  <w:szCs w:val="24"/>
                </w:rPr>
                <m:t xml:space="preserve">Tc </m:t>
              </m:r>
            </m:den>
          </m:f>
          <m:r>
            <w:rPr>
              <w:rFonts w:ascii="Cambria Math" w:hAnsi="Cambria Math" w:cs="Times New Roman"/>
              <w:sz w:val="24"/>
              <w:szCs w:val="24"/>
            </w:rPr>
            <m:t>×100</m:t>
          </m:r>
          <w:commentRangeEnd w:id="34"/>
          <m:r>
            <m:rPr>
              <m:sty m:val="p"/>
            </m:rPr>
            <w:rPr>
              <w:rStyle w:val="CommentReference"/>
            </w:rPr>
            <w:commentReference w:id="34"/>
          </m:r>
        </m:oMath>
      </m:oMathPara>
    </w:p>
    <w:p w:rsidR="00053B21" w:rsidRDefault="00053B21" w:rsidP="00053B21">
      <w:pPr>
        <w:autoSpaceDE w:val="0"/>
        <w:autoSpaceDN w:val="0"/>
        <w:adjustRightInd w:val="0"/>
        <w:spacing w:after="0" w:line="240" w:lineRule="auto"/>
        <w:jc w:val="both"/>
        <w:rPr>
          <w:rFonts w:ascii="Times New Roman" w:hAnsi="Times New Roman" w:cs="Times New Roman"/>
          <w:bCs/>
          <w:sz w:val="24"/>
          <w:szCs w:val="24"/>
        </w:rPr>
      </w:pPr>
      <w:r w:rsidRPr="00053B21">
        <w:rPr>
          <w:rFonts w:ascii="Times New Roman" w:hAnsi="Times New Roman" w:cs="Times New Roman"/>
          <w:bCs/>
          <w:sz w:val="24"/>
          <w:szCs w:val="24"/>
        </w:rPr>
        <w:t xml:space="preserve">Where, Tc is mean change in paw thickness of arthritis control group and Tt is mean changes in paw thickness of treated </w:t>
      </w:r>
      <w:commentRangeEnd w:id="31"/>
      <w:r w:rsidR="000066CD">
        <w:rPr>
          <w:rStyle w:val="CommentReference"/>
        </w:rPr>
        <w:commentReference w:id="31"/>
      </w:r>
      <w:r w:rsidRPr="00053B21">
        <w:rPr>
          <w:rFonts w:ascii="Times New Roman" w:hAnsi="Times New Roman" w:cs="Times New Roman"/>
          <w:bCs/>
          <w:sz w:val="24"/>
          <w:szCs w:val="24"/>
        </w:rPr>
        <w:t>group.</w:t>
      </w:r>
    </w:p>
    <w:p w:rsidR="00053B21" w:rsidRPr="00053B21" w:rsidRDefault="00053B21" w:rsidP="00053B21">
      <w:pPr>
        <w:autoSpaceDE w:val="0"/>
        <w:autoSpaceDN w:val="0"/>
        <w:adjustRightInd w:val="0"/>
        <w:spacing w:after="0" w:line="240" w:lineRule="auto"/>
        <w:jc w:val="both"/>
        <w:rPr>
          <w:rFonts w:ascii="Times New Roman" w:hAnsi="Times New Roman" w:cs="Times New Roman"/>
          <w:b/>
          <w:bCs/>
          <w:sz w:val="24"/>
          <w:szCs w:val="24"/>
        </w:rPr>
      </w:pPr>
      <w:r w:rsidRPr="00053B21">
        <w:rPr>
          <w:rFonts w:ascii="Times New Roman" w:hAnsi="Times New Roman" w:cs="Times New Roman"/>
          <w:b/>
          <w:color w:val="000000"/>
          <w:sz w:val="24"/>
          <w:szCs w:val="24"/>
        </w:rPr>
        <w:t>Table 4:</w:t>
      </w:r>
      <w:r w:rsidRPr="00053B21">
        <w:rPr>
          <w:rFonts w:ascii="Times New Roman" w:hAnsi="Times New Roman" w:cs="Times New Roman"/>
          <w:b/>
          <w:bCs/>
          <w:color w:val="000000"/>
          <w:sz w:val="24"/>
          <w:szCs w:val="24"/>
        </w:rPr>
        <w:t xml:space="preserve">  </w:t>
      </w:r>
      <w:r w:rsidRPr="00053B21">
        <w:rPr>
          <w:rFonts w:ascii="Times New Roman" w:hAnsi="Times New Roman" w:cs="Times New Roman"/>
          <w:b/>
          <w:bCs/>
          <w:sz w:val="24"/>
          <w:szCs w:val="24"/>
        </w:rPr>
        <w:t>% Inhibition on carrageenan induced paw volume by different treatment</w:t>
      </w:r>
    </w:p>
    <w:tbl>
      <w:tblPr>
        <w:tblStyle w:val="TableGrid"/>
        <w:tblW w:w="0" w:type="auto"/>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900"/>
        <w:gridCol w:w="1080"/>
        <w:gridCol w:w="900"/>
        <w:gridCol w:w="900"/>
        <w:gridCol w:w="764"/>
        <w:gridCol w:w="1331"/>
      </w:tblGrid>
      <w:tr w:rsidR="00053B21" w:rsidRPr="00053B21" w:rsidTr="00A333F6">
        <w:trPr>
          <w:trHeight w:val="357"/>
          <w:jc w:val="center"/>
        </w:trPr>
        <w:tc>
          <w:tcPr>
            <w:tcW w:w="2130" w:type="dxa"/>
            <w:shd w:val="clear" w:color="auto" w:fill="auto"/>
          </w:tcPr>
          <w:p w:rsidR="00053B21" w:rsidRPr="00053B21" w:rsidRDefault="00053B21" w:rsidP="00A333F6">
            <w:pPr>
              <w:pStyle w:val="Heading2"/>
              <w:spacing w:before="0"/>
              <w:jc w:val="both"/>
              <w:outlineLvl w:val="1"/>
              <w:rPr>
                <w:bCs w:val="0"/>
                <w:color w:val="auto"/>
                <w:sz w:val="24"/>
                <w:szCs w:val="24"/>
              </w:rPr>
            </w:pPr>
            <w:r w:rsidRPr="00053B21">
              <w:rPr>
                <w:bCs w:val="0"/>
                <w:color w:val="auto"/>
                <w:sz w:val="24"/>
                <w:szCs w:val="24"/>
              </w:rPr>
              <w:t>Treatment</w:t>
            </w:r>
          </w:p>
        </w:tc>
        <w:tc>
          <w:tcPr>
            <w:tcW w:w="4544" w:type="dxa"/>
            <w:gridSpan w:val="5"/>
            <w:shd w:val="clear" w:color="auto" w:fill="auto"/>
          </w:tcPr>
          <w:p w:rsidR="00053B21" w:rsidRPr="00053B21" w:rsidRDefault="00053B21" w:rsidP="00A333F6">
            <w:pPr>
              <w:pStyle w:val="Heading2"/>
              <w:spacing w:before="0"/>
              <w:jc w:val="center"/>
              <w:outlineLvl w:val="1"/>
              <w:rPr>
                <w:bCs w:val="0"/>
                <w:color w:val="auto"/>
                <w:sz w:val="24"/>
                <w:szCs w:val="24"/>
              </w:rPr>
            </w:pPr>
            <w:r w:rsidRPr="00053B21">
              <w:rPr>
                <w:bCs w:val="0"/>
                <w:color w:val="auto"/>
                <w:sz w:val="24"/>
                <w:szCs w:val="24"/>
              </w:rPr>
              <w:t>Percent inhibition of paw edema</w:t>
            </w:r>
          </w:p>
        </w:tc>
        <w:tc>
          <w:tcPr>
            <w:tcW w:w="1331" w:type="dxa"/>
            <w:shd w:val="clear" w:color="auto" w:fill="auto"/>
          </w:tcPr>
          <w:p w:rsidR="00053B21" w:rsidRPr="00053B21" w:rsidRDefault="00053B21" w:rsidP="00A333F6">
            <w:pPr>
              <w:rPr>
                <w:rFonts w:ascii="Times New Roman" w:hAnsi="Times New Roman" w:cs="Times New Roman"/>
                <w:b/>
                <w:sz w:val="24"/>
                <w:szCs w:val="24"/>
              </w:rPr>
            </w:pPr>
            <w:r w:rsidRPr="00053B21">
              <w:rPr>
                <w:rFonts w:ascii="Times New Roman" w:hAnsi="Times New Roman" w:cs="Times New Roman"/>
                <w:b/>
                <w:sz w:val="24"/>
                <w:szCs w:val="24"/>
              </w:rPr>
              <w:t>Mean of % Inhibition</w:t>
            </w:r>
          </w:p>
        </w:tc>
      </w:tr>
      <w:tr w:rsidR="00053B21" w:rsidRPr="00053B21" w:rsidTr="00A333F6">
        <w:trPr>
          <w:trHeight w:val="179"/>
          <w:jc w:val="center"/>
        </w:trPr>
        <w:tc>
          <w:tcPr>
            <w:tcW w:w="2130" w:type="dxa"/>
            <w:shd w:val="clear" w:color="auto" w:fill="auto"/>
          </w:tcPr>
          <w:p w:rsidR="00053B21" w:rsidRPr="00053B21" w:rsidRDefault="00053B21" w:rsidP="00A333F6">
            <w:pPr>
              <w:pStyle w:val="Heading2"/>
              <w:spacing w:before="0"/>
              <w:jc w:val="both"/>
              <w:outlineLvl w:val="1"/>
              <w:rPr>
                <w:bCs w:val="0"/>
                <w:color w:val="auto"/>
                <w:sz w:val="24"/>
                <w:szCs w:val="24"/>
              </w:rPr>
            </w:pPr>
          </w:p>
        </w:tc>
        <w:tc>
          <w:tcPr>
            <w:tcW w:w="90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1 hr</w:t>
            </w:r>
          </w:p>
        </w:tc>
        <w:tc>
          <w:tcPr>
            <w:tcW w:w="1080" w:type="dxa"/>
            <w:shd w:val="clear" w:color="auto" w:fill="auto"/>
          </w:tcPr>
          <w:p w:rsidR="00053B21" w:rsidRPr="00053B21" w:rsidRDefault="00053B21" w:rsidP="00A333F6">
            <w:pPr>
              <w:rPr>
                <w:rFonts w:ascii="Times New Roman" w:hAnsi="Times New Roman" w:cs="Times New Roman"/>
                <w:sz w:val="24"/>
                <w:szCs w:val="24"/>
              </w:rPr>
            </w:pPr>
            <w:r w:rsidRPr="00053B21">
              <w:rPr>
                <w:rFonts w:ascii="Times New Roman" w:hAnsi="Times New Roman" w:cs="Times New Roman"/>
                <w:sz w:val="24"/>
                <w:szCs w:val="24"/>
              </w:rPr>
              <w:t>2hr</w:t>
            </w:r>
          </w:p>
        </w:tc>
        <w:tc>
          <w:tcPr>
            <w:tcW w:w="900" w:type="dxa"/>
            <w:shd w:val="clear" w:color="auto" w:fill="auto"/>
          </w:tcPr>
          <w:p w:rsidR="00053B21" w:rsidRPr="00053B21" w:rsidRDefault="00053B21" w:rsidP="00A333F6">
            <w:pPr>
              <w:rPr>
                <w:rFonts w:ascii="Times New Roman" w:hAnsi="Times New Roman" w:cs="Times New Roman"/>
                <w:sz w:val="24"/>
                <w:szCs w:val="24"/>
              </w:rPr>
            </w:pPr>
            <w:r w:rsidRPr="00053B21">
              <w:rPr>
                <w:rFonts w:ascii="Times New Roman" w:hAnsi="Times New Roman" w:cs="Times New Roman"/>
                <w:sz w:val="24"/>
                <w:szCs w:val="24"/>
              </w:rPr>
              <w:t>4hr</w:t>
            </w:r>
          </w:p>
        </w:tc>
        <w:tc>
          <w:tcPr>
            <w:tcW w:w="900" w:type="dxa"/>
            <w:shd w:val="clear" w:color="auto" w:fill="auto"/>
          </w:tcPr>
          <w:p w:rsidR="00053B21" w:rsidRPr="00053B21" w:rsidRDefault="00053B21" w:rsidP="00A333F6">
            <w:pPr>
              <w:rPr>
                <w:rFonts w:ascii="Times New Roman" w:hAnsi="Times New Roman" w:cs="Times New Roman"/>
                <w:sz w:val="24"/>
                <w:szCs w:val="24"/>
              </w:rPr>
            </w:pPr>
            <w:r w:rsidRPr="00053B21">
              <w:rPr>
                <w:rFonts w:ascii="Times New Roman" w:hAnsi="Times New Roman" w:cs="Times New Roman"/>
                <w:sz w:val="24"/>
                <w:szCs w:val="24"/>
              </w:rPr>
              <w:t>6hr</w:t>
            </w:r>
          </w:p>
        </w:tc>
        <w:tc>
          <w:tcPr>
            <w:tcW w:w="764" w:type="dxa"/>
            <w:shd w:val="clear" w:color="auto" w:fill="auto"/>
          </w:tcPr>
          <w:p w:rsidR="00053B21" w:rsidRPr="00053B21" w:rsidRDefault="00053B21" w:rsidP="00A333F6">
            <w:pPr>
              <w:rPr>
                <w:rFonts w:ascii="Times New Roman" w:hAnsi="Times New Roman" w:cs="Times New Roman"/>
                <w:sz w:val="24"/>
                <w:szCs w:val="24"/>
              </w:rPr>
            </w:pPr>
            <w:r w:rsidRPr="00053B21">
              <w:rPr>
                <w:rFonts w:ascii="Times New Roman" w:hAnsi="Times New Roman" w:cs="Times New Roman"/>
                <w:sz w:val="24"/>
                <w:szCs w:val="24"/>
              </w:rPr>
              <w:t>8hr</w:t>
            </w:r>
          </w:p>
        </w:tc>
        <w:tc>
          <w:tcPr>
            <w:tcW w:w="1331" w:type="dxa"/>
            <w:shd w:val="clear" w:color="auto" w:fill="auto"/>
          </w:tcPr>
          <w:p w:rsidR="00053B21" w:rsidRPr="00053B21" w:rsidRDefault="00053B21" w:rsidP="00A333F6">
            <w:pPr>
              <w:rPr>
                <w:rFonts w:ascii="Times New Roman" w:hAnsi="Times New Roman" w:cs="Times New Roman"/>
                <w:bCs/>
                <w:sz w:val="24"/>
                <w:szCs w:val="24"/>
              </w:rPr>
            </w:pPr>
          </w:p>
        </w:tc>
      </w:tr>
      <w:tr w:rsidR="00053B21" w:rsidRPr="00053B21" w:rsidTr="00A333F6">
        <w:trPr>
          <w:trHeight w:val="228"/>
          <w:jc w:val="center"/>
        </w:trPr>
        <w:tc>
          <w:tcPr>
            <w:tcW w:w="2130" w:type="dxa"/>
            <w:shd w:val="clear" w:color="auto" w:fill="auto"/>
          </w:tcPr>
          <w:p w:rsidR="00053B21" w:rsidRPr="00053B21" w:rsidRDefault="00053B21" w:rsidP="00A333F6">
            <w:pPr>
              <w:pStyle w:val="Heading2"/>
              <w:spacing w:before="0"/>
              <w:jc w:val="both"/>
              <w:outlineLvl w:val="1"/>
              <w:rPr>
                <w:rFonts w:ascii="Times New Roman" w:hAnsi="Times New Roman" w:cs="Times New Roman"/>
                <w:sz w:val="24"/>
                <w:szCs w:val="24"/>
              </w:rPr>
            </w:pPr>
            <w:r w:rsidRPr="00053B21">
              <w:rPr>
                <w:b w:val="0"/>
                <w:bCs w:val="0"/>
                <w:color w:val="auto"/>
                <w:sz w:val="24"/>
                <w:szCs w:val="24"/>
              </w:rPr>
              <w:t>Standard (10mg/kg, I.P. Indomethacin)</w:t>
            </w:r>
          </w:p>
        </w:tc>
        <w:tc>
          <w:tcPr>
            <w:tcW w:w="90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12.87</w:t>
            </w:r>
          </w:p>
        </w:tc>
        <w:tc>
          <w:tcPr>
            <w:tcW w:w="108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21.39</w:t>
            </w:r>
          </w:p>
        </w:tc>
        <w:tc>
          <w:tcPr>
            <w:tcW w:w="90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31.79</w:t>
            </w:r>
          </w:p>
        </w:tc>
        <w:tc>
          <w:tcPr>
            <w:tcW w:w="90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39.41</w:t>
            </w:r>
          </w:p>
        </w:tc>
        <w:tc>
          <w:tcPr>
            <w:tcW w:w="764"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47.83</w:t>
            </w:r>
          </w:p>
        </w:tc>
        <w:tc>
          <w:tcPr>
            <w:tcW w:w="1331" w:type="dxa"/>
            <w:shd w:val="clear" w:color="auto" w:fill="auto"/>
          </w:tcPr>
          <w:p w:rsidR="00053B21" w:rsidRPr="00053B21" w:rsidRDefault="00053B21" w:rsidP="00A333F6">
            <w:pPr>
              <w:rPr>
                <w:rFonts w:ascii="Times New Roman" w:hAnsi="Times New Roman" w:cs="Times New Roman"/>
                <w:sz w:val="24"/>
                <w:szCs w:val="24"/>
              </w:rPr>
            </w:pPr>
            <w:r w:rsidRPr="00053B21">
              <w:rPr>
                <w:rFonts w:ascii="Times New Roman" w:hAnsi="Times New Roman" w:cs="Times New Roman"/>
                <w:sz w:val="24"/>
                <w:szCs w:val="24"/>
              </w:rPr>
              <w:t>54.86</w:t>
            </w:r>
          </w:p>
        </w:tc>
      </w:tr>
      <w:tr w:rsidR="00053B21" w:rsidRPr="00053B21" w:rsidTr="00A333F6">
        <w:trPr>
          <w:trHeight w:val="230"/>
          <w:jc w:val="center"/>
        </w:trPr>
        <w:tc>
          <w:tcPr>
            <w:tcW w:w="213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Etoricoxib emulgel, EG1, 2 gm</w:t>
            </w:r>
          </w:p>
        </w:tc>
        <w:tc>
          <w:tcPr>
            <w:tcW w:w="90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4.20</w:t>
            </w:r>
          </w:p>
        </w:tc>
        <w:tc>
          <w:tcPr>
            <w:tcW w:w="108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5.12</w:t>
            </w:r>
          </w:p>
        </w:tc>
        <w:tc>
          <w:tcPr>
            <w:tcW w:w="90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6.06</w:t>
            </w:r>
          </w:p>
        </w:tc>
        <w:tc>
          <w:tcPr>
            <w:tcW w:w="90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11.07</w:t>
            </w:r>
          </w:p>
        </w:tc>
        <w:tc>
          <w:tcPr>
            <w:tcW w:w="764"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13.51</w:t>
            </w:r>
          </w:p>
        </w:tc>
        <w:tc>
          <w:tcPr>
            <w:tcW w:w="1331" w:type="dxa"/>
            <w:shd w:val="clear" w:color="auto" w:fill="auto"/>
          </w:tcPr>
          <w:p w:rsidR="00053B21" w:rsidRPr="00053B21" w:rsidRDefault="00053B21" w:rsidP="00A333F6">
            <w:pPr>
              <w:rPr>
                <w:rFonts w:ascii="Times New Roman" w:hAnsi="Times New Roman" w:cs="Times New Roman"/>
                <w:bCs/>
                <w:sz w:val="24"/>
                <w:szCs w:val="24"/>
              </w:rPr>
            </w:pPr>
            <w:r w:rsidRPr="00053B21">
              <w:rPr>
                <w:rFonts w:ascii="Times New Roman" w:hAnsi="Times New Roman" w:cs="Times New Roman"/>
                <w:bCs/>
                <w:sz w:val="24"/>
                <w:szCs w:val="24"/>
              </w:rPr>
              <w:t>18.597</w:t>
            </w:r>
          </w:p>
        </w:tc>
      </w:tr>
    </w:tbl>
    <w:p w:rsidR="00053B21" w:rsidRPr="00053B21" w:rsidRDefault="00053B21" w:rsidP="00053B21">
      <w:pPr>
        <w:autoSpaceDE w:val="0"/>
        <w:autoSpaceDN w:val="0"/>
        <w:adjustRightInd w:val="0"/>
        <w:spacing w:after="0" w:line="240" w:lineRule="auto"/>
        <w:jc w:val="center"/>
        <w:rPr>
          <w:rFonts w:ascii="Times New Roman" w:hAnsi="Times New Roman" w:cs="Times New Roman"/>
          <w:sz w:val="24"/>
          <w:szCs w:val="24"/>
        </w:rPr>
      </w:pPr>
      <w:r w:rsidRPr="00053B21">
        <w:rPr>
          <w:rFonts w:ascii="Times New Roman" w:hAnsi="Times New Roman" w:cs="Times New Roman"/>
          <w:sz w:val="24"/>
          <w:szCs w:val="24"/>
        </w:rPr>
        <w:t>N = 6, p &lt; 0.05</w:t>
      </w:r>
    </w:p>
    <w:p w:rsidR="00053B21" w:rsidRPr="00053B21" w:rsidRDefault="00053B21" w:rsidP="00053B21">
      <w:pPr>
        <w:autoSpaceDE w:val="0"/>
        <w:autoSpaceDN w:val="0"/>
        <w:adjustRightInd w:val="0"/>
        <w:spacing w:after="0" w:line="240" w:lineRule="auto"/>
        <w:jc w:val="both"/>
        <w:rPr>
          <w:rFonts w:ascii="Times New Roman" w:hAnsi="Times New Roman" w:cs="Times New Roman"/>
          <w:b/>
          <w:color w:val="000000"/>
          <w:sz w:val="24"/>
          <w:szCs w:val="24"/>
        </w:rPr>
      </w:pPr>
    </w:p>
    <w:p w:rsidR="00053B21" w:rsidRPr="00053B21" w:rsidRDefault="00053B21" w:rsidP="00053B21">
      <w:pPr>
        <w:autoSpaceDE w:val="0"/>
        <w:autoSpaceDN w:val="0"/>
        <w:adjustRightInd w:val="0"/>
        <w:spacing w:after="0" w:line="240" w:lineRule="auto"/>
        <w:jc w:val="both"/>
        <w:rPr>
          <w:rFonts w:ascii="Times New Roman" w:hAnsi="Times New Roman" w:cs="Times New Roman"/>
          <w:b/>
          <w:color w:val="000000"/>
          <w:sz w:val="24"/>
          <w:szCs w:val="24"/>
        </w:rPr>
      </w:pPr>
    </w:p>
    <w:p w:rsidR="00053B21" w:rsidRPr="00053B21" w:rsidRDefault="00053B21" w:rsidP="00053B21">
      <w:pPr>
        <w:autoSpaceDE w:val="0"/>
        <w:autoSpaceDN w:val="0"/>
        <w:adjustRightInd w:val="0"/>
        <w:spacing w:after="0" w:line="240" w:lineRule="auto"/>
        <w:jc w:val="both"/>
        <w:rPr>
          <w:rFonts w:ascii="Times New Roman" w:hAnsi="Times New Roman" w:cs="Times New Roman"/>
          <w:b/>
          <w:color w:val="000000"/>
          <w:sz w:val="24"/>
          <w:szCs w:val="24"/>
        </w:rPr>
      </w:pPr>
    </w:p>
    <w:p w:rsidR="00053B21" w:rsidRPr="00053B21" w:rsidRDefault="00053B21" w:rsidP="00053B21">
      <w:pPr>
        <w:autoSpaceDE w:val="0"/>
        <w:autoSpaceDN w:val="0"/>
        <w:adjustRightInd w:val="0"/>
        <w:spacing w:after="0" w:line="240" w:lineRule="auto"/>
        <w:jc w:val="center"/>
        <w:rPr>
          <w:rFonts w:ascii="Times New Roman" w:hAnsi="Times New Roman" w:cs="Times New Roman"/>
          <w:b/>
          <w:bCs/>
          <w:sz w:val="24"/>
          <w:szCs w:val="24"/>
        </w:rPr>
      </w:pPr>
      <w:r w:rsidRPr="00053B21">
        <w:rPr>
          <w:rFonts w:ascii="Times New Roman" w:hAnsi="Times New Roman" w:cs="Times New Roman"/>
          <w:b/>
          <w:color w:val="000000"/>
          <w:sz w:val="24"/>
          <w:szCs w:val="24"/>
        </w:rPr>
        <w:t>Table 5:</w:t>
      </w:r>
      <w:r w:rsidRPr="00053B21">
        <w:rPr>
          <w:rFonts w:ascii="Times New Roman" w:hAnsi="Times New Roman" w:cs="Times New Roman"/>
          <w:b/>
          <w:bCs/>
          <w:color w:val="000000"/>
          <w:sz w:val="24"/>
          <w:szCs w:val="24"/>
        </w:rPr>
        <w:t xml:space="preserve">  </w:t>
      </w:r>
      <w:r w:rsidRPr="00053B21">
        <w:rPr>
          <w:rFonts w:ascii="Times New Roman" w:hAnsi="Times New Roman" w:cs="Times New Roman"/>
          <w:b/>
          <w:bCs/>
          <w:sz w:val="24"/>
          <w:szCs w:val="24"/>
        </w:rPr>
        <w:t>% Inhibition on carrageenan induced paw thickness by different treatment</w:t>
      </w:r>
    </w:p>
    <w:tbl>
      <w:tblPr>
        <w:tblStyle w:val="TableGrid"/>
        <w:tblW w:w="0" w:type="auto"/>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900"/>
        <w:gridCol w:w="1080"/>
        <w:gridCol w:w="900"/>
        <w:gridCol w:w="900"/>
        <w:gridCol w:w="764"/>
        <w:gridCol w:w="1331"/>
      </w:tblGrid>
      <w:tr w:rsidR="00053B21" w:rsidRPr="00053B21" w:rsidTr="00A333F6">
        <w:trPr>
          <w:trHeight w:val="357"/>
          <w:jc w:val="center"/>
        </w:trPr>
        <w:tc>
          <w:tcPr>
            <w:tcW w:w="2130" w:type="dxa"/>
            <w:shd w:val="clear" w:color="auto" w:fill="auto"/>
          </w:tcPr>
          <w:p w:rsidR="00053B21" w:rsidRPr="00053B21" w:rsidRDefault="00053B21" w:rsidP="00A333F6">
            <w:pPr>
              <w:pStyle w:val="Heading2"/>
              <w:spacing w:before="0"/>
              <w:jc w:val="both"/>
              <w:outlineLvl w:val="1"/>
              <w:rPr>
                <w:bCs w:val="0"/>
                <w:color w:val="auto"/>
                <w:sz w:val="24"/>
                <w:szCs w:val="24"/>
              </w:rPr>
            </w:pPr>
            <w:r w:rsidRPr="00053B21">
              <w:rPr>
                <w:bCs w:val="0"/>
                <w:color w:val="auto"/>
                <w:sz w:val="24"/>
                <w:szCs w:val="24"/>
              </w:rPr>
              <w:t>Treatment</w:t>
            </w:r>
          </w:p>
        </w:tc>
        <w:tc>
          <w:tcPr>
            <w:tcW w:w="4544" w:type="dxa"/>
            <w:gridSpan w:val="5"/>
            <w:shd w:val="clear" w:color="auto" w:fill="auto"/>
          </w:tcPr>
          <w:p w:rsidR="00053B21" w:rsidRPr="00053B21" w:rsidRDefault="00053B21" w:rsidP="00A333F6">
            <w:pPr>
              <w:pStyle w:val="Heading2"/>
              <w:spacing w:before="0"/>
              <w:jc w:val="center"/>
              <w:outlineLvl w:val="1"/>
              <w:rPr>
                <w:bCs w:val="0"/>
                <w:color w:val="auto"/>
                <w:sz w:val="24"/>
                <w:szCs w:val="24"/>
              </w:rPr>
            </w:pPr>
            <w:r w:rsidRPr="00053B21">
              <w:rPr>
                <w:bCs w:val="0"/>
                <w:color w:val="auto"/>
                <w:sz w:val="24"/>
                <w:szCs w:val="24"/>
              </w:rPr>
              <w:t>Percent inhibition of paw thickness</w:t>
            </w:r>
          </w:p>
          <w:p w:rsidR="00053B21" w:rsidRPr="00053B21" w:rsidRDefault="00053B21" w:rsidP="00A333F6">
            <w:pPr>
              <w:pStyle w:val="Heading2"/>
              <w:spacing w:before="0"/>
              <w:jc w:val="center"/>
              <w:outlineLvl w:val="1"/>
              <w:rPr>
                <w:bCs w:val="0"/>
                <w:color w:val="auto"/>
                <w:sz w:val="24"/>
                <w:szCs w:val="24"/>
              </w:rPr>
            </w:pPr>
          </w:p>
        </w:tc>
        <w:tc>
          <w:tcPr>
            <w:tcW w:w="1331" w:type="dxa"/>
            <w:shd w:val="clear" w:color="auto" w:fill="auto"/>
          </w:tcPr>
          <w:p w:rsidR="00053B21" w:rsidRPr="00053B21" w:rsidRDefault="00053B21" w:rsidP="00A333F6">
            <w:pPr>
              <w:rPr>
                <w:rFonts w:ascii="Times New Roman" w:hAnsi="Times New Roman" w:cs="Times New Roman"/>
                <w:b/>
                <w:sz w:val="24"/>
                <w:szCs w:val="24"/>
              </w:rPr>
            </w:pPr>
            <w:r w:rsidRPr="00053B21">
              <w:rPr>
                <w:rFonts w:ascii="Times New Roman" w:hAnsi="Times New Roman" w:cs="Times New Roman"/>
                <w:b/>
                <w:sz w:val="24"/>
                <w:szCs w:val="24"/>
              </w:rPr>
              <w:t>Mean of % Inhibition</w:t>
            </w:r>
          </w:p>
        </w:tc>
      </w:tr>
      <w:tr w:rsidR="00053B21" w:rsidRPr="00053B21" w:rsidTr="00A333F6">
        <w:trPr>
          <w:trHeight w:val="179"/>
          <w:jc w:val="center"/>
        </w:trPr>
        <w:tc>
          <w:tcPr>
            <w:tcW w:w="2130" w:type="dxa"/>
            <w:shd w:val="clear" w:color="auto" w:fill="auto"/>
          </w:tcPr>
          <w:p w:rsidR="00053B21" w:rsidRPr="00053B21" w:rsidRDefault="00053B21" w:rsidP="00A333F6">
            <w:pPr>
              <w:pStyle w:val="Heading2"/>
              <w:spacing w:before="0"/>
              <w:jc w:val="both"/>
              <w:outlineLvl w:val="1"/>
              <w:rPr>
                <w:bCs w:val="0"/>
                <w:color w:val="auto"/>
                <w:sz w:val="24"/>
                <w:szCs w:val="24"/>
              </w:rPr>
            </w:pPr>
          </w:p>
        </w:tc>
        <w:tc>
          <w:tcPr>
            <w:tcW w:w="90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1 hr</w:t>
            </w:r>
          </w:p>
        </w:tc>
        <w:tc>
          <w:tcPr>
            <w:tcW w:w="1080" w:type="dxa"/>
            <w:shd w:val="clear" w:color="auto" w:fill="auto"/>
          </w:tcPr>
          <w:p w:rsidR="00053B21" w:rsidRPr="00053B21" w:rsidRDefault="00053B21" w:rsidP="00A333F6">
            <w:pPr>
              <w:rPr>
                <w:rFonts w:ascii="Times New Roman" w:hAnsi="Times New Roman" w:cs="Times New Roman"/>
                <w:sz w:val="24"/>
                <w:szCs w:val="24"/>
              </w:rPr>
            </w:pPr>
            <w:r w:rsidRPr="00053B21">
              <w:rPr>
                <w:rFonts w:ascii="Times New Roman" w:hAnsi="Times New Roman" w:cs="Times New Roman"/>
                <w:sz w:val="24"/>
                <w:szCs w:val="24"/>
              </w:rPr>
              <w:t>2hr</w:t>
            </w:r>
          </w:p>
        </w:tc>
        <w:tc>
          <w:tcPr>
            <w:tcW w:w="900" w:type="dxa"/>
            <w:shd w:val="clear" w:color="auto" w:fill="auto"/>
          </w:tcPr>
          <w:p w:rsidR="00053B21" w:rsidRPr="00053B21" w:rsidRDefault="00053B21" w:rsidP="00A333F6">
            <w:pPr>
              <w:rPr>
                <w:rFonts w:ascii="Times New Roman" w:hAnsi="Times New Roman" w:cs="Times New Roman"/>
                <w:sz w:val="24"/>
                <w:szCs w:val="24"/>
              </w:rPr>
            </w:pPr>
            <w:r w:rsidRPr="00053B21">
              <w:rPr>
                <w:rFonts w:ascii="Times New Roman" w:hAnsi="Times New Roman" w:cs="Times New Roman"/>
                <w:sz w:val="24"/>
                <w:szCs w:val="24"/>
              </w:rPr>
              <w:t>4hr</w:t>
            </w:r>
          </w:p>
        </w:tc>
        <w:tc>
          <w:tcPr>
            <w:tcW w:w="900" w:type="dxa"/>
            <w:shd w:val="clear" w:color="auto" w:fill="auto"/>
          </w:tcPr>
          <w:p w:rsidR="00053B21" w:rsidRPr="00053B21" w:rsidRDefault="00053B21" w:rsidP="00A333F6">
            <w:pPr>
              <w:rPr>
                <w:rFonts w:ascii="Times New Roman" w:hAnsi="Times New Roman" w:cs="Times New Roman"/>
                <w:sz w:val="24"/>
                <w:szCs w:val="24"/>
              </w:rPr>
            </w:pPr>
            <w:r w:rsidRPr="00053B21">
              <w:rPr>
                <w:rFonts w:ascii="Times New Roman" w:hAnsi="Times New Roman" w:cs="Times New Roman"/>
                <w:sz w:val="24"/>
                <w:szCs w:val="24"/>
              </w:rPr>
              <w:t>6hr</w:t>
            </w:r>
          </w:p>
        </w:tc>
        <w:tc>
          <w:tcPr>
            <w:tcW w:w="764" w:type="dxa"/>
            <w:shd w:val="clear" w:color="auto" w:fill="auto"/>
          </w:tcPr>
          <w:p w:rsidR="00053B21" w:rsidRPr="00053B21" w:rsidRDefault="00053B21" w:rsidP="00A333F6">
            <w:pPr>
              <w:rPr>
                <w:rFonts w:ascii="Times New Roman" w:hAnsi="Times New Roman" w:cs="Times New Roman"/>
                <w:sz w:val="24"/>
                <w:szCs w:val="24"/>
              </w:rPr>
            </w:pPr>
            <w:r w:rsidRPr="00053B21">
              <w:rPr>
                <w:rFonts w:ascii="Times New Roman" w:hAnsi="Times New Roman" w:cs="Times New Roman"/>
                <w:sz w:val="24"/>
                <w:szCs w:val="24"/>
              </w:rPr>
              <w:t>8hr</w:t>
            </w:r>
          </w:p>
        </w:tc>
        <w:tc>
          <w:tcPr>
            <w:tcW w:w="1331" w:type="dxa"/>
            <w:shd w:val="clear" w:color="auto" w:fill="auto"/>
          </w:tcPr>
          <w:p w:rsidR="00053B21" w:rsidRPr="00053B21" w:rsidRDefault="00053B21" w:rsidP="00A333F6">
            <w:pPr>
              <w:rPr>
                <w:rFonts w:ascii="Times New Roman" w:hAnsi="Times New Roman" w:cs="Times New Roman"/>
                <w:bCs/>
                <w:sz w:val="24"/>
                <w:szCs w:val="24"/>
              </w:rPr>
            </w:pPr>
          </w:p>
        </w:tc>
      </w:tr>
      <w:tr w:rsidR="00053B21" w:rsidRPr="00053B21" w:rsidTr="00A333F6">
        <w:trPr>
          <w:trHeight w:val="228"/>
          <w:jc w:val="center"/>
        </w:trPr>
        <w:tc>
          <w:tcPr>
            <w:tcW w:w="2130" w:type="dxa"/>
            <w:shd w:val="clear" w:color="auto" w:fill="auto"/>
          </w:tcPr>
          <w:p w:rsidR="00053B21" w:rsidRPr="00053B21" w:rsidRDefault="00053B21" w:rsidP="00A333F6">
            <w:pPr>
              <w:pStyle w:val="Heading2"/>
              <w:spacing w:before="0"/>
              <w:jc w:val="both"/>
              <w:outlineLvl w:val="1"/>
              <w:rPr>
                <w:rFonts w:ascii="Times New Roman" w:hAnsi="Times New Roman" w:cs="Times New Roman"/>
                <w:sz w:val="24"/>
                <w:szCs w:val="24"/>
              </w:rPr>
            </w:pPr>
            <w:r w:rsidRPr="00053B21">
              <w:rPr>
                <w:b w:val="0"/>
                <w:bCs w:val="0"/>
                <w:color w:val="auto"/>
                <w:sz w:val="24"/>
                <w:szCs w:val="24"/>
              </w:rPr>
              <w:t>Standard (10mg/kg, I.P. Indomethacin)</w:t>
            </w:r>
          </w:p>
        </w:tc>
        <w:tc>
          <w:tcPr>
            <w:tcW w:w="90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15.08</w:t>
            </w:r>
          </w:p>
        </w:tc>
        <w:tc>
          <w:tcPr>
            <w:tcW w:w="108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18.89</w:t>
            </w:r>
          </w:p>
        </w:tc>
        <w:tc>
          <w:tcPr>
            <w:tcW w:w="90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22.61</w:t>
            </w:r>
          </w:p>
        </w:tc>
        <w:tc>
          <w:tcPr>
            <w:tcW w:w="90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25.23</w:t>
            </w:r>
          </w:p>
        </w:tc>
        <w:tc>
          <w:tcPr>
            <w:tcW w:w="764"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27.74</w:t>
            </w:r>
          </w:p>
        </w:tc>
        <w:tc>
          <w:tcPr>
            <w:tcW w:w="1331" w:type="dxa"/>
            <w:shd w:val="clear" w:color="auto" w:fill="auto"/>
          </w:tcPr>
          <w:p w:rsidR="00053B21" w:rsidRPr="00053B21" w:rsidRDefault="00053B21" w:rsidP="00A333F6">
            <w:pPr>
              <w:rPr>
                <w:rFonts w:ascii="Times New Roman" w:hAnsi="Times New Roman" w:cs="Times New Roman"/>
                <w:sz w:val="24"/>
                <w:szCs w:val="24"/>
              </w:rPr>
            </w:pPr>
            <w:r w:rsidRPr="00053B21">
              <w:rPr>
                <w:rFonts w:ascii="Times New Roman" w:hAnsi="Times New Roman" w:cs="Times New Roman"/>
                <w:bCs/>
                <w:sz w:val="24"/>
                <w:szCs w:val="24"/>
              </w:rPr>
              <w:t>29.91</w:t>
            </w:r>
          </w:p>
        </w:tc>
      </w:tr>
      <w:tr w:rsidR="00053B21" w:rsidRPr="00053B21" w:rsidTr="00A333F6">
        <w:trPr>
          <w:trHeight w:val="230"/>
          <w:jc w:val="center"/>
        </w:trPr>
        <w:tc>
          <w:tcPr>
            <w:tcW w:w="213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Etoricoxib emulgel, EG1, 2 gm</w:t>
            </w:r>
          </w:p>
        </w:tc>
        <w:tc>
          <w:tcPr>
            <w:tcW w:w="90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3.19</w:t>
            </w:r>
          </w:p>
        </w:tc>
        <w:tc>
          <w:tcPr>
            <w:tcW w:w="108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5.42</w:t>
            </w:r>
          </w:p>
        </w:tc>
        <w:tc>
          <w:tcPr>
            <w:tcW w:w="90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11.37</w:t>
            </w:r>
          </w:p>
        </w:tc>
        <w:tc>
          <w:tcPr>
            <w:tcW w:w="900"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14.13</w:t>
            </w:r>
          </w:p>
        </w:tc>
        <w:tc>
          <w:tcPr>
            <w:tcW w:w="764" w:type="dxa"/>
            <w:shd w:val="clear" w:color="auto" w:fill="auto"/>
          </w:tcPr>
          <w:p w:rsidR="00053B21" w:rsidRPr="00053B21" w:rsidRDefault="00053B21" w:rsidP="00A333F6">
            <w:pPr>
              <w:pStyle w:val="Heading2"/>
              <w:spacing w:before="0"/>
              <w:jc w:val="both"/>
              <w:outlineLvl w:val="1"/>
              <w:rPr>
                <w:b w:val="0"/>
                <w:bCs w:val="0"/>
                <w:color w:val="auto"/>
                <w:sz w:val="24"/>
                <w:szCs w:val="24"/>
              </w:rPr>
            </w:pPr>
            <w:r w:rsidRPr="00053B21">
              <w:rPr>
                <w:b w:val="0"/>
                <w:bCs w:val="0"/>
                <w:color w:val="auto"/>
                <w:sz w:val="24"/>
                <w:szCs w:val="24"/>
              </w:rPr>
              <w:t>16.81</w:t>
            </w:r>
          </w:p>
        </w:tc>
        <w:tc>
          <w:tcPr>
            <w:tcW w:w="1331" w:type="dxa"/>
            <w:shd w:val="clear" w:color="auto" w:fill="auto"/>
          </w:tcPr>
          <w:p w:rsidR="00053B21" w:rsidRPr="00053B21" w:rsidRDefault="00053B21" w:rsidP="00A333F6">
            <w:pPr>
              <w:rPr>
                <w:rFonts w:ascii="Times New Roman" w:hAnsi="Times New Roman" w:cs="Times New Roman"/>
                <w:bCs/>
                <w:sz w:val="24"/>
                <w:szCs w:val="24"/>
              </w:rPr>
            </w:pPr>
            <w:r w:rsidRPr="00053B21">
              <w:rPr>
                <w:rFonts w:ascii="Times New Roman" w:hAnsi="Times New Roman" w:cs="Times New Roman"/>
                <w:sz w:val="24"/>
                <w:szCs w:val="24"/>
              </w:rPr>
              <w:t>18.98</w:t>
            </w:r>
          </w:p>
        </w:tc>
      </w:tr>
    </w:tbl>
    <w:p w:rsidR="00053B21" w:rsidRPr="00053B21" w:rsidRDefault="00053B21" w:rsidP="00053B21">
      <w:pPr>
        <w:autoSpaceDE w:val="0"/>
        <w:autoSpaceDN w:val="0"/>
        <w:adjustRightInd w:val="0"/>
        <w:spacing w:after="0" w:line="240" w:lineRule="auto"/>
        <w:jc w:val="center"/>
        <w:rPr>
          <w:rFonts w:ascii="Times New Roman" w:hAnsi="Times New Roman" w:cs="Times New Roman"/>
          <w:sz w:val="24"/>
          <w:szCs w:val="24"/>
        </w:rPr>
      </w:pPr>
      <w:r w:rsidRPr="00053B21">
        <w:rPr>
          <w:rFonts w:ascii="Times New Roman" w:hAnsi="Times New Roman" w:cs="Times New Roman"/>
          <w:sz w:val="24"/>
          <w:szCs w:val="24"/>
        </w:rPr>
        <w:t>N = 6, p&lt; 0.05</w:t>
      </w:r>
    </w:p>
    <w:p w:rsidR="00053B21" w:rsidRPr="00053B21" w:rsidRDefault="00053B21" w:rsidP="00053B21">
      <w:pPr>
        <w:autoSpaceDE w:val="0"/>
        <w:autoSpaceDN w:val="0"/>
        <w:adjustRightInd w:val="0"/>
        <w:spacing w:after="0" w:line="240" w:lineRule="auto"/>
        <w:rPr>
          <w:rFonts w:ascii="Times New Roman" w:hAnsi="Times New Roman" w:cs="Times New Roman"/>
          <w:b/>
          <w:bCs/>
          <w:sz w:val="24"/>
          <w:szCs w:val="24"/>
        </w:rPr>
      </w:pPr>
    </w:p>
    <w:p w:rsidR="00053B21" w:rsidRPr="00053B21" w:rsidRDefault="00053B21" w:rsidP="00053B21">
      <w:pPr>
        <w:autoSpaceDE w:val="0"/>
        <w:autoSpaceDN w:val="0"/>
        <w:adjustRightInd w:val="0"/>
        <w:spacing w:after="0" w:line="240" w:lineRule="auto"/>
        <w:jc w:val="center"/>
        <w:rPr>
          <w:rFonts w:ascii="Times New Roman" w:hAnsi="Times New Roman" w:cs="Times New Roman"/>
          <w:b/>
          <w:bCs/>
          <w:sz w:val="24"/>
          <w:szCs w:val="24"/>
        </w:rPr>
      </w:pPr>
    </w:p>
    <w:p w:rsidR="00053B21" w:rsidRPr="00053B21" w:rsidRDefault="00053B21" w:rsidP="00053B21">
      <w:pPr>
        <w:spacing w:after="0" w:line="240" w:lineRule="auto"/>
        <w:rPr>
          <w:rStyle w:val="fontstyle01"/>
          <w:sz w:val="24"/>
          <w:szCs w:val="24"/>
        </w:rPr>
      </w:pPr>
    </w:p>
    <w:p w:rsidR="00053B21" w:rsidRPr="00053B21" w:rsidRDefault="00053B21" w:rsidP="00053B21">
      <w:pPr>
        <w:spacing w:after="0"/>
        <w:jc w:val="center"/>
        <w:rPr>
          <w:b/>
          <w:color w:val="000000"/>
          <w:sz w:val="24"/>
          <w:szCs w:val="24"/>
        </w:rPr>
      </w:pPr>
      <w:r w:rsidRPr="00053B21">
        <w:rPr>
          <w:b/>
          <w:noProof/>
          <w:color w:val="000000"/>
          <w:sz w:val="24"/>
          <w:szCs w:val="24"/>
        </w:rPr>
        <w:lastRenderedPageBreak/>
        <w:drawing>
          <wp:inline distT="0" distB="0" distL="0" distR="0">
            <wp:extent cx="4282288" cy="2106777"/>
            <wp:effectExtent l="19050" t="0" r="23012" b="7773"/>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3B21" w:rsidRPr="00053B21" w:rsidRDefault="00053B21" w:rsidP="00053B21">
      <w:pPr>
        <w:spacing w:after="0"/>
        <w:jc w:val="center"/>
        <w:rPr>
          <w:rStyle w:val="fontstyle01"/>
          <w:b/>
          <w:sz w:val="24"/>
          <w:szCs w:val="24"/>
        </w:rPr>
      </w:pPr>
      <w:r w:rsidRPr="00053B21">
        <w:rPr>
          <w:rFonts w:ascii="Times New Roman" w:hAnsi="Times New Roman" w:cs="Times New Roman"/>
          <w:b/>
          <w:color w:val="000000"/>
          <w:sz w:val="24"/>
          <w:szCs w:val="24"/>
        </w:rPr>
        <w:t>Figure 3:</w:t>
      </w:r>
      <w:r w:rsidRPr="00053B21">
        <w:rPr>
          <w:rFonts w:ascii="Times New Roman" w:hAnsi="Times New Roman" w:cs="Times New Roman"/>
          <w:b/>
          <w:sz w:val="24"/>
          <w:szCs w:val="24"/>
        </w:rPr>
        <w:t xml:space="preserve"> Mean % paw volume and thickness inhibition</w:t>
      </w:r>
    </w:p>
    <w:p w:rsidR="00053B21" w:rsidRPr="00053B21" w:rsidRDefault="00053B21" w:rsidP="00053B21">
      <w:pPr>
        <w:autoSpaceDE w:val="0"/>
        <w:autoSpaceDN w:val="0"/>
        <w:adjustRightInd w:val="0"/>
        <w:spacing w:after="0" w:line="240" w:lineRule="auto"/>
        <w:jc w:val="center"/>
        <w:rPr>
          <w:rFonts w:ascii="Times New Roman" w:hAnsi="Times New Roman" w:cs="Times New Roman"/>
          <w:b/>
          <w:sz w:val="24"/>
          <w:szCs w:val="24"/>
        </w:rPr>
      </w:pPr>
    </w:p>
    <w:p w:rsidR="00053B21" w:rsidRPr="00053B21" w:rsidRDefault="00053B21" w:rsidP="00053B21">
      <w:pPr>
        <w:autoSpaceDE w:val="0"/>
        <w:autoSpaceDN w:val="0"/>
        <w:adjustRightInd w:val="0"/>
        <w:spacing w:after="0" w:line="240" w:lineRule="auto"/>
        <w:jc w:val="both"/>
        <w:rPr>
          <w:rFonts w:ascii="Times New Roman" w:hAnsi="Times New Roman" w:cs="Times New Roman"/>
          <w:bCs/>
          <w:sz w:val="24"/>
          <w:szCs w:val="24"/>
        </w:rPr>
      </w:pPr>
    </w:p>
    <w:p w:rsidR="00053B21" w:rsidRPr="00053B21" w:rsidRDefault="00053B21" w:rsidP="00053B21">
      <w:pPr>
        <w:autoSpaceDE w:val="0"/>
        <w:autoSpaceDN w:val="0"/>
        <w:adjustRightInd w:val="0"/>
        <w:spacing w:after="0" w:line="240" w:lineRule="auto"/>
        <w:jc w:val="both"/>
        <w:rPr>
          <w:rFonts w:ascii="Times New Roman" w:hAnsi="Times New Roman" w:cs="Times New Roman"/>
          <w:b/>
          <w:bCs/>
          <w:sz w:val="24"/>
          <w:szCs w:val="24"/>
        </w:rPr>
      </w:pPr>
      <w:r w:rsidRPr="00053B21">
        <w:rPr>
          <w:rFonts w:ascii="Times New Roman" w:hAnsi="Times New Roman" w:cs="Times New Roman"/>
          <w:b/>
          <w:bCs/>
          <w:sz w:val="24"/>
          <w:szCs w:val="24"/>
        </w:rPr>
        <w:t>Results and discussion</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 xml:space="preserve">The </w:t>
      </w:r>
      <w:commentRangeStart w:id="35"/>
      <w:r w:rsidRPr="00053B21">
        <w:rPr>
          <w:rFonts w:ascii="Times New Roman" w:hAnsi="Times New Roman" w:cs="Times New Roman"/>
          <w:sz w:val="24"/>
          <w:szCs w:val="24"/>
        </w:rPr>
        <w:t>objective of the present study was to design and characterize an effective topical drug delivery of etoricoxib.  Due to its low aqueous solubility and poor dissolution it is a poor candidate for oral route.  Thus a unique approach of formulating hydrophobic drugs, emulgel, where emulsions could be easily incorporated into gels was attempted. The solubility of hydrophobic drugs can be improved by incorporating them into emulsion form, which further helps in enhancing their skin permeability.</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In current study 6 emu</w:t>
      </w:r>
      <w:r>
        <w:rPr>
          <w:rFonts w:ascii="Times New Roman" w:hAnsi="Times New Roman" w:cs="Times New Roman"/>
          <w:sz w:val="24"/>
          <w:szCs w:val="24"/>
        </w:rPr>
        <w:t>lgel formulations of e</w:t>
      </w:r>
      <w:commentRangeStart w:id="36"/>
      <w:r>
        <w:rPr>
          <w:rFonts w:ascii="Times New Roman" w:hAnsi="Times New Roman" w:cs="Times New Roman"/>
          <w:sz w:val="24"/>
          <w:szCs w:val="24"/>
        </w:rPr>
        <w:t>toricoxib</w:t>
      </w:r>
      <w:r w:rsidRPr="00053B21">
        <w:rPr>
          <w:rFonts w:ascii="Times New Roman" w:hAnsi="Times New Roman" w:cs="Times New Roman"/>
          <w:sz w:val="24"/>
          <w:szCs w:val="24"/>
        </w:rPr>
        <w:t xml:space="preserve">were </w:t>
      </w:r>
      <w:commentRangeEnd w:id="36"/>
      <w:r w:rsidR="009A4B07">
        <w:rPr>
          <w:rStyle w:val="CommentReference"/>
        </w:rPr>
        <w:commentReference w:id="36"/>
      </w:r>
      <w:r w:rsidRPr="00053B21">
        <w:rPr>
          <w:rFonts w:ascii="Times New Roman" w:hAnsi="Times New Roman" w:cs="Times New Roman"/>
          <w:sz w:val="24"/>
          <w:szCs w:val="24"/>
        </w:rPr>
        <w:t xml:space="preserve">were successfully formulated using the gelling agent like Carbopol 934 and HPMCK4M with emulsifiers like Span 20 and  </w:t>
      </w:r>
      <w:commentRangeStart w:id="37"/>
      <w:r w:rsidR="005A70BF">
        <w:rPr>
          <w:rFonts w:ascii="Times New Roman" w:hAnsi="Times New Roman" w:cs="Times New Roman"/>
          <w:sz w:val="24"/>
          <w:szCs w:val="24"/>
        </w:rPr>
        <w:t>t</w:t>
      </w:r>
      <w:r w:rsidRPr="00053B21">
        <w:rPr>
          <w:rFonts w:ascii="Times New Roman" w:hAnsi="Times New Roman" w:cs="Times New Roman"/>
          <w:sz w:val="24"/>
          <w:szCs w:val="24"/>
        </w:rPr>
        <w:t>wee</w:t>
      </w:r>
      <w:commentRangeEnd w:id="37"/>
      <w:r w:rsidR="005A70BF">
        <w:rPr>
          <w:rStyle w:val="CommentReference"/>
        </w:rPr>
        <w:commentReference w:id="37"/>
      </w:r>
      <w:r w:rsidRPr="00053B21">
        <w:rPr>
          <w:rFonts w:ascii="Times New Roman" w:hAnsi="Times New Roman" w:cs="Times New Roman"/>
          <w:sz w:val="24"/>
          <w:szCs w:val="24"/>
        </w:rPr>
        <w:t>n 20 developed and evaluated on different parameters.</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 xml:space="preserve">The results of physicochemical </w:t>
      </w:r>
      <w:commentRangeEnd w:id="35"/>
      <w:r w:rsidR="000066CD">
        <w:rPr>
          <w:rStyle w:val="CommentReference"/>
        </w:rPr>
        <w:commentReference w:id="35"/>
      </w:r>
      <w:r w:rsidRPr="00053B21">
        <w:rPr>
          <w:rFonts w:ascii="Times New Roman" w:hAnsi="Times New Roman" w:cs="Times New Roman"/>
          <w:sz w:val="24"/>
          <w:szCs w:val="24"/>
        </w:rPr>
        <w:t>parameters i.e pH, viscosity, extrudability and drug conte</w:t>
      </w:r>
      <w:r w:rsidR="002A121F">
        <w:rPr>
          <w:rFonts w:ascii="Times New Roman" w:hAnsi="Times New Roman" w:cs="Times New Roman"/>
          <w:sz w:val="24"/>
          <w:szCs w:val="24"/>
        </w:rPr>
        <w:t xml:space="preserve">nt of all batches are shown in </w:t>
      </w:r>
      <w:commentRangeStart w:id="38"/>
      <w:r w:rsidR="002A121F">
        <w:rPr>
          <w:rFonts w:ascii="Times New Roman" w:hAnsi="Times New Roman" w:cs="Times New Roman"/>
          <w:sz w:val="24"/>
          <w:szCs w:val="24"/>
        </w:rPr>
        <w:t>t</w:t>
      </w:r>
      <w:r w:rsidRPr="00053B21">
        <w:rPr>
          <w:rFonts w:ascii="Times New Roman" w:hAnsi="Times New Roman" w:cs="Times New Roman"/>
          <w:sz w:val="24"/>
          <w:szCs w:val="24"/>
        </w:rPr>
        <w:t>able</w:t>
      </w:r>
      <w:commentRangeEnd w:id="38"/>
      <w:r w:rsidR="002A121F">
        <w:rPr>
          <w:rStyle w:val="CommentReference"/>
        </w:rPr>
        <w:commentReference w:id="38"/>
      </w:r>
      <w:r w:rsidRPr="00053B21">
        <w:rPr>
          <w:rFonts w:ascii="Times New Roman" w:hAnsi="Times New Roman" w:cs="Times New Roman"/>
          <w:sz w:val="24"/>
          <w:szCs w:val="24"/>
        </w:rPr>
        <w:t xml:space="preserve"> 2.  All trials of emulgel were found to be homogeneous and smears were transparent without grittiness or presence of any particles. The pH values of emulgel </w:t>
      </w:r>
      <w:commentRangeStart w:id="39"/>
      <w:r w:rsidRPr="00053B21">
        <w:rPr>
          <w:rFonts w:ascii="Times New Roman" w:hAnsi="Times New Roman" w:cs="Times New Roman"/>
          <w:sz w:val="24"/>
          <w:szCs w:val="24"/>
        </w:rPr>
        <w:t xml:space="preserve">batches were found in the range of 6.8-7.1 which is similar to skin pH. Viscosity is an important parameter for characterizing the emulgels as it affects the extrudability and release of drug. The viscosity range observed for all formulation was 12208-12800 cps. </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Extrusion of the emulgel from the tube is an important during application and for the patient compliance. Emulgels with high consistency may not extrude from the tube easily, where as low viscous gel may show quickly extrudabilty of emulgels. The extrudability of all formulations was found to be satisfactory. The percentage drug content of all formulations was found to be satisfactory and in the range of 93.54±0.52-98.74±0.08%.</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The allergic symptoms like inflammation, redness, irritation, erythema and edema are not appeared on rats up to 24hr. The in vitro drug release profiles of etoricoxib emulgel formulations are shown in Figure 1.</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Maximum drug release was observed was 80.</w:t>
      </w:r>
      <w:commentRangeStart w:id="40"/>
      <w:r w:rsidRPr="00053B21">
        <w:rPr>
          <w:rFonts w:ascii="Times New Roman" w:hAnsi="Times New Roman" w:cs="Times New Roman"/>
          <w:sz w:val="24"/>
          <w:szCs w:val="24"/>
        </w:rPr>
        <w:t xml:space="preserve">82%  for </w:t>
      </w:r>
      <w:commentRangeEnd w:id="40"/>
      <w:r w:rsidR="002A121F">
        <w:rPr>
          <w:rStyle w:val="CommentReference"/>
        </w:rPr>
        <w:commentReference w:id="40"/>
      </w:r>
      <w:r w:rsidRPr="00053B21">
        <w:rPr>
          <w:rFonts w:ascii="Times New Roman" w:hAnsi="Times New Roman" w:cs="Times New Roman"/>
          <w:sz w:val="24"/>
          <w:szCs w:val="24"/>
        </w:rPr>
        <w:t xml:space="preserve">emulgel formulations of batch EG1 at the end of 210 min and minimum release 54.62%  was shown by batch EG3. Drug release kinetics data of the emulgels is given </w:t>
      </w:r>
      <w:commentRangeEnd w:id="39"/>
      <w:r w:rsidR="000066CD">
        <w:rPr>
          <w:rStyle w:val="CommentReference"/>
        </w:rPr>
        <w:commentReference w:id="39"/>
      </w:r>
      <w:r w:rsidRPr="00053B21">
        <w:rPr>
          <w:rFonts w:ascii="Times New Roman" w:hAnsi="Times New Roman" w:cs="Times New Roman"/>
          <w:sz w:val="24"/>
          <w:szCs w:val="24"/>
        </w:rPr>
        <w:t>in Table 3.</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 xml:space="preserve">Local injection of carrageenan into rat hind paw induces acute inflammatory responses such as edema. The </w:t>
      </w:r>
      <w:commentRangeStart w:id="41"/>
      <w:r w:rsidRPr="00053B21">
        <w:rPr>
          <w:rFonts w:ascii="Times New Roman" w:hAnsi="Times New Roman" w:cs="Times New Roman"/>
          <w:sz w:val="24"/>
          <w:szCs w:val="24"/>
        </w:rPr>
        <w:t>development of the edema induced by carrageenan has been described as a biphasic event</w:t>
      </w:r>
      <w:r w:rsidRPr="00053B21">
        <w:rPr>
          <w:rFonts w:ascii="Times New Roman" w:hAnsi="Times New Roman" w:cs="Times New Roman"/>
          <w:sz w:val="24"/>
          <w:szCs w:val="24"/>
          <w:vertAlign w:val="superscript"/>
        </w:rPr>
        <w:t>22</w:t>
      </w:r>
      <w:r w:rsidRPr="00053B21">
        <w:rPr>
          <w:rFonts w:ascii="Times New Roman" w:hAnsi="Times New Roman" w:cs="Times New Roman"/>
          <w:sz w:val="24"/>
          <w:szCs w:val="24"/>
        </w:rPr>
        <w:t>. A rapid early phase (up to 2 h) is triggered by the concerted release of histamine, bradykinin, 5-hydroxytryptamine or cyclooxygenase products. And a more sustained late phase (2 to 5 h) is regulated by neutrophil infiltration and sustained production of arachidonic metabolites (prostanoids) (primarily by cyclooxygenase) or nitric oxide from inducible nitric oxide synthase</w:t>
      </w:r>
      <w:r w:rsidRPr="00053B21">
        <w:rPr>
          <w:rFonts w:ascii="Times New Roman" w:hAnsi="Times New Roman" w:cs="Times New Roman"/>
          <w:sz w:val="24"/>
          <w:szCs w:val="24"/>
          <w:vertAlign w:val="superscript"/>
        </w:rPr>
        <w:t>23</w:t>
      </w:r>
      <w:r w:rsidRPr="00053B21">
        <w:rPr>
          <w:rFonts w:ascii="Times New Roman" w:hAnsi="Times New Roman" w:cs="Times New Roman"/>
          <w:sz w:val="24"/>
          <w:szCs w:val="24"/>
        </w:rPr>
        <w:t xml:space="preserve">. Standard indomethacin shows 54.861% mean paw volume percentage inhibition, while emulgel formulation of batch EG1 shows </w:t>
      </w:r>
      <w:r w:rsidRPr="00053B21">
        <w:rPr>
          <w:rFonts w:ascii="Times New Roman" w:hAnsi="Times New Roman" w:cs="Times New Roman"/>
          <w:bCs/>
          <w:sz w:val="24"/>
          <w:szCs w:val="24"/>
        </w:rPr>
        <w:t xml:space="preserve">18.59% </w:t>
      </w:r>
      <w:r w:rsidRPr="00053B21">
        <w:rPr>
          <w:rFonts w:ascii="Times New Roman" w:hAnsi="Times New Roman" w:cs="Times New Roman"/>
          <w:sz w:val="24"/>
          <w:szCs w:val="24"/>
        </w:rPr>
        <w:t>(</w:t>
      </w:r>
      <w:commentRangeStart w:id="42"/>
      <w:r w:rsidR="002A121F">
        <w:rPr>
          <w:rFonts w:ascii="Times New Roman" w:hAnsi="Times New Roman" w:cs="Times New Roman"/>
          <w:sz w:val="24"/>
          <w:szCs w:val="24"/>
        </w:rPr>
        <w:t>t</w:t>
      </w:r>
      <w:r w:rsidRPr="00053B21">
        <w:rPr>
          <w:rFonts w:ascii="Times New Roman" w:hAnsi="Times New Roman" w:cs="Times New Roman"/>
          <w:sz w:val="24"/>
          <w:szCs w:val="24"/>
        </w:rPr>
        <w:t>able 4</w:t>
      </w:r>
      <w:commentRangeEnd w:id="42"/>
      <w:r w:rsidR="002A121F">
        <w:rPr>
          <w:rStyle w:val="CommentReference"/>
        </w:rPr>
        <w:commentReference w:id="42"/>
      </w:r>
      <w:r w:rsidRPr="00053B21">
        <w:rPr>
          <w:rFonts w:ascii="Times New Roman" w:hAnsi="Times New Roman" w:cs="Times New Roman"/>
          <w:sz w:val="24"/>
          <w:szCs w:val="24"/>
        </w:rPr>
        <w:t xml:space="preserve">). </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 xml:space="preserve">Mean percentage </w:t>
      </w:r>
      <w:commentRangeEnd w:id="41"/>
      <w:r w:rsidR="000066CD">
        <w:rPr>
          <w:rStyle w:val="CommentReference"/>
        </w:rPr>
        <w:commentReference w:id="41"/>
      </w:r>
      <w:r w:rsidRPr="00053B21">
        <w:rPr>
          <w:rFonts w:ascii="Times New Roman" w:hAnsi="Times New Roman" w:cs="Times New Roman"/>
          <w:sz w:val="24"/>
          <w:szCs w:val="24"/>
        </w:rPr>
        <w:t xml:space="preserve">inhibition of paw thickness by indomethacin was found to be </w:t>
      </w:r>
      <w:r w:rsidRPr="00053B21">
        <w:rPr>
          <w:rFonts w:ascii="Times New Roman" w:hAnsi="Times New Roman" w:cs="Times New Roman"/>
          <w:bCs/>
          <w:sz w:val="24"/>
          <w:szCs w:val="24"/>
        </w:rPr>
        <w:t>29.91%</w:t>
      </w:r>
      <w:r w:rsidRPr="00053B21">
        <w:rPr>
          <w:rFonts w:ascii="Times New Roman" w:hAnsi="Times New Roman" w:cs="Times New Roman"/>
          <w:sz w:val="24"/>
          <w:szCs w:val="24"/>
        </w:rPr>
        <w:t>, while EG1 shows 18.986</w:t>
      </w:r>
      <w:r w:rsidRPr="00053B21">
        <w:rPr>
          <w:rFonts w:ascii="Times New Roman" w:hAnsi="Times New Roman" w:cs="Times New Roman"/>
          <w:bCs/>
          <w:sz w:val="24"/>
          <w:szCs w:val="24"/>
        </w:rPr>
        <w:t xml:space="preserve">% </w:t>
      </w:r>
      <w:r w:rsidRPr="00053B21">
        <w:rPr>
          <w:rFonts w:ascii="Times New Roman" w:hAnsi="Times New Roman" w:cs="Times New Roman"/>
          <w:sz w:val="24"/>
          <w:szCs w:val="24"/>
        </w:rPr>
        <w:t>(Table 5).</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p>
    <w:p w:rsidR="00053B21" w:rsidRPr="00053B21" w:rsidRDefault="00053B21" w:rsidP="00053B21">
      <w:pPr>
        <w:autoSpaceDE w:val="0"/>
        <w:autoSpaceDN w:val="0"/>
        <w:adjustRightInd w:val="0"/>
        <w:spacing w:after="0" w:line="240" w:lineRule="auto"/>
        <w:jc w:val="both"/>
        <w:rPr>
          <w:rFonts w:ascii="Times New Roman" w:hAnsi="Times New Roman" w:cs="Times New Roman"/>
          <w:b/>
          <w:bCs/>
          <w:sz w:val="24"/>
          <w:szCs w:val="24"/>
        </w:rPr>
      </w:pPr>
      <w:r w:rsidRPr="00053B21">
        <w:rPr>
          <w:rFonts w:ascii="Times New Roman" w:hAnsi="Times New Roman" w:cs="Times New Roman"/>
          <w:b/>
          <w:bCs/>
          <w:sz w:val="24"/>
          <w:szCs w:val="24"/>
        </w:rPr>
        <w:t>Conclusion</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lastRenderedPageBreak/>
        <w:t xml:space="preserve">At </w:t>
      </w:r>
      <w:commentRangeStart w:id="43"/>
      <w:r w:rsidRPr="00053B21">
        <w:rPr>
          <w:rFonts w:ascii="Times New Roman" w:hAnsi="Times New Roman" w:cs="Times New Roman"/>
          <w:sz w:val="24"/>
          <w:szCs w:val="24"/>
        </w:rPr>
        <w:t>present scenari</w:t>
      </w:r>
      <w:r>
        <w:rPr>
          <w:rFonts w:ascii="Times New Roman" w:hAnsi="Times New Roman" w:cs="Times New Roman"/>
          <w:sz w:val="24"/>
          <w:szCs w:val="24"/>
        </w:rPr>
        <w:t>o, emulgel is one of the recent</w:t>
      </w:r>
      <w:r w:rsidRPr="00053B21">
        <w:rPr>
          <w:rFonts w:ascii="Times New Roman" w:hAnsi="Times New Roman" w:cs="Times New Roman"/>
          <w:sz w:val="24"/>
          <w:szCs w:val="24"/>
        </w:rPr>
        <w:t xml:space="preserve">technologies used for dual control release of emulsion and gel for topical use. Moreover, they will become a solution for loading hydrophobic drugs in water soluble gel bases for the long term stability. The stability of emulsion is increased, when it is incorporated into gel. Etoricoxib is a hydrophobic drug. In current study Etoricoxib was successfully formulated in an emulgel drug delivery with gelling agent like Carbopol 934 and HPMCK4M with emulsifiers like Span 20 and  </w:t>
      </w:r>
      <w:commentRangeStart w:id="44"/>
      <w:r w:rsidR="005A70BF">
        <w:rPr>
          <w:rFonts w:ascii="Times New Roman" w:hAnsi="Times New Roman" w:cs="Times New Roman"/>
          <w:sz w:val="24"/>
          <w:szCs w:val="24"/>
        </w:rPr>
        <w:t>t</w:t>
      </w:r>
      <w:r w:rsidRPr="00053B21">
        <w:rPr>
          <w:rFonts w:ascii="Times New Roman" w:hAnsi="Times New Roman" w:cs="Times New Roman"/>
          <w:sz w:val="24"/>
          <w:szCs w:val="24"/>
        </w:rPr>
        <w:t>ween</w:t>
      </w:r>
      <w:commentRangeEnd w:id="44"/>
      <w:r w:rsidR="005A70BF">
        <w:rPr>
          <w:rStyle w:val="CommentReference"/>
        </w:rPr>
        <w:commentReference w:id="44"/>
      </w:r>
      <w:r w:rsidRPr="00053B21">
        <w:rPr>
          <w:rFonts w:ascii="Times New Roman" w:hAnsi="Times New Roman" w:cs="Times New Roman"/>
          <w:sz w:val="24"/>
          <w:szCs w:val="24"/>
        </w:rPr>
        <w:t xml:space="preserve"> 20 developed with simple, commercial feasible manufacturing process. </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Etoricoxib emulgel formulation EG1 used in this study showed significant reduction of paw edema thickness and volume at 8 hrs or more after carrageenan injection, demonstrated that the emulgel possess fairly good anti-inflammatory activity.</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 xml:space="preserve">Based on different evaluation parameters, study concludes that EG1 emulgel formulation was the optimum formulations. However, </w:t>
      </w:r>
      <w:r w:rsidRPr="00053B21">
        <w:rPr>
          <w:rFonts w:ascii="Times New Roman" w:hAnsi="Times New Roman" w:cs="Times New Roman"/>
          <w:iCs/>
          <w:sz w:val="24"/>
          <w:szCs w:val="24"/>
        </w:rPr>
        <w:t>in vivo</w:t>
      </w:r>
      <w:r w:rsidRPr="00053B21">
        <w:rPr>
          <w:rFonts w:ascii="Times New Roman" w:hAnsi="Times New Roman" w:cs="Times New Roman"/>
          <w:i/>
          <w:iCs/>
          <w:sz w:val="24"/>
          <w:szCs w:val="24"/>
        </w:rPr>
        <w:t xml:space="preserve"> </w:t>
      </w:r>
      <w:r w:rsidRPr="00053B21">
        <w:rPr>
          <w:rFonts w:ascii="Times New Roman" w:hAnsi="Times New Roman" w:cs="Times New Roman"/>
          <w:sz w:val="24"/>
          <w:szCs w:val="24"/>
        </w:rPr>
        <w:t xml:space="preserve">investigation in relevant animal models may provide further insights into the efficiency </w:t>
      </w:r>
      <w:commentRangeEnd w:id="43"/>
      <w:r w:rsidR="000066CD">
        <w:rPr>
          <w:rStyle w:val="CommentReference"/>
        </w:rPr>
        <w:commentReference w:id="43"/>
      </w:r>
      <w:r w:rsidRPr="00053B21">
        <w:rPr>
          <w:rFonts w:ascii="Times New Roman" w:hAnsi="Times New Roman" w:cs="Times New Roman"/>
          <w:sz w:val="24"/>
          <w:szCs w:val="24"/>
        </w:rPr>
        <w:t>of this drug delivery system and its relevance, which inevitably warrants further research.</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b/>
          <w:bCs/>
          <w:sz w:val="24"/>
          <w:szCs w:val="24"/>
        </w:rPr>
        <w:t xml:space="preserve">Conflict of interest </w:t>
      </w:r>
    </w:p>
    <w:p w:rsidR="00053B21" w:rsidRPr="00053B21" w:rsidRDefault="00053B21" w:rsidP="00053B21">
      <w:pPr>
        <w:autoSpaceDE w:val="0"/>
        <w:autoSpaceDN w:val="0"/>
        <w:adjustRightInd w:val="0"/>
        <w:spacing w:after="0" w:line="240" w:lineRule="auto"/>
        <w:jc w:val="both"/>
        <w:rPr>
          <w:rFonts w:ascii="Times New Roman" w:hAnsi="Times New Roman" w:cs="Times New Roman"/>
          <w:sz w:val="24"/>
          <w:szCs w:val="24"/>
        </w:rPr>
      </w:pPr>
      <w:r w:rsidRPr="00053B21">
        <w:rPr>
          <w:rFonts w:ascii="Times New Roman" w:hAnsi="Times New Roman" w:cs="Times New Roman"/>
          <w:sz w:val="24"/>
          <w:szCs w:val="24"/>
        </w:rPr>
        <w:t xml:space="preserve">"No conflict of interest associated with this work”. </w:t>
      </w:r>
    </w:p>
    <w:p w:rsidR="00053B21" w:rsidRPr="00053B21" w:rsidRDefault="00053B21" w:rsidP="00053B21">
      <w:pPr>
        <w:autoSpaceDE w:val="0"/>
        <w:autoSpaceDN w:val="0"/>
        <w:adjustRightInd w:val="0"/>
        <w:spacing w:after="0" w:line="240" w:lineRule="auto"/>
        <w:jc w:val="both"/>
        <w:rPr>
          <w:rFonts w:ascii="Times New Roman" w:hAnsi="Times New Roman" w:cs="Times New Roman"/>
          <w:b/>
          <w:bCs/>
          <w:sz w:val="24"/>
          <w:szCs w:val="24"/>
          <w:lang w:val="fr-FR"/>
        </w:rPr>
      </w:pPr>
      <w:r w:rsidRPr="00053B21">
        <w:rPr>
          <w:rFonts w:ascii="Times New Roman" w:hAnsi="Times New Roman" w:cs="Times New Roman"/>
          <w:b/>
          <w:bCs/>
          <w:sz w:val="24"/>
          <w:szCs w:val="24"/>
          <w:lang w:val="fr-FR"/>
        </w:rPr>
        <w:t>Re</w:t>
      </w:r>
      <w:commentRangeStart w:id="45"/>
      <w:r w:rsidRPr="00053B21">
        <w:rPr>
          <w:rFonts w:ascii="Times New Roman" w:hAnsi="Times New Roman" w:cs="Times New Roman"/>
          <w:b/>
          <w:bCs/>
          <w:sz w:val="24"/>
          <w:szCs w:val="24"/>
          <w:lang w:val="fr-FR"/>
        </w:rPr>
        <w:t>ferences</w:t>
      </w:r>
      <w:commentRangeEnd w:id="45"/>
      <w:r w:rsidR="00BC7142">
        <w:rPr>
          <w:rStyle w:val="CommentReference"/>
        </w:rPr>
        <w:commentReference w:id="45"/>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Stanos SP</w:t>
      </w:r>
      <w:commentRangeStart w:id="46"/>
      <w:r w:rsidRPr="00053B21">
        <w:rPr>
          <w:rFonts w:ascii="Times New Roman" w:hAnsi="Times New Roman" w:cs="Times New Roman"/>
          <w:bCs/>
          <w:sz w:val="24"/>
          <w:szCs w:val="24"/>
        </w:rPr>
        <w:t>. Topical agents for the management of musculoskeletal pain. J pain symptom management. 2007 Mar 31;33(3):342-55.</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Asija R. Emulgel: A novel approach to topical drug delivery. J biomed pharml res 2013; 2(6):30.</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 xml:space="preserve">Thomas L, Viswanad V. Formulation and optimization of clotrimazole-loaded proniosomal gel using 32 </w:t>
      </w:r>
      <w:commentRangeEnd w:id="46"/>
      <w:r w:rsidR="00BC7142">
        <w:rPr>
          <w:rStyle w:val="CommentReference"/>
        </w:rPr>
        <w:commentReference w:id="46"/>
      </w:r>
      <w:r w:rsidRPr="00053B21">
        <w:rPr>
          <w:rFonts w:ascii="Times New Roman" w:hAnsi="Times New Roman" w:cs="Times New Roman"/>
          <w:bCs/>
          <w:sz w:val="24"/>
          <w:szCs w:val="24"/>
        </w:rPr>
        <w:t>factorial design. Scientia pharmaceutica 2012; 80(3):731-48.</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Ghodekar SV, Chaudhari SP, Ratnaparakhi MP. Development and characterization of silver sulfdiazine emulgel for topical drug delivery. Int J Pharm Pharmaceutical Sci 2012; 4(4):305-316.</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Mohamed MI. Topical emulsion gel composition comprising Diclofenac sodium. AAPS Journal 2004; 6(3):12.</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9A4B07">
        <w:rPr>
          <w:rFonts w:ascii="Times New Roman" w:hAnsi="Times New Roman" w:cs="Times New Roman"/>
          <w:bCs/>
          <w:sz w:val="24"/>
          <w:szCs w:val="24"/>
        </w:rPr>
        <w:t>Saifullahi U, Onyekachi MK. Development and evaluation of transdermal gel of Lornoxicam. Universal J Pharm Res 2017; 2(1): 17-20.</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Shahin M, Abdel HS, Hammad M, Mortada N. Drug dev ind pharm 2011; 37(5):559-568.</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Makela L, Lammintausta K. Etoricoxib-induced acute generalized exanthematous 9. pustulosis". Acta Derm Venereol 2008; 88(2): 200–1.</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 xml:space="preserve">Kumar P. </w:t>
      </w:r>
      <w:hyperlink r:id="rId11" w:history="1">
        <w:r w:rsidRPr="00053B21">
          <w:rPr>
            <w:rFonts w:ascii="Times New Roman" w:hAnsi="Times New Roman" w:cs="Times New Roman"/>
            <w:bCs/>
            <w:sz w:val="24"/>
            <w:szCs w:val="24"/>
          </w:rPr>
          <w:t>Etoricoxib-induced pretibial erythema and edema</w:t>
        </w:r>
      </w:hyperlink>
      <w:r w:rsidRPr="00053B21">
        <w:rPr>
          <w:rFonts w:ascii="Times New Roman" w:hAnsi="Times New Roman" w:cs="Times New Roman"/>
          <w:bCs/>
          <w:sz w:val="24"/>
          <w:szCs w:val="24"/>
        </w:rPr>
        <w:t>. Indian Dermatol Online J 2015; 6 (Suppl 1): S47–9.</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Khali Y, Khasraghi H. Preparation and evaluation of physical and rheological properties of clotrimazole Emulgel. Iraqi J Pharm Sci  2011; 20(2): 19-35.</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Yehia IK, Abeer HK, Entidhar JM. Preparation and evaluation of physicaland, rheological properties of clotrimazole emulgel. Iraqi J Pharm Sci 2011; 20(2): 19-27.</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Parmpreet S, Sunny K, Rajni B and Naresh S. Development and characterization of clindamycin phosphate emulgel for topical delivery. Int J Recent Adv Pharm Res 2014; 4(3): 47-62.</w:t>
      </w:r>
    </w:p>
    <w:p w:rsidR="00053B21" w:rsidRPr="00053B21" w:rsidRDefault="00F44D8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hyperlink r:id="rId12" w:history="1">
        <w:r w:rsidR="00053B21" w:rsidRPr="00053B21">
          <w:rPr>
            <w:rFonts w:ascii="Times New Roman" w:hAnsi="Times New Roman" w:cs="Times New Roman"/>
            <w:bCs/>
            <w:sz w:val="24"/>
            <w:szCs w:val="24"/>
          </w:rPr>
          <w:t>Anyanwu NCJ, Adogo LY, Ajide B. Development and evaluation of in situ gelling gastroretentive formulations of Meloxicam</w:t>
        </w:r>
        <w:r w:rsidR="00053B21" w:rsidRPr="00053B21">
          <w:rPr>
            <w:rFonts w:ascii="Times New Roman" w:hAnsi="Times New Roman" w:cs="Times New Roman"/>
            <w:sz w:val="24"/>
            <w:szCs w:val="24"/>
          </w:rPr>
          <w:t xml:space="preserve">. </w:t>
        </w:r>
        <w:r w:rsidR="00053B21" w:rsidRPr="00053B21">
          <w:rPr>
            <w:rFonts w:ascii="Times New Roman" w:hAnsi="Times New Roman" w:cs="Times New Roman"/>
            <w:bCs/>
            <w:sz w:val="24"/>
            <w:szCs w:val="24"/>
          </w:rPr>
          <w:t>Universal J Pharmaceutical Res 2017; 2(3): 11-14.</w:t>
        </w:r>
      </w:hyperlink>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Saleem M, Sumanji B. Formulation and evaluation of meloxicam solid dispersion incorporated topical gels. Int J Pharma Bio- Sciences 2010; 1(3): 1-9.</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 xml:space="preserve">Panwar A, Upadhyay N. Emulgel: a review.” </w:t>
      </w:r>
      <w:commentRangeStart w:id="47"/>
      <w:r w:rsidRPr="00053B21">
        <w:rPr>
          <w:rFonts w:ascii="Times New Roman" w:hAnsi="Times New Roman" w:cs="Times New Roman"/>
          <w:bCs/>
          <w:sz w:val="24"/>
          <w:szCs w:val="24"/>
        </w:rPr>
        <w:t>a</w:t>
      </w:r>
      <w:commentRangeEnd w:id="47"/>
      <w:r w:rsidR="001F2965">
        <w:rPr>
          <w:rStyle w:val="CommentReference"/>
        </w:rPr>
        <w:commentReference w:id="47"/>
      </w:r>
      <w:r w:rsidRPr="00053B21">
        <w:rPr>
          <w:rFonts w:ascii="Times New Roman" w:hAnsi="Times New Roman" w:cs="Times New Roman"/>
          <w:bCs/>
          <w:sz w:val="24"/>
          <w:szCs w:val="24"/>
        </w:rPr>
        <w:t>sian journal of pharmacy and life science 2011; 1(3): 334-342.</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Bhanu P, Shanmugam V. Development and optimization of novel Diclofenac emulgel for topical drug delivery. Int J Comp Pharm 2011; 2(9): 1-4.</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Khaled M. Ketoprofen emulgel: preparation, characterization, and pharmacodynamic evaluation. Int J Pharm sci 2013; 20(2):306-310.</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lastRenderedPageBreak/>
        <w:t>Helal A. Formulation and evaluation of fluconazole topical gel. Int J Pharm Pharmaceutical Sci 2012;4(5):302-310.</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Ranga P, Sellakumar V. Formulation and in-vitro evaluation of ciprofloxacin loaded topical emulgel. Int J Pharm Chem Sci 2012; 1(1): 237-242.</w:t>
      </w:r>
    </w:p>
    <w:p w:rsidR="00053B21" w:rsidRPr="00053B21" w:rsidRDefault="00F44D8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hyperlink r:id="rId13" w:history="1">
        <w:r w:rsidR="00053B21" w:rsidRPr="00053B21">
          <w:rPr>
            <w:rFonts w:ascii="Times New Roman" w:hAnsi="Times New Roman" w:cs="Times New Roman"/>
            <w:bCs/>
            <w:sz w:val="24"/>
            <w:szCs w:val="24"/>
          </w:rPr>
          <w:t>Elsaied HE, Dawaba HM, Ibrahim EA,</w:t>
        </w:r>
        <w:r w:rsidR="00053B21" w:rsidRPr="00053B21">
          <w:rPr>
            <w:rFonts w:ascii="Times New Roman" w:hAnsi="Times New Roman" w:cs="Times New Roman"/>
            <w:bCs/>
            <w:sz w:val="24"/>
            <w:szCs w:val="24"/>
          </w:rPr>
          <w:br/>
          <w:t>Afouna MI. Investigation of proniosomes gel as a promising carrier fortransdermal delivery of Glimepiride. Universal J Pharm Res 2016; 1(2): 1-18.</w:t>
        </w:r>
      </w:hyperlink>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Winter CA, Risley EA, Nuss GW. Carrageenan-induced edema in the hind paw of rat as an assay for anti-inflammatory activity. Proc Soc Exp Biol Med 1962; 111:544-7.</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Sosa S, Balick M, Arvigo R, Esposito R, Pizza C et a</w:t>
      </w:r>
      <w:r w:rsidRPr="00053B21">
        <w:rPr>
          <w:rFonts w:ascii="Times New Roman" w:hAnsi="Times New Roman" w:cs="Times New Roman"/>
          <w:bCs/>
          <w:i/>
          <w:sz w:val="24"/>
          <w:szCs w:val="24"/>
        </w:rPr>
        <w:t>l.</w:t>
      </w:r>
      <w:r w:rsidRPr="00053B21">
        <w:rPr>
          <w:rFonts w:ascii="Times New Roman" w:hAnsi="Times New Roman" w:cs="Times New Roman"/>
          <w:bCs/>
          <w:sz w:val="24"/>
          <w:szCs w:val="24"/>
        </w:rPr>
        <w:t xml:space="preserve"> Screening of the topical anti-inflammatory activity of some central American plants. J Ethnopharmacology 2002; 81: 211-215.</w:t>
      </w:r>
    </w:p>
    <w:p w:rsidR="00053B21" w:rsidRPr="00053B21" w:rsidRDefault="00053B21" w:rsidP="00053B21">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24"/>
          <w:szCs w:val="24"/>
        </w:rPr>
      </w:pPr>
      <w:r w:rsidRPr="00053B21">
        <w:rPr>
          <w:rFonts w:ascii="Times New Roman" w:hAnsi="Times New Roman" w:cs="Times New Roman"/>
          <w:bCs/>
          <w:sz w:val="24"/>
          <w:szCs w:val="24"/>
        </w:rPr>
        <w:t>Niemegeer CJE, Verbruggen FJ, Janssen PAJ. Effect of various drugs on carrageenan –induced oedema in the rat hind paw. J Pharm Phrmacol 1964; 16: 810-816.</w:t>
      </w:r>
    </w:p>
    <w:p w:rsidR="00053B21" w:rsidRPr="00053B21" w:rsidRDefault="00053B21" w:rsidP="00053B21">
      <w:pPr>
        <w:spacing w:after="0" w:line="240" w:lineRule="auto"/>
        <w:rPr>
          <w:rFonts w:ascii="Times New Roman" w:eastAsia="Times New Roman" w:hAnsi="Times New Roman" w:cs="Times New Roman"/>
          <w:b/>
          <w:bCs/>
          <w:iCs/>
          <w:color w:val="000000"/>
          <w:sz w:val="24"/>
          <w:szCs w:val="24"/>
        </w:rPr>
      </w:pPr>
    </w:p>
    <w:p w:rsidR="00053B21" w:rsidRPr="00053B21" w:rsidRDefault="00053B21" w:rsidP="00053B21">
      <w:pPr>
        <w:spacing w:after="0" w:line="240" w:lineRule="auto"/>
        <w:jc w:val="center"/>
        <w:rPr>
          <w:rFonts w:ascii="Times New Roman" w:eastAsia="Times New Roman" w:hAnsi="Times New Roman" w:cs="Times New Roman"/>
          <w:b/>
          <w:bCs/>
          <w:iCs/>
          <w:color w:val="000000"/>
          <w:sz w:val="24"/>
          <w:szCs w:val="24"/>
        </w:rPr>
      </w:pPr>
    </w:p>
    <w:p w:rsidR="00053B21" w:rsidRPr="00053B21" w:rsidRDefault="00053B21" w:rsidP="00053B21">
      <w:pPr>
        <w:spacing w:after="0" w:line="240" w:lineRule="auto"/>
        <w:jc w:val="center"/>
        <w:rPr>
          <w:rFonts w:ascii="Times New Roman" w:eastAsia="Times New Roman" w:hAnsi="Times New Roman" w:cs="Times New Roman"/>
          <w:b/>
          <w:bCs/>
          <w:iCs/>
          <w:color w:val="000000"/>
          <w:sz w:val="24"/>
          <w:szCs w:val="24"/>
        </w:rPr>
      </w:pPr>
    </w:p>
    <w:p w:rsidR="00053B21" w:rsidRPr="00053B21" w:rsidRDefault="00053B21" w:rsidP="00053B21">
      <w:pPr>
        <w:spacing w:after="0" w:line="240" w:lineRule="auto"/>
        <w:rPr>
          <w:rStyle w:val="fontstyle01"/>
          <w:sz w:val="24"/>
          <w:szCs w:val="24"/>
        </w:rPr>
      </w:pPr>
    </w:p>
    <w:p w:rsidR="00053B21" w:rsidRPr="00053B21" w:rsidRDefault="00053B21" w:rsidP="00053B21">
      <w:pPr>
        <w:autoSpaceDE w:val="0"/>
        <w:autoSpaceDN w:val="0"/>
        <w:adjustRightInd w:val="0"/>
        <w:spacing w:after="0" w:line="240" w:lineRule="auto"/>
        <w:jc w:val="center"/>
        <w:rPr>
          <w:rFonts w:ascii="Times New Roman" w:hAnsi="Times New Roman" w:cs="Times New Roman"/>
          <w:b/>
          <w:sz w:val="24"/>
          <w:szCs w:val="24"/>
        </w:rPr>
      </w:pPr>
    </w:p>
    <w:p w:rsidR="00053B21" w:rsidRPr="00053B21" w:rsidRDefault="00053B21" w:rsidP="00053B21">
      <w:pPr>
        <w:spacing w:after="0" w:line="240" w:lineRule="auto"/>
        <w:jc w:val="center"/>
        <w:rPr>
          <w:rFonts w:ascii="Times New Roman" w:hAnsi="Times New Roman" w:cs="Times New Roman"/>
          <w:b/>
          <w:bCs/>
          <w:color w:val="000000"/>
          <w:sz w:val="24"/>
          <w:szCs w:val="24"/>
        </w:rPr>
      </w:pPr>
    </w:p>
    <w:p w:rsidR="00053B21" w:rsidRPr="00053B21" w:rsidRDefault="00053B21" w:rsidP="00053B21">
      <w:pPr>
        <w:autoSpaceDE w:val="0"/>
        <w:autoSpaceDN w:val="0"/>
        <w:adjustRightInd w:val="0"/>
        <w:spacing w:after="0" w:line="240" w:lineRule="auto"/>
        <w:jc w:val="both"/>
        <w:rPr>
          <w:rFonts w:ascii="Times New Roman" w:hAnsi="Times New Roman" w:cs="Times New Roman"/>
          <w:bCs/>
          <w:sz w:val="24"/>
          <w:szCs w:val="24"/>
        </w:rPr>
      </w:pPr>
    </w:p>
    <w:sectPr w:rsidR="00053B21" w:rsidRPr="00053B21" w:rsidSect="00E10E26">
      <w:headerReference w:type="even" r:id="rId14"/>
      <w:headerReference w:type="default" r:id="rId15"/>
      <w:headerReference w:type="first" r:id="rId16"/>
      <w:pgSz w:w="12240" w:h="15840"/>
      <w:pgMar w:top="270" w:right="1440" w:bottom="180" w:left="1440" w:header="276"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1T10:36:00Z" w:initials="K">
    <w:p w:rsidR="00867503" w:rsidRDefault="00867503" w:rsidP="00867503">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867503" w:rsidRPr="00B07E1A" w:rsidRDefault="00867503" w:rsidP="00867503">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w:t>
      </w:r>
      <w:r>
        <w:rPr>
          <w:rFonts w:ascii="Bookman Old Style" w:hAnsi="Bookman Old Style" w:cs="Times New Roman"/>
          <w:highlight w:val="green"/>
        </w:rPr>
        <w:t>6</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867503" w:rsidRPr="00E41274" w:rsidRDefault="00867503" w:rsidP="00867503">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867503" w:rsidRDefault="00867503">
      <w:pPr>
        <w:pStyle w:val="CommentText"/>
      </w:pPr>
    </w:p>
  </w:comment>
  <w:comment w:id="1" w:author="Kapil" w:date="2021-03-29T13:56:00Z" w:initials="K">
    <w:p w:rsidR="00BC7142" w:rsidRPr="00B20A3C" w:rsidRDefault="00BC7142" w:rsidP="00BC7142">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 L</w:t>
      </w:r>
      <w:r w:rsidRPr="00B20A3C">
        <w:rPr>
          <w:rFonts w:ascii="Bookman Old Style" w:hAnsi="Bookman Old Style" w:cs="Times New Roman"/>
        </w:rPr>
        <w:t xml:space="preserve">ot of work is </w:t>
      </w:r>
      <w:r>
        <w:rPr>
          <w:rFonts w:ascii="Bookman Old Style" w:hAnsi="Bookman Old Style" w:cs="Times New Roman"/>
        </w:rPr>
        <w:t xml:space="preserve">already </w:t>
      </w:r>
      <w:r w:rsidRPr="00B20A3C">
        <w:rPr>
          <w:rFonts w:ascii="Bookman Old Style" w:hAnsi="Bookman Old Style" w:cs="Times New Roman"/>
        </w:rPr>
        <w:t>done on this topic</w:t>
      </w:r>
      <w:r>
        <w:rPr>
          <w:rFonts w:ascii="Bookman Old Style" w:hAnsi="Bookman Old Style" w:cs="Times New Roman"/>
        </w:rPr>
        <w:t xml:space="preserve"> by many researchers</w:t>
      </w:r>
      <w:r w:rsidRPr="00B20A3C">
        <w:rPr>
          <w:rFonts w:ascii="Bookman Old Style" w:hAnsi="Bookman Old Style" w:cs="Times New Roman"/>
        </w:rPr>
        <w:t>; author should mention the difference between the existing work and in this current work.</w:t>
      </w:r>
    </w:p>
    <w:p w:rsidR="00BC7142" w:rsidRDefault="00BC7142" w:rsidP="00BC7142">
      <w:pPr>
        <w:spacing w:after="0"/>
      </w:pPr>
    </w:p>
  </w:comment>
  <w:comment w:id="3" w:author="DELL" w:date="2019-10-01T17:29:00Z" w:initials="D">
    <w:p w:rsidR="005A70BF" w:rsidRDefault="005A70BF">
      <w:pPr>
        <w:pStyle w:val="CommentText"/>
      </w:pPr>
      <w:r>
        <w:rPr>
          <w:rStyle w:val="CommentReference"/>
        </w:rPr>
        <w:annotationRef/>
      </w:r>
      <w:r>
        <w:t>Tween</w:t>
      </w:r>
    </w:p>
  </w:comment>
  <w:comment w:id="2" w:author="Kapil" w:date="2021-03-29T13:36:00Z" w:initials="K">
    <w:p w:rsidR="00BC7142" w:rsidRPr="00EE2A57" w:rsidRDefault="00BC7142" w:rsidP="00BC7142">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 xml:space="preserve">Please divide the abstract in below </w:t>
      </w:r>
    </w:p>
    <w:p w:rsidR="00BC7142" w:rsidRPr="00EE2A57" w:rsidRDefault="00BC7142" w:rsidP="00BC7142">
      <w:pPr>
        <w:pStyle w:val="CommentText"/>
        <w:rPr>
          <w:rFonts w:ascii="Bookman Old Style" w:hAnsi="Bookman Old Style" w:cs="Times New Roman"/>
          <w:b/>
        </w:rPr>
      </w:pPr>
      <w:r w:rsidRPr="00EE2A57">
        <w:rPr>
          <w:rFonts w:ascii="Bookman Old Style" w:hAnsi="Bookman Old Style" w:cs="Times New Roman"/>
          <w:b/>
        </w:rPr>
        <w:t>Aim and objective</w:t>
      </w:r>
    </w:p>
    <w:p w:rsidR="00BC7142" w:rsidRPr="00EE2A57" w:rsidRDefault="00BC7142" w:rsidP="00BC7142">
      <w:pPr>
        <w:pStyle w:val="CommentText"/>
        <w:rPr>
          <w:rFonts w:ascii="Bookman Old Style" w:hAnsi="Bookman Old Style" w:cs="Times New Roman"/>
          <w:b/>
        </w:rPr>
      </w:pPr>
      <w:r w:rsidRPr="00EE2A57">
        <w:rPr>
          <w:rFonts w:ascii="Bookman Old Style" w:hAnsi="Bookman Old Style" w:cs="Times New Roman"/>
          <w:b/>
        </w:rPr>
        <w:t>Methods</w:t>
      </w:r>
    </w:p>
    <w:p w:rsidR="00BC7142" w:rsidRPr="00EE2A57" w:rsidRDefault="00BC7142" w:rsidP="00BC7142">
      <w:pPr>
        <w:pStyle w:val="CommentText"/>
        <w:rPr>
          <w:rFonts w:ascii="Bookman Old Style" w:hAnsi="Bookman Old Style" w:cs="Times New Roman"/>
          <w:b/>
        </w:rPr>
      </w:pPr>
      <w:r w:rsidRPr="00EE2A57">
        <w:rPr>
          <w:rFonts w:ascii="Bookman Old Style" w:hAnsi="Bookman Old Style" w:cs="Times New Roman"/>
          <w:b/>
        </w:rPr>
        <w:t>Results</w:t>
      </w:r>
    </w:p>
    <w:p w:rsidR="00BC7142" w:rsidRPr="00EE2A57" w:rsidRDefault="00BC7142" w:rsidP="00BC7142">
      <w:pPr>
        <w:pStyle w:val="CommentText"/>
        <w:rPr>
          <w:rFonts w:ascii="Bookman Old Style" w:hAnsi="Bookman Old Style" w:cs="Times New Roman"/>
          <w:b/>
        </w:rPr>
      </w:pPr>
      <w:r w:rsidRPr="00EE2A57">
        <w:rPr>
          <w:rFonts w:ascii="Bookman Old Style" w:hAnsi="Bookman Old Style" w:cs="Times New Roman"/>
          <w:b/>
        </w:rPr>
        <w:t>Conclusion</w:t>
      </w:r>
    </w:p>
    <w:p w:rsidR="00BC7142" w:rsidRPr="00EE2A57" w:rsidRDefault="00BC7142" w:rsidP="00BC7142">
      <w:pPr>
        <w:pStyle w:val="CommentText"/>
        <w:rPr>
          <w:rFonts w:ascii="Bookman Old Style" w:hAnsi="Bookman Old Style" w:cs="Times New Roman"/>
        </w:rPr>
      </w:pPr>
      <w:r w:rsidRPr="00EE2A57">
        <w:rPr>
          <w:rFonts w:ascii="Bookman Old Style" w:hAnsi="Bookman Old Style" w:cs="Times New Roman"/>
          <w:b/>
        </w:rPr>
        <w:t>Keywords</w:t>
      </w:r>
    </w:p>
    <w:p w:rsidR="00BC7142" w:rsidRDefault="00BC7142">
      <w:pPr>
        <w:pStyle w:val="CommentText"/>
      </w:pPr>
    </w:p>
  </w:comment>
  <w:comment w:id="5" w:author="DELL" w:date="2019-10-01T16:26:00Z" w:initials="D">
    <w:p w:rsidR="009A4B07" w:rsidRDefault="009A4B07">
      <w:pPr>
        <w:pStyle w:val="CommentText"/>
      </w:pPr>
      <w:r>
        <w:rPr>
          <w:rStyle w:val="CommentReference"/>
        </w:rPr>
        <w:annotationRef/>
      </w:r>
      <w:r>
        <w:t>Spacing</w:t>
      </w:r>
    </w:p>
  </w:comment>
  <w:comment w:id="4" w:author="Kapil" w:date="2021-05-11T11:04:00Z" w:initials="K">
    <w:p w:rsidR="000066CD" w:rsidRPr="00302A00" w:rsidRDefault="000066CD" w:rsidP="000066CD">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0066CD" w:rsidRDefault="000066CD">
      <w:pPr>
        <w:pStyle w:val="CommentText"/>
      </w:pPr>
    </w:p>
  </w:comment>
  <w:comment w:id="6" w:author="Kapil" w:date="2021-05-11T11:04:00Z" w:initials="K">
    <w:p w:rsidR="000066CD" w:rsidRDefault="000066CD" w:rsidP="000066CD">
      <w:pPr>
        <w:spacing w:after="0"/>
        <w:rPr>
          <w:rFonts w:ascii="Bookman Old Style" w:hAnsi="Bookman Old Style" w:cs="Times New Roman"/>
        </w:rPr>
      </w:pPr>
      <w:r>
        <w:rPr>
          <w:rStyle w:val="CommentReference"/>
        </w:rPr>
        <w:annotationRef/>
      </w:r>
      <w:r w:rsidRPr="001C79BE">
        <w:rPr>
          <w:rFonts w:ascii="Bookman Old Style" w:hAnsi="Bookman Old Style" w:cs="Times New Roman"/>
        </w:rPr>
        <w:t>Lacks the highlighti</w:t>
      </w:r>
      <w:r>
        <w:rPr>
          <w:rFonts w:ascii="Bookman Old Style" w:hAnsi="Bookman Old Style" w:cs="Times New Roman"/>
        </w:rPr>
        <w:t xml:space="preserve">ng of major purpose of research work. </w:t>
      </w:r>
    </w:p>
    <w:p w:rsidR="000066CD" w:rsidRDefault="000066CD">
      <w:pPr>
        <w:pStyle w:val="CommentText"/>
      </w:pPr>
    </w:p>
  </w:comment>
  <w:comment w:id="8" w:author="DELL" w:date="2019-10-01T16:26:00Z" w:initials="D">
    <w:p w:rsidR="009A4B07" w:rsidRDefault="009A4B07">
      <w:pPr>
        <w:pStyle w:val="CommentText"/>
      </w:pPr>
      <w:r>
        <w:rPr>
          <w:rStyle w:val="CommentReference"/>
        </w:rPr>
        <w:annotationRef/>
      </w:r>
      <w:r>
        <w:t>Spacing</w:t>
      </w:r>
    </w:p>
  </w:comment>
  <w:comment w:id="9" w:author="DELL" w:date="2019-10-01T16:26:00Z" w:initials="D">
    <w:p w:rsidR="009A4B07" w:rsidRDefault="009A4B07">
      <w:pPr>
        <w:pStyle w:val="CommentText"/>
      </w:pPr>
      <w:r>
        <w:rPr>
          <w:rStyle w:val="CommentReference"/>
        </w:rPr>
        <w:annotationRef/>
      </w:r>
      <w:r>
        <w:t>Spacing</w:t>
      </w:r>
    </w:p>
  </w:comment>
  <w:comment w:id="7" w:author="Kapil" w:date="2021-05-11T11:05:00Z" w:initials="K">
    <w:p w:rsidR="000066CD" w:rsidRDefault="000066CD">
      <w:pPr>
        <w:pStyle w:val="CommentText"/>
      </w:pPr>
      <w:r>
        <w:rPr>
          <w:rStyle w:val="CommentReference"/>
        </w:rPr>
        <w:annotationRef/>
      </w:r>
      <w:r>
        <w:t>Give proper reason why Etoricoxib was used as the model drug</w:t>
      </w:r>
    </w:p>
  </w:comment>
  <w:comment w:id="11" w:author="DELL" w:date="2019-10-01T17:28:00Z" w:initials="D">
    <w:p w:rsidR="005A70BF" w:rsidRDefault="005A70BF">
      <w:pPr>
        <w:pStyle w:val="CommentText"/>
      </w:pPr>
      <w:r>
        <w:rPr>
          <w:rStyle w:val="CommentReference"/>
        </w:rPr>
        <w:annotationRef/>
      </w:r>
      <w:r>
        <w:t>Tween</w:t>
      </w:r>
    </w:p>
  </w:comment>
  <w:comment w:id="13" w:author="DELL" w:date="2019-10-01T17:23:00Z" w:initials="D">
    <w:p w:rsidR="002A121F" w:rsidRDefault="002A121F">
      <w:pPr>
        <w:pStyle w:val="CommentText"/>
      </w:pPr>
      <w:r>
        <w:rPr>
          <w:rStyle w:val="CommentReference"/>
        </w:rPr>
        <w:annotationRef/>
      </w:r>
      <w:r>
        <w:t>spacing</w:t>
      </w:r>
    </w:p>
  </w:comment>
  <w:comment w:id="14" w:author="DELL" w:date="2019-10-01T17:29:00Z" w:initials="D">
    <w:p w:rsidR="005A70BF" w:rsidRDefault="005A70BF">
      <w:pPr>
        <w:pStyle w:val="CommentText"/>
      </w:pPr>
      <w:r>
        <w:rPr>
          <w:rStyle w:val="CommentReference"/>
        </w:rPr>
        <w:annotationRef/>
      </w:r>
      <w:r>
        <w:t>Tween</w:t>
      </w:r>
    </w:p>
  </w:comment>
  <w:comment w:id="10" w:author="Kapil" w:date="2021-05-11T11:05:00Z" w:initials="K">
    <w:p w:rsidR="000066CD" w:rsidRDefault="000066CD" w:rsidP="000066CD">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0066CD" w:rsidRDefault="000066CD">
      <w:pPr>
        <w:pStyle w:val="CommentText"/>
      </w:pPr>
    </w:p>
  </w:comment>
  <w:comment w:id="12" w:author="Kapil" w:date="2021-03-29T13:57:00Z" w:initials="K">
    <w:p w:rsidR="00BC7142" w:rsidRDefault="00BC7142" w:rsidP="00BC7142">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C7142" w:rsidRDefault="00BC7142">
      <w:pPr>
        <w:pStyle w:val="CommentText"/>
      </w:pPr>
    </w:p>
  </w:comment>
  <w:comment w:id="15" w:author="Kapil" w:date="2021-03-29T13:56:00Z" w:initials="K">
    <w:p w:rsidR="00BC7142" w:rsidRDefault="00BC7142" w:rsidP="00BC7142">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BC7142" w:rsidRDefault="00BC7142">
      <w:pPr>
        <w:pStyle w:val="CommentText"/>
      </w:pPr>
    </w:p>
  </w:comment>
  <w:comment w:id="16" w:author="DELL" w:date="2019-10-01T17:26:00Z" w:initials="D">
    <w:p w:rsidR="002A121F" w:rsidRDefault="002A121F">
      <w:pPr>
        <w:pStyle w:val="CommentText"/>
      </w:pPr>
      <w:r>
        <w:rPr>
          <w:rStyle w:val="CommentReference"/>
        </w:rPr>
        <w:annotationRef/>
      </w:r>
      <w:r>
        <w:t>Table</w:t>
      </w:r>
    </w:p>
  </w:comment>
  <w:comment w:id="18" w:author="DELL" w:date="2019-10-01T16:26:00Z" w:initials="D">
    <w:p w:rsidR="009A4B07" w:rsidRDefault="009A4B07">
      <w:pPr>
        <w:pStyle w:val="CommentText"/>
      </w:pPr>
      <w:r>
        <w:rPr>
          <w:rStyle w:val="CommentReference"/>
        </w:rPr>
        <w:annotationRef/>
      </w:r>
      <w:r>
        <w:t>Spacing</w:t>
      </w:r>
    </w:p>
  </w:comment>
  <w:comment w:id="19" w:author="Kapil" w:date="2021-03-29T13:56:00Z" w:initials="K">
    <w:p w:rsidR="00BC7142" w:rsidRDefault="00BC7142" w:rsidP="00BC7142">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BC7142" w:rsidRDefault="00BC7142">
      <w:pPr>
        <w:pStyle w:val="CommentText"/>
      </w:pPr>
    </w:p>
  </w:comment>
  <w:comment w:id="21" w:author="Kapil" w:date="2021-03-29T13:56:00Z" w:initials="K">
    <w:p w:rsidR="00BC7142" w:rsidRDefault="00BC7142" w:rsidP="00BC7142">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BC7142" w:rsidRDefault="00BC7142">
      <w:pPr>
        <w:pStyle w:val="CommentText"/>
      </w:pPr>
    </w:p>
  </w:comment>
  <w:comment w:id="22" w:author="DELL" w:date="2019-10-01T16:26:00Z" w:initials="D">
    <w:p w:rsidR="009A4B07" w:rsidRDefault="009A4B07">
      <w:pPr>
        <w:pStyle w:val="CommentText"/>
      </w:pPr>
      <w:r>
        <w:rPr>
          <w:rStyle w:val="CommentReference"/>
        </w:rPr>
        <w:annotationRef/>
      </w:r>
      <w:r>
        <w:t>Spacing</w:t>
      </w:r>
    </w:p>
  </w:comment>
  <w:comment w:id="17" w:author="Kapil" w:date="2021-05-11T11:05:00Z" w:initials="K">
    <w:p w:rsidR="000066CD" w:rsidRDefault="000066CD" w:rsidP="000066CD">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w:t>
      </w:r>
    </w:p>
    <w:p w:rsidR="000066CD" w:rsidRDefault="000066CD">
      <w:pPr>
        <w:pStyle w:val="CommentText"/>
      </w:pPr>
    </w:p>
  </w:comment>
  <w:comment w:id="20" w:author="Kapil" w:date="2021-03-29T13:57:00Z" w:initials="K">
    <w:p w:rsidR="00BC7142" w:rsidRDefault="00BC7142" w:rsidP="00BC7142">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C7142" w:rsidRDefault="00BC7142">
      <w:pPr>
        <w:pStyle w:val="CommentText"/>
      </w:pPr>
    </w:p>
  </w:comment>
  <w:comment w:id="23" w:author="DELL" w:date="2019-10-01T16:29:00Z" w:initials="D">
    <w:p w:rsidR="009A4B07" w:rsidRDefault="009A4B07">
      <w:pPr>
        <w:pStyle w:val="CommentText"/>
      </w:pPr>
      <w:r>
        <w:rPr>
          <w:rStyle w:val="CommentReference"/>
        </w:rPr>
        <w:annotationRef/>
      </w:r>
      <w:r>
        <w:t>Italic</w:t>
      </w:r>
    </w:p>
  </w:comment>
  <w:comment w:id="25" w:author="DELL" w:date="2019-10-01T16:27:00Z" w:initials="D">
    <w:p w:rsidR="009A4B07" w:rsidRDefault="009A4B07">
      <w:pPr>
        <w:pStyle w:val="CommentText"/>
      </w:pPr>
      <w:r>
        <w:rPr>
          <w:rStyle w:val="CommentReference"/>
        </w:rPr>
        <w:annotationRef/>
      </w:r>
      <w:r>
        <w:t>Spacing</w:t>
      </w:r>
    </w:p>
  </w:comment>
  <w:comment w:id="24" w:author="Kapil" w:date="2021-05-11T11:05:00Z" w:initials="K">
    <w:p w:rsidR="000066CD" w:rsidRDefault="000066CD" w:rsidP="000066CD">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0066CD" w:rsidRDefault="000066CD">
      <w:pPr>
        <w:pStyle w:val="CommentText"/>
      </w:pPr>
    </w:p>
  </w:comment>
  <w:comment w:id="26" w:author="DELL" w:date="2019-10-01T16:27:00Z" w:initials="D">
    <w:p w:rsidR="009A4B07" w:rsidRDefault="009A4B07">
      <w:pPr>
        <w:pStyle w:val="CommentText"/>
      </w:pPr>
      <w:r>
        <w:rPr>
          <w:rStyle w:val="CommentReference"/>
        </w:rPr>
        <w:annotationRef/>
      </w:r>
      <w:r>
        <w:t>Spacing</w:t>
      </w:r>
    </w:p>
  </w:comment>
  <w:comment w:id="27" w:author="DELL" w:date="2019-10-01T16:29:00Z" w:initials="D">
    <w:p w:rsidR="009A4B07" w:rsidRDefault="009A4B07">
      <w:pPr>
        <w:pStyle w:val="CommentText"/>
      </w:pPr>
      <w:r>
        <w:rPr>
          <w:rStyle w:val="CommentReference"/>
        </w:rPr>
        <w:annotationRef/>
      </w:r>
      <w:r>
        <w:t>Italic</w:t>
      </w:r>
    </w:p>
  </w:comment>
  <w:comment w:id="29" w:author="DELL" w:date="2019-10-01T16:27:00Z" w:initials="D">
    <w:p w:rsidR="009A4B07" w:rsidRDefault="009A4B07">
      <w:pPr>
        <w:pStyle w:val="CommentText"/>
      </w:pPr>
      <w:r>
        <w:rPr>
          <w:rStyle w:val="CommentReference"/>
        </w:rPr>
        <w:annotationRef/>
      </w:r>
      <w:r>
        <w:t>Spacing</w:t>
      </w:r>
    </w:p>
  </w:comment>
  <w:comment w:id="28" w:author="Kapil" w:date="2021-05-11T11:05:00Z" w:initials="K">
    <w:p w:rsidR="000066CD" w:rsidRDefault="000066CD" w:rsidP="000066CD">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0066CD" w:rsidRDefault="000066CD">
      <w:pPr>
        <w:pStyle w:val="CommentText"/>
      </w:pPr>
    </w:p>
  </w:comment>
  <w:comment w:id="30" w:author="DELL" w:date="2019-10-01T17:25:00Z" w:initials="D">
    <w:p w:rsidR="002A121F" w:rsidRDefault="002A121F">
      <w:pPr>
        <w:pStyle w:val="CommentText"/>
      </w:pPr>
      <w:r>
        <w:rPr>
          <w:rStyle w:val="CommentReference"/>
        </w:rPr>
        <w:annotationRef/>
      </w:r>
      <w:r>
        <w:t>Cite the reference</w:t>
      </w:r>
    </w:p>
  </w:comment>
  <w:comment w:id="32" w:author="Kapil" w:date="2021-03-29T13:57:00Z" w:initials="K">
    <w:p w:rsidR="00BC7142" w:rsidRPr="00EE2A57" w:rsidRDefault="00BC7142" w:rsidP="00BC7142">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use Microsoft equation tool</w:t>
      </w:r>
      <w:r>
        <w:rPr>
          <w:rFonts w:ascii="Bookman Old Style" w:hAnsi="Bookman Old Style" w:cs="Times New Roman"/>
        </w:rPr>
        <w:t>.</w:t>
      </w:r>
    </w:p>
    <w:p w:rsidR="00BC7142" w:rsidRDefault="00BC7142">
      <w:pPr>
        <w:pStyle w:val="CommentText"/>
      </w:pPr>
    </w:p>
  </w:comment>
  <w:comment w:id="33" w:author="DELL" w:date="2019-10-01T17:25:00Z" w:initials="D">
    <w:p w:rsidR="002A121F" w:rsidRDefault="002A121F">
      <w:pPr>
        <w:pStyle w:val="CommentText"/>
      </w:pPr>
      <w:r>
        <w:rPr>
          <w:rStyle w:val="CommentReference"/>
        </w:rPr>
        <w:annotationRef/>
      </w:r>
      <w:r>
        <w:t>Cite the reference</w:t>
      </w:r>
    </w:p>
  </w:comment>
  <w:comment w:id="34" w:author="Kapil" w:date="2021-03-29T13:57:00Z" w:initials="K">
    <w:p w:rsidR="00BC7142" w:rsidRPr="00EE2A57" w:rsidRDefault="00BC7142" w:rsidP="00BC7142">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use Microsoft equation tool</w:t>
      </w:r>
      <w:r>
        <w:rPr>
          <w:rFonts w:ascii="Bookman Old Style" w:hAnsi="Bookman Old Style" w:cs="Times New Roman"/>
        </w:rPr>
        <w:t>.</w:t>
      </w:r>
    </w:p>
    <w:p w:rsidR="00BC7142" w:rsidRDefault="00BC7142">
      <w:pPr>
        <w:pStyle w:val="CommentText"/>
      </w:pPr>
    </w:p>
  </w:comment>
  <w:comment w:id="31" w:author="Kapil" w:date="2021-05-11T11:06:00Z" w:initials="K">
    <w:p w:rsidR="000066CD" w:rsidRDefault="000066CD" w:rsidP="000066CD">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0066CD" w:rsidRDefault="000066CD">
      <w:pPr>
        <w:pStyle w:val="CommentText"/>
      </w:pPr>
    </w:p>
  </w:comment>
  <w:comment w:id="36" w:author="DELL" w:date="2019-10-01T16:28:00Z" w:initials="D">
    <w:p w:rsidR="009A4B07" w:rsidRDefault="009A4B07">
      <w:pPr>
        <w:pStyle w:val="CommentText"/>
      </w:pPr>
      <w:r>
        <w:rPr>
          <w:rStyle w:val="CommentReference"/>
        </w:rPr>
        <w:annotationRef/>
      </w:r>
      <w:r>
        <w:t>Spacing</w:t>
      </w:r>
    </w:p>
  </w:comment>
  <w:comment w:id="37" w:author="DELL" w:date="2019-10-01T17:29:00Z" w:initials="D">
    <w:p w:rsidR="005A70BF" w:rsidRDefault="005A70BF">
      <w:pPr>
        <w:pStyle w:val="CommentText"/>
      </w:pPr>
      <w:r>
        <w:rPr>
          <w:rStyle w:val="CommentReference"/>
        </w:rPr>
        <w:annotationRef/>
      </w:r>
      <w:r>
        <w:t>Tween</w:t>
      </w:r>
    </w:p>
  </w:comment>
  <w:comment w:id="35" w:author="Kapil" w:date="2021-05-11T11:06:00Z" w:initials="K">
    <w:p w:rsidR="000066CD" w:rsidRDefault="000066CD" w:rsidP="000066CD">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w:t>
      </w:r>
      <w:r>
        <w:rPr>
          <w:rFonts w:ascii="Bookman Old Style" w:hAnsi="Bookman Old Style" w:cs="Times New Roman"/>
        </w:rPr>
        <w:t>.</w:t>
      </w:r>
    </w:p>
    <w:p w:rsidR="000066CD" w:rsidRDefault="000066CD">
      <w:pPr>
        <w:pStyle w:val="CommentText"/>
      </w:pPr>
    </w:p>
  </w:comment>
  <w:comment w:id="38" w:author="DELL" w:date="2019-10-01T17:26:00Z" w:initials="D">
    <w:p w:rsidR="002A121F" w:rsidRDefault="002A121F">
      <w:pPr>
        <w:pStyle w:val="CommentText"/>
      </w:pPr>
      <w:r>
        <w:rPr>
          <w:rStyle w:val="CommentReference"/>
        </w:rPr>
        <w:annotationRef/>
      </w:r>
      <w:r>
        <w:t>Table</w:t>
      </w:r>
    </w:p>
  </w:comment>
  <w:comment w:id="40" w:author="DELL" w:date="2019-10-01T17:26:00Z" w:initials="D">
    <w:p w:rsidR="002A121F" w:rsidRDefault="002A121F">
      <w:pPr>
        <w:pStyle w:val="CommentText"/>
      </w:pPr>
      <w:r>
        <w:rPr>
          <w:rStyle w:val="CommentReference"/>
        </w:rPr>
        <w:annotationRef/>
      </w:r>
      <w:r>
        <w:t>spacing</w:t>
      </w:r>
    </w:p>
  </w:comment>
  <w:comment w:id="39" w:author="Kapil" w:date="2021-05-11T11:06:00Z" w:initials="K">
    <w:p w:rsidR="000066CD" w:rsidRDefault="000066CD" w:rsidP="000066CD">
      <w:pPr>
        <w:spacing w:after="0"/>
        <w:rPr>
          <w:rFonts w:ascii="Bookman Old Style" w:hAnsi="Bookman Old Style" w:cs="Times New Roman"/>
        </w:rPr>
      </w:pPr>
      <w:r>
        <w:rPr>
          <w:rStyle w:val="CommentReference"/>
        </w:rPr>
        <w:annotationRef/>
      </w:r>
      <w:r w:rsidRPr="008557B3">
        <w:rPr>
          <w:rFonts w:ascii="Bookman Old Style" w:hAnsi="Bookman Old Style" w:cs="Times New Roman"/>
        </w:rPr>
        <w:t>Results need to be given with proper format of the journal.</w:t>
      </w:r>
    </w:p>
    <w:p w:rsidR="000066CD" w:rsidRDefault="000066CD">
      <w:pPr>
        <w:pStyle w:val="CommentText"/>
      </w:pPr>
    </w:p>
  </w:comment>
  <w:comment w:id="42" w:author="DELL" w:date="2019-10-01T17:26:00Z" w:initials="D">
    <w:p w:rsidR="002A121F" w:rsidRDefault="002A121F">
      <w:pPr>
        <w:pStyle w:val="CommentText"/>
      </w:pPr>
      <w:r>
        <w:rPr>
          <w:rStyle w:val="CommentReference"/>
        </w:rPr>
        <w:annotationRef/>
      </w:r>
      <w:r>
        <w:t>Table</w:t>
      </w:r>
    </w:p>
  </w:comment>
  <w:comment w:id="41" w:author="Kapil" w:date="2021-05-11T11:06:00Z" w:initials="K">
    <w:p w:rsidR="000066CD" w:rsidRDefault="000066CD" w:rsidP="000066CD">
      <w:pPr>
        <w:spacing w:after="0"/>
        <w:rPr>
          <w:rFonts w:ascii="Bookman Old Style" w:hAnsi="Bookman Old Style" w:cs="Times New Roman"/>
        </w:rPr>
      </w:pPr>
      <w:r>
        <w:rPr>
          <w:rStyle w:val="CommentReference"/>
        </w:rPr>
        <w:annotationRef/>
      </w:r>
      <w:r w:rsidRPr="008557B3">
        <w:rPr>
          <w:rFonts w:ascii="Bookman Old Style" w:hAnsi="Bookman Old Style" w:cs="Times New Roman"/>
        </w:rPr>
        <w:t>Results need to be discussed by the related studies and they should be referred properly.</w:t>
      </w:r>
    </w:p>
    <w:p w:rsidR="000066CD" w:rsidRDefault="000066CD">
      <w:pPr>
        <w:pStyle w:val="CommentText"/>
      </w:pPr>
    </w:p>
  </w:comment>
  <w:comment w:id="44" w:author="DELL" w:date="2019-10-01T17:28:00Z" w:initials="D">
    <w:p w:rsidR="005A70BF" w:rsidRDefault="005A70BF">
      <w:pPr>
        <w:pStyle w:val="CommentText"/>
      </w:pPr>
      <w:r>
        <w:rPr>
          <w:rStyle w:val="CommentReference"/>
        </w:rPr>
        <w:annotationRef/>
      </w:r>
      <w:r>
        <w:t>Tween</w:t>
      </w:r>
    </w:p>
  </w:comment>
  <w:comment w:id="43" w:author="Kapil" w:date="2021-05-11T11:07:00Z" w:initials="K">
    <w:p w:rsidR="000066CD" w:rsidRPr="00C91010" w:rsidRDefault="000066CD" w:rsidP="000066CD">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0066CD" w:rsidRDefault="000066CD">
      <w:pPr>
        <w:pStyle w:val="CommentText"/>
      </w:pPr>
    </w:p>
  </w:comment>
  <w:comment w:id="45" w:author="Kapil" w:date="2021-03-29T13:37:00Z" w:initials="K">
    <w:p w:rsidR="00BC7142" w:rsidRPr="00186B8E" w:rsidRDefault="00BC7142" w:rsidP="00BC714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BC7142" w:rsidRDefault="00BC7142" w:rsidP="00BC7142">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BC7142" w:rsidRDefault="00F44D81" w:rsidP="00BC7142">
      <w:pPr>
        <w:spacing w:after="0" w:line="240" w:lineRule="auto"/>
        <w:jc w:val="both"/>
        <w:rPr>
          <w:rFonts w:ascii="Bookman Old Style" w:hAnsi="Bookman Old Style" w:cs="Times New Roman"/>
        </w:rPr>
      </w:pPr>
      <w:hyperlink r:id="rId3" w:history="1">
        <w:r w:rsidR="00BC7142" w:rsidRPr="006504E1">
          <w:rPr>
            <w:rStyle w:val="Hyperlink"/>
            <w:rFonts w:ascii="Bookman Old Style" w:hAnsi="Bookman Old Style" w:cs="Times New Roman"/>
          </w:rPr>
          <w:t>http://doi.org/10.22270/ujpr.v1i1.R1</w:t>
        </w:r>
      </w:hyperlink>
    </w:p>
    <w:p w:rsidR="00BC7142" w:rsidRDefault="00BC7142">
      <w:pPr>
        <w:pStyle w:val="CommentText"/>
      </w:pPr>
    </w:p>
  </w:comment>
  <w:comment w:id="46" w:author="Kapil" w:date="2021-03-29T13:38:00Z" w:initials="K">
    <w:p w:rsidR="00BC7142" w:rsidRDefault="00BC7142" w:rsidP="00BC7142">
      <w:pPr>
        <w:spacing w:after="0"/>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BC7142" w:rsidRDefault="00F44D81" w:rsidP="00BC7142">
      <w:pPr>
        <w:spacing w:after="0"/>
        <w:rPr>
          <w:rFonts w:ascii="Bookman Old Style" w:hAnsi="Bookman Old Style" w:cs="Times New Roman"/>
        </w:rPr>
      </w:pPr>
      <w:hyperlink r:id="rId4" w:history="1">
        <w:r w:rsidR="00BC7142" w:rsidRPr="006504E1">
          <w:rPr>
            <w:rStyle w:val="Hyperlink"/>
            <w:rFonts w:ascii="Bookman Old Style" w:hAnsi="Bookman Old Style" w:cs="Times New Roman"/>
          </w:rPr>
          <w:t>http://doi.org/10.22270/ujpr.v1i1.R1</w:t>
        </w:r>
      </w:hyperlink>
    </w:p>
    <w:p w:rsidR="00BC7142" w:rsidRDefault="00BC7142">
      <w:pPr>
        <w:pStyle w:val="CommentText"/>
      </w:pPr>
    </w:p>
  </w:comment>
  <w:comment w:id="47" w:author="DELL" w:date="2019-10-01T16:50:00Z" w:initials="D">
    <w:p w:rsidR="001F2965" w:rsidRDefault="001F2965">
      <w:pPr>
        <w:pStyle w:val="CommentText"/>
      </w:pPr>
      <w:r>
        <w:rPr>
          <w:rStyle w:val="CommentReference"/>
        </w:rPr>
        <w:annotationRef/>
      </w:r>
      <w:r>
        <w:t>Asian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1D6" w:rsidRDefault="003551D6" w:rsidP="00053B21">
      <w:pPr>
        <w:spacing w:after="0" w:line="240" w:lineRule="auto"/>
      </w:pPr>
      <w:r>
        <w:separator/>
      </w:r>
    </w:p>
  </w:endnote>
  <w:endnote w:type="continuationSeparator" w:id="1">
    <w:p w:rsidR="003551D6" w:rsidRDefault="003551D6" w:rsidP="00053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Antiqua-Bold">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1D6" w:rsidRDefault="003551D6" w:rsidP="00053B21">
      <w:pPr>
        <w:spacing w:after="0" w:line="240" w:lineRule="auto"/>
      </w:pPr>
      <w:r>
        <w:separator/>
      </w:r>
    </w:p>
  </w:footnote>
  <w:footnote w:type="continuationSeparator" w:id="1">
    <w:p w:rsidR="003551D6" w:rsidRDefault="003551D6" w:rsidP="00053B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21" w:rsidRDefault="00F44D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3172" o:spid="_x0000_s2050" type="#_x0000_t136" style="position:absolute;margin-left:0;margin-top:0;width:444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21" w:rsidRDefault="00F44D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3173" o:spid="_x0000_s2051" type="#_x0000_t136" style="position:absolute;margin-left:0;margin-top:0;width:444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21" w:rsidRDefault="00F44D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3171" o:spid="_x0000_s2049" type="#_x0000_t136" style="position:absolute;margin-left:0;margin-top:0;width:444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2A4"/>
    <w:multiLevelType w:val="hybridMultilevel"/>
    <w:tmpl w:val="36D600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053B21"/>
    <w:rsid w:val="000066CD"/>
    <w:rsid w:val="00053B21"/>
    <w:rsid w:val="000D0374"/>
    <w:rsid w:val="001F2965"/>
    <w:rsid w:val="00206E3A"/>
    <w:rsid w:val="002A121F"/>
    <w:rsid w:val="003551D6"/>
    <w:rsid w:val="005A70BF"/>
    <w:rsid w:val="005E4582"/>
    <w:rsid w:val="007C302F"/>
    <w:rsid w:val="00850436"/>
    <w:rsid w:val="00867503"/>
    <w:rsid w:val="008A306F"/>
    <w:rsid w:val="00925145"/>
    <w:rsid w:val="009A4B07"/>
    <w:rsid w:val="00A151C6"/>
    <w:rsid w:val="00BC7142"/>
    <w:rsid w:val="00E10E26"/>
    <w:rsid w:val="00E80EFF"/>
    <w:rsid w:val="00F44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6F"/>
  </w:style>
  <w:style w:type="paragraph" w:styleId="Heading1">
    <w:name w:val="heading 1"/>
    <w:basedOn w:val="Normal"/>
    <w:link w:val="Heading1Char"/>
    <w:uiPriority w:val="9"/>
    <w:qFormat/>
    <w:rsid w:val="00053B2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unhideWhenUsed/>
    <w:qFormat/>
    <w:rsid w:val="00053B21"/>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B21"/>
    <w:rPr>
      <w:rFonts w:ascii="Times New Roman" w:eastAsia="Times New Roman" w:hAnsi="Times New Roman" w:cs="Times New Roman"/>
      <w:b/>
      <w:bCs/>
      <w:kern w:val="36"/>
      <w:sz w:val="48"/>
      <w:szCs w:val="48"/>
      <w:lang w:val="en-IN" w:eastAsia="en-IN"/>
    </w:rPr>
  </w:style>
  <w:style w:type="paragraph" w:styleId="BalloonText">
    <w:name w:val="Balloon Text"/>
    <w:basedOn w:val="Normal"/>
    <w:link w:val="BalloonTextChar"/>
    <w:uiPriority w:val="99"/>
    <w:semiHidden/>
    <w:unhideWhenUsed/>
    <w:rsid w:val="00053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B21"/>
    <w:rPr>
      <w:rFonts w:ascii="Tahoma" w:hAnsi="Tahoma" w:cs="Tahoma"/>
      <w:sz w:val="16"/>
      <w:szCs w:val="16"/>
    </w:rPr>
  </w:style>
  <w:style w:type="character" w:styleId="Hyperlink">
    <w:name w:val="Hyperlink"/>
    <w:basedOn w:val="DefaultParagraphFont"/>
    <w:uiPriority w:val="99"/>
    <w:unhideWhenUsed/>
    <w:rsid w:val="00053B21"/>
    <w:rPr>
      <w:color w:val="0000FF"/>
      <w:u w:val="single"/>
    </w:rPr>
  </w:style>
  <w:style w:type="paragraph" w:styleId="ListParagraph">
    <w:name w:val="List Paragraph"/>
    <w:basedOn w:val="Normal"/>
    <w:uiPriority w:val="34"/>
    <w:qFormat/>
    <w:rsid w:val="00053B21"/>
    <w:pPr>
      <w:ind w:left="720"/>
      <w:contextualSpacing/>
    </w:pPr>
  </w:style>
  <w:style w:type="character" w:customStyle="1" w:styleId="Heading2Char">
    <w:name w:val="Heading 2 Char"/>
    <w:basedOn w:val="DefaultParagraphFont"/>
    <w:link w:val="Heading2"/>
    <w:uiPriority w:val="9"/>
    <w:rsid w:val="00053B21"/>
    <w:rPr>
      <w:rFonts w:asciiTheme="majorHAnsi" w:eastAsiaTheme="majorEastAsia" w:hAnsiTheme="majorHAnsi" w:cstheme="majorBidi"/>
      <w:b/>
      <w:bCs/>
      <w:color w:val="4F81BD" w:themeColor="accent1"/>
      <w:sz w:val="26"/>
      <w:szCs w:val="26"/>
      <w:lang w:val="en-IN" w:eastAsia="en-IN"/>
    </w:rPr>
  </w:style>
  <w:style w:type="table" w:styleId="TableGrid">
    <w:name w:val="Table Grid"/>
    <w:basedOn w:val="TableNormal"/>
    <w:rsid w:val="00053B21"/>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053B21"/>
    <w:rPr>
      <w:rFonts w:ascii="Cambria" w:hAnsi="Cambria" w:hint="default"/>
      <w:b w:val="0"/>
      <w:bCs w:val="0"/>
      <w:i w:val="0"/>
      <w:iCs w:val="0"/>
      <w:color w:val="000000"/>
      <w:sz w:val="16"/>
      <w:szCs w:val="16"/>
    </w:rPr>
  </w:style>
  <w:style w:type="paragraph" w:styleId="Header">
    <w:name w:val="header"/>
    <w:basedOn w:val="Normal"/>
    <w:link w:val="HeaderChar"/>
    <w:uiPriority w:val="99"/>
    <w:semiHidden/>
    <w:unhideWhenUsed/>
    <w:rsid w:val="00053B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3B21"/>
  </w:style>
  <w:style w:type="paragraph" w:styleId="Footer">
    <w:name w:val="footer"/>
    <w:basedOn w:val="Normal"/>
    <w:link w:val="FooterChar"/>
    <w:uiPriority w:val="99"/>
    <w:semiHidden/>
    <w:unhideWhenUsed/>
    <w:rsid w:val="00053B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3B21"/>
  </w:style>
  <w:style w:type="character" w:styleId="CommentReference">
    <w:name w:val="annotation reference"/>
    <w:basedOn w:val="DefaultParagraphFont"/>
    <w:uiPriority w:val="99"/>
    <w:semiHidden/>
    <w:unhideWhenUsed/>
    <w:rsid w:val="009A4B07"/>
    <w:rPr>
      <w:sz w:val="16"/>
      <w:szCs w:val="16"/>
    </w:rPr>
  </w:style>
  <w:style w:type="paragraph" w:styleId="CommentText">
    <w:name w:val="annotation text"/>
    <w:basedOn w:val="Normal"/>
    <w:link w:val="CommentTextChar"/>
    <w:uiPriority w:val="99"/>
    <w:unhideWhenUsed/>
    <w:rsid w:val="009A4B07"/>
    <w:pPr>
      <w:spacing w:line="240" w:lineRule="auto"/>
    </w:pPr>
    <w:rPr>
      <w:sz w:val="20"/>
      <w:szCs w:val="20"/>
    </w:rPr>
  </w:style>
  <w:style w:type="character" w:customStyle="1" w:styleId="CommentTextChar">
    <w:name w:val="Comment Text Char"/>
    <w:basedOn w:val="DefaultParagraphFont"/>
    <w:link w:val="CommentText"/>
    <w:uiPriority w:val="99"/>
    <w:rsid w:val="009A4B07"/>
    <w:rPr>
      <w:sz w:val="20"/>
      <w:szCs w:val="20"/>
    </w:rPr>
  </w:style>
  <w:style w:type="paragraph" w:styleId="CommentSubject">
    <w:name w:val="annotation subject"/>
    <w:basedOn w:val="CommentText"/>
    <w:next w:val="CommentText"/>
    <w:link w:val="CommentSubjectChar"/>
    <w:uiPriority w:val="99"/>
    <w:semiHidden/>
    <w:unhideWhenUsed/>
    <w:rsid w:val="009A4B07"/>
    <w:rPr>
      <w:b/>
      <w:bCs/>
    </w:rPr>
  </w:style>
  <w:style w:type="character" w:customStyle="1" w:styleId="CommentSubjectChar">
    <w:name w:val="Comment Subject Char"/>
    <w:basedOn w:val="CommentTextChar"/>
    <w:link w:val="CommentSubject"/>
    <w:uiPriority w:val="99"/>
    <w:semiHidden/>
    <w:rsid w:val="009A4B0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ujpr.org/index.php/journal/article/view/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ujpr.org/index.php/journal/article/view/5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473851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E:\A.%20UJPR\Volume%204,%20issue%203-%20May-June%202019\Drafted%201-%20Topical%20gel\Relea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20UJPR\Volume%204,%20issue%203-%20May-June%202019\Drafted%201-%20Topical%20emulgel\A475F00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manualLayout>
          <c:layoutTarget val="inner"/>
          <c:xMode val="edge"/>
          <c:yMode val="edge"/>
          <c:x val="0.13228018372703537"/>
          <c:y val="5.1400554097404488E-2"/>
          <c:w val="0.67086548556430903"/>
          <c:h val="0.78338692038494717"/>
        </c:manualLayout>
      </c:layout>
      <c:scatterChart>
        <c:scatterStyle val="smoothMarker"/>
        <c:ser>
          <c:idx val="0"/>
          <c:order val="0"/>
          <c:tx>
            <c:strRef>
              <c:f>Sheet2!$C$4</c:f>
              <c:strCache>
                <c:ptCount val="1"/>
                <c:pt idx="0">
                  <c:v>EG1</c:v>
                </c:pt>
              </c:strCache>
            </c:strRef>
          </c:tx>
          <c:xVal>
            <c:numRef>
              <c:f>Sheet2!$B$5:$B$12</c:f>
              <c:numCache>
                <c:formatCode>General</c:formatCode>
                <c:ptCount val="8"/>
                <c:pt idx="0">
                  <c:v>0</c:v>
                </c:pt>
                <c:pt idx="1">
                  <c:v>30</c:v>
                </c:pt>
                <c:pt idx="2">
                  <c:v>60</c:v>
                </c:pt>
                <c:pt idx="3">
                  <c:v>90</c:v>
                </c:pt>
                <c:pt idx="4">
                  <c:v>120</c:v>
                </c:pt>
                <c:pt idx="5">
                  <c:v>150</c:v>
                </c:pt>
                <c:pt idx="6">
                  <c:v>180</c:v>
                </c:pt>
                <c:pt idx="7">
                  <c:v>210</c:v>
                </c:pt>
              </c:numCache>
            </c:numRef>
          </c:xVal>
          <c:yVal>
            <c:numRef>
              <c:f>Sheet2!$C$5:$C$12</c:f>
              <c:numCache>
                <c:formatCode>General</c:formatCode>
                <c:ptCount val="8"/>
                <c:pt idx="0">
                  <c:v>0</c:v>
                </c:pt>
                <c:pt idx="1">
                  <c:v>8.6050000000000004</c:v>
                </c:pt>
                <c:pt idx="2">
                  <c:v>16.974999999999987</c:v>
                </c:pt>
                <c:pt idx="3">
                  <c:v>21.36</c:v>
                </c:pt>
                <c:pt idx="4">
                  <c:v>40</c:v>
                </c:pt>
                <c:pt idx="5">
                  <c:v>50</c:v>
                </c:pt>
                <c:pt idx="6">
                  <c:v>60</c:v>
                </c:pt>
                <c:pt idx="7">
                  <c:v>80</c:v>
                </c:pt>
              </c:numCache>
            </c:numRef>
          </c:yVal>
          <c:smooth val="1"/>
        </c:ser>
        <c:ser>
          <c:idx val="1"/>
          <c:order val="1"/>
          <c:tx>
            <c:strRef>
              <c:f>Sheet2!$D$4</c:f>
              <c:strCache>
                <c:ptCount val="1"/>
                <c:pt idx="0">
                  <c:v>EG2</c:v>
                </c:pt>
              </c:strCache>
            </c:strRef>
          </c:tx>
          <c:xVal>
            <c:numRef>
              <c:f>Sheet2!$B$5:$B$12</c:f>
              <c:numCache>
                <c:formatCode>General</c:formatCode>
                <c:ptCount val="8"/>
                <c:pt idx="0">
                  <c:v>0</c:v>
                </c:pt>
                <c:pt idx="1">
                  <c:v>30</c:v>
                </c:pt>
                <c:pt idx="2">
                  <c:v>60</c:v>
                </c:pt>
                <c:pt idx="3">
                  <c:v>90</c:v>
                </c:pt>
                <c:pt idx="4">
                  <c:v>120</c:v>
                </c:pt>
                <c:pt idx="5">
                  <c:v>150</c:v>
                </c:pt>
                <c:pt idx="6">
                  <c:v>180</c:v>
                </c:pt>
                <c:pt idx="7">
                  <c:v>210</c:v>
                </c:pt>
              </c:numCache>
            </c:numRef>
          </c:xVal>
          <c:yVal>
            <c:numRef>
              <c:f>Sheet2!$D$5:$D$12</c:f>
              <c:numCache>
                <c:formatCode>General</c:formatCode>
                <c:ptCount val="8"/>
                <c:pt idx="0">
                  <c:v>0</c:v>
                </c:pt>
                <c:pt idx="1">
                  <c:v>10</c:v>
                </c:pt>
                <c:pt idx="2">
                  <c:v>26</c:v>
                </c:pt>
                <c:pt idx="3">
                  <c:v>30</c:v>
                </c:pt>
                <c:pt idx="4">
                  <c:v>45</c:v>
                </c:pt>
                <c:pt idx="5">
                  <c:v>55</c:v>
                </c:pt>
                <c:pt idx="6">
                  <c:v>65</c:v>
                </c:pt>
                <c:pt idx="7">
                  <c:v>85</c:v>
                </c:pt>
              </c:numCache>
            </c:numRef>
          </c:yVal>
          <c:smooth val="1"/>
        </c:ser>
        <c:ser>
          <c:idx val="2"/>
          <c:order val="2"/>
          <c:tx>
            <c:strRef>
              <c:f>Sheet2!$E$4</c:f>
              <c:strCache>
                <c:ptCount val="1"/>
                <c:pt idx="0">
                  <c:v>EG3</c:v>
                </c:pt>
              </c:strCache>
            </c:strRef>
          </c:tx>
          <c:xVal>
            <c:numRef>
              <c:f>Sheet2!$B$5:$B$12</c:f>
              <c:numCache>
                <c:formatCode>General</c:formatCode>
                <c:ptCount val="8"/>
                <c:pt idx="0">
                  <c:v>0</c:v>
                </c:pt>
                <c:pt idx="1">
                  <c:v>30</c:v>
                </c:pt>
                <c:pt idx="2">
                  <c:v>60</c:v>
                </c:pt>
                <c:pt idx="3">
                  <c:v>90</c:v>
                </c:pt>
                <c:pt idx="4">
                  <c:v>120</c:v>
                </c:pt>
                <c:pt idx="5">
                  <c:v>150</c:v>
                </c:pt>
                <c:pt idx="6">
                  <c:v>180</c:v>
                </c:pt>
                <c:pt idx="7">
                  <c:v>210</c:v>
                </c:pt>
              </c:numCache>
            </c:numRef>
          </c:xVal>
          <c:yVal>
            <c:numRef>
              <c:f>Sheet2!$E$5:$E$12</c:f>
              <c:numCache>
                <c:formatCode>General</c:formatCode>
                <c:ptCount val="8"/>
                <c:pt idx="0">
                  <c:v>0</c:v>
                </c:pt>
                <c:pt idx="1">
                  <c:v>7</c:v>
                </c:pt>
                <c:pt idx="2">
                  <c:v>12</c:v>
                </c:pt>
                <c:pt idx="3">
                  <c:v>22</c:v>
                </c:pt>
                <c:pt idx="4">
                  <c:v>33</c:v>
                </c:pt>
                <c:pt idx="5">
                  <c:v>41</c:v>
                </c:pt>
                <c:pt idx="6">
                  <c:v>49</c:v>
                </c:pt>
                <c:pt idx="7">
                  <c:v>55</c:v>
                </c:pt>
              </c:numCache>
            </c:numRef>
          </c:yVal>
          <c:smooth val="1"/>
        </c:ser>
        <c:ser>
          <c:idx val="3"/>
          <c:order val="3"/>
          <c:tx>
            <c:strRef>
              <c:f>Sheet2!$F$4</c:f>
              <c:strCache>
                <c:ptCount val="1"/>
                <c:pt idx="0">
                  <c:v>EG4</c:v>
                </c:pt>
              </c:strCache>
            </c:strRef>
          </c:tx>
          <c:xVal>
            <c:numRef>
              <c:f>Sheet2!$B$5:$B$12</c:f>
              <c:numCache>
                <c:formatCode>General</c:formatCode>
                <c:ptCount val="8"/>
                <c:pt idx="0">
                  <c:v>0</c:v>
                </c:pt>
                <c:pt idx="1">
                  <c:v>30</c:v>
                </c:pt>
                <c:pt idx="2">
                  <c:v>60</c:v>
                </c:pt>
                <c:pt idx="3">
                  <c:v>90</c:v>
                </c:pt>
                <c:pt idx="4">
                  <c:v>120</c:v>
                </c:pt>
                <c:pt idx="5">
                  <c:v>150</c:v>
                </c:pt>
                <c:pt idx="6">
                  <c:v>180</c:v>
                </c:pt>
                <c:pt idx="7">
                  <c:v>210</c:v>
                </c:pt>
              </c:numCache>
            </c:numRef>
          </c:xVal>
          <c:yVal>
            <c:numRef>
              <c:f>Sheet2!$F$5:$F$12</c:f>
              <c:numCache>
                <c:formatCode>General</c:formatCode>
                <c:ptCount val="8"/>
                <c:pt idx="0">
                  <c:v>0</c:v>
                </c:pt>
                <c:pt idx="1">
                  <c:v>20.309999999999999</c:v>
                </c:pt>
                <c:pt idx="2">
                  <c:v>30.68</c:v>
                </c:pt>
                <c:pt idx="3">
                  <c:v>40.42</c:v>
                </c:pt>
                <c:pt idx="4">
                  <c:v>48.61</c:v>
                </c:pt>
                <c:pt idx="5">
                  <c:v>58.32</c:v>
                </c:pt>
                <c:pt idx="6">
                  <c:v>61.690000000000012</c:v>
                </c:pt>
                <c:pt idx="7">
                  <c:v>72.410000000000025</c:v>
                </c:pt>
              </c:numCache>
            </c:numRef>
          </c:yVal>
          <c:smooth val="1"/>
        </c:ser>
        <c:ser>
          <c:idx val="4"/>
          <c:order val="4"/>
          <c:tx>
            <c:strRef>
              <c:f>Sheet2!$G$4</c:f>
              <c:strCache>
                <c:ptCount val="1"/>
                <c:pt idx="0">
                  <c:v>EG5</c:v>
                </c:pt>
              </c:strCache>
            </c:strRef>
          </c:tx>
          <c:xVal>
            <c:numRef>
              <c:f>Sheet2!$B$5:$B$12</c:f>
              <c:numCache>
                <c:formatCode>General</c:formatCode>
                <c:ptCount val="8"/>
                <c:pt idx="0">
                  <c:v>0</c:v>
                </c:pt>
                <c:pt idx="1">
                  <c:v>30</c:v>
                </c:pt>
                <c:pt idx="2">
                  <c:v>60</c:v>
                </c:pt>
                <c:pt idx="3">
                  <c:v>90</c:v>
                </c:pt>
                <c:pt idx="4">
                  <c:v>120</c:v>
                </c:pt>
                <c:pt idx="5">
                  <c:v>150</c:v>
                </c:pt>
                <c:pt idx="6">
                  <c:v>180</c:v>
                </c:pt>
                <c:pt idx="7">
                  <c:v>210</c:v>
                </c:pt>
              </c:numCache>
            </c:numRef>
          </c:xVal>
          <c:yVal>
            <c:numRef>
              <c:f>Sheet2!$G$5:$G$12</c:f>
              <c:numCache>
                <c:formatCode>General</c:formatCode>
                <c:ptCount val="8"/>
                <c:pt idx="0">
                  <c:v>0</c:v>
                </c:pt>
                <c:pt idx="1">
                  <c:v>9.51</c:v>
                </c:pt>
                <c:pt idx="2">
                  <c:v>11.629999999999999</c:v>
                </c:pt>
                <c:pt idx="3">
                  <c:v>17.09</c:v>
                </c:pt>
                <c:pt idx="4">
                  <c:v>22.419999999999987</c:v>
                </c:pt>
                <c:pt idx="5">
                  <c:v>32.08</c:v>
                </c:pt>
                <c:pt idx="6">
                  <c:v>41.51</c:v>
                </c:pt>
                <c:pt idx="7">
                  <c:v>60</c:v>
                </c:pt>
              </c:numCache>
            </c:numRef>
          </c:yVal>
          <c:smooth val="1"/>
        </c:ser>
        <c:ser>
          <c:idx val="5"/>
          <c:order val="5"/>
          <c:tx>
            <c:strRef>
              <c:f>Sheet2!$H$4</c:f>
              <c:strCache>
                <c:ptCount val="1"/>
                <c:pt idx="0">
                  <c:v>EG6</c:v>
                </c:pt>
              </c:strCache>
            </c:strRef>
          </c:tx>
          <c:xVal>
            <c:numRef>
              <c:f>Sheet2!$B$5:$B$12</c:f>
              <c:numCache>
                <c:formatCode>General</c:formatCode>
                <c:ptCount val="8"/>
                <c:pt idx="0">
                  <c:v>0</c:v>
                </c:pt>
                <c:pt idx="1">
                  <c:v>30</c:v>
                </c:pt>
                <c:pt idx="2">
                  <c:v>60</c:v>
                </c:pt>
                <c:pt idx="3">
                  <c:v>90</c:v>
                </c:pt>
                <c:pt idx="4">
                  <c:v>120</c:v>
                </c:pt>
                <c:pt idx="5">
                  <c:v>150</c:v>
                </c:pt>
                <c:pt idx="6">
                  <c:v>180</c:v>
                </c:pt>
                <c:pt idx="7">
                  <c:v>210</c:v>
                </c:pt>
              </c:numCache>
            </c:numRef>
          </c:xVal>
          <c:yVal>
            <c:numRef>
              <c:f>Sheet2!$H$5:$H$12</c:f>
              <c:numCache>
                <c:formatCode>General</c:formatCode>
                <c:ptCount val="8"/>
                <c:pt idx="0">
                  <c:v>0</c:v>
                </c:pt>
                <c:pt idx="1">
                  <c:v>3.4099999999999997</c:v>
                </c:pt>
                <c:pt idx="2">
                  <c:v>16.479999999999986</c:v>
                </c:pt>
                <c:pt idx="3">
                  <c:v>22.39</c:v>
                </c:pt>
                <c:pt idx="4">
                  <c:v>38.590000000000003</c:v>
                </c:pt>
                <c:pt idx="5">
                  <c:v>48.63</c:v>
                </c:pt>
                <c:pt idx="6">
                  <c:v>59.809999999999995</c:v>
                </c:pt>
                <c:pt idx="7">
                  <c:v>66.38</c:v>
                </c:pt>
              </c:numCache>
            </c:numRef>
          </c:yVal>
          <c:smooth val="1"/>
        </c:ser>
        <c:axId val="173146112"/>
        <c:axId val="173148800"/>
      </c:scatterChart>
      <c:valAx>
        <c:axId val="173146112"/>
        <c:scaling>
          <c:orientation val="minMax"/>
        </c:scaling>
        <c:axPos val="b"/>
        <c:title>
          <c:tx>
            <c:rich>
              <a:bodyPr/>
              <a:lstStyle/>
              <a:p>
                <a:pPr>
                  <a:defRPr lang="en-US">
                    <a:latin typeface="Times New Roman" pitchFamily="18" charset="0"/>
                    <a:cs typeface="Times New Roman" pitchFamily="18" charset="0"/>
                  </a:defRPr>
                </a:pPr>
                <a:r>
                  <a:rPr lang="en-IN">
                    <a:latin typeface="Times New Roman" pitchFamily="18" charset="0"/>
                    <a:cs typeface="Times New Roman" pitchFamily="18" charset="0"/>
                  </a:rPr>
                  <a:t>Time (min)</a:t>
                </a:r>
              </a:p>
            </c:rich>
          </c:tx>
          <c:layout>
            <c:manualLayout>
              <c:xMode val="edge"/>
              <c:yMode val="edge"/>
              <c:x val="0.40944701224010477"/>
              <c:y val="0.93005940924051556"/>
            </c:manualLayout>
          </c:layout>
        </c:title>
        <c:numFmt formatCode="General" sourceLinked="1"/>
        <c:tickLblPos val="nextTo"/>
        <c:txPr>
          <a:bodyPr/>
          <a:lstStyle/>
          <a:p>
            <a:pPr>
              <a:defRPr lang="en-US"/>
            </a:pPr>
            <a:endParaRPr lang="en-US"/>
          </a:p>
        </c:txPr>
        <c:crossAx val="173148800"/>
        <c:crosses val="autoZero"/>
        <c:crossBetween val="midCat"/>
      </c:valAx>
      <c:valAx>
        <c:axId val="173148800"/>
        <c:scaling>
          <c:orientation val="minMax"/>
        </c:scaling>
        <c:axPos val="l"/>
        <c:title>
          <c:tx>
            <c:rich>
              <a:bodyPr rot="-5400000" vert="horz"/>
              <a:lstStyle/>
              <a:p>
                <a:pPr>
                  <a:defRPr lang="en-US">
                    <a:latin typeface="Times New Roman" pitchFamily="18" charset="0"/>
                    <a:cs typeface="Times New Roman" pitchFamily="18" charset="0"/>
                  </a:defRPr>
                </a:pPr>
                <a:r>
                  <a:rPr lang="en-IN">
                    <a:latin typeface="Times New Roman" pitchFamily="18" charset="0"/>
                    <a:cs typeface="Times New Roman" pitchFamily="18" charset="0"/>
                  </a:rPr>
                  <a:t>% Drug release</a:t>
                </a:r>
              </a:p>
            </c:rich>
          </c:tx>
          <c:layout>
            <c:manualLayout>
              <c:xMode val="edge"/>
              <c:yMode val="edge"/>
              <c:x val="6.2344492376478948E-3"/>
              <c:y val="0.38422618673965497"/>
            </c:manualLayout>
          </c:layout>
        </c:title>
        <c:numFmt formatCode="General" sourceLinked="1"/>
        <c:tickLblPos val="nextTo"/>
        <c:txPr>
          <a:bodyPr/>
          <a:lstStyle/>
          <a:p>
            <a:pPr>
              <a:defRPr lang="en-US"/>
            </a:pPr>
            <a:endParaRPr lang="en-US"/>
          </a:p>
        </c:txPr>
        <c:crossAx val="173146112"/>
        <c:crosses val="autoZero"/>
        <c:crossBetween val="midCat"/>
      </c:valAx>
    </c:plotArea>
    <c:legend>
      <c:legendPos val="r"/>
      <c:layout>
        <c:manualLayout>
          <c:xMode val="edge"/>
          <c:yMode val="edge"/>
          <c:x val="0.7291426096310647"/>
          <c:y val="0.18816977866980636"/>
          <c:w val="0.2062644282715585"/>
          <c:h val="0.4344242086419644"/>
        </c:manualLayout>
      </c:layout>
      <c:txPr>
        <a:bodyPr/>
        <a:lstStyle/>
        <a:p>
          <a:pPr>
            <a:defRPr lang="en-US"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5"/>
  <c:chart>
    <c:plotArea>
      <c:layout>
        <c:manualLayout>
          <c:layoutTarget val="inner"/>
          <c:xMode val="edge"/>
          <c:yMode val="edge"/>
          <c:x val="0.14339107611548571"/>
          <c:y val="5.1400554097404488E-2"/>
          <c:w val="0.76561023622048208"/>
          <c:h val="0.79822506561679785"/>
        </c:manualLayout>
      </c:layout>
      <c:barChart>
        <c:barDir val="col"/>
        <c:grouping val="clustered"/>
        <c:ser>
          <c:idx val="0"/>
          <c:order val="0"/>
          <c:tx>
            <c:strRef>
              <c:f>Sheet1!$D$8</c:f>
              <c:strCache>
                <c:ptCount val="1"/>
                <c:pt idx="0">
                  <c:v>% paw volume inhibition  </c:v>
                </c:pt>
              </c:strCache>
            </c:strRef>
          </c:tx>
          <c:cat>
            <c:strRef>
              <c:f>Sheet1!$C$9:$C$11</c:f>
              <c:strCache>
                <c:ptCount val="2"/>
                <c:pt idx="0">
                  <c:v>Standard</c:v>
                </c:pt>
                <c:pt idx="1">
                  <c:v>EG1</c:v>
                </c:pt>
              </c:strCache>
            </c:strRef>
          </c:cat>
          <c:val>
            <c:numRef>
              <c:f>Sheet1!$D$9:$D$11</c:f>
              <c:numCache>
                <c:formatCode>General</c:formatCode>
                <c:ptCount val="3"/>
                <c:pt idx="0">
                  <c:v>54.861000000000004</c:v>
                </c:pt>
                <c:pt idx="1">
                  <c:v>18.5976</c:v>
                </c:pt>
              </c:numCache>
            </c:numRef>
          </c:val>
        </c:ser>
        <c:ser>
          <c:idx val="1"/>
          <c:order val="1"/>
          <c:tx>
            <c:strRef>
              <c:f>Sheet1!$E$8</c:f>
              <c:strCache>
                <c:ptCount val="1"/>
                <c:pt idx="0">
                  <c:v>% paw thickness inhibition  </c:v>
                </c:pt>
              </c:strCache>
            </c:strRef>
          </c:tx>
          <c:cat>
            <c:strRef>
              <c:f>Sheet1!$C$9:$C$11</c:f>
              <c:strCache>
                <c:ptCount val="2"/>
                <c:pt idx="0">
                  <c:v>Standard</c:v>
                </c:pt>
                <c:pt idx="1">
                  <c:v>EG1</c:v>
                </c:pt>
              </c:strCache>
            </c:strRef>
          </c:cat>
          <c:val>
            <c:numRef>
              <c:f>Sheet1!$E$9:$E$11</c:f>
              <c:numCache>
                <c:formatCode>General</c:formatCode>
                <c:ptCount val="3"/>
                <c:pt idx="0">
                  <c:v>29.914000000000001</c:v>
                </c:pt>
                <c:pt idx="1">
                  <c:v>14.44</c:v>
                </c:pt>
              </c:numCache>
            </c:numRef>
          </c:val>
        </c:ser>
        <c:axId val="174285952"/>
        <c:axId val="174287488"/>
      </c:barChart>
      <c:catAx>
        <c:axId val="174285952"/>
        <c:scaling>
          <c:orientation val="minMax"/>
        </c:scaling>
        <c:axPos val="b"/>
        <c:tickLblPos val="nextTo"/>
        <c:txPr>
          <a:bodyPr/>
          <a:lstStyle/>
          <a:p>
            <a:pPr>
              <a:defRPr lang="en-US" b="1"/>
            </a:pPr>
            <a:endParaRPr lang="en-US"/>
          </a:p>
        </c:txPr>
        <c:crossAx val="174287488"/>
        <c:crosses val="autoZero"/>
        <c:auto val="1"/>
        <c:lblAlgn val="ctr"/>
        <c:lblOffset val="100"/>
      </c:catAx>
      <c:valAx>
        <c:axId val="174287488"/>
        <c:scaling>
          <c:orientation val="minMax"/>
        </c:scaling>
        <c:axPos val="l"/>
        <c:title>
          <c:tx>
            <c:rich>
              <a:bodyPr rot="-5400000" vert="horz"/>
              <a:lstStyle/>
              <a:p>
                <a:pPr>
                  <a:defRPr lang="en-US" b="0"/>
                </a:pPr>
                <a:r>
                  <a:rPr lang="en-IN" b="0"/>
                  <a:t>%</a:t>
                </a:r>
              </a:p>
            </c:rich>
          </c:tx>
        </c:title>
        <c:numFmt formatCode="General" sourceLinked="1"/>
        <c:tickLblPos val="nextTo"/>
        <c:txPr>
          <a:bodyPr/>
          <a:lstStyle/>
          <a:p>
            <a:pPr>
              <a:defRPr lang="en-US"/>
            </a:pPr>
            <a:endParaRPr lang="en-US"/>
          </a:p>
        </c:txPr>
        <c:crossAx val="174285952"/>
        <c:crosses val="autoZero"/>
        <c:crossBetween val="between"/>
      </c:valAx>
    </c:plotArea>
    <c:legend>
      <c:legendPos val="r"/>
      <c:layout>
        <c:manualLayout>
          <c:xMode val="edge"/>
          <c:yMode val="edge"/>
          <c:x val="0.59233464566929139"/>
          <c:y val="0.14275080198308537"/>
          <c:w val="0.25488757655293087"/>
          <c:h val="0.38116506270049588"/>
        </c:manualLayout>
      </c:layout>
      <c:txPr>
        <a:bodyPr/>
        <a:lstStyle/>
        <a:p>
          <a:pPr>
            <a:defRPr lang="en-US"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 chauhan</dc:creator>
  <cp:keywords/>
  <dc:description/>
  <cp:lastModifiedBy>Kapil</cp:lastModifiedBy>
  <cp:revision>10</cp:revision>
  <dcterms:created xsi:type="dcterms:W3CDTF">2019-09-30T18:33:00Z</dcterms:created>
  <dcterms:modified xsi:type="dcterms:W3CDTF">2021-05-11T18:07:00Z</dcterms:modified>
</cp:coreProperties>
</file>