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comments.xml" ContentType="application/vnd.openxmlformats-officedocument.wordprocessingml.comments+xml"/>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7A1" w:rsidRPr="006C1E68" w:rsidRDefault="008627A1" w:rsidP="008627A1">
      <w:pPr>
        <w:shd w:val="clear" w:color="auto" w:fill="00B050"/>
        <w:jc w:val="center"/>
        <w:rPr>
          <w:rFonts w:ascii="Times New Roman" w:hAnsi="Times New Roman" w:cs="Times New Roman"/>
          <w:b/>
          <w:bCs/>
          <w:color w:val="FFFFFF"/>
          <w:sz w:val="28"/>
        </w:rPr>
      </w:pPr>
      <w:r w:rsidRPr="006C1E68">
        <w:rPr>
          <w:rFonts w:ascii="Times New Roman" w:hAnsi="Times New Roman" w:cs="Times New Roman"/>
          <w:b/>
          <w:bCs/>
          <w:color w:val="FFFFFF"/>
          <w:sz w:val="28"/>
        </w:rPr>
        <w:t>Reviewer’s Comments</w:t>
      </w:r>
    </w:p>
    <w:p w:rsidR="00104D2E" w:rsidRDefault="00104D2E" w:rsidP="00EB248E">
      <w:pPr>
        <w:jc w:val="center"/>
        <w:rPr>
          <w:rFonts w:ascii="Times New Roman" w:hAnsi="Times New Roman" w:cs="Times New Roman"/>
          <w:b/>
          <w:sz w:val="36"/>
          <w:szCs w:val="36"/>
        </w:rPr>
      </w:pPr>
      <w:commentRangeStart w:id="0"/>
      <w:r>
        <w:rPr>
          <w:rFonts w:ascii="Times New Roman" w:hAnsi="Times New Roman" w:cs="Times New Roman"/>
          <w:b/>
          <w:noProof/>
          <w:sz w:val="36"/>
          <w:szCs w:val="36"/>
          <w:lang w:bidi="ar-SA"/>
        </w:rPr>
        <w:drawing>
          <wp:inline distT="0" distB="0" distL="0" distR="0">
            <wp:extent cx="5845462" cy="1743075"/>
            <wp:effectExtent l="19050" t="0" r="2888"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68445" cy="1749928"/>
                    </a:xfrm>
                    <a:prstGeom prst="rect">
                      <a:avLst/>
                    </a:prstGeom>
                    <a:noFill/>
                    <a:ln w="9525">
                      <a:noFill/>
                      <a:miter lim="800000"/>
                      <a:headEnd/>
                      <a:tailEnd/>
                    </a:ln>
                  </pic:spPr>
                </pic:pic>
              </a:graphicData>
            </a:graphic>
          </wp:inline>
        </w:drawing>
      </w:r>
      <w:commentRangeEnd w:id="0"/>
      <w:r>
        <w:rPr>
          <w:rStyle w:val="CommentReference"/>
        </w:rPr>
        <w:commentReference w:id="0"/>
      </w:r>
    </w:p>
    <w:p w:rsidR="00661946" w:rsidRPr="00AD0E1F" w:rsidRDefault="00661946" w:rsidP="00EB248E">
      <w:pPr>
        <w:jc w:val="center"/>
        <w:rPr>
          <w:rFonts w:ascii="Times New Roman" w:hAnsi="Times New Roman" w:cs="Times New Roman"/>
          <w:b/>
          <w:sz w:val="36"/>
          <w:szCs w:val="36"/>
        </w:rPr>
      </w:pPr>
      <w:commentRangeStart w:id="1"/>
      <w:commentRangeStart w:id="2"/>
      <w:r w:rsidRPr="00AD0E1F">
        <w:rPr>
          <w:rFonts w:ascii="Times New Roman" w:hAnsi="Times New Roman" w:cs="Times New Roman"/>
          <w:b/>
          <w:sz w:val="36"/>
          <w:szCs w:val="36"/>
        </w:rPr>
        <w:t xml:space="preserve">In </w:t>
      </w:r>
      <w:commentRangeStart w:id="3"/>
      <w:r w:rsidRPr="00AD0E1F">
        <w:rPr>
          <w:rFonts w:ascii="Times New Roman" w:hAnsi="Times New Roman" w:cs="Times New Roman"/>
          <w:b/>
          <w:sz w:val="36"/>
          <w:szCs w:val="36"/>
        </w:rPr>
        <w:t xml:space="preserve">vitro </w:t>
      </w:r>
      <w:commentRangeEnd w:id="1"/>
      <w:r w:rsidR="00104D2E">
        <w:rPr>
          <w:rStyle w:val="CommentReference"/>
        </w:rPr>
        <w:commentReference w:id="1"/>
      </w:r>
      <w:r w:rsidRPr="00AD0E1F">
        <w:rPr>
          <w:rFonts w:ascii="Times New Roman" w:hAnsi="Times New Roman" w:cs="Times New Roman"/>
          <w:b/>
          <w:sz w:val="36"/>
          <w:szCs w:val="36"/>
        </w:rPr>
        <w:t xml:space="preserve">dissolution </w:t>
      </w:r>
      <w:commentRangeEnd w:id="3"/>
      <w:r w:rsidR="008627A1">
        <w:rPr>
          <w:rStyle w:val="CommentReference"/>
        </w:rPr>
        <w:commentReference w:id="3"/>
      </w:r>
      <w:r w:rsidRPr="00AD0E1F">
        <w:rPr>
          <w:rFonts w:ascii="Times New Roman" w:hAnsi="Times New Roman" w:cs="Times New Roman"/>
          <w:b/>
          <w:sz w:val="36"/>
          <w:szCs w:val="36"/>
        </w:rPr>
        <w:t>study of Glimepiride from binary and ternary Solid dispersion Formulation</w:t>
      </w:r>
      <w:commentRangeEnd w:id="2"/>
      <w:r w:rsidR="00EB248E">
        <w:rPr>
          <w:rStyle w:val="CommentReference"/>
        </w:rPr>
        <w:commentReference w:id="2"/>
      </w:r>
    </w:p>
    <w:p w:rsidR="000A53A7" w:rsidRDefault="00AD0E1F" w:rsidP="00DC6E83">
      <w:pPr>
        <w:tabs>
          <w:tab w:val="left" w:pos="432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AD0E1F" w:rsidRPr="00AD0E1F" w:rsidRDefault="00AD0E1F" w:rsidP="00AD0E1F">
      <w:pPr>
        <w:tabs>
          <w:tab w:val="left" w:pos="4320"/>
        </w:tabs>
        <w:spacing w:line="360" w:lineRule="auto"/>
        <w:jc w:val="both"/>
        <w:rPr>
          <w:rFonts w:ascii="Times New Roman" w:hAnsi="Times New Roman" w:cs="Times New Roman"/>
          <w:b/>
          <w:sz w:val="24"/>
          <w:szCs w:val="24"/>
        </w:rPr>
      </w:pPr>
      <w:commentRangeStart w:id="4"/>
      <w:r>
        <w:rPr>
          <w:rFonts w:ascii="Times New Roman" w:hAnsi="Times New Roman" w:cs="Times New Roman"/>
          <w:sz w:val="24"/>
          <w:szCs w:val="24"/>
        </w:rPr>
        <w:t>Abstract:</w:t>
      </w:r>
      <w:commentRangeEnd w:id="4"/>
      <w:r w:rsidR="00EB248E">
        <w:rPr>
          <w:rStyle w:val="CommentReference"/>
        </w:rPr>
        <w:commentReference w:id="4"/>
      </w:r>
    </w:p>
    <w:p w:rsidR="005C7746" w:rsidRPr="00AD0E1F" w:rsidRDefault="005C7746" w:rsidP="005C7746">
      <w:pPr>
        <w:autoSpaceDE w:val="0"/>
        <w:autoSpaceDN w:val="0"/>
        <w:adjustRightInd w:val="0"/>
        <w:spacing w:after="0" w:line="360" w:lineRule="auto"/>
        <w:jc w:val="both"/>
        <w:rPr>
          <w:rFonts w:ascii="Times New Roman" w:hAnsi="Times New Roman" w:cs="Times New Roman"/>
          <w:sz w:val="24"/>
          <w:szCs w:val="24"/>
        </w:rPr>
      </w:pPr>
      <w:commentRangeStart w:id="5"/>
      <w:r w:rsidRPr="00AD0E1F">
        <w:rPr>
          <w:rFonts w:ascii="Times New Roman" w:hAnsi="Times New Roman" w:cs="Times New Roman"/>
        </w:rPr>
        <w:t xml:space="preserve">Glimepiride (GMP) is poorly water soluble drug, so solubility is the main constraint for its oral bioavailability. Because, </w:t>
      </w:r>
      <w:r w:rsidRPr="00AD0E1F">
        <w:rPr>
          <w:rFonts w:ascii="Times New Roman" w:hAnsi="Times New Roman" w:cs="Times New Roman"/>
          <w:sz w:val="24"/>
          <w:szCs w:val="24"/>
        </w:rPr>
        <w:t xml:space="preserve">poor aqueous solubility and slow dissolution rate of the glimepiride lead to irreproducible clinical response or therapeutic failure in some cases due to sub therapeutic plasma drug levels. In this study, binary and ternary solid dispersion of glimepiride were prepared </w:t>
      </w:r>
      <w:commentRangeStart w:id="6"/>
      <w:r w:rsidRPr="00AD0E1F">
        <w:rPr>
          <w:rFonts w:ascii="Times New Roman" w:hAnsi="Times New Roman" w:cs="Times New Roman"/>
          <w:sz w:val="24"/>
          <w:szCs w:val="24"/>
        </w:rPr>
        <w:t>withpoloxamer</w:t>
      </w:r>
      <w:commentRangeEnd w:id="6"/>
      <w:r w:rsidR="00104D2E">
        <w:rPr>
          <w:rStyle w:val="CommentReference"/>
        </w:rPr>
        <w:commentReference w:id="6"/>
      </w:r>
      <w:r w:rsidRPr="00AD0E1F">
        <w:rPr>
          <w:rFonts w:ascii="Times New Roman" w:hAnsi="Times New Roman" w:cs="Times New Roman"/>
          <w:sz w:val="24"/>
          <w:szCs w:val="24"/>
        </w:rPr>
        <w:t xml:space="preserve"> 407, polyethylene glycol 6000 (PEG 6000), polyethylene glycol 4000 (PEG 4000), and eudragit at different weight ratios using the solvent evaporation and melting method. Fusion method of thepoloxamer 407 and Eudragit with glimepiride at different ratios were also used. It was found the drug was released 0.46% after 5 minutes and only 15.83% within 60 minutes from active glimepiride on the other hand the release pattern of glimepiride from the binary formulation containing PEG 4000 in 1:5 (Formulation coding: G5) showed the best result. It was found that the ternary different SD formulation containing ( PEG4000:Glimepiride:Povidon) In ratio 1:1:0.25(Formulation coding were : G13) showed the best result. It was also studied that the release kinetics of glimepiride of different SD formulation with different ratio such as, First order release kinetics, Higuchi, Krosmeyer, Hixoncrowell plot, and also be noted the MDT calculation for improving the solubility of glimepiride. Formulations were characterized by Fourier transform infrared (FTIR) and X-ray diffraction (XRD). No any chemical interaction was observed between polymer and drugs from IR spectrum. The drug was changed to amorphous form after solid dispersion. </w:t>
      </w:r>
      <w:commentRangeStart w:id="7"/>
      <w:r w:rsidRPr="00AD0E1F">
        <w:rPr>
          <w:rFonts w:ascii="Times New Roman" w:hAnsi="Times New Roman" w:cs="Times New Roman"/>
          <w:sz w:val="24"/>
          <w:szCs w:val="24"/>
        </w:rPr>
        <w:t>Itwas</w:t>
      </w:r>
      <w:commentRangeEnd w:id="7"/>
      <w:r w:rsidR="009B53CE">
        <w:rPr>
          <w:rStyle w:val="CommentReference"/>
        </w:rPr>
        <w:commentReference w:id="7"/>
      </w:r>
      <w:r w:rsidRPr="00AD0E1F">
        <w:rPr>
          <w:rFonts w:ascii="Times New Roman" w:hAnsi="Times New Roman" w:cs="Times New Roman"/>
          <w:sz w:val="24"/>
          <w:szCs w:val="24"/>
        </w:rPr>
        <w:t xml:space="preserve"> also evident that solid dispersions improve solubility of drug particles thus enhancing dissolutioncharacteristics of drugs they increase the oral bioavailability.</w:t>
      </w:r>
      <w:commentRangeEnd w:id="5"/>
      <w:r w:rsidR="008627A1">
        <w:rPr>
          <w:rStyle w:val="CommentReference"/>
        </w:rPr>
        <w:commentReference w:id="5"/>
      </w:r>
    </w:p>
    <w:p w:rsidR="000A53A7" w:rsidRPr="00AD0E1F" w:rsidRDefault="000A53A7" w:rsidP="005C7746">
      <w:pPr>
        <w:pStyle w:val="NormalWeb"/>
        <w:spacing w:before="0" w:beforeAutospacing="0" w:after="0" w:afterAutospacing="0" w:line="360" w:lineRule="auto"/>
        <w:jc w:val="both"/>
        <w:rPr>
          <w:bCs/>
          <w:color w:val="000000"/>
          <w:sz w:val="22"/>
          <w:szCs w:val="22"/>
        </w:rPr>
      </w:pPr>
      <w:commentRangeStart w:id="8"/>
      <w:r w:rsidRPr="00AD0E1F">
        <w:rPr>
          <w:rFonts w:eastAsiaTheme="minorEastAsia"/>
          <w:b/>
          <w:sz w:val="28"/>
          <w:szCs w:val="28"/>
          <w:lang w:bidi="bn-BD"/>
        </w:rPr>
        <w:t>Key words</w:t>
      </w:r>
      <w:commentRangeEnd w:id="8"/>
      <w:r w:rsidR="00EB248E">
        <w:rPr>
          <w:rStyle w:val="CommentReference"/>
          <w:rFonts w:asciiTheme="minorHAnsi" w:eastAsiaTheme="minorEastAsia" w:hAnsiTheme="minorHAnsi" w:cs="Vrinda"/>
          <w:lang w:bidi="bn-BD"/>
        </w:rPr>
        <w:commentReference w:id="8"/>
      </w:r>
      <w:r w:rsidRPr="00AD0E1F">
        <w:rPr>
          <w:rFonts w:eastAsiaTheme="minorEastAsia"/>
          <w:b/>
          <w:sz w:val="28"/>
          <w:szCs w:val="28"/>
          <w:lang w:bidi="bn-BD"/>
        </w:rPr>
        <w:t>:</w:t>
      </w:r>
      <w:r w:rsidRPr="00AD0E1F">
        <w:t xml:space="preserve"> Glimepiride,</w:t>
      </w:r>
      <w:r w:rsidR="005C7746" w:rsidRPr="00AD0E1F">
        <w:t xml:space="preserve"> Fusion </w:t>
      </w:r>
      <w:commentRangeStart w:id="9"/>
      <w:r w:rsidR="005C7746" w:rsidRPr="00AD0E1F">
        <w:t>Method,</w:t>
      </w:r>
      <w:r w:rsidRPr="00AD0E1F">
        <w:rPr>
          <w:bCs/>
          <w:sz w:val="20"/>
          <w:szCs w:val="20"/>
        </w:rPr>
        <w:t>DissolutionStudy</w:t>
      </w:r>
      <w:commentRangeEnd w:id="9"/>
      <w:r w:rsidR="009B53CE">
        <w:rPr>
          <w:rStyle w:val="CommentReference"/>
          <w:rFonts w:asciiTheme="minorHAnsi" w:eastAsiaTheme="minorEastAsia" w:hAnsiTheme="minorHAnsi" w:cs="Vrinda"/>
          <w:lang w:bidi="bn-BD"/>
        </w:rPr>
        <w:commentReference w:id="9"/>
      </w:r>
      <w:r w:rsidRPr="00AD0E1F">
        <w:rPr>
          <w:bCs/>
        </w:rPr>
        <w:t>,</w:t>
      </w:r>
      <w:r w:rsidRPr="00AD0E1F">
        <w:rPr>
          <w:bCs/>
          <w:sz w:val="20"/>
          <w:szCs w:val="20"/>
        </w:rPr>
        <w:t xml:space="preserve"> Formulation</w:t>
      </w:r>
      <w:r w:rsidRPr="00AD0E1F">
        <w:rPr>
          <w:b/>
          <w:sz w:val="20"/>
          <w:szCs w:val="20"/>
        </w:rPr>
        <w:t>,</w:t>
      </w:r>
      <w:r w:rsidRPr="00AD0E1F">
        <w:t xml:space="preserve"> IR spectrum.</w:t>
      </w:r>
    </w:p>
    <w:p w:rsidR="000A53A7" w:rsidRPr="00AD0E1F" w:rsidRDefault="000A53A7" w:rsidP="000A53A7">
      <w:pPr>
        <w:pStyle w:val="NormalWeb"/>
        <w:spacing w:before="0" w:beforeAutospacing="0" w:after="0" w:afterAutospacing="0" w:line="360" w:lineRule="auto"/>
        <w:jc w:val="both"/>
        <w:rPr>
          <w:bCs/>
          <w:color w:val="000000"/>
          <w:sz w:val="22"/>
          <w:szCs w:val="22"/>
        </w:rPr>
      </w:pPr>
      <w:r w:rsidRPr="00AD0E1F">
        <w:rPr>
          <w:bCs/>
          <w:color w:val="000000"/>
          <w:sz w:val="28"/>
          <w:szCs w:val="28"/>
          <w:vertAlign w:val="superscript"/>
        </w:rPr>
        <w:lastRenderedPageBreak/>
        <w:t>*</w:t>
      </w:r>
      <w:r w:rsidRPr="00AD0E1F">
        <w:rPr>
          <w:bCs/>
          <w:color w:val="000000"/>
          <w:sz w:val="28"/>
          <w:szCs w:val="28"/>
        </w:rPr>
        <w:t>Corresponding Author:</w:t>
      </w:r>
      <w:r w:rsidRPr="00AD0E1F">
        <w:rPr>
          <w:bCs/>
          <w:color w:val="000000"/>
          <w:sz w:val="22"/>
          <w:szCs w:val="22"/>
        </w:rPr>
        <w:t xml:space="preserve"> Md. Shahidul Islam, Assistant Professor, Department of Pharmacy, University of Science &amp;Technology Chittagong, Bangladesh. E-mail: s_i_liton@yahoo.com</w:t>
      </w:r>
    </w:p>
    <w:p w:rsidR="00CE5395" w:rsidRPr="00AD0E1F" w:rsidRDefault="006112B4" w:rsidP="00CE5395">
      <w:pPr>
        <w:autoSpaceDE w:val="0"/>
        <w:autoSpaceDN w:val="0"/>
        <w:adjustRightInd w:val="0"/>
        <w:spacing w:after="0" w:line="360" w:lineRule="auto"/>
        <w:jc w:val="both"/>
        <w:rPr>
          <w:rFonts w:ascii="Times New Roman" w:hAnsi="Times New Roman" w:cs="Times New Roman"/>
          <w:b/>
          <w:sz w:val="24"/>
          <w:szCs w:val="24"/>
        </w:rPr>
      </w:pPr>
      <w:commentRangeStart w:id="10"/>
      <w:r w:rsidRPr="00AD0E1F">
        <w:rPr>
          <w:rFonts w:ascii="Times New Roman" w:hAnsi="Times New Roman" w:cs="Times New Roman"/>
          <w:b/>
          <w:sz w:val="24"/>
          <w:szCs w:val="24"/>
        </w:rPr>
        <w:t>Introduction</w:t>
      </w:r>
      <w:commentRangeEnd w:id="10"/>
      <w:r w:rsidR="00EB248E">
        <w:rPr>
          <w:rStyle w:val="CommentReference"/>
        </w:rPr>
        <w:commentReference w:id="10"/>
      </w:r>
    </w:p>
    <w:p w:rsidR="000A53A7" w:rsidRPr="00DC6E83" w:rsidRDefault="00CE5395" w:rsidP="00DC6E83">
      <w:pPr>
        <w:spacing w:line="360" w:lineRule="auto"/>
        <w:jc w:val="both"/>
        <w:rPr>
          <w:rFonts w:ascii="Times New Roman" w:hAnsi="Times New Roman" w:cs="Times New Roman"/>
        </w:rPr>
      </w:pPr>
      <w:bookmarkStart w:id="11" w:name="_GoBack"/>
      <w:commentRangeStart w:id="12"/>
      <w:r w:rsidRPr="00606D2D">
        <w:rPr>
          <w:rFonts w:ascii="Times New Roman" w:hAnsi="Times New Roman" w:cs="Times New Roman"/>
          <w:bCs/>
          <w:sz w:val="24"/>
          <w:szCs w:val="24"/>
        </w:rPr>
        <w:t>It</w:t>
      </w:r>
      <w:bookmarkEnd w:id="11"/>
      <w:r w:rsidRPr="00AD0E1F">
        <w:rPr>
          <w:rFonts w:ascii="Times New Roman" w:hAnsi="Times New Roman" w:cs="Times New Roman"/>
          <w:bCs/>
          <w:sz w:val="24"/>
          <w:szCs w:val="24"/>
        </w:rPr>
        <w:t xml:space="preserve">has studied that, </w:t>
      </w:r>
      <w:r w:rsidRPr="00AD0E1F">
        <w:rPr>
          <w:rFonts w:ascii="Times New Roman" w:hAnsi="Times New Roman" w:cs="Times New Roman"/>
          <w:sz w:val="24"/>
          <w:szCs w:val="24"/>
        </w:rPr>
        <w:t xml:space="preserve">improving oral bioavailability of drugs those given as solid dosage forms remains </w:t>
      </w:r>
      <w:commentRangeStart w:id="13"/>
      <w:r w:rsidRPr="00AD0E1F">
        <w:rPr>
          <w:rFonts w:ascii="Times New Roman" w:hAnsi="Times New Roman" w:cs="Times New Roman"/>
          <w:sz w:val="24"/>
          <w:szCs w:val="24"/>
        </w:rPr>
        <w:t>achallenge</w:t>
      </w:r>
      <w:commentRangeEnd w:id="13"/>
      <w:r w:rsidR="009B53CE">
        <w:rPr>
          <w:rStyle w:val="CommentReference"/>
        </w:rPr>
        <w:commentReference w:id="13"/>
      </w:r>
      <w:r w:rsidRPr="00AD0E1F">
        <w:rPr>
          <w:rFonts w:ascii="Times New Roman" w:hAnsi="Times New Roman" w:cs="Times New Roman"/>
          <w:sz w:val="24"/>
          <w:szCs w:val="24"/>
        </w:rPr>
        <w:t xml:space="preserve"> for the formulation scientists due to solubility problems. Most of the newly inventedchemical entities are poorly water soluble. As a result formulating them as oral solid dosage formsis a hurdle to the specialists. Many techniques have been exercised to improve oral bioav</w:t>
      </w:r>
      <w:commentRangeStart w:id="14"/>
      <w:r w:rsidRPr="00AD0E1F">
        <w:rPr>
          <w:rFonts w:ascii="Times New Roman" w:hAnsi="Times New Roman" w:cs="Times New Roman"/>
          <w:sz w:val="24"/>
          <w:szCs w:val="24"/>
        </w:rPr>
        <w:t>ailabilityof</w:t>
      </w:r>
      <w:commentRangeEnd w:id="14"/>
      <w:r w:rsidR="009B53CE">
        <w:rPr>
          <w:rStyle w:val="CommentReference"/>
        </w:rPr>
        <w:commentReference w:id="14"/>
      </w:r>
      <w:r w:rsidRPr="00AD0E1F">
        <w:rPr>
          <w:rFonts w:ascii="Times New Roman" w:hAnsi="Times New Roman" w:cs="Times New Roman"/>
          <w:sz w:val="24"/>
          <w:szCs w:val="24"/>
        </w:rPr>
        <w:t xml:space="preserve"> drugs</w:t>
      </w:r>
      <w:r w:rsidR="006112B4" w:rsidRPr="00AD0E1F">
        <w:rPr>
          <w:rFonts w:ascii="Times New Roman" w:hAnsi="Times New Roman" w:cs="Times New Roman"/>
          <w:sz w:val="24"/>
          <w:szCs w:val="24"/>
        </w:rPr>
        <w:t>(1).The rate of dissolution and solubility should not be confused as they are different concepts, kinetic and thermodynamic, respectively. The solubilization kinetics, as well as apparent solubility can be improved after complexation of an active ingredient with cyclodextrin. This can be used in the case of drug with poor solubility(2).</w:t>
      </w:r>
      <w:r w:rsidR="00301F8F" w:rsidRPr="00AD0E1F">
        <w:rPr>
          <w:rFonts w:ascii="Times New Roman" w:hAnsi="Times New Roman" w:cs="Times New Roman"/>
          <w:sz w:val="24"/>
          <w:szCs w:val="24"/>
        </w:rPr>
        <w:t xml:space="preserve">The oral route of </w:t>
      </w:r>
      <w:commentRangeStart w:id="15"/>
      <w:r w:rsidR="00301F8F" w:rsidRPr="00AD0E1F">
        <w:rPr>
          <w:rFonts w:ascii="Times New Roman" w:hAnsi="Times New Roman" w:cs="Times New Roman"/>
          <w:sz w:val="24"/>
          <w:szCs w:val="24"/>
        </w:rPr>
        <w:t xml:space="preserve">administration is the most preferred and widely acceptable route of delivery due to ease of ingestion for many drugs. Drugs with slow dissolution rate show the incomplete absorption leading to low bioavilability when orally administered </w:t>
      </w:r>
      <w:r w:rsidR="006112B4" w:rsidRPr="00AD0E1F">
        <w:rPr>
          <w:rFonts w:ascii="Times New Roman" w:hAnsi="Times New Roman" w:cs="Times New Roman"/>
          <w:sz w:val="24"/>
          <w:szCs w:val="24"/>
        </w:rPr>
        <w:t>(</w:t>
      </w:r>
      <w:commentRangeStart w:id="16"/>
      <w:r w:rsidR="006112B4" w:rsidRPr="00AD0E1F">
        <w:rPr>
          <w:rFonts w:ascii="Times New Roman" w:hAnsi="Times New Roman" w:cs="Times New Roman"/>
          <w:sz w:val="24"/>
          <w:szCs w:val="24"/>
        </w:rPr>
        <w:t>3</w:t>
      </w:r>
      <w:commentRangeEnd w:id="16"/>
      <w:r w:rsidR="005F3439">
        <w:rPr>
          <w:rStyle w:val="CommentReference"/>
        </w:rPr>
        <w:commentReference w:id="16"/>
      </w:r>
      <w:r w:rsidR="006112B4" w:rsidRPr="00AD0E1F">
        <w:rPr>
          <w:rFonts w:ascii="Times New Roman" w:hAnsi="Times New Roman" w:cs="Times New Roman"/>
          <w:sz w:val="24"/>
          <w:szCs w:val="24"/>
        </w:rPr>
        <w:t>). Many of the drugs belong to class II of the biopharmaceutical classification system showing poor solubility and high permeability Glimepiride shows low, pH dependent solubility. In acidic and neutral aqueous media, glimepiride exhibits very poor solubility at 370</w:t>
      </w:r>
      <w:r w:rsidR="006112B4" w:rsidRPr="00AD0E1F">
        <w:rPr>
          <w:rFonts w:ascii="Times New Roman" w:hAnsi="Times New Roman" w:cs="Times New Roman"/>
          <w:sz w:val="24"/>
          <w:szCs w:val="24"/>
          <w:vertAlign w:val="superscript"/>
        </w:rPr>
        <w:t>o</w:t>
      </w:r>
      <w:r w:rsidR="006112B4" w:rsidRPr="00AD0E1F">
        <w:rPr>
          <w:rFonts w:ascii="Times New Roman" w:hAnsi="Times New Roman" w:cs="Times New Roman"/>
          <w:sz w:val="24"/>
          <w:szCs w:val="24"/>
        </w:rPr>
        <w:t xml:space="preserve">c (&lt;0.004 mg/ml). In media pH&gt;7, solubility of drug is slightly increased </w:t>
      </w:r>
      <w:commentRangeEnd w:id="15"/>
      <w:r w:rsidR="009B53CE">
        <w:rPr>
          <w:rStyle w:val="CommentReference"/>
        </w:rPr>
        <w:commentReference w:id="15"/>
      </w:r>
      <w:r w:rsidR="006112B4" w:rsidRPr="00AD0E1F">
        <w:rPr>
          <w:rFonts w:ascii="Times New Roman" w:hAnsi="Times New Roman" w:cs="Times New Roman"/>
          <w:sz w:val="24"/>
          <w:szCs w:val="24"/>
        </w:rPr>
        <w:t>to 0.02 mg/ml.</w:t>
      </w:r>
      <w:commentRangeEnd w:id="12"/>
      <w:r w:rsidR="003C471B">
        <w:rPr>
          <w:rStyle w:val="CommentReference"/>
        </w:rPr>
        <w:commentReference w:id="12"/>
      </w:r>
      <w:r w:rsidR="006112B4" w:rsidRPr="00AD0E1F">
        <w:rPr>
          <w:rFonts w:ascii="Times New Roman" w:hAnsi="Times New Roman" w:cs="Times New Roman"/>
          <w:sz w:val="24"/>
          <w:szCs w:val="24"/>
        </w:rPr>
        <w:t xml:space="preserve"> These poorly water soluble drugs provide challenges to deliver them in an active and absorbable form to the desired absorption site using physiologically safe excipients </w:t>
      </w:r>
      <w:commentRangeStart w:id="17"/>
      <w:commentRangeStart w:id="18"/>
      <w:r w:rsidR="006112B4" w:rsidRPr="00AD0E1F">
        <w:rPr>
          <w:rFonts w:ascii="Times New Roman" w:hAnsi="Times New Roman" w:cs="Times New Roman"/>
          <w:sz w:val="24"/>
          <w:szCs w:val="24"/>
        </w:rPr>
        <w:t xml:space="preserve">Therefore, one of the most important steps in the development of dosage forms for these drugs is to improve their solubility and/or dissolution rate. Chiou and Rigelman and Serajuadin </w:t>
      </w:r>
      <w:r w:rsidR="006112B4" w:rsidRPr="00AD0E1F">
        <w:rPr>
          <w:rFonts w:ascii="Times New Roman" w:hAnsi="Times New Roman" w:cs="Times New Roman"/>
          <w:i/>
          <w:iCs/>
          <w:sz w:val="24"/>
          <w:szCs w:val="24"/>
        </w:rPr>
        <w:t>et al</w:t>
      </w:r>
      <w:r w:rsidR="006112B4" w:rsidRPr="00AD0E1F">
        <w:rPr>
          <w:rFonts w:ascii="Times New Roman" w:hAnsi="Times New Roman" w:cs="Times New Roman"/>
          <w:sz w:val="24"/>
          <w:szCs w:val="24"/>
        </w:rPr>
        <w:t>. have used the solid dispersion (SD) technique for dissolution enhancement of poorly water-soluble drugs (4). Among the various approaches, the SD technique has often proved to be the most successful in improving the dissolution and bioavailability of poorly soluble active pharmaceutical ingredients because it is simple, economic, and advantageous. Sekiguchi and Obi were the first to propose the SD method using water-soluble carriers to improve the dissolution characteristics of poorly water-soluble drugs. Many water-soluble carriers have been employed for preparation of SD of poorly soluble drugs(5). The most common are polyethyleneglycols</w:t>
      </w:r>
      <w:commentRangeEnd w:id="18"/>
      <w:r w:rsidR="003C471B">
        <w:rPr>
          <w:rStyle w:val="CommentReference"/>
        </w:rPr>
        <w:commentReference w:id="18"/>
      </w:r>
      <w:r w:rsidR="006112B4" w:rsidRPr="00AD0E1F">
        <w:rPr>
          <w:rFonts w:ascii="Times New Roman" w:hAnsi="Times New Roman" w:cs="Times New Roman"/>
          <w:sz w:val="24"/>
          <w:szCs w:val="24"/>
        </w:rPr>
        <w:t>, polyvinyl pyrrolidone, mannitol and hydroxypropyl methylcellulose. Due to poor solubility in GI fluids, it results in low and erratic oral bioavailability(</w:t>
      </w:r>
      <w:commentRangeStart w:id="19"/>
      <w:r w:rsidR="006112B4" w:rsidRPr="00AD0E1F">
        <w:rPr>
          <w:rFonts w:ascii="Times New Roman" w:hAnsi="Times New Roman" w:cs="Times New Roman"/>
          <w:sz w:val="24"/>
          <w:szCs w:val="24"/>
        </w:rPr>
        <w:t>6</w:t>
      </w:r>
      <w:commentRangeEnd w:id="19"/>
      <w:r w:rsidR="005F3439">
        <w:rPr>
          <w:rStyle w:val="CommentReference"/>
        </w:rPr>
        <w:commentReference w:id="19"/>
      </w:r>
      <w:r w:rsidR="006112B4" w:rsidRPr="00AD0E1F">
        <w:rPr>
          <w:rFonts w:ascii="Times New Roman" w:hAnsi="Times New Roman" w:cs="Times New Roman"/>
          <w:sz w:val="24"/>
          <w:szCs w:val="24"/>
        </w:rPr>
        <w:t xml:space="preserve">). Glimepiride was selected as a model drug for dissolution enhancement studies in the present investigation. Attempts were made to enhance the dissolution of GMP using a SD technique. SDs of GMP with PVP K 30 was prepared in different ratios using solvent evaporation method and then tablets of best formulation of SD were formulated by using direct </w:t>
      </w:r>
      <w:r w:rsidR="006112B4" w:rsidRPr="00AD0E1F">
        <w:rPr>
          <w:rFonts w:ascii="Times New Roman" w:hAnsi="Times New Roman" w:cs="Times New Roman"/>
          <w:sz w:val="24"/>
          <w:szCs w:val="24"/>
        </w:rPr>
        <w:lastRenderedPageBreak/>
        <w:t xml:space="preserve">compression method (7). </w:t>
      </w:r>
      <w:commentRangeStart w:id="20"/>
      <w:r w:rsidR="006112B4" w:rsidRPr="00AD0E1F">
        <w:rPr>
          <w:rFonts w:ascii="Times New Roman" w:hAnsi="Times New Roman" w:cs="Times New Roman"/>
          <w:sz w:val="24"/>
          <w:szCs w:val="24"/>
        </w:rPr>
        <w:t xml:space="preserve">Tablet </w:t>
      </w:r>
      <w:commentRangeEnd w:id="17"/>
      <w:r w:rsidR="008627A1">
        <w:rPr>
          <w:rStyle w:val="CommentReference"/>
        </w:rPr>
        <w:commentReference w:id="17"/>
      </w:r>
      <w:commentRangeStart w:id="21"/>
      <w:r w:rsidR="006112B4" w:rsidRPr="00AD0E1F">
        <w:rPr>
          <w:rFonts w:ascii="Times New Roman" w:hAnsi="Times New Roman" w:cs="Times New Roman"/>
          <w:sz w:val="24"/>
          <w:szCs w:val="24"/>
        </w:rPr>
        <w:t xml:space="preserve">formulations were prepared by direct compression technique using super disintegrates povidone in different concentrations. SDs were evaluated for FTIR, XRD, SEM, </w:t>
      </w:r>
      <w:r w:rsidR="006112B4" w:rsidRPr="00AD0E1F">
        <w:rPr>
          <w:rFonts w:ascii="Times New Roman" w:hAnsi="Times New Roman" w:cs="Times New Roman"/>
          <w:i/>
          <w:iCs/>
          <w:sz w:val="24"/>
          <w:szCs w:val="24"/>
        </w:rPr>
        <w:t xml:space="preserve">in vitro </w:t>
      </w:r>
      <w:r w:rsidR="006112B4" w:rsidRPr="00AD0E1F">
        <w:rPr>
          <w:rFonts w:ascii="Times New Roman" w:hAnsi="Times New Roman" w:cs="Times New Roman"/>
          <w:sz w:val="24"/>
          <w:szCs w:val="24"/>
        </w:rPr>
        <w:t xml:space="preserve">dissolution profiles and developed tablet formulations were evaluated for various pharmaceutical characteristics viz. hardness, % friability, weight variation, drug content, disintegration time, </w:t>
      </w:r>
      <w:r w:rsidR="006112B4" w:rsidRPr="00AD0E1F">
        <w:rPr>
          <w:rFonts w:ascii="Times New Roman" w:hAnsi="Times New Roman" w:cs="Times New Roman"/>
          <w:iCs/>
          <w:sz w:val="24"/>
          <w:szCs w:val="24"/>
        </w:rPr>
        <w:t>in vitro</w:t>
      </w:r>
      <w:r w:rsidR="006112B4" w:rsidRPr="00AD0E1F">
        <w:rPr>
          <w:rFonts w:ascii="Times New Roman" w:hAnsi="Times New Roman" w:cs="Times New Roman"/>
          <w:sz w:val="24"/>
          <w:szCs w:val="24"/>
        </w:rPr>
        <w:t xml:space="preserve">dissolution profiles (8). </w:t>
      </w:r>
      <w:r w:rsidR="006112B4" w:rsidRPr="00AD0E1F">
        <w:rPr>
          <w:rFonts w:ascii="Times New Roman" w:hAnsi="Times New Roman" w:cs="Times New Roman"/>
          <w:bCs/>
          <w:sz w:val="24"/>
          <w:szCs w:val="24"/>
        </w:rPr>
        <w:t xml:space="preserve">Priyanka Shrestha, </w:t>
      </w:r>
      <w:r w:rsidR="006112B4" w:rsidRPr="00AD0E1F">
        <w:rPr>
          <w:rFonts w:ascii="Times New Roman" w:hAnsi="Times New Roman" w:cs="Times New Roman"/>
          <w:bCs/>
          <w:i/>
          <w:sz w:val="24"/>
          <w:szCs w:val="24"/>
        </w:rPr>
        <w:t>et al</w:t>
      </w:r>
      <w:r w:rsidR="006112B4" w:rsidRPr="00AD0E1F">
        <w:rPr>
          <w:rFonts w:ascii="Times New Roman" w:hAnsi="Times New Roman" w:cs="Times New Roman"/>
          <w:bCs/>
          <w:sz w:val="24"/>
          <w:szCs w:val="24"/>
        </w:rPr>
        <w:t xml:space="preserve">, has studied </w:t>
      </w:r>
      <w:commentRangeStart w:id="22"/>
      <w:r w:rsidR="006112B4" w:rsidRPr="00AD0E1F">
        <w:rPr>
          <w:rFonts w:ascii="Times New Roman" w:hAnsi="Times New Roman" w:cs="Times New Roman"/>
          <w:bCs/>
          <w:sz w:val="24"/>
          <w:szCs w:val="24"/>
        </w:rPr>
        <w:t>that,</w:t>
      </w:r>
      <w:r w:rsidR="006112B4" w:rsidRPr="00AD0E1F">
        <w:rPr>
          <w:rFonts w:ascii="Times New Roman" w:hAnsi="Times New Roman" w:cs="Times New Roman"/>
          <w:sz w:val="24"/>
          <w:szCs w:val="24"/>
        </w:rPr>
        <w:t xml:space="preserve">Glimepiride </w:t>
      </w:r>
      <w:commentRangeEnd w:id="22"/>
      <w:r w:rsidR="009B53CE">
        <w:rPr>
          <w:rStyle w:val="CommentReference"/>
        </w:rPr>
        <w:commentReference w:id="22"/>
      </w:r>
      <w:r w:rsidR="006112B4" w:rsidRPr="00AD0E1F">
        <w:rPr>
          <w:rFonts w:ascii="Times New Roman" w:hAnsi="Times New Roman" w:cs="Times New Roman"/>
          <w:sz w:val="24"/>
          <w:szCs w:val="24"/>
        </w:rPr>
        <w:t xml:space="preserve">is a poorly water-soluble oral hypoglycemic drug exhibiting poor dissolution pattern (9). The purpose of this work is </w:t>
      </w:r>
      <w:commentRangeEnd w:id="21"/>
      <w:r w:rsidR="009B53CE">
        <w:rPr>
          <w:rStyle w:val="CommentReference"/>
        </w:rPr>
        <w:commentReference w:id="21"/>
      </w:r>
      <w:r w:rsidR="006112B4" w:rsidRPr="00AD0E1F">
        <w:rPr>
          <w:rFonts w:ascii="Times New Roman" w:hAnsi="Times New Roman" w:cs="Times New Roman"/>
          <w:sz w:val="24"/>
          <w:szCs w:val="24"/>
        </w:rPr>
        <w:t xml:space="preserve">to increase the dissolution rate of glimepiride by formation of solid dispersion with different water soluble carriers. Solid dispersion of glimepiride were </w:t>
      </w:r>
      <w:commentRangeStart w:id="23"/>
      <w:r w:rsidR="006112B4" w:rsidRPr="00AD0E1F">
        <w:rPr>
          <w:rFonts w:ascii="Times New Roman" w:hAnsi="Times New Roman" w:cs="Times New Roman"/>
          <w:sz w:val="24"/>
          <w:szCs w:val="24"/>
        </w:rPr>
        <w:t xml:space="preserve">prepared with polyvinyl pyrrolidone k-30, poloxamer 407, polyethylene glycol 6000 (PEG 6000), polyethylene glycol 4000 (PEG 4000), </w:t>
      </w:r>
      <w:commentRangeStart w:id="24"/>
      <w:r w:rsidR="006112B4" w:rsidRPr="00AD0E1F">
        <w:rPr>
          <w:rFonts w:ascii="Times New Roman" w:hAnsi="Times New Roman" w:cs="Times New Roman"/>
          <w:sz w:val="24"/>
          <w:szCs w:val="24"/>
        </w:rPr>
        <w:t>sodiumstarch g</w:t>
      </w:r>
      <w:commentRangeEnd w:id="24"/>
      <w:r w:rsidR="009B53CE">
        <w:rPr>
          <w:rStyle w:val="CommentReference"/>
        </w:rPr>
        <w:commentReference w:id="24"/>
      </w:r>
      <w:r w:rsidR="006112B4" w:rsidRPr="00AD0E1F">
        <w:rPr>
          <w:rFonts w:ascii="Times New Roman" w:hAnsi="Times New Roman" w:cs="Times New Roman"/>
          <w:sz w:val="24"/>
          <w:szCs w:val="24"/>
        </w:rPr>
        <w:t xml:space="preserve">lycolate, ludiflash and lactose at different weight ratios using the solvent evaporation and melting method(10). Physical mixtures of the poloxamer 407 and povidone K-30 with glimepiride at different ratios were also used. In compare to physical mixtures with povidone K-30 and poloxamer 407, drug release from physical mixture PM (1/9) PVP K-30 was higher (65.93% within 5 min) than drug release from physical mixture with poloxamer 407 (56% within 5 min) the drug release from pure drug was 6.84% with in 5 minute(11). </w:t>
      </w:r>
      <w:r w:rsidRPr="00AD0E1F">
        <w:rPr>
          <w:rFonts w:ascii="Times New Roman" w:hAnsi="Times New Roman" w:cs="Times New Roman"/>
        </w:rPr>
        <w:t xml:space="preserve">With the recent development in the screening of potential therapeutic agents, the number of poorly water soluble drugs have risen sharply and gained large interest due to the challenges in the oral solubility of the drug which leads to the major cause for which the techniques are meant to be implemented. One amongst </w:t>
      </w:r>
      <w:commentRangeEnd w:id="23"/>
      <w:r w:rsidR="008627A1">
        <w:rPr>
          <w:rStyle w:val="CommentReference"/>
        </w:rPr>
        <w:commentReference w:id="23"/>
      </w:r>
      <w:commentRangeEnd w:id="20"/>
      <w:r w:rsidR="003C471B">
        <w:rPr>
          <w:rStyle w:val="CommentReference"/>
        </w:rPr>
        <w:commentReference w:id="20"/>
      </w:r>
      <w:r w:rsidRPr="00AD0E1F">
        <w:rPr>
          <w:rFonts w:ascii="Times New Roman" w:hAnsi="Times New Roman" w:cs="Times New Roman"/>
        </w:rPr>
        <w:t>such techniques is the formulation of solid dispersion for the solubility enhancement</w:t>
      </w:r>
      <w:r w:rsidR="006112B4" w:rsidRPr="00AD0E1F">
        <w:rPr>
          <w:rFonts w:ascii="Times New Roman" w:hAnsi="Times New Roman" w:cs="Times New Roman"/>
          <w:sz w:val="24"/>
          <w:szCs w:val="24"/>
        </w:rPr>
        <w:t>(</w:t>
      </w:r>
      <w:commentRangeStart w:id="25"/>
      <w:r w:rsidR="006112B4" w:rsidRPr="00AD0E1F">
        <w:rPr>
          <w:rFonts w:ascii="Times New Roman" w:hAnsi="Times New Roman" w:cs="Times New Roman"/>
          <w:sz w:val="24"/>
          <w:szCs w:val="24"/>
        </w:rPr>
        <w:t>12</w:t>
      </w:r>
      <w:commentRangeEnd w:id="25"/>
      <w:r w:rsidR="005F3439">
        <w:rPr>
          <w:rStyle w:val="CommentReference"/>
        </w:rPr>
        <w:commentReference w:id="25"/>
      </w:r>
      <w:r w:rsidR="006112B4" w:rsidRPr="00AD0E1F">
        <w:rPr>
          <w:rFonts w:ascii="Times New Roman" w:hAnsi="Times New Roman" w:cs="Times New Roman"/>
          <w:sz w:val="24"/>
          <w:szCs w:val="24"/>
        </w:rPr>
        <w:t>).</w:t>
      </w:r>
    </w:p>
    <w:p w:rsidR="00661946" w:rsidRPr="00AD0E1F" w:rsidRDefault="00661946" w:rsidP="00661946">
      <w:pPr>
        <w:autoSpaceDE w:val="0"/>
        <w:autoSpaceDN w:val="0"/>
        <w:adjustRightInd w:val="0"/>
        <w:spacing w:after="0" w:line="240" w:lineRule="auto"/>
        <w:rPr>
          <w:rFonts w:ascii="Times New Roman" w:hAnsi="Times New Roman" w:cs="Times New Roman"/>
          <w:b/>
          <w:bCs/>
          <w:iCs/>
          <w:spacing w:val="5"/>
          <w:sz w:val="28"/>
          <w:szCs w:val="24"/>
        </w:rPr>
      </w:pPr>
      <w:commentRangeStart w:id="26"/>
      <w:commentRangeStart w:id="27"/>
      <w:r w:rsidRPr="00AD0E1F">
        <w:rPr>
          <w:rFonts w:ascii="Times New Roman" w:hAnsi="Times New Roman" w:cs="Times New Roman"/>
          <w:b/>
          <w:bCs/>
          <w:iCs/>
          <w:spacing w:val="5"/>
          <w:sz w:val="28"/>
          <w:szCs w:val="24"/>
        </w:rPr>
        <w:t>Materials and Methods</w:t>
      </w:r>
      <w:commentRangeEnd w:id="26"/>
      <w:r w:rsidR="00EB248E">
        <w:rPr>
          <w:rStyle w:val="CommentReference"/>
        </w:rPr>
        <w:commentReference w:id="26"/>
      </w:r>
      <w:commentRangeEnd w:id="27"/>
      <w:r w:rsidR="00EB248E">
        <w:rPr>
          <w:rStyle w:val="CommentReference"/>
        </w:rPr>
        <w:commentReference w:id="27"/>
      </w:r>
      <w:r w:rsidRPr="00AD0E1F">
        <w:rPr>
          <w:rFonts w:ascii="Times New Roman" w:hAnsi="Times New Roman" w:cs="Times New Roman"/>
          <w:b/>
          <w:bCs/>
          <w:iCs/>
          <w:spacing w:val="5"/>
          <w:sz w:val="28"/>
          <w:szCs w:val="24"/>
        </w:rPr>
        <w:t>:</w:t>
      </w:r>
    </w:p>
    <w:p w:rsidR="00661946" w:rsidRPr="00AD0E1F" w:rsidRDefault="00661946" w:rsidP="00661946">
      <w:pPr>
        <w:autoSpaceDE w:val="0"/>
        <w:autoSpaceDN w:val="0"/>
        <w:adjustRightInd w:val="0"/>
        <w:spacing w:after="0" w:line="240" w:lineRule="auto"/>
        <w:rPr>
          <w:rFonts w:ascii="Times New Roman" w:hAnsi="Times New Roman" w:cs="Times New Roman"/>
          <w:bCs/>
          <w:iCs/>
          <w:spacing w:val="5"/>
          <w:sz w:val="24"/>
          <w:szCs w:val="24"/>
        </w:rPr>
      </w:pPr>
    </w:p>
    <w:p w:rsidR="00661946" w:rsidRPr="00AD0E1F" w:rsidRDefault="00661946" w:rsidP="00661946">
      <w:pPr>
        <w:spacing w:after="0" w:line="360" w:lineRule="auto"/>
        <w:jc w:val="both"/>
        <w:rPr>
          <w:rFonts w:ascii="Times New Roman" w:eastAsia="Times New Roman" w:hAnsi="Times New Roman" w:cs="Times New Roman"/>
          <w:b/>
          <w:spacing w:val="5"/>
          <w:sz w:val="28"/>
        </w:rPr>
      </w:pPr>
      <w:commentRangeStart w:id="28"/>
      <w:r w:rsidRPr="00AD0E1F">
        <w:rPr>
          <w:rFonts w:ascii="Times New Roman" w:eastAsia="Times New Roman" w:hAnsi="Times New Roman" w:cs="Times New Roman"/>
          <w:b/>
          <w:sz w:val="28"/>
        </w:rPr>
        <w:t>Chemicals Used</w:t>
      </w:r>
    </w:p>
    <w:p w:rsidR="00661946" w:rsidRPr="00AD0E1F" w:rsidRDefault="001C62A2" w:rsidP="00661946">
      <w:pPr>
        <w:autoSpaceDE w:val="0"/>
        <w:autoSpaceDN w:val="0"/>
        <w:adjustRightInd w:val="0"/>
        <w:spacing w:after="0" w:line="240" w:lineRule="auto"/>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Table 1</w:t>
      </w:r>
      <w:r w:rsidR="00661946" w:rsidRPr="00AD0E1F">
        <w:rPr>
          <w:rFonts w:ascii="Times New Roman" w:hAnsi="Times New Roman" w:cs="Times New Roman"/>
          <w:bCs/>
          <w:iCs/>
          <w:spacing w:val="5"/>
          <w:sz w:val="24"/>
          <w:szCs w:val="24"/>
        </w:rPr>
        <w:t>: List of ingredients used in experiment</w:t>
      </w:r>
    </w:p>
    <w:p w:rsidR="00661946" w:rsidRPr="00AD0E1F" w:rsidRDefault="00661946" w:rsidP="00661946">
      <w:pPr>
        <w:autoSpaceDE w:val="0"/>
        <w:autoSpaceDN w:val="0"/>
        <w:adjustRightInd w:val="0"/>
        <w:spacing w:after="0" w:line="240" w:lineRule="auto"/>
        <w:rPr>
          <w:rFonts w:ascii="Times New Roman" w:hAnsi="Times New Roman" w:cs="Times New Roman"/>
          <w:bCs/>
          <w:iCs/>
          <w:spacing w:val="5"/>
          <w:sz w:val="24"/>
          <w:szCs w:val="24"/>
        </w:rPr>
      </w:pPr>
    </w:p>
    <w:tbl>
      <w:tblPr>
        <w:tblW w:w="8397" w:type="dxa"/>
        <w:tblInd w:w="10" w:type="dxa"/>
        <w:tblCellMar>
          <w:left w:w="10" w:type="dxa"/>
          <w:right w:w="10" w:type="dxa"/>
        </w:tblCellMar>
        <w:tblLook w:val="04A0"/>
      </w:tblPr>
      <w:tblGrid>
        <w:gridCol w:w="2799"/>
        <w:gridCol w:w="2799"/>
        <w:gridCol w:w="2799"/>
      </w:tblGrid>
      <w:tr w:rsidR="00661946" w:rsidRPr="00AD0E1F" w:rsidTr="00A25E0D">
        <w:trPr>
          <w:trHeight w:val="709"/>
        </w:trPr>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Name of the materials</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Functional category</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Sources of the chemicals</w:t>
            </w:r>
          </w:p>
        </w:tc>
      </w:tr>
      <w:tr w:rsidR="00661946" w:rsidRPr="00AD0E1F" w:rsidTr="00A25E0D">
        <w:trPr>
          <w:trHeight w:val="800"/>
        </w:trPr>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Glimepiride powder</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Active pharmaceutical ingrident  (API)</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ESKAYEF BANGLADESH LTD, GAZIPUR.</w:t>
            </w:r>
          </w:p>
        </w:tc>
      </w:tr>
      <w:tr w:rsidR="00661946" w:rsidRPr="00AD0E1F" w:rsidTr="00A25E0D">
        <w:trPr>
          <w:trHeight w:val="890"/>
        </w:trPr>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Polyethylene glycol 4000(PEG 4000)</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Carrier for solid dispersion</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ALBION LABOROTORIES LTD.</w:t>
            </w:r>
          </w:p>
        </w:tc>
      </w:tr>
      <w:tr w:rsidR="00661946" w:rsidRPr="00AD0E1F" w:rsidTr="00A25E0D">
        <w:trPr>
          <w:trHeight w:val="710"/>
        </w:trPr>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Polyethylene glycol 6000(PEG 6000)</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Carrier for solid dispersion</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ALBION LABOROTORIES LTD.</w:t>
            </w:r>
          </w:p>
        </w:tc>
      </w:tr>
      <w:tr w:rsidR="00661946" w:rsidRPr="00AD0E1F" w:rsidTr="00A25E0D">
        <w:trPr>
          <w:trHeight w:val="710"/>
        </w:trPr>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PVP(Polyvinyl pyrrolidone)</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Carrier for solid dispersion</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LOCAL MAEKET</w:t>
            </w:r>
          </w:p>
        </w:tc>
      </w:tr>
      <w:tr w:rsidR="00661946" w:rsidRPr="00AD0E1F" w:rsidTr="00A25E0D">
        <w:trPr>
          <w:trHeight w:val="620"/>
        </w:trPr>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lastRenderedPageBreak/>
              <w:t>Eudragit</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Carrier for solid dispersion</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THE ACME LABORATORIES LTD.</w:t>
            </w:r>
          </w:p>
        </w:tc>
      </w:tr>
      <w:tr w:rsidR="00661946" w:rsidRPr="00AD0E1F" w:rsidTr="00A25E0D">
        <w:trPr>
          <w:trHeight w:val="710"/>
        </w:trPr>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Poloxomer 407</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Carrier for solid dispersion</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BASF</w:t>
            </w:r>
          </w:p>
        </w:tc>
      </w:tr>
      <w:tr w:rsidR="00661946" w:rsidRPr="00AD0E1F" w:rsidTr="00A25E0D">
        <w:trPr>
          <w:trHeight w:val="540"/>
        </w:trPr>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 xml:space="preserve">Potassium dihydrogen phosphate </w:t>
            </w:r>
          </w:p>
          <w:p w:rsidR="00661946" w:rsidRPr="00AD0E1F" w:rsidRDefault="00661946" w:rsidP="00A25E0D">
            <w:pPr>
              <w:autoSpaceDE w:val="0"/>
              <w:autoSpaceDN w:val="0"/>
              <w:adjustRightInd w:val="0"/>
              <w:rPr>
                <w:rFonts w:ascii="Times New Roman" w:hAnsi="Times New Roman" w:cs="Times New Roman"/>
                <w:bCs/>
                <w:iCs/>
                <w:spacing w:val="5"/>
                <w:sz w:val="24"/>
                <w:szCs w:val="24"/>
              </w:rPr>
            </w:pP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Major salt of buffer solution</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MERCK, MUMBAI.</w:t>
            </w:r>
          </w:p>
        </w:tc>
      </w:tr>
      <w:commentRangeEnd w:id="28"/>
      <w:tr w:rsidR="00661946" w:rsidRPr="00AD0E1F" w:rsidTr="00A25E0D">
        <w:trPr>
          <w:trHeight w:val="953"/>
        </w:trPr>
        <w:tc>
          <w:tcPr>
            <w:tcW w:w="2799" w:type="dxa"/>
          </w:tcPr>
          <w:p w:rsidR="00661946" w:rsidRPr="00AD0E1F" w:rsidRDefault="00EB248E" w:rsidP="00A25E0D">
            <w:pPr>
              <w:autoSpaceDE w:val="0"/>
              <w:autoSpaceDN w:val="0"/>
              <w:adjustRightInd w:val="0"/>
              <w:rPr>
                <w:rFonts w:ascii="Times New Roman" w:hAnsi="Times New Roman" w:cs="Times New Roman"/>
                <w:bCs/>
                <w:iCs/>
                <w:spacing w:val="5"/>
                <w:sz w:val="24"/>
                <w:szCs w:val="24"/>
              </w:rPr>
            </w:pPr>
            <w:r>
              <w:rPr>
                <w:rStyle w:val="CommentReference"/>
              </w:rPr>
              <w:commentReference w:id="28"/>
            </w:r>
            <w:r w:rsidR="00661946" w:rsidRPr="00AD0E1F">
              <w:rPr>
                <w:rFonts w:ascii="Times New Roman" w:hAnsi="Times New Roman" w:cs="Times New Roman"/>
                <w:bCs/>
                <w:iCs/>
                <w:spacing w:val="5"/>
                <w:sz w:val="24"/>
                <w:szCs w:val="24"/>
              </w:rPr>
              <w:t>Di-sodium hydrogen phosphate</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Major salt of buffer solution</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MERCK, MUMBAI.</w:t>
            </w:r>
          </w:p>
        </w:tc>
      </w:tr>
      <w:tr w:rsidR="00661946" w:rsidRPr="00AD0E1F" w:rsidTr="00A25E0D">
        <w:trPr>
          <w:trHeight w:val="800"/>
        </w:trPr>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 xml:space="preserve">Methanol </w:t>
            </w:r>
          </w:p>
          <w:p w:rsidR="00661946" w:rsidRPr="00AD0E1F" w:rsidRDefault="00661946" w:rsidP="00A25E0D">
            <w:pPr>
              <w:autoSpaceDE w:val="0"/>
              <w:autoSpaceDN w:val="0"/>
              <w:adjustRightInd w:val="0"/>
              <w:rPr>
                <w:rFonts w:ascii="Times New Roman" w:hAnsi="Times New Roman" w:cs="Times New Roman"/>
                <w:bCs/>
                <w:iCs/>
                <w:spacing w:val="5"/>
                <w:sz w:val="24"/>
                <w:szCs w:val="24"/>
              </w:rPr>
            </w:pP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Aqueous Solvent</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UNIVERSITY LABORATORY</w:t>
            </w:r>
          </w:p>
          <w:p w:rsidR="00661946" w:rsidRPr="00AD0E1F" w:rsidRDefault="00661946" w:rsidP="00A25E0D">
            <w:pPr>
              <w:autoSpaceDE w:val="0"/>
              <w:autoSpaceDN w:val="0"/>
              <w:adjustRightInd w:val="0"/>
              <w:rPr>
                <w:rFonts w:ascii="Times New Roman" w:hAnsi="Times New Roman" w:cs="Times New Roman"/>
                <w:bCs/>
                <w:iCs/>
                <w:spacing w:val="5"/>
                <w:sz w:val="24"/>
                <w:szCs w:val="24"/>
              </w:rPr>
            </w:pPr>
          </w:p>
          <w:p w:rsidR="00661946" w:rsidRPr="00AD0E1F" w:rsidRDefault="00661946" w:rsidP="00A25E0D">
            <w:pPr>
              <w:autoSpaceDE w:val="0"/>
              <w:autoSpaceDN w:val="0"/>
              <w:adjustRightInd w:val="0"/>
              <w:rPr>
                <w:rFonts w:ascii="Times New Roman" w:hAnsi="Times New Roman" w:cs="Times New Roman"/>
                <w:bCs/>
                <w:iCs/>
                <w:spacing w:val="5"/>
                <w:sz w:val="24"/>
                <w:szCs w:val="24"/>
              </w:rPr>
            </w:pPr>
          </w:p>
        </w:tc>
      </w:tr>
      <w:tr w:rsidR="00661946" w:rsidRPr="00AD0E1F" w:rsidTr="00A25E0D">
        <w:trPr>
          <w:trHeight w:val="660"/>
        </w:trPr>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Distilled water</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Solvent for buffer solution, used as washing agent too.</w:t>
            </w:r>
          </w:p>
        </w:tc>
        <w:tc>
          <w:tcPr>
            <w:tcW w:w="2799" w:type="dxa"/>
          </w:tcPr>
          <w:p w:rsidR="00661946" w:rsidRPr="00AD0E1F" w:rsidRDefault="00661946" w:rsidP="00A25E0D">
            <w:pPr>
              <w:autoSpaceDE w:val="0"/>
              <w:autoSpaceDN w:val="0"/>
              <w:adjustRightInd w:val="0"/>
              <w:rPr>
                <w:rFonts w:ascii="Times New Roman" w:hAnsi="Times New Roman" w:cs="Times New Roman"/>
                <w:bCs/>
                <w:iCs/>
                <w:spacing w:val="5"/>
                <w:sz w:val="24"/>
                <w:szCs w:val="24"/>
              </w:rPr>
            </w:pPr>
            <w:r w:rsidRPr="00AD0E1F">
              <w:rPr>
                <w:rFonts w:ascii="Times New Roman" w:hAnsi="Times New Roman" w:cs="Times New Roman"/>
                <w:bCs/>
                <w:iCs/>
                <w:spacing w:val="5"/>
                <w:sz w:val="24"/>
                <w:szCs w:val="24"/>
              </w:rPr>
              <w:t>UNIVERSITY LABORATORY</w:t>
            </w:r>
          </w:p>
        </w:tc>
      </w:tr>
    </w:tbl>
    <w:p w:rsidR="00661946" w:rsidRPr="00AD0E1F" w:rsidRDefault="00661946" w:rsidP="00661946">
      <w:pPr>
        <w:rPr>
          <w:rFonts w:ascii="Times New Roman" w:hAnsi="Times New Roman" w:cs="Times New Roman"/>
          <w:b/>
          <w:sz w:val="28"/>
        </w:rPr>
      </w:pPr>
    </w:p>
    <w:p w:rsidR="00661946" w:rsidRPr="00AD0E1F" w:rsidRDefault="00661946" w:rsidP="00661946">
      <w:pPr>
        <w:rPr>
          <w:rFonts w:ascii="Times New Roman" w:hAnsi="Times New Roman" w:cs="Times New Roman"/>
          <w:b/>
          <w:sz w:val="28"/>
        </w:rPr>
      </w:pPr>
      <w:r w:rsidRPr="00AD0E1F">
        <w:rPr>
          <w:rFonts w:ascii="Times New Roman" w:hAnsi="Times New Roman" w:cs="Times New Roman"/>
          <w:b/>
          <w:sz w:val="28"/>
        </w:rPr>
        <w:t xml:space="preserve"> Fusion Method</w:t>
      </w:r>
    </w:p>
    <w:p w:rsidR="00661946" w:rsidRPr="00AD0E1F" w:rsidRDefault="00661946" w:rsidP="00661946">
      <w:pPr>
        <w:rPr>
          <w:rFonts w:ascii="Times New Roman" w:hAnsi="Times New Roman" w:cs="Times New Roman"/>
          <w:sz w:val="24"/>
          <w:szCs w:val="24"/>
        </w:rPr>
      </w:pPr>
      <w:commentRangeStart w:id="29"/>
      <w:r w:rsidRPr="00AD0E1F">
        <w:rPr>
          <w:rFonts w:ascii="Times New Roman" w:hAnsi="Times New Roman" w:cs="Times New Roman"/>
          <w:sz w:val="24"/>
          <w:szCs w:val="24"/>
        </w:rPr>
        <w:t>Fusion method of solid dispersion of glimepiride is given below:</w:t>
      </w:r>
    </w:p>
    <w:p w:rsidR="00661946" w:rsidRPr="00AD0E1F" w:rsidRDefault="00661946" w:rsidP="00661946">
      <w:pPr>
        <w:numPr>
          <w:ilvl w:val="0"/>
          <w:numId w:val="1"/>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Desired amount out of drug and polymer were weighted out accurately e.g. PEG 4000</w:t>
      </w:r>
    </w:p>
    <w:p w:rsidR="00661946" w:rsidRPr="00AD0E1F" w:rsidRDefault="00661946" w:rsidP="00661946">
      <w:pPr>
        <w:numPr>
          <w:ilvl w:val="0"/>
          <w:numId w:val="1"/>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They were taken in a beaker</w:t>
      </w:r>
    </w:p>
    <w:p w:rsidR="00661946" w:rsidRPr="00AD0E1F" w:rsidRDefault="00661946" w:rsidP="00661946">
      <w:pPr>
        <w:numPr>
          <w:ilvl w:val="0"/>
          <w:numId w:val="1"/>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 xml:space="preserve">And placed it into water bath for melting at 70 </w:t>
      </w:r>
      <w:r w:rsidRPr="00AD0E1F">
        <w:rPr>
          <w:rFonts w:ascii="Times New Roman" w:hAnsi="Times New Roman" w:cs="Times New Roman"/>
          <w:sz w:val="24"/>
          <w:szCs w:val="24"/>
          <w:vertAlign w:val="superscript"/>
        </w:rPr>
        <w:t>0</w:t>
      </w:r>
      <w:r w:rsidRPr="00AD0E1F">
        <w:rPr>
          <w:rFonts w:ascii="Times New Roman" w:hAnsi="Times New Roman" w:cs="Times New Roman"/>
          <w:sz w:val="24"/>
          <w:szCs w:val="24"/>
        </w:rPr>
        <w:t>c.</w:t>
      </w:r>
    </w:p>
    <w:p w:rsidR="00661946" w:rsidRPr="00AD0E1F" w:rsidRDefault="00661946" w:rsidP="00661946">
      <w:pPr>
        <w:numPr>
          <w:ilvl w:val="0"/>
          <w:numId w:val="1"/>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After melting, accurately weighted amount of drug was added in that glass beaker containing PEG</w:t>
      </w:r>
    </w:p>
    <w:p w:rsidR="00661946" w:rsidRPr="00AD0E1F" w:rsidRDefault="00661946" w:rsidP="00661946">
      <w:pPr>
        <w:numPr>
          <w:ilvl w:val="0"/>
          <w:numId w:val="1"/>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 xml:space="preserve">Then they were mixed by glass rod to obtain a viscous mass. </w:t>
      </w:r>
    </w:p>
    <w:p w:rsidR="00661946" w:rsidRPr="00AD0E1F" w:rsidRDefault="00661946" w:rsidP="00661946">
      <w:pPr>
        <w:numPr>
          <w:ilvl w:val="0"/>
          <w:numId w:val="1"/>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The mixture was stirred vigorously for uniform mixing and was kept in normal room temperature for 72 hour until a solid mass was formed.</w:t>
      </w:r>
    </w:p>
    <w:p w:rsidR="00661946" w:rsidRPr="00AD0E1F" w:rsidRDefault="00661946" w:rsidP="00661946">
      <w:pPr>
        <w:numPr>
          <w:ilvl w:val="0"/>
          <w:numId w:val="1"/>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Solidified mixture was then grinded thoroughly with the help of mortar and pestle.</w:t>
      </w:r>
    </w:p>
    <w:p w:rsidR="00661946" w:rsidRPr="00AD0E1F" w:rsidRDefault="00661946" w:rsidP="00661946">
      <w:pPr>
        <w:numPr>
          <w:ilvl w:val="0"/>
          <w:numId w:val="1"/>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Then the powdered particle passed through a sieve (mesh size 40).</w:t>
      </w:r>
    </w:p>
    <w:p w:rsidR="00661946" w:rsidRPr="00AD0E1F" w:rsidRDefault="00661946" w:rsidP="00661946">
      <w:pPr>
        <w:numPr>
          <w:ilvl w:val="0"/>
          <w:numId w:val="1"/>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The resulted samples (Solid dispersion) were weighted and transferred in a fresh vial with proper labeling.</w:t>
      </w:r>
    </w:p>
    <w:p w:rsidR="00661946" w:rsidRPr="00AD0E1F" w:rsidRDefault="00661946" w:rsidP="00661946">
      <w:pPr>
        <w:numPr>
          <w:ilvl w:val="0"/>
          <w:numId w:val="1"/>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 xml:space="preserve">Finally, the SD formulation </w:t>
      </w:r>
      <w:commentRangeEnd w:id="29"/>
      <w:r w:rsidR="008627A1">
        <w:rPr>
          <w:rStyle w:val="CommentReference"/>
        </w:rPr>
        <w:commentReference w:id="29"/>
      </w:r>
      <w:r w:rsidRPr="00AD0E1F">
        <w:rPr>
          <w:rFonts w:ascii="Times New Roman" w:hAnsi="Times New Roman" w:cs="Times New Roman"/>
          <w:sz w:val="24"/>
          <w:szCs w:val="24"/>
        </w:rPr>
        <w:t xml:space="preserve">were kept in a desiccator until further investigation. </w:t>
      </w:r>
    </w:p>
    <w:p w:rsidR="00661946" w:rsidRPr="00AD0E1F" w:rsidRDefault="00661946" w:rsidP="00661946">
      <w:pPr>
        <w:contextualSpacing/>
        <w:rPr>
          <w:rFonts w:ascii="Times New Roman" w:hAnsi="Times New Roman" w:cs="Times New Roman"/>
          <w:sz w:val="24"/>
          <w:szCs w:val="24"/>
        </w:rPr>
      </w:pPr>
    </w:p>
    <w:p w:rsidR="00661946" w:rsidRPr="00AD0E1F" w:rsidRDefault="001C62A2" w:rsidP="00661946">
      <w:pPr>
        <w:jc w:val="both"/>
        <w:rPr>
          <w:rFonts w:ascii="Times New Roman" w:hAnsi="Times New Roman" w:cs="Times New Roman"/>
          <w:sz w:val="24"/>
          <w:szCs w:val="24"/>
        </w:rPr>
      </w:pPr>
      <w:r w:rsidRPr="00AD0E1F">
        <w:rPr>
          <w:rFonts w:ascii="Times New Roman" w:hAnsi="Times New Roman" w:cs="Times New Roman"/>
          <w:b/>
          <w:sz w:val="24"/>
          <w:szCs w:val="24"/>
        </w:rPr>
        <w:t>Table 2:</w:t>
      </w:r>
      <w:r w:rsidR="00661946" w:rsidRPr="00AD0E1F">
        <w:rPr>
          <w:rFonts w:ascii="Times New Roman" w:hAnsi="Times New Roman" w:cs="Times New Roman"/>
          <w:b/>
          <w:sz w:val="24"/>
          <w:szCs w:val="24"/>
        </w:rPr>
        <w:t xml:space="preserve"> Formulation of binary and ternary solid dispersion of glimepiride prepared by fusion method using different polymer at different ratio</w:t>
      </w:r>
    </w:p>
    <w:tbl>
      <w:tblPr>
        <w:tblW w:w="9625" w:type="dxa"/>
        <w:tblInd w:w="10" w:type="dxa"/>
        <w:tblLayout w:type="fixed"/>
        <w:tblCellMar>
          <w:left w:w="10" w:type="dxa"/>
          <w:right w:w="10" w:type="dxa"/>
        </w:tblCellMar>
        <w:tblLook w:val="01E0"/>
      </w:tblPr>
      <w:tblGrid>
        <w:gridCol w:w="741"/>
        <w:gridCol w:w="1103"/>
        <w:gridCol w:w="1442"/>
        <w:gridCol w:w="1780"/>
        <w:gridCol w:w="1696"/>
        <w:gridCol w:w="1272"/>
        <w:gridCol w:w="1591"/>
      </w:tblGrid>
      <w:tr w:rsidR="00661946" w:rsidRPr="00AD0E1F" w:rsidTr="00A25E0D">
        <w:trPr>
          <w:trHeight w:val="523"/>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lastRenderedPageBreak/>
              <w:t>Serial no</w:t>
            </w:r>
          </w:p>
        </w:tc>
        <w:tc>
          <w:tcPr>
            <w:tcW w:w="1103"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Carriers</w:t>
            </w:r>
          </w:p>
        </w:tc>
        <w:tc>
          <w:tcPr>
            <w:tcW w:w="1442"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 xml:space="preserve">Drug </w:t>
            </w:r>
          </w:p>
          <w:p w:rsidR="00661946" w:rsidRPr="00AD0E1F" w:rsidRDefault="00661946" w:rsidP="00A25E0D">
            <w:pPr>
              <w:rPr>
                <w:rFonts w:ascii="Times New Roman" w:hAnsi="Times New Roman" w:cs="Times New Roman"/>
              </w:rPr>
            </w:pPr>
            <w:r w:rsidRPr="00AD0E1F">
              <w:rPr>
                <w:rFonts w:ascii="Times New Roman" w:hAnsi="Times New Roman" w:cs="Times New Roman"/>
              </w:rPr>
              <w:t>polymer ratio</w:t>
            </w:r>
          </w:p>
        </w:tc>
        <w:tc>
          <w:tcPr>
            <w:tcW w:w="1780"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Summarized form</w:t>
            </w:r>
          </w:p>
        </w:tc>
        <w:tc>
          <w:tcPr>
            <w:tcW w:w="1696"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Dispensing(mg)</w:t>
            </w:r>
          </w:p>
        </w:tc>
        <w:tc>
          <w:tcPr>
            <w:tcW w:w="1272" w:type="dxa"/>
            <w:tcBorders>
              <w:right w:val="single" w:sz="4" w:space="0" w:color="auto"/>
            </w:tcBorders>
          </w:tcPr>
          <w:p w:rsidR="00661946" w:rsidRPr="00AD0E1F" w:rsidRDefault="00661946" w:rsidP="00A25E0D">
            <w:pPr>
              <w:rPr>
                <w:rFonts w:ascii="Times New Roman" w:hAnsi="Times New Roman" w:cs="Times New Roman"/>
              </w:rPr>
            </w:pPr>
            <w:r w:rsidRPr="00AD0E1F">
              <w:rPr>
                <w:rFonts w:ascii="Times New Roman" w:hAnsi="Times New Roman" w:cs="Times New Roman"/>
              </w:rPr>
              <w:t>Formulation coating</w:t>
            </w:r>
          </w:p>
        </w:tc>
        <w:tc>
          <w:tcPr>
            <w:tcW w:w="1591" w:type="dxa"/>
            <w:tcBorders>
              <w:top w:val="single" w:sz="4" w:space="0" w:color="auto"/>
              <w:left w:val="single" w:sz="4" w:space="0" w:color="auto"/>
              <w:bottom w:val="single" w:sz="4" w:space="0" w:color="auto"/>
              <w:right w:val="single" w:sz="4" w:space="0" w:color="auto"/>
            </w:tcBorders>
          </w:tcPr>
          <w:p w:rsidR="00661946" w:rsidRPr="00AD0E1F" w:rsidRDefault="00661946" w:rsidP="00A25E0D">
            <w:pPr>
              <w:rPr>
                <w:rFonts w:ascii="Times New Roman" w:hAnsi="Times New Roman" w:cs="Times New Roman"/>
              </w:rPr>
            </w:pPr>
            <w:r w:rsidRPr="00AD0E1F">
              <w:rPr>
                <w:rFonts w:ascii="Times New Roman" w:hAnsi="Times New Roman" w:cs="Times New Roman"/>
              </w:rPr>
              <w:t>Method</w:t>
            </w:r>
          </w:p>
        </w:tc>
      </w:tr>
      <w:tr w:rsidR="00661946" w:rsidRPr="00AD0E1F" w:rsidTr="00A25E0D">
        <w:trPr>
          <w:trHeight w:val="523"/>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1</w:t>
            </w:r>
          </w:p>
        </w:tc>
        <w:tc>
          <w:tcPr>
            <w:tcW w:w="1103"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PEG4000</w:t>
            </w:r>
          </w:p>
        </w:tc>
        <w:tc>
          <w:tcPr>
            <w:tcW w:w="1442" w:type="dxa"/>
          </w:tcPr>
          <w:p w:rsidR="00661946" w:rsidRPr="00AD0E1F" w:rsidRDefault="00661946" w:rsidP="00A25E0D">
            <w:pPr>
              <w:tabs>
                <w:tab w:val="left" w:pos="3765"/>
              </w:tabs>
              <w:rPr>
                <w:rFonts w:ascii="Times New Roman" w:hAnsi="Times New Roman" w:cs="Times New Roman"/>
                <w:highlight w:val="yellow"/>
              </w:rPr>
            </w:pPr>
            <w:r w:rsidRPr="00AD0E1F">
              <w:rPr>
                <w:rFonts w:ascii="Times New Roman" w:hAnsi="Times New Roman" w:cs="Times New Roman"/>
                <w:highlight w:val="yellow"/>
              </w:rPr>
              <w:t>1:1</w:t>
            </w:r>
          </w:p>
        </w:tc>
        <w:tc>
          <w:tcPr>
            <w:tcW w:w="1780"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Glim:PEG4000</w:t>
            </w:r>
          </w:p>
        </w:tc>
        <w:tc>
          <w:tcPr>
            <w:tcW w:w="1696"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300:300</w:t>
            </w:r>
          </w:p>
        </w:tc>
        <w:tc>
          <w:tcPr>
            <w:tcW w:w="1272"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G1</w:t>
            </w:r>
          </w:p>
        </w:tc>
        <w:tc>
          <w:tcPr>
            <w:tcW w:w="1591"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523"/>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2</w:t>
            </w:r>
          </w:p>
        </w:tc>
        <w:tc>
          <w:tcPr>
            <w:tcW w:w="1103"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PEG4000</w:t>
            </w:r>
          </w:p>
        </w:tc>
        <w:tc>
          <w:tcPr>
            <w:tcW w:w="1442" w:type="dxa"/>
          </w:tcPr>
          <w:p w:rsidR="00661946" w:rsidRPr="00AD0E1F" w:rsidRDefault="00661946" w:rsidP="00A25E0D">
            <w:pPr>
              <w:tabs>
                <w:tab w:val="left" w:pos="3765"/>
              </w:tabs>
              <w:rPr>
                <w:rFonts w:ascii="Times New Roman" w:hAnsi="Times New Roman" w:cs="Times New Roman"/>
                <w:highlight w:val="yellow"/>
              </w:rPr>
            </w:pPr>
            <w:r w:rsidRPr="00AD0E1F">
              <w:rPr>
                <w:rFonts w:ascii="Times New Roman" w:hAnsi="Times New Roman" w:cs="Times New Roman"/>
                <w:highlight w:val="yellow"/>
              </w:rPr>
              <w:t>1:2</w:t>
            </w:r>
          </w:p>
        </w:tc>
        <w:tc>
          <w:tcPr>
            <w:tcW w:w="1780"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Glim:PEG4000</w:t>
            </w:r>
          </w:p>
        </w:tc>
        <w:tc>
          <w:tcPr>
            <w:tcW w:w="1696"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300:600</w:t>
            </w:r>
          </w:p>
        </w:tc>
        <w:tc>
          <w:tcPr>
            <w:tcW w:w="1272"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G2</w:t>
            </w:r>
          </w:p>
        </w:tc>
        <w:tc>
          <w:tcPr>
            <w:tcW w:w="1591"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523"/>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3</w:t>
            </w:r>
          </w:p>
        </w:tc>
        <w:tc>
          <w:tcPr>
            <w:tcW w:w="1103"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PEG4000</w:t>
            </w:r>
          </w:p>
        </w:tc>
        <w:tc>
          <w:tcPr>
            <w:tcW w:w="1442" w:type="dxa"/>
          </w:tcPr>
          <w:p w:rsidR="00661946" w:rsidRPr="00AD0E1F" w:rsidRDefault="00661946" w:rsidP="00A25E0D">
            <w:pPr>
              <w:tabs>
                <w:tab w:val="left" w:pos="3765"/>
              </w:tabs>
              <w:rPr>
                <w:rFonts w:ascii="Times New Roman" w:hAnsi="Times New Roman" w:cs="Times New Roman"/>
                <w:highlight w:val="yellow"/>
              </w:rPr>
            </w:pPr>
            <w:r w:rsidRPr="00AD0E1F">
              <w:rPr>
                <w:rFonts w:ascii="Times New Roman" w:hAnsi="Times New Roman" w:cs="Times New Roman"/>
                <w:highlight w:val="yellow"/>
              </w:rPr>
              <w:t>1:3</w:t>
            </w:r>
          </w:p>
        </w:tc>
        <w:tc>
          <w:tcPr>
            <w:tcW w:w="1780"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Glim:PEG4000</w:t>
            </w:r>
          </w:p>
        </w:tc>
        <w:tc>
          <w:tcPr>
            <w:tcW w:w="1696"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300:900</w:t>
            </w:r>
          </w:p>
        </w:tc>
        <w:tc>
          <w:tcPr>
            <w:tcW w:w="1272"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G3</w:t>
            </w:r>
          </w:p>
        </w:tc>
        <w:tc>
          <w:tcPr>
            <w:tcW w:w="1591"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523"/>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4</w:t>
            </w:r>
          </w:p>
        </w:tc>
        <w:tc>
          <w:tcPr>
            <w:tcW w:w="1103"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PEG4000</w:t>
            </w:r>
          </w:p>
        </w:tc>
        <w:tc>
          <w:tcPr>
            <w:tcW w:w="1442" w:type="dxa"/>
          </w:tcPr>
          <w:p w:rsidR="00661946" w:rsidRPr="00AD0E1F" w:rsidRDefault="00661946" w:rsidP="00A25E0D">
            <w:pPr>
              <w:tabs>
                <w:tab w:val="left" w:pos="3765"/>
              </w:tabs>
              <w:rPr>
                <w:rFonts w:ascii="Times New Roman" w:hAnsi="Times New Roman" w:cs="Times New Roman"/>
                <w:highlight w:val="yellow"/>
              </w:rPr>
            </w:pPr>
            <w:r w:rsidRPr="00AD0E1F">
              <w:rPr>
                <w:rFonts w:ascii="Times New Roman" w:hAnsi="Times New Roman" w:cs="Times New Roman"/>
                <w:highlight w:val="yellow"/>
              </w:rPr>
              <w:t>1:4</w:t>
            </w:r>
          </w:p>
        </w:tc>
        <w:tc>
          <w:tcPr>
            <w:tcW w:w="1780"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Glim:PEG4000</w:t>
            </w:r>
          </w:p>
        </w:tc>
        <w:tc>
          <w:tcPr>
            <w:tcW w:w="1696"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300:1200</w:t>
            </w:r>
          </w:p>
        </w:tc>
        <w:tc>
          <w:tcPr>
            <w:tcW w:w="1272"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G4</w:t>
            </w:r>
          </w:p>
        </w:tc>
        <w:tc>
          <w:tcPr>
            <w:tcW w:w="1591"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523"/>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5</w:t>
            </w:r>
          </w:p>
        </w:tc>
        <w:tc>
          <w:tcPr>
            <w:tcW w:w="1103"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PEG4000</w:t>
            </w:r>
          </w:p>
        </w:tc>
        <w:tc>
          <w:tcPr>
            <w:tcW w:w="1442" w:type="dxa"/>
          </w:tcPr>
          <w:p w:rsidR="00661946" w:rsidRPr="00AD0E1F" w:rsidRDefault="00661946" w:rsidP="00A25E0D">
            <w:pPr>
              <w:tabs>
                <w:tab w:val="left" w:pos="3765"/>
              </w:tabs>
              <w:rPr>
                <w:rFonts w:ascii="Times New Roman" w:hAnsi="Times New Roman" w:cs="Times New Roman"/>
                <w:highlight w:val="yellow"/>
              </w:rPr>
            </w:pPr>
            <w:r w:rsidRPr="00AD0E1F">
              <w:rPr>
                <w:rFonts w:ascii="Times New Roman" w:hAnsi="Times New Roman" w:cs="Times New Roman"/>
                <w:highlight w:val="yellow"/>
              </w:rPr>
              <w:t>1:5</w:t>
            </w:r>
          </w:p>
        </w:tc>
        <w:tc>
          <w:tcPr>
            <w:tcW w:w="1780"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Glim:PEG4000</w:t>
            </w:r>
          </w:p>
        </w:tc>
        <w:tc>
          <w:tcPr>
            <w:tcW w:w="1696"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300:1500</w:t>
            </w:r>
          </w:p>
        </w:tc>
        <w:tc>
          <w:tcPr>
            <w:tcW w:w="1272"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G5</w:t>
            </w:r>
          </w:p>
        </w:tc>
        <w:tc>
          <w:tcPr>
            <w:tcW w:w="1591"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523"/>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6</w:t>
            </w:r>
          </w:p>
        </w:tc>
        <w:tc>
          <w:tcPr>
            <w:tcW w:w="1103"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PEG6000</w:t>
            </w:r>
          </w:p>
        </w:tc>
        <w:tc>
          <w:tcPr>
            <w:tcW w:w="1442" w:type="dxa"/>
          </w:tcPr>
          <w:p w:rsidR="00661946" w:rsidRPr="00AD0E1F" w:rsidRDefault="00661946" w:rsidP="00A25E0D">
            <w:pPr>
              <w:tabs>
                <w:tab w:val="left" w:pos="3765"/>
              </w:tabs>
              <w:rPr>
                <w:rFonts w:ascii="Times New Roman" w:hAnsi="Times New Roman" w:cs="Times New Roman"/>
                <w:highlight w:val="green"/>
              </w:rPr>
            </w:pPr>
            <w:r w:rsidRPr="00AD0E1F">
              <w:rPr>
                <w:rFonts w:ascii="Times New Roman" w:hAnsi="Times New Roman" w:cs="Times New Roman"/>
                <w:highlight w:val="green"/>
              </w:rPr>
              <w:t>1:1</w:t>
            </w:r>
          </w:p>
        </w:tc>
        <w:tc>
          <w:tcPr>
            <w:tcW w:w="1780"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Glim:PEG6000</w:t>
            </w:r>
          </w:p>
        </w:tc>
        <w:tc>
          <w:tcPr>
            <w:tcW w:w="1696"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300:300</w:t>
            </w:r>
          </w:p>
        </w:tc>
        <w:tc>
          <w:tcPr>
            <w:tcW w:w="1272"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G6</w:t>
            </w:r>
          </w:p>
        </w:tc>
        <w:tc>
          <w:tcPr>
            <w:tcW w:w="1591"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700"/>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7</w:t>
            </w:r>
          </w:p>
        </w:tc>
        <w:tc>
          <w:tcPr>
            <w:tcW w:w="1103"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PEG6000</w:t>
            </w:r>
          </w:p>
        </w:tc>
        <w:tc>
          <w:tcPr>
            <w:tcW w:w="1442" w:type="dxa"/>
          </w:tcPr>
          <w:p w:rsidR="00661946" w:rsidRPr="00AD0E1F" w:rsidRDefault="00661946" w:rsidP="00A25E0D">
            <w:pPr>
              <w:tabs>
                <w:tab w:val="left" w:pos="3765"/>
              </w:tabs>
              <w:rPr>
                <w:rFonts w:ascii="Times New Roman" w:hAnsi="Times New Roman" w:cs="Times New Roman"/>
                <w:highlight w:val="green"/>
              </w:rPr>
            </w:pPr>
            <w:r w:rsidRPr="00AD0E1F">
              <w:rPr>
                <w:rFonts w:ascii="Times New Roman" w:hAnsi="Times New Roman" w:cs="Times New Roman"/>
                <w:highlight w:val="green"/>
              </w:rPr>
              <w:t>1:2</w:t>
            </w:r>
          </w:p>
        </w:tc>
        <w:tc>
          <w:tcPr>
            <w:tcW w:w="1780"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Glim:PEG6000</w:t>
            </w:r>
          </w:p>
        </w:tc>
        <w:tc>
          <w:tcPr>
            <w:tcW w:w="1696"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300:600</w:t>
            </w:r>
          </w:p>
        </w:tc>
        <w:tc>
          <w:tcPr>
            <w:tcW w:w="1272"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G7</w:t>
            </w:r>
          </w:p>
        </w:tc>
        <w:tc>
          <w:tcPr>
            <w:tcW w:w="1591"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523"/>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8</w:t>
            </w:r>
          </w:p>
        </w:tc>
        <w:tc>
          <w:tcPr>
            <w:tcW w:w="1103"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PEG6000</w:t>
            </w:r>
          </w:p>
        </w:tc>
        <w:tc>
          <w:tcPr>
            <w:tcW w:w="1442" w:type="dxa"/>
          </w:tcPr>
          <w:p w:rsidR="00661946" w:rsidRPr="00AD0E1F" w:rsidRDefault="00661946" w:rsidP="00A25E0D">
            <w:pPr>
              <w:tabs>
                <w:tab w:val="left" w:pos="3765"/>
              </w:tabs>
              <w:rPr>
                <w:rFonts w:ascii="Times New Roman" w:hAnsi="Times New Roman" w:cs="Times New Roman"/>
                <w:highlight w:val="green"/>
              </w:rPr>
            </w:pPr>
            <w:r w:rsidRPr="00AD0E1F">
              <w:rPr>
                <w:rFonts w:ascii="Times New Roman" w:hAnsi="Times New Roman" w:cs="Times New Roman"/>
                <w:highlight w:val="green"/>
              </w:rPr>
              <w:t>1:3</w:t>
            </w:r>
          </w:p>
        </w:tc>
        <w:tc>
          <w:tcPr>
            <w:tcW w:w="1780"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Glim:PEG6000</w:t>
            </w:r>
          </w:p>
        </w:tc>
        <w:tc>
          <w:tcPr>
            <w:tcW w:w="1696"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300:900</w:t>
            </w:r>
          </w:p>
        </w:tc>
        <w:tc>
          <w:tcPr>
            <w:tcW w:w="1272"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G8</w:t>
            </w:r>
          </w:p>
        </w:tc>
        <w:tc>
          <w:tcPr>
            <w:tcW w:w="1591"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523"/>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9</w:t>
            </w:r>
          </w:p>
        </w:tc>
        <w:tc>
          <w:tcPr>
            <w:tcW w:w="1103"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PEG600</w:t>
            </w:r>
          </w:p>
        </w:tc>
        <w:tc>
          <w:tcPr>
            <w:tcW w:w="1442" w:type="dxa"/>
          </w:tcPr>
          <w:p w:rsidR="00661946" w:rsidRPr="00AD0E1F" w:rsidRDefault="00661946" w:rsidP="00A25E0D">
            <w:pPr>
              <w:tabs>
                <w:tab w:val="left" w:pos="3765"/>
              </w:tabs>
              <w:rPr>
                <w:rFonts w:ascii="Times New Roman" w:hAnsi="Times New Roman" w:cs="Times New Roman"/>
                <w:highlight w:val="green"/>
              </w:rPr>
            </w:pPr>
            <w:r w:rsidRPr="00AD0E1F">
              <w:rPr>
                <w:rFonts w:ascii="Times New Roman" w:hAnsi="Times New Roman" w:cs="Times New Roman"/>
                <w:highlight w:val="green"/>
              </w:rPr>
              <w:t>1:4</w:t>
            </w:r>
          </w:p>
        </w:tc>
        <w:tc>
          <w:tcPr>
            <w:tcW w:w="1780"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Glim:PEG6000</w:t>
            </w:r>
          </w:p>
        </w:tc>
        <w:tc>
          <w:tcPr>
            <w:tcW w:w="1696"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300:1200</w:t>
            </w:r>
          </w:p>
        </w:tc>
        <w:tc>
          <w:tcPr>
            <w:tcW w:w="1272"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G9</w:t>
            </w:r>
          </w:p>
        </w:tc>
        <w:tc>
          <w:tcPr>
            <w:tcW w:w="1591"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523"/>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10</w:t>
            </w:r>
          </w:p>
        </w:tc>
        <w:tc>
          <w:tcPr>
            <w:tcW w:w="1103"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PEG6000</w:t>
            </w:r>
          </w:p>
        </w:tc>
        <w:tc>
          <w:tcPr>
            <w:tcW w:w="1442" w:type="dxa"/>
          </w:tcPr>
          <w:p w:rsidR="00661946" w:rsidRPr="00AD0E1F" w:rsidRDefault="00661946" w:rsidP="00A25E0D">
            <w:pPr>
              <w:tabs>
                <w:tab w:val="left" w:pos="3765"/>
              </w:tabs>
              <w:rPr>
                <w:rFonts w:ascii="Times New Roman" w:hAnsi="Times New Roman" w:cs="Times New Roman"/>
                <w:highlight w:val="green"/>
              </w:rPr>
            </w:pPr>
            <w:r w:rsidRPr="00AD0E1F">
              <w:rPr>
                <w:rFonts w:ascii="Times New Roman" w:hAnsi="Times New Roman" w:cs="Times New Roman"/>
                <w:highlight w:val="green"/>
              </w:rPr>
              <w:t>1:5</w:t>
            </w:r>
          </w:p>
        </w:tc>
        <w:tc>
          <w:tcPr>
            <w:tcW w:w="1780"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Glim:PEG6000</w:t>
            </w:r>
          </w:p>
        </w:tc>
        <w:tc>
          <w:tcPr>
            <w:tcW w:w="1696"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300:1500</w:t>
            </w:r>
          </w:p>
        </w:tc>
        <w:tc>
          <w:tcPr>
            <w:tcW w:w="1272"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G10</w:t>
            </w:r>
          </w:p>
        </w:tc>
        <w:tc>
          <w:tcPr>
            <w:tcW w:w="1591" w:type="dxa"/>
          </w:tcPr>
          <w:p w:rsidR="00661946" w:rsidRPr="00AD0E1F" w:rsidRDefault="00661946" w:rsidP="00A25E0D">
            <w:pPr>
              <w:tabs>
                <w:tab w:val="left" w:pos="3765"/>
              </w:tabs>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523"/>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11</w:t>
            </w:r>
          </w:p>
        </w:tc>
        <w:tc>
          <w:tcPr>
            <w:tcW w:w="1103"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PEG4000:GLM:POVIDON</w:t>
            </w:r>
          </w:p>
        </w:tc>
        <w:tc>
          <w:tcPr>
            <w:tcW w:w="1442" w:type="dxa"/>
          </w:tcPr>
          <w:p w:rsidR="00661946" w:rsidRPr="00AD0E1F" w:rsidRDefault="00661946" w:rsidP="00A25E0D">
            <w:pPr>
              <w:rPr>
                <w:rFonts w:ascii="Times New Roman" w:hAnsi="Times New Roman" w:cs="Times New Roman"/>
                <w:highlight w:val="cyan"/>
              </w:rPr>
            </w:pPr>
            <w:r w:rsidRPr="00AD0E1F">
              <w:rPr>
                <w:rFonts w:ascii="Times New Roman" w:hAnsi="Times New Roman" w:cs="Times New Roman"/>
                <w:highlight w:val="cyan"/>
              </w:rPr>
              <w:t>1:1:0.75</w:t>
            </w:r>
          </w:p>
        </w:tc>
        <w:tc>
          <w:tcPr>
            <w:tcW w:w="1780"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PEG4000:G11:POVIDON</w:t>
            </w:r>
          </w:p>
        </w:tc>
        <w:tc>
          <w:tcPr>
            <w:tcW w:w="1696"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200:200:150</w:t>
            </w:r>
          </w:p>
        </w:tc>
        <w:tc>
          <w:tcPr>
            <w:tcW w:w="1272"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G11</w:t>
            </w:r>
          </w:p>
        </w:tc>
        <w:tc>
          <w:tcPr>
            <w:tcW w:w="159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523"/>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12</w:t>
            </w:r>
          </w:p>
        </w:tc>
        <w:tc>
          <w:tcPr>
            <w:tcW w:w="1103"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PEG4000:GLM:POVIDON</w:t>
            </w:r>
          </w:p>
        </w:tc>
        <w:tc>
          <w:tcPr>
            <w:tcW w:w="1442" w:type="dxa"/>
          </w:tcPr>
          <w:p w:rsidR="00661946" w:rsidRPr="00AD0E1F" w:rsidRDefault="00661946" w:rsidP="00A25E0D">
            <w:pPr>
              <w:rPr>
                <w:rFonts w:ascii="Times New Roman" w:hAnsi="Times New Roman" w:cs="Times New Roman"/>
                <w:highlight w:val="cyan"/>
              </w:rPr>
            </w:pPr>
            <w:r w:rsidRPr="00AD0E1F">
              <w:rPr>
                <w:rFonts w:ascii="Times New Roman" w:hAnsi="Times New Roman" w:cs="Times New Roman"/>
                <w:highlight w:val="cyan"/>
              </w:rPr>
              <w:t>1:1:0.50</w:t>
            </w:r>
          </w:p>
        </w:tc>
        <w:tc>
          <w:tcPr>
            <w:tcW w:w="1780"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PEG4000:G12:POVIDON</w:t>
            </w:r>
          </w:p>
        </w:tc>
        <w:tc>
          <w:tcPr>
            <w:tcW w:w="1696"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200:200:100</w:t>
            </w:r>
          </w:p>
        </w:tc>
        <w:tc>
          <w:tcPr>
            <w:tcW w:w="1272"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G12</w:t>
            </w:r>
          </w:p>
        </w:tc>
        <w:tc>
          <w:tcPr>
            <w:tcW w:w="159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523"/>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13</w:t>
            </w:r>
          </w:p>
        </w:tc>
        <w:tc>
          <w:tcPr>
            <w:tcW w:w="1103"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PEG4000:GLM:POVIDON</w:t>
            </w:r>
          </w:p>
        </w:tc>
        <w:tc>
          <w:tcPr>
            <w:tcW w:w="1442" w:type="dxa"/>
          </w:tcPr>
          <w:p w:rsidR="00661946" w:rsidRPr="00AD0E1F" w:rsidRDefault="00661946" w:rsidP="00A25E0D">
            <w:pPr>
              <w:rPr>
                <w:rFonts w:ascii="Times New Roman" w:hAnsi="Times New Roman" w:cs="Times New Roman"/>
                <w:highlight w:val="cyan"/>
              </w:rPr>
            </w:pPr>
            <w:r w:rsidRPr="00AD0E1F">
              <w:rPr>
                <w:rFonts w:ascii="Times New Roman" w:hAnsi="Times New Roman" w:cs="Times New Roman"/>
                <w:highlight w:val="cyan"/>
              </w:rPr>
              <w:t>1:1:0.25</w:t>
            </w:r>
          </w:p>
        </w:tc>
        <w:tc>
          <w:tcPr>
            <w:tcW w:w="1780"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PEG4000:G13:POVIDON</w:t>
            </w:r>
          </w:p>
        </w:tc>
        <w:tc>
          <w:tcPr>
            <w:tcW w:w="1696"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200:200:50</w:t>
            </w:r>
          </w:p>
        </w:tc>
        <w:tc>
          <w:tcPr>
            <w:tcW w:w="1272"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G13</w:t>
            </w:r>
          </w:p>
        </w:tc>
        <w:tc>
          <w:tcPr>
            <w:tcW w:w="159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523"/>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14</w:t>
            </w:r>
          </w:p>
        </w:tc>
        <w:tc>
          <w:tcPr>
            <w:tcW w:w="1103"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PEG4000:GLM:POVIDON</w:t>
            </w:r>
          </w:p>
        </w:tc>
        <w:tc>
          <w:tcPr>
            <w:tcW w:w="1442" w:type="dxa"/>
          </w:tcPr>
          <w:p w:rsidR="00661946" w:rsidRPr="00AD0E1F" w:rsidRDefault="00661946" w:rsidP="00A25E0D">
            <w:pPr>
              <w:rPr>
                <w:rFonts w:ascii="Times New Roman" w:hAnsi="Times New Roman" w:cs="Times New Roman"/>
                <w:highlight w:val="cyan"/>
              </w:rPr>
            </w:pPr>
            <w:r w:rsidRPr="00AD0E1F">
              <w:rPr>
                <w:rFonts w:ascii="Times New Roman" w:hAnsi="Times New Roman" w:cs="Times New Roman"/>
                <w:highlight w:val="cyan"/>
              </w:rPr>
              <w:t>1:1:00</w:t>
            </w:r>
          </w:p>
        </w:tc>
        <w:tc>
          <w:tcPr>
            <w:tcW w:w="1780"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PEG4000:G14:POVIDON</w:t>
            </w:r>
          </w:p>
        </w:tc>
        <w:tc>
          <w:tcPr>
            <w:tcW w:w="1696"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200:200:00</w:t>
            </w:r>
          </w:p>
        </w:tc>
        <w:tc>
          <w:tcPr>
            <w:tcW w:w="1272"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G14</w:t>
            </w:r>
          </w:p>
        </w:tc>
        <w:tc>
          <w:tcPr>
            <w:tcW w:w="159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755"/>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15</w:t>
            </w:r>
          </w:p>
        </w:tc>
        <w:tc>
          <w:tcPr>
            <w:tcW w:w="1103"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PEG6000:GLM:POVIDON</w:t>
            </w:r>
          </w:p>
        </w:tc>
        <w:tc>
          <w:tcPr>
            <w:tcW w:w="1442" w:type="dxa"/>
          </w:tcPr>
          <w:p w:rsidR="00661946" w:rsidRPr="00AD0E1F" w:rsidRDefault="00661946" w:rsidP="00A25E0D">
            <w:pPr>
              <w:rPr>
                <w:rFonts w:ascii="Times New Roman" w:hAnsi="Times New Roman" w:cs="Times New Roman"/>
                <w:highlight w:val="magenta"/>
              </w:rPr>
            </w:pPr>
            <w:r w:rsidRPr="00AD0E1F">
              <w:rPr>
                <w:rFonts w:ascii="Times New Roman" w:hAnsi="Times New Roman" w:cs="Times New Roman"/>
                <w:highlight w:val="magenta"/>
              </w:rPr>
              <w:t>1:1:0.75</w:t>
            </w:r>
          </w:p>
        </w:tc>
        <w:tc>
          <w:tcPr>
            <w:tcW w:w="1780"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PEG6000:G15:POVIDON</w:t>
            </w:r>
          </w:p>
        </w:tc>
        <w:tc>
          <w:tcPr>
            <w:tcW w:w="1696"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200:200:150</w:t>
            </w:r>
          </w:p>
        </w:tc>
        <w:tc>
          <w:tcPr>
            <w:tcW w:w="1272"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G15</w:t>
            </w:r>
          </w:p>
        </w:tc>
        <w:tc>
          <w:tcPr>
            <w:tcW w:w="159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740"/>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66</w:t>
            </w:r>
          </w:p>
        </w:tc>
        <w:tc>
          <w:tcPr>
            <w:tcW w:w="1103"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PEG60000:GLM:POVIDON</w:t>
            </w:r>
          </w:p>
        </w:tc>
        <w:tc>
          <w:tcPr>
            <w:tcW w:w="1442" w:type="dxa"/>
          </w:tcPr>
          <w:p w:rsidR="00661946" w:rsidRPr="00AD0E1F" w:rsidRDefault="00661946" w:rsidP="00A25E0D">
            <w:pPr>
              <w:rPr>
                <w:rFonts w:ascii="Times New Roman" w:hAnsi="Times New Roman" w:cs="Times New Roman"/>
                <w:highlight w:val="magenta"/>
              </w:rPr>
            </w:pPr>
            <w:r w:rsidRPr="00AD0E1F">
              <w:rPr>
                <w:rFonts w:ascii="Times New Roman" w:hAnsi="Times New Roman" w:cs="Times New Roman"/>
                <w:highlight w:val="magenta"/>
              </w:rPr>
              <w:t>1:1:0.50</w:t>
            </w:r>
          </w:p>
        </w:tc>
        <w:tc>
          <w:tcPr>
            <w:tcW w:w="1780"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PEG6000:G16:POVIDON</w:t>
            </w:r>
          </w:p>
        </w:tc>
        <w:tc>
          <w:tcPr>
            <w:tcW w:w="1696"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200:200:100</w:t>
            </w:r>
          </w:p>
        </w:tc>
        <w:tc>
          <w:tcPr>
            <w:tcW w:w="1272"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G16</w:t>
            </w:r>
          </w:p>
        </w:tc>
        <w:tc>
          <w:tcPr>
            <w:tcW w:w="159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740"/>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37</w:t>
            </w:r>
          </w:p>
        </w:tc>
        <w:tc>
          <w:tcPr>
            <w:tcW w:w="1103"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PEG600:GLM:POVIDON</w:t>
            </w:r>
          </w:p>
        </w:tc>
        <w:tc>
          <w:tcPr>
            <w:tcW w:w="1442" w:type="dxa"/>
          </w:tcPr>
          <w:p w:rsidR="00661946" w:rsidRPr="00AD0E1F" w:rsidRDefault="00661946" w:rsidP="00A25E0D">
            <w:pPr>
              <w:rPr>
                <w:rFonts w:ascii="Times New Roman" w:hAnsi="Times New Roman" w:cs="Times New Roman"/>
                <w:highlight w:val="magenta"/>
              </w:rPr>
            </w:pPr>
            <w:r w:rsidRPr="00AD0E1F">
              <w:rPr>
                <w:rFonts w:ascii="Times New Roman" w:hAnsi="Times New Roman" w:cs="Times New Roman"/>
                <w:highlight w:val="magenta"/>
              </w:rPr>
              <w:t>1:1:0.25</w:t>
            </w:r>
          </w:p>
        </w:tc>
        <w:tc>
          <w:tcPr>
            <w:tcW w:w="1780"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PEG6000:G17:POVIDON</w:t>
            </w:r>
          </w:p>
        </w:tc>
        <w:tc>
          <w:tcPr>
            <w:tcW w:w="1696"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200:200:50</w:t>
            </w:r>
          </w:p>
        </w:tc>
        <w:tc>
          <w:tcPr>
            <w:tcW w:w="1272"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G17</w:t>
            </w:r>
          </w:p>
        </w:tc>
        <w:tc>
          <w:tcPr>
            <w:tcW w:w="159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Fusion method</w:t>
            </w:r>
          </w:p>
        </w:tc>
      </w:tr>
      <w:tr w:rsidR="00661946" w:rsidRPr="00AD0E1F" w:rsidTr="00A25E0D">
        <w:trPr>
          <w:trHeight w:val="755"/>
        </w:trPr>
        <w:tc>
          <w:tcPr>
            <w:tcW w:w="74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38</w:t>
            </w:r>
          </w:p>
        </w:tc>
        <w:tc>
          <w:tcPr>
            <w:tcW w:w="1103"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PEG600:GLM:POVIDON</w:t>
            </w:r>
          </w:p>
        </w:tc>
        <w:tc>
          <w:tcPr>
            <w:tcW w:w="1442" w:type="dxa"/>
          </w:tcPr>
          <w:p w:rsidR="00661946" w:rsidRPr="00AD0E1F" w:rsidRDefault="00661946" w:rsidP="00A25E0D">
            <w:pPr>
              <w:rPr>
                <w:rFonts w:ascii="Times New Roman" w:hAnsi="Times New Roman" w:cs="Times New Roman"/>
                <w:highlight w:val="magenta"/>
              </w:rPr>
            </w:pPr>
            <w:r w:rsidRPr="00AD0E1F">
              <w:rPr>
                <w:rFonts w:ascii="Times New Roman" w:hAnsi="Times New Roman" w:cs="Times New Roman"/>
                <w:highlight w:val="magenta"/>
              </w:rPr>
              <w:t>1:1:00</w:t>
            </w:r>
          </w:p>
        </w:tc>
        <w:tc>
          <w:tcPr>
            <w:tcW w:w="1780"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PEG6000:G18:POVIDON</w:t>
            </w:r>
          </w:p>
        </w:tc>
        <w:tc>
          <w:tcPr>
            <w:tcW w:w="1696"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200:200:00</w:t>
            </w:r>
          </w:p>
        </w:tc>
        <w:tc>
          <w:tcPr>
            <w:tcW w:w="1272"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G18</w:t>
            </w:r>
          </w:p>
        </w:tc>
        <w:tc>
          <w:tcPr>
            <w:tcW w:w="1591" w:type="dxa"/>
          </w:tcPr>
          <w:p w:rsidR="00661946" w:rsidRPr="00AD0E1F" w:rsidRDefault="00661946" w:rsidP="00A25E0D">
            <w:pPr>
              <w:rPr>
                <w:rFonts w:ascii="Times New Roman" w:hAnsi="Times New Roman" w:cs="Times New Roman"/>
              </w:rPr>
            </w:pPr>
            <w:r w:rsidRPr="00AD0E1F">
              <w:rPr>
                <w:rFonts w:ascii="Times New Roman" w:hAnsi="Times New Roman" w:cs="Times New Roman"/>
              </w:rPr>
              <w:t>Fusion method</w:t>
            </w:r>
          </w:p>
        </w:tc>
      </w:tr>
    </w:tbl>
    <w:p w:rsidR="00661946" w:rsidRPr="00AD0E1F" w:rsidRDefault="00661946" w:rsidP="00661946">
      <w:pPr>
        <w:rPr>
          <w:rFonts w:ascii="Times New Roman" w:hAnsi="Times New Roman" w:cs="Times New Roman"/>
          <w:b/>
          <w:sz w:val="28"/>
        </w:rPr>
      </w:pPr>
    </w:p>
    <w:p w:rsidR="00661946" w:rsidRPr="00AD0E1F" w:rsidRDefault="00661946" w:rsidP="00661946">
      <w:pPr>
        <w:rPr>
          <w:rFonts w:ascii="Times New Roman" w:hAnsi="Times New Roman" w:cs="Times New Roman"/>
          <w:b/>
          <w:sz w:val="28"/>
        </w:rPr>
      </w:pPr>
    </w:p>
    <w:p w:rsidR="00661946" w:rsidRPr="00AD0E1F" w:rsidRDefault="00661946" w:rsidP="00661946">
      <w:pPr>
        <w:rPr>
          <w:rFonts w:ascii="Times New Roman" w:hAnsi="Times New Roman" w:cs="Times New Roman"/>
          <w:b/>
          <w:sz w:val="24"/>
          <w:szCs w:val="24"/>
        </w:rPr>
      </w:pPr>
    </w:p>
    <w:p w:rsidR="00661946" w:rsidRPr="00AD0E1F" w:rsidRDefault="00661946" w:rsidP="00661946">
      <w:pPr>
        <w:rPr>
          <w:rFonts w:ascii="Times New Roman" w:hAnsi="Times New Roman" w:cs="Times New Roman"/>
          <w:b/>
          <w:sz w:val="24"/>
          <w:szCs w:val="24"/>
        </w:rPr>
      </w:pPr>
    </w:p>
    <w:p w:rsidR="00661946" w:rsidRPr="00AD0E1F" w:rsidRDefault="00661946" w:rsidP="00661946">
      <w:pPr>
        <w:rPr>
          <w:rFonts w:ascii="Times New Roman" w:hAnsi="Times New Roman" w:cs="Times New Roman"/>
          <w:b/>
          <w:sz w:val="28"/>
        </w:rPr>
      </w:pPr>
      <w:r w:rsidRPr="00AD0E1F">
        <w:rPr>
          <w:rFonts w:ascii="Times New Roman" w:hAnsi="Times New Roman" w:cs="Times New Roman"/>
          <w:b/>
          <w:sz w:val="28"/>
        </w:rPr>
        <w:t>Preparation of 0.01 M phosphate buffer solution (pH=7.8)</w:t>
      </w:r>
    </w:p>
    <w:p w:rsidR="00661946" w:rsidRPr="00AD0E1F" w:rsidRDefault="00661946" w:rsidP="00661946">
      <w:pPr>
        <w:spacing w:line="360" w:lineRule="auto"/>
        <w:jc w:val="both"/>
        <w:rPr>
          <w:rFonts w:ascii="Times New Roman" w:hAnsi="Times New Roman" w:cs="Times New Roman"/>
          <w:sz w:val="24"/>
          <w:szCs w:val="24"/>
        </w:rPr>
      </w:pPr>
      <w:r w:rsidRPr="00AD0E1F">
        <w:rPr>
          <w:rFonts w:ascii="Times New Roman" w:hAnsi="Times New Roman" w:cs="Times New Roman"/>
          <w:sz w:val="24"/>
          <w:szCs w:val="24"/>
        </w:rPr>
        <w:t>0.58g of monobasic potassium phosphate and 8.86g of dibasic sodium phosphate anhydrous was dissolved in sufficient amount of distilled water. Then pH 7.8 was adjusted by adding 1N Sodium Hydroxide (NaOH) for the preparation of 1000ml buffer solution.</w:t>
      </w:r>
    </w:p>
    <w:p w:rsidR="00661946" w:rsidRPr="00AD0E1F" w:rsidRDefault="00661946" w:rsidP="00661946">
      <w:pPr>
        <w:rPr>
          <w:rFonts w:ascii="Times New Roman" w:hAnsi="Times New Roman" w:cs="Times New Roman"/>
          <w:b/>
          <w:sz w:val="28"/>
        </w:rPr>
      </w:pPr>
      <w:r w:rsidRPr="00AD0E1F">
        <w:rPr>
          <w:rFonts w:ascii="Times New Roman" w:hAnsi="Times New Roman" w:cs="Times New Roman"/>
          <w:b/>
          <w:sz w:val="28"/>
        </w:rPr>
        <w:t xml:space="preserve"> </w:t>
      </w:r>
      <w:commentRangeStart w:id="30"/>
      <w:r w:rsidRPr="00AD0E1F">
        <w:rPr>
          <w:rFonts w:ascii="Times New Roman" w:hAnsi="Times New Roman" w:cs="Times New Roman"/>
          <w:b/>
          <w:sz w:val="28"/>
        </w:rPr>
        <w:t>Preparation of Standard Curve of Glimepiride</w:t>
      </w:r>
    </w:p>
    <w:p w:rsidR="00661946" w:rsidRPr="00AD0E1F" w:rsidRDefault="00661946" w:rsidP="00661946">
      <w:pPr>
        <w:numPr>
          <w:ilvl w:val="0"/>
          <w:numId w:val="3"/>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10mg of Glimepiride was accurately weighed and taken in 100ml volumetric flask.</w:t>
      </w:r>
    </w:p>
    <w:p w:rsidR="00661946" w:rsidRPr="00AD0E1F" w:rsidRDefault="00661946" w:rsidP="00661946">
      <w:pPr>
        <w:numPr>
          <w:ilvl w:val="0"/>
          <w:numId w:val="3"/>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 xml:space="preserve">Then phosphate buffer was added upto the mark to prepare primary stock solution. </w:t>
      </w:r>
    </w:p>
    <w:p w:rsidR="00661946" w:rsidRPr="00AD0E1F" w:rsidRDefault="00661946" w:rsidP="00661946">
      <w:pPr>
        <w:numPr>
          <w:ilvl w:val="0"/>
          <w:numId w:val="3"/>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Then 10 ml of this solution was taken in another100ml volumetric flask and added buffer solution up to the mark. This solution was called stock solution.</w:t>
      </w:r>
    </w:p>
    <w:p w:rsidR="00661946" w:rsidRPr="00AD0E1F" w:rsidRDefault="00661946" w:rsidP="00661946">
      <w:pPr>
        <w:numPr>
          <w:ilvl w:val="0"/>
          <w:numId w:val="3"/>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Then serial dilution was carried out to get different drug concentration.</w:t>
      </w:r>
    </w:p>
    <w:p w:rsidR="00661946" w:rsidRPr="00AD0E1F" w:rsidRDefault="00661946" w:rsidP="00661946">
      <w:pPr>
        <w:numPr>
          <w:ilvl w:val="0"/>
          <w:numId w:val="3"/>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Then 1,2,3,4,5,6,7,8,9 and 10ml of stock solution was gradually taken to the test tube.</w:t>
      </w:r>
    </w:p>
    <w:p w:rsidR="00661946" w:rsidRPr="00AD0E1F" w:rsidRDefault="00661946" w:rsidP="00661946">
      <w:pPr>
        <w:numPr>
          <w:ilvl w:val="0"/>
          <w:numId w:val="3"/>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 xml:space="preserve">And 9,8,7,6,5,4,3,2,1 and o ml of buffer solution were added respectively to more 10 ml volume in each test tube. </w:t>
      </w:r>
    </w:p>
    <w:p w:rsidR="00661946" w:rsidRPr="00AD0E1F" w:rsidRDefault="00661946" w:rsidP="00661946">
      <w:pPr>
        <w:numPr>
          <w:ilvl w:val="0"/>
          <w:numId w:val="3"/>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These were then analyzed by UB spectrophotometer at 228 nm and the absorbance value were noted.</w:t>
      </w:r>
    </w:p>
    <w:p w:rsidR="00661946" w:rsidRPr="00AD0E1F" w:rsidRDefault="00661946" w:rsidP="00661946">
      <w:pPr>
        <w:numPr>
          <w:ilvl w:val="0"/>
          <w:numId w:val="3"/>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The absorbance value were plotted against drug concentrations.</w:t>
      </w:r>
    </w:p>
    <w:p w:rsidR="00661946" w:rsidRPr="00AD0E1F" w:rsidRDefault="00661946" w:rsidP="00661946">
      <w:pPr>
        <w:numPr>
          <w:ilvl w:val="0"/>
          <w:numId w:val="3"/>
        </w:numPr>
        <w:spacing w:line="360" w:lineRule="auto"/>
        <w:contextualSpacing/>
        <w:jc w:val="both"/>
        <w:rPr>
          <w:rFonts w:ascii="Times New Roman" w:hAnsi="Times New Roman" w:cs="Times New Roman"/>
          <w:sz w:val="24"/>
          <w:szCs w:val="24"/>
        </w:rPr>
      </w:pPr>
      <w:r w:rsidRPr="00AD0E1F">
        <w:rPr>
          <w:rFonts w:ascii="Times New Roman" w:hAnsi="Times New Roman" w:cs="Times New Roman"/>
          <w:sz w:val="24"/>
          <w:szCs w:val="24"/>
        </w:rPr>
        <w:t xml:space="preserve">Finally the standard curve </w:t>
      </w:r>
      <w:commentRangeEnd w:id="30"/>
      <w:r w:rsidR="008627A1">
        <w:rPr>
          <w:rStyle w:val="CommentReference"/>
        </w:rPr>
        <w:commentReference w:id="30"/>
      </w:r>
      <w:r w:rsidRPr="00AD0E1F">
        <w:rPr>
          <w:rFonts w:ascii="Times New Roman" w:hAnsi="Times New Roman" w:cs="Times New Roman"/>
          <w:sz w:val="24"/>
          <w:szCs w:val="24"/>
        </w:rPr>
        <w:t xml:space="preserve">of Glimepiride was produced. </w:t>
      </w:r>
    </w:p>
    <w:p w:rsidR="00661946" w:rsidRPr="00AD0E1F" w:rsidRDefault="00661946" w:rsidP="00661946">
      <w:pPr>
        <w:rPr>
          <w:rFonts w:ascii="Times New Roman" w:hAnsi="Times New Roman" w:cs="Times New Roman"/>
          <w:sz w:val="24"/>
          <w:szCs w:val="24"/>
        </w:rPr>
      </w:pPr>
    </w:p>
    <w:p w:rsidR="00661946" w:rsidRPr="00AD0E1F" w:rsidRDefault="00661946" w:rsidP="00661946">
      <w:pPr>
        <w:rPr>
          <w:rFonts w:ascii="Times New Roman" w:hAnsi="Times New Roman" w:cs="Times New Roman"/>
          <w:b/>
          <w:bCs/>
          <w:sz w:val="28"/>
        </w:rPr>
      </w:pPr>
      <w:r w:rsidRPr="00AD0E1F">
        <w:rPr>
          <w:rFonts w:ascii="Times New Roman" w:hAnsi="Times New Roman" w:cs="Times New Roman"/>
          <w:b/>
          <w:bCs/>
          <w:i/>
          <w:iCs/>
          <w:sz w:val="28"/>
        </w:rPr>
        <w:t xml:space="preserve"> In-vitro </w:t>
      </w:r>
      <w:r w:rsidRPr="00AD0E1F">
        <w:rPr>
          <w:rFonts w:ascii="Times New Roman" w:hAnsi="Times New Roman" w:cs="Times New Roman"/>
          <w:b/>
          <w:bCs/>
          <w:sz w:val="28"/>
        </w:rPr>
        <w:t>dissolution test for Glimepiride and solid dispersion formulation</w:t>
      </w:r>
    </w:p>
    <w:p w:rsidR="00661946" w:rsidRPr="00AD0E1F" w:rsidRDefault="00661946" w:rsidP="00661946">
      <w:pPr>
        <w:spacing w:line="360" w:lineRule="auto"/>
        <w:ind w:left="720"/>
        <w:contextualSpacing/>
        <w:jc w:val="both"/>
        <w:rPr>
          <w:rFonts w:ascii="Times New Roman" w:hAnsi="Times New Roman" w:cs="Times New Roman"/>
          <w:b/>
          <w:sz w:val="24"/>
          <w:szCs w:val="24"/>
        </w:rPr>
      </w:pPr>
      <w:r w:rsidRPr="00AD0E1F">
        <w:rPr>
          <w:rFonts w:ascii="Times New Roman" w:hAnsi="Times New Roman" w:cs="Times New Roman"/>
          <w:sz w:val="24"/>
          <w:szCs w:val="24"/>
        </w:rPr>
        <w:t xml:space="preserve">The </w:t>
      </w:r>
      <w:r w:rsidRPr="00AD0E1F">
        <w:rPr>
          <w:rFonts w:ascii="Times New Roman" w:hAnsi="Times New Roman" w:cs="Times New Roman"/>
          <w:i/>
          <w:sz w:val="24"/>
          <w:szCs w:val="24"/>
        </w:rPr>
        <w:t>in vitro</w:t>
      </w:r>
      <w:r w:rsidRPr="00AD0E1F">
        <w:rPr>
          <w:rFonts w:ascii="Times New Roman" w:hAnsi="Times New Roman" w:cs="Times New Roman"/>
          <w:sz w:val="24"/>
          <w:szCs w:val="24"/>
        </w:rPr>
        <w:t xml:space="preserve"> </w:t>
      </w:r>
      <w:commentRangeStart w:id="31"/>
      <w:r w:rsidRPr="00AD0E1F">
        <w:rPr>
          <w:rFonts w:ascii="Times New Roman" w:hAnsi="Times New Roman" w:cs="Times New Roman"/>
          <w:sz w:val="24"/>
          <w:szCs w:val="24"/>
        </w:rPr>
        <w:t>dissolution studies for Glimepiride drug and SD formulation were performed using USP dissolution test apparatus type II (paddle type) method using 900 ml of phosphate buffer (pH 7.8) as dissolution medium. The temperature of the medium was maintained at (37 ± 0.5)</w:t>
      </w:r>
      <w:r w:rsidRPr="00AD0E1F">
        <w:rPr>
          <w:rFonts w:ascii="Times New Roman" w:hAnsi="Times New Roman" w:cs="Times New Roman"/>
          <w:sz w:val="24"/>
          <w:szCs w:val="24"/>
          <w:vertAlign w:val="superscript"/>
        </w:rPr>
        <w:t>o</w:t>
      </w:r>
      <w:r w:rsidRPr="00AD0E1F">
        <w:rPr>
          <w:rFonts w:ascii="Times New Roman" w:hAnsi="Times New Roman" w:cs="Times New Roman"/>
          <w:sz w:val="24"/>
          <w:szCs w:val="24"/>
        </w:rPr>
        <w:t>c throughout the experiment. The samples contained glimepiride or its equivalent solid dispersion were placed in the dissolution medium. Paddle was used at a stirring rate of 75 rpm. A 5ml aliquot was withdrawn at predetermined time intervals of 5</w:t>
      </w:r>
      <w:commentRangeStart w:id="32"/>
      <w:r w:rsidRPr="00AD0E1F">
        <w:rPr>
          <w:rFonts w:ascii="Times New Roman" w:hAnsi="Times New Roman" w:cs="Times New Roman"/>
          <w:sz w:val="24"/>
          <w:szCs w:val="24"/>
        </w:rPr>
        <w:t>,15,30.45</w:t>
      </w:r>
      <w:commentRangeEnd w:id="32"/>
      <w:r w:rsidR="009B53CE">
        <w:rPr>
          <w:rStyle w:val="CommentReference"/>
        </w:rPr>
        <w:commentReference w:id="32"/>
      </w:r>
      <w:r w:rsidRPr="00AD0E1F">
        <w:rPr>
          <w:rFonts w:ascii="Times New Roman" w:hAnsi="Times New Roman" w:cs="Times New Roman"/>
          <w:sz w:val="24"/>
          <w:szCs w:val="24"/>
        </w:rPr>
        <w:t xml:space="preserve">, and 60 min and then 5ml of fresh dissolution medium was replaced to maintain the constant volume of dissolution medium. The absorbance values of the collected samples was measured at 273nm using UV-visible spectrophotometer against </w:t>
      </w:r>
      <w:r w:rsidRPr="00AD0E1F">
        <w:rPr>
          <w:rFonts w:ascii="Times New Roman" w:hAnsi="Times New Roman" w:cs="Times New Roman"/>
          <w:sz w:val="24"/>
          <w:szCs w:val="24"/>
        </w:rPr>
        <w:lastRenderedPageBreak/>
        <w:t xml:space="preserve">dissolution medium </w:t>
      </w:r>
      <w:commentRangeEnd w:id="31"/>
      <w:r w:rsidR="009B53CE">
        <w:rPr>
          <w:rStyle w:val="CommentReference"/>
        </w:rPr>
        <w:commentReference w:id="31"/>
      </w:r>
      <w:r w:rsidRPr="00AD0E1F">
        <w:rPr>
          <w:rFonts w:ascii="Times New Roman" w:hAnsi="Times New Roman" w:cs="Times New Roman"/>
          <w:sz w:val="24"/>
          <w:szCs w:val="24"/>
        </w:rPr>
        <w:t>as blank. The percent release of drug was calculated using the equation obtained from the standard curve in the media</w:t>
      </w:r>
      <w:commentRangeStart w:id="33"/>
      <w:r w:rsidRPr="00AD0E1F">
        <w:rPr>
          <w:rFonts w:ascii="Times New Roman" w:hAnsi="Times New Roman" w:cs="Times New Roman"/>
          <w:sz w:val="24"/>
          <w:szCs w:val="24"/>
        </w:rPr>
        <w:t xml:space="preserve">.    </w:t>
      </w:r>
      <w:r w:rsidRPr="00AD0E1F">
        <w:rPr>
          <w:rFonts w:ascii="Times New Roman" w:hAnsi="Times New Roman" w:cs="Times New Roman"/>
          <w:b/>
          <w:sz w:val="24"/>
          <w:szCs w:val="24"/>
          <w:vertAlign w:val="superscript"/>
        </w:rPr>
        <w:t>[15</w:t>
      </w:r>
      <w:commentRangeEnd w:id="33"/>
      <w:r w:rsidR="005F3439">
        <w:rPr>
          <w:rStyle w:val="CommentReference"/>
        </w:rPr>
        <w:commentReference w:id="33"/>
      </w:r>
      <w:r w:rsidRPr="00AD0E1F">
        <w:rPr>
          <w:rFonts w:ascii="Times New Roman" w:hAnsi="Times New Roman" w:cs="Times New Roman"/>
          <w:b/>
          <w:sz w:val="24"/>
          <w:szCs w:val="24"/>
          <w:vertAlign w:val="superscript"/>
        </w:rPr>
        <w:t>]</w:t>
      </w:r>
      <w:r w:rsidRPr="00AD0E1F">
        <w:rPr>
          <w:rFonts w:ascii="Times New Roman" w:hAnsi="Times New Roman" w:cs="Times New Roman"/>
          <w:b/>
          <w:sz w:val="24"/>
          <w:szCs w:val="24"/>
        </w:rPr>
        <w:t>.</w:t>
      </w:r>
    </w:p>
    <w:p w:rsidR="00661946" w:rsidRPr="00AD0E1F" w:rsidRDefault="00661946" w:rsidP="00661946">
      <w:pPr>
        <w:ind w:left="720"/>
        <w:contextualSpacing/>
        <w:rPr>
          <w:rFonts w:ascii="Times New Roman" w:hAnsi="Times New Roman" w:cs="Times New Roman"/>
          <w:sz w:val="24"/>
          <w:szCs w:val="24"/>
        </w:rPr>
      </w:pPr>
    </w:p>
    <w:p w:rsidR="00661946" w:rsidRPr="00AD0E1F" w:rsidRDefault="00661946" w:rsidP="003A7731">
      <w:pPr>
        <w:ind w:left="720"/>
        <w:contextualSpacing/>
        <w:rPr>
          <w:rFonts w:ascii="Times New Roman" w:hAnsi="Times New Roman" w:cs="Times New Roman"/>
          <w:b/>
          <w:sz w:val="28"/>
        </w:rPr>
      </w:pPr>
    </w:p>
    <w:p w:rsidR="00661946" w:rsidRPr="00AD0E1F" w:rsidRDefault="00661946" w:rsidP="00661946">
      <w:pPr>
        <w:autoSpaceDE w:val="0"/>
        <w:autoSpaceDN w:val="0"/>
        <w:adjustRightInd w:val="0"/>
        <w:spacing w:after="0" w:line="360" w:lineRule="auto"/>
        <w:jc w:val="both"/>
        <w:rPr>
          <w:rFonts w:ascii="Times New Roman" w:hAnsi="Times New Roman" w:cs="Times New Roman"/>
          <w:b/>
          <w:color w:val="000000"/>
          <w:sz w:val="28"/>
        </w:rPr>
      </w:pPr>
    </w:p>
    <w:p w:rsidR="00661946" w:rsidRPr="00AD0E1F" w:rsidRDefault="00661946" w:rsidP="00661946">
      <w:pPr>
        <w:autoSpaceDE w:val="0"/>
        <w:autoSpaceDN w:val="0"/>
        <w:adjustRightInd w:val="0"/>
        <w:spacing w:after="0" w:line="360" w:lineRule="auto"/>
        <w:jc w:val="both"/>
        <w:rPr>
          <w:rFonts w:ascii="Times New Roman" w:hAnsi="Times New Roman" w:cs="Times New Roman"/>
          <w:b/>
          <w:color w:val="000000"/>
          <w:sz w:val="28"/>
        </w:rPr>
      </w:pPr>
      <w:r w:rsidRPr="00AD0E1F">
        <w:rPr>
          <w:rFonts w:ascii="Times New Roman" w:hAnsi="Times New Roman" w:cs="Times New Roman"/>
          <w:b/>
          <w:color w:val="000000"/>
          <w:sz w:val="28"/>
        </w:rPr>
        <w:t xml:space="preserve"> Fourier transform Infra-red (FTIR) Spectroscopy</w:t>
      </w:r>
    </w:p>
    <w:p w:rsidR="00661946" w:rsidRPr="00AD0E1F" w:rsidRDefault="00661946" w:rsidP="00661946">
      <w:pPr>
        <w:autoSpaceDE w:val="0"/>
        <w:autoSpaceDN w:val="0"/>
        <w:adjustRightInd w:val="0"/>
        <w:spacing w:before="120" w:after="120" w:line="360" w:lineRule="auto"/>
        <w:jc w:val="both"/>
        <w:rPr>
          <w:rFonts w:ascii="Times New Roman" w:eastAsia="Calibri" w:hAnsi="Times New Roman" w:cs="Times New Roman"/>
          <w:sz w:val="24"/>
          <w:szCs w:val="24"/>
        </w:rPr>
      </w:pPr>
      <w:r w:rsidRPr="00AD0E1F">
        <w:rPr>
          <w:rFonts w:ascii="Times New Roman" w:eastAsia="Calibri" w:hAnsi="Times New Roman" w:cs="Times New Roman"/>
          <w:sz w:val="24"/>
          <w:szCs w:val="24"/>
        </w:rPr>
        <w:t>Infra</w:t>
      </w:r>
      <w:commentRangeStart w:id="34"/>
      <w:r w:rsidRPr="00AD0E1F">
        <w:rPr>
          <w:rFonts w:ascii="Times New Roman" w:eastAsia="Calibri" w:hAnsi="Times New Roman" w:cs="Times New Roman"/>
          <w:sz w:val="24"/>
          <w:szCs w:val="24"/>
        </w:rPr>
        <w:t>-red studies was carried out to rule out interaction between drug and carrier used in formulation of solid dispersion by potassium bromide disc method using Infra-red spectrophotometer. FT-IR spectroscopy used to study the possibility of an interaction between drug and polymer in solid-state.</w:t>
      </w:r>
    </w:p>
    <w:p w:rsidR="00661946" w:rsidRPr="00AD0E1F" w:rsidRDefault="00661946" w:rsidP="00661946">
      <w:pPr>
        <w:autoSpaceDE w:val="0"/>
        <w:autoSpaceDN w:val="0"/>
        <w:adjustRightInd w:val="0"/>
        <w:spacing w:before="120" w:after="120" w:line="360" w:lineRule="auto"/>
        <w:jc w:val="both"/>
        <w:rPr>
          <w:rFonts w:ascii="Times New Roman" w:eastAsia="Calibri" w:hAnsi="Times New Roman" w:cs="Times New Roman"/>
          <w:sz w:val="24"/>
          <w:szCs w:val="24"/>
        </w:rPr>
      </w:pPr>
      <w:r w:rsidRPr="00AD0E1F">
        <w:rPr>
          <w:rFonts w:ascii="Times New Roman" w:eastAsia="Calibri" w:hAnsi="Times New Roman" w:cs="Times New Roman"/>
          <w:sz w:val="24"/>
          <w:szCs w:val="24"/>
        </w:rPr>
        <w:t xml:space="preserve">Fourier-transform infrared </w:t>
      </w:r>
      <w:r w:rsidRPr="00AD0E1F">
        <w:rPr>
          <w:rFonts w:ascii="Times New Roman" w:eastAsia="Calibri" w:hAnsi="Times New Roman" w:cs="Times New Roman"/>
          <w:b/>
          <w:bCs/>
          <w:sz w:val="24"/>
          <w:szCs w:val="24"/>
        </w:rPr>
        <w:t>(</w:t>
      </w:r>
      <w:r w:rsidRPr="00AD0E1F">
        <w:rPr>
          <w:rFonts w:ascii="Times New Roman" w:eastAsia="Calibri" w:hAnsi="Times New Roman" w:cs="Times New Roman"/>
          <w:sz w:val="24"/>
          <w:szCs w:val="24"/>
        </w:rPr>
        <w:t xml:space="preserve">FT-IR) spectra were obtained by using a Shimadzu IR 20 Spectrophotometer. The samples (Glimepiride or SDs) were previously grounded and mixed thoroughly with potassium bromide, an infrared transparent matrix, at 1:5 (Sample: KBr) ratio, respectively. The KBr discs were prepared by using corresponding machine. Scans were obtained at a resolution </w:t>
      </w:r>
      <w:commentRangeEnd w:id="34"/>
      <w:r w:rsidR="009B53CE">
        <w:rPr>
          <w:rStyle w:val="CommentReference"/>
        </w:rPr>
        <w:commentReference w:id="34"/>
      </w:r>
      <w:r w:rsidRPr="00AD0E1F">
        <w:rPr>
          <w:rFonts w:ascii="Times New Roman" w:eastAsia="Calibri" w:hAnsi="Times New Roman" w:cs="Times New Roman"/>
          <w:sz w:val="24"/>
          <w:szCs w:val="24"/>
        </w:rPr>
        <w:t>of 4 cm-1, at wave numbers from 4000 to 500 cm -1.</w:t>
      </w:r>
    </w:p>
    <w:p w:rsidR="00661946" w:rsidRPr="00AD0E1F" w:rsidRDefault="00661946" w:rsidP="00661946">
      <w:pPr>
        <w:autoSpaceDE w:val="0"/>
        <w:autoSpaceDN w:val="0"/>
        <w:adjustRightInd w:val="0"/>
        <w:spacing w:after="0" w:line="360" w:lineRule="auto"/>
        <w:jc w:val="both"/>
        <w:rPr>
          <w:rFonts w:ascii="Times New Roman" w:hAnsi="Times New Roman" w:cs="Times New Roman"/>
          <w:b/>
          <w:color w:val="000000"/>
          <w:sz w:val="28"/>
        </w:rPr>
      </w:pPr>
    </w:p>
    <w:p w:rsidR="00A25E0D" w:rsidRPr="00AD0E1F" w:rsidRDefault="00A25E0D" w:rsidP="005C7746">
      <w:pPr>
        <w:tabs>
          <w:tab w:val="left" w:pos="3810"/>
        </w:tabs>
        <w:jc w:val="both"/>
        <w:rPr>
          <w:rFonts w:ascii="Times New Roman" w:hAnsi="Times New Roman" w:cs="Times New Roman"/>
          <w:b/>
          <w:sz w:val="28"/>
        </w:rPr>
      </w:pPr>
      <w:commentRangeStart w:id="35"/>
      <w:commentRangeStart w:id="36"/>
      <w:r w:rsidRPr="00AD0E1F">
        <w:rPr>
          <w:rFonts w:ascii="Times New Roman" w:hAnsi="Times New Roman" w:cs="Times New Roman"/>
          <w:b/>
          <w:sz w:val="28"/>
        </w:rPr>
        <w:t>Results and Discussion</w:t>
      </w:r>
      <w:commentRangeEnd w:id="35"/>
      <w:r w:rsidR="00D43565">
        <w:rPr>
          <w:rStyle w:val="CommentReference"/>
        </w:rPr>
        <w:commentReference w:id="35"/>
      </w:r>
      <w:r w:rsidR="00A6745B" w:rsidRPr="00AD0E1F">
        <w:rPr>
          <w:rFonts w:ascii="Times New Roman" w:hAnsi="Times New Roman" w:cs="Times New Roman"/>
          <w:b/>
          <w:sz w:val="28"/>
        </w:rPr>
        <w:tab/>
      </w:r>
      <w:commentRangeEnd w:id="36"/>
      <w:r w:rsidR="00EB248E">
        <w:rPr>
          <w:rStyle w:val="CommentReference"/>
        </w:rPr>
        <w:commentReference w:id="36"/>
      </w:r>
      <w:r w:rsidRPr="00AD0E1F">
        <w:rPr>
          <w:rFonts w:ascii="Times New Roman" w:hAnsi="Times New Roman" w:cs="Times New Roman"/>
          <w:b/>
          <w:sz w:val="28"/>
        </w:rPr>
        <w:br/>
      </w:r>
    </w:p>
    <w:p w:rsidR="00A25E0D" w:rsidRPr="00AD0E1F" w:rsidRDefault="00A25E0D" w:rsidP="005C7746">
      <w:pPr>
        <w:jc w:val="both"/>
        <w:rPr>
          <w:rFonts w:ascii="Times New Roman" w:hAnsi="Times New Roman" w:cs="Times New Roman"/>
          <w:b/>
          <w:sz w:val="28"/>
        </w:rPr>
      </w:pPr>
      <w:r w:rsidRPr="00AD0E1F">
        <w:rPr>
          <w:rFonts w:ascii="Times New Roman" w:hAnsi="Times New Roman" w:cs="Times New Roman"/>
          <w:sz w:val="24"/>
          <w:szCs w:val="24"/>
        </w:rPr>
        <w:t>Glimepiride is an oral blood sugar-lowering drug in a class of medicine for controlling diabetes called Sulfonylurea. The aims of present investigation was to enhance the dissolution rate of poorly water soluble drugs glimepiride by preparing the solid dispersion using poloxomer 407, povidon, PEG 4000, PEG 6000. In this study solvent evaporation method and fusion/melting method was used for the preparation of solid dispersion of glimepiride</w:t>
      </w:r>
      <w:r w:rsidRPr="00AD0E1F">
        <w:rPr>
          <w:rFonts w:ascii="Times New Roman" w:hAnsi="Times New Roman" w:cs="Times New Roman"/>
          <w:b/>
          <w:sz w:val="24"/>
          <w:szCs w:val="24"/>
        </w:rPr>
        <w:t>.</w:t>
      </w: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r w:rsidRPr="00AD0E1F">
        <w:rPr>
          <w:rFonts w:ascii="Times New Roman" w:hAnsi="Times New Roman" w:cs="Times New Roman"/>
          <w:b/>
          <w:sz w:val="28"/>
        </w:rPr>
        <w:t xml:space="preserve"> Standard curve of glimepiride (Media: Phosphate buffer, pH 7.8)</w:t>
      </w: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commentRangeStart w:id="37"/>
      <w:r w:rsidRPr="00AD0E1F">
        <w:rPr>
          <w:rFonts w:ascii="Times New Roman" w:hAnsi="Times New Roman" w:cs="Times New Roman"/>
          <w:noProof/>
          <w:lang w:bidi="ar-SA"/>
        </w:rPr>
        <w:lastRenderedPageBreak/>
        <w:drawing>
          <wp:inline distT="0" distB="0" distL="0" distR="0">
            <wp:extent cx="5181600" cy="2714625"/>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commentRangeEnd w:id="37"/>
      <w:r w:rsidR="005F3439">
        <w:rPr>
          <w:rStyle w:val="CommentReference"/>
        </w:rPr>
        <w:commentReference w:id="37"/>
      </w:r>
    </w:p>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t xml:space="preserve">                      Fig: 18 Standard curve of glimepiride</w:t>
      </w: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r w:rsidRPr="00AD0E1F">
        <w:rPr>
          <w:rFonts w:ascii="Times New Roman" w:hAnsi="Times New Roman" w:cs="Times New Roman"/>
          <w:b/>
          <w:sz w:val="28"/>
        </w:rPr>
        <w:t xml:space="preserve"> Dissolution profile of active Glimepiride</w:t>
      </w:r>
    </w:p>
    <w:p w:rsidR="00A25E0D" w:rsidRPr="00AD0E1F" w:rsidRDefault="00A25E0D" w:rsidP="00A25E0D">
      <w:pPr>
        <w:rPr>
          <w:rFonts w:ascii="Times New Roman" w:hAnsi="Times New Roman" w:cs="Times New Roman"/>
          <w:b/>
          <w:sz w:val="28"/>
        </w:rPr>
      </w:pPr>
      <w:commentRangeStart w:id="38"/>
    </w:p>
    <w:p w:rsidR="00A25E0D" w:rsidRPr="00AD0E1F" w:rsidRDefault="00A25E0D" w:rsidP="00A25E0D">
      <w:pPr>
        <w:spacing w:line="360" w:lineRule="auto"/>
        <w:jc w:val="both"/>
        <w:rPr>
          <w:rFonts w:ascii="Times New Roman" w:hAnsi="Times New Roman" w:cs="Times New Roman"/>
          <w:sz w:val="24"/>
          <w:szCs w:val="24"/>
        </w:rPr>
      </w:pPr>
      <w:r w:rsidRPr="00AD0E1F">
        <w:rPr>
          <w:rFonts w:ascii="Times New Roman" w:hAnsi="Times New Roman" w:cs="Times New Roman"/>
          <w:sz w:val="24"/>
          <w:szCs w:val="24"/>
        </w:rPr>
        <w:t>10 mg of pure Glimepiride was used for dissolution study. It was found that only 0.46% drug was released after 5 minutes and 15.83% was released within 60 minutes time interval. This showed that dissolution profile of glimepiride was very poorly.</w:t>
      </w:r>
    </w:p>
    <w:commentRangeEnd w:id="38"/>
    <w:p w:rsidR="00A25E0D" w:rsidRPr="00AD0E1F" w:rsidRDefault="009B53CE" w:rsidP="00A25E0D">
      <w:pPr>
        <w:rPr>
          <w:rFonts w:ascii="Times New Roman" w:hAnsi="Times New Roman" w:cs="Times New Roman"/>
          <w:b/>
          <w:sz w:val="28"/>
        </w:rPr>
      </w:pPr>
      <w:r>
        <w:rPr>
          <w:rStyle w:val="CommentReference"/>
        </w:rPr>
        <w:commentReference w:id="38"/>
      </w:r>
    </w:p>
    <w:p w:rsidR="00A25E0D" w:rsidRPr="00AD0E1F" w:rsidRDefault="00A25E0D" w:rsidP="00A25E0D">
      <w:pPr>
        <w:rPr>
          <w:rFonts w:ascii="Times New Roman" w:hAnsi="Times New Roman" w:cs="Times New Roman"/>
          <w:b/>
          <w:sz w:val="28"/>
        </w:rPr>
      </w:pPr>
      <w:r w:rsidRPr="00AD0E1F">
        <w:rPr>
          <w:rFonts w:ascii="Times New Roman" w:hAnsi="Times New Roman" w:cs="Times New Roman"/>
          <w:noProof/>
          <w:lang w:bidi="ar-SA"/>
        </w:rPr>
        <w:drawing>
          <wp:inline distT="0" distB="0" distL="0" distR="0">
            <wp:extent cx="5762625" cy="2771775"/>
            <wp:effectExtent l="19050" t="0" r="9525" b="0"/>
            <wp:docPr id="347"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25E0D" w:rsidRPr="00AD0E1F" w:rsidRDefault="003A7731" w:rsidP="00A25E0D">
      <w:pPr>
        <w:rPr>
          <w:rFonts w:ascii="Times New Roman" w:hAnsi="Times New Roman" w:cs="Times New Roman"/>
          <w:b/>
          <w:sz w:val="24"/>
          <w:szCs w:val="24"/>
        </w:rPr>
      </w:pPr>
      <w:r w:rsidRPr="00AD0E1F">
        <w:rPr>
          <w:rFonts w:ascii="Times New Roman" w:hAnsi="Times New Roman" w:cs="Times New Roman"/>
          <w:b/>
          <w:sz w:val="24"/>
          <w:szCs w:val="24"/>
        </w:rPr>
        <w:t>Fig: 2</w:t>
      </w:r>
      <w:r w:rsidR="00A25E0D" w:rsidRPr="00AD0E1F">
        <w:rPr>
          <w:rFonts w:ascii="Times New Roman" w:hAnsi="Times New Roman" w:cs="Times New Roman"/>
          <w:b/>
          <w:sz w:val="24"/>
          <w:szCs w:val="24"/>
        </w:rPr>
        <w:t>Dissolution profile of glimepiride (API)</w:t>
      </w:r>
    </w:p>
    <w:p w:rsidR="00A25E0D" w:rsidRPr="00AD0E1F" w:rsidRDefault="00A25E0D" w:rsidP="00A25E0D">
      <w:pPr>
        <w:rPr>
          <w:rFonts w:ascii="Times New Roman" w:hAnsi="Times New Roman" w:cs="Times New Roman"/>
          <w:b/>
          <w:sz w:val="24"/>
          <w:szCs w:val="24"/>
        </w:rPr>
      </w:pPr>
    </w:p>
    <w:p w:rsidR="00A25E0D" w:rsidRPr="00AD0E1F" w:rsidRDefault="00A25E0D" w:rsidP="00A25E0D">
      <w:pPr>
        <w:rPr>
          <w:rFonts w:ascii="Times New Roman" w:hAnsi="Times New Roman" w:cs="Times New Roman"/>
          <w:b/>
          <w:sz w:val="28"/>
        </w:rPr>
      </w:pPr>
      <w:r w:rsidRPr="00AD0E1F">
        <w:rPr>
          <w:rFonts w:ascii="Times New Roman" w:hAnsi="Times New Roman" w:cs="Times New Roman"/>
          <w:b/>
          <w:i/>
          <w:sz w:val="28"/>
        </w:rPr>
        <w:lastRenderedPageBreak/>
        <w:t>In vitro</w:t>
      </w:r>
      <w:r w:rsidRPr="00AD0E1F">
        <w:rPr>
          <w:rFonts w:ascii="Times New Roman" w:hAnsi="Times New Roman" w:cs="Times New Roman"/>
          <w:b/>
          <w:sz w:val="28"/>
        </w:rPr>
        <w:t xml:space="preserve"> dissolution study of binary and ternary solid dispersion of glimepiride (fusion method)</w:t>
      </w:r>
      <w:r w:rsidRPr="00AD0E1F">
        <w:rPr>
          <w:rFonts w:ascii="Times New Roman" w:hAnsi="Times New Roman" w:cs="Times New Roman"/>
          <w:b/>
          <w:sz w:val="28"/>
        </w:rPr>
        <w:tab/>
      </w:r>
    </w:p>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t xml:space="preserve"> Comparative dissolution profile of active glimepiride and solid dispersion (SD) formulation (Glimepiride+PEG 4000) for their different ratio</w:t>
      </w:r>
    </w:p>
    <w:p w:rsidR="00A25E0D" w:rsidRPr="00AD0E1F" w:rsidRDefault="00A25E0D" w:rsidP="00A25E0D">
      <w:pPr>
        <w:rPr>
          <w:rFonts w:ascii="Times New Roman" w:hAnsi="Times New Roman" w:cs="Times New Roman"/>
          <w:b/>
          <w:sz w:val="24"/>
          <w:szCs w:val="24"/>
        </w:rPr>
      </w:pPr>
    </w:p>
    <w:p w:rsidR="00A25E0D" w:rsidRPr="00AD0E1F" w:rsidRDefault="00A25E0D" w:rsidP="00A25E0D">
      <w:pPr>
        <w:jc w:val="both"/>
        <w:rPr>
          <w:rFonts w:ascii="Times New Roman" w:hAnsi="Times New Roman" w:cs="Times New Roman"/>
          <w:sz w:val="24"/>
          <w:szCs w:val="24"/>
        </w:rPr>
      </w:pPr>
      <w:r w:rsidRPr="00AD0E1F">
        <w:rPr>
          <w:rFonts w:ascii="Times New Roman" w:hAnsi="Times New Roman" w:cs="Times New Roman"/>
          <w:sz w:val="24"/>
          <w:szCs w:val="24"/>
        </w:rPr>
        <w:t xml:space="preserve">Solid </w:t>
      </w:r>
      <w:commentRangeStart w:id="39"/>
      <w:r w:rsidRPr="00AD0E1F">
        <w:rPr>
          <w:rFonts w:ascii="Times New Roman" w:hAnsi="Times New Roman" w:cs="Times New Roman"/>
          <w:sz w:val="24"/>
          <w:szCs w:val="24"/>
        </w:rPr>
        <w:t xml:space="preserve">dispersion of glimepiride with PEG 4000 at different ratio G1 (1:1), G2 (1:2), G3 (1:3), G4 (1:4), G5 (1:5) and active glimepiride (API) were used for dissolution study. It was found that only 0.46% from active glimepiride, 21.46% from formulation G1, 56.30% from G2, 77.30% from G3, 64.15% from G4 and 76.84% from G5, were released after 5 min and 60.77% from G1, 83.66% from G2, 88.83% from G3, 65.47% from G4, 94.36% from G5, 15.29% from active glimepiride were released after 45min. Finally 72.88% from G1, 97.27% from G2, 90.91% from G3, 75.75% from G4, 99.76% from G5 were released within an hour time interval. Whereas only 15.83% was released from </w:t>
      </w:r>
      <w:commentRangeEnd w:id="39"/>
      <w:r w:rsidR="009B53CE">
        <w:rPr>
          <w:rStyle w:val="CommentReference"/>
        </w:rPr>
        <w:commentReference w:id="39"/>
      </w:r>
      <w:r w:rsidRPr="00AD0E1F">
        <w:rPr>
          <w:rFonts w:ascii="Times New Roman" w:hAnsi="Times New Roman" w:cs="Times New Roman"/>
          <w:sz w:val="24"/>
          <w:szCs w:val="24"/>
        </w:rPr>
        <w:t xml:space="preserve">active glimepiride within an hour time interval. </w:t>
      </w:r>
    </w:p>
    <w:p w:rsidR="00A25E0D" w:rsidRPr="00AD0E1F" w:rsidRDefault="00A25E0D" w:rsidP="00A25E0D">
      <w:pPr>
        <w:jc w:val="both"/>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r w:rsidRPr="00AD0E1F">
        <w:rPr>
          <w:rFonts w:ascii="Times New Roman" w:hAnsi="Times New Roman" w:cs="Times New Roman"/>
          <w:noProof/>
          <w:lang w:bidi="ar-SA"/>
        </w:rPr>
        <w:drawing>
          <wp:inline distT="0" distB="0" distL="0" distR="0">
            <wp:extent cx="5305425" cy="3333750"/>
            <wp:effectExtent l="19050" t="0" r="9525" b="0"/>
            <wp:docPr id="348"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5E0D" w:rsidRPr="00AD0E1F" w:rsidRDefault="00A25E0D" w:rsidP="00A25E0D">
      <w:pPr>
        <w:jc w:val="both"/>
        <w:rPr>
          <w:rFonts w:ascii="Times New Roman" w:hAnsi="Times New Roman" w:cs="Times New Roman"/>
          <w:b/>
          <w:sz w:val="24"/>
          <w:szCs w:val="24"/>
        </w:rPr>
      </w:pPr>
    </w:p>
    <w:p w:rsidR="00A25E0D" w:rsidRPr="00AD0E1F" w:rsidRDefault="00A25E0D" w:rsidP="00A25E0D">
      <w:pPr>
        <w:jc w:val="both"/>
        <w:rPr>
          <w:rFonts w:ascii="Times New Roman" w:hAnsi="Times New Roman" w:cs="Times New Roman"/>
          <w:b/>
          <w:sz w:val="24"/>
          <w:szCs w:val="24"/>
        </w:rPr>
      </w:pPr>
      <w:r w:rsidRPr="00AD0E1F">
        <w:rPr>
          <w:rFonts w:ascii="Times New Roman" w:hAnsi="Times New Roman" w:cs="Times New Roman"/>
          <w:b/>
          <w:sz w:val="24"/>
          <w:szCs w:val="24"/>
        </w:rPr>
        <w:t xml:space="preserve"> Fig:</w:t>
      </w:r>
      <w:r w:rsidR="003A7731" w:rsidRPr="00AD0E1F">
        <w:rPr>
          <w:rFonts w:ascii="Times New Roman" w:hAnsi="Times New Roman" w:cs="Times New Roman"/>
          <w:b/>
          <w:sz w:val="24"/>
          <w:szCs w:val="24"/>
        </w:rPr>
        <w:t xml:space="preserve"> 3.</w:t>
      </w:r>
      <w:r w:rsidRPr="00AD0E1F">
        <w:rPr>
          <w:rFonts w:ascii="Times New Roman" w:hAnsi="Times New Roman" w:cs="Times New Roman"/>
          <w:b/>
          <w:sz w:val="24"/>
          <w:szCs w:val="24"/>
        </w:rPr>
        <w:t xml:space="preserve"> Average % release of drug from binary SD formulation containing PEG 4000 with different ratio</w:t>
      </w:r>
    </w:p>
    <w:p w:rsidR="00A25E0D" w:rsidRPr="00AD0E1F" w:rsidRDefault="00A25E0D" w:rsidP="00A25E0D">
      <w:pPr>
        <w:tabs>
          <w:tab w:val="left" w:pos="3225"/>
        </w:tabs>
        <w:rPr>
          <w:rFonts w:ascii="Times New Roman" w:hAnsi="Times New Roman" w:cs="Times New Roman"/>
          <w:sz w:val="24"/>
          <w:szCs w:val="24"/>
        </w:rPr>
      </w:pPr>
      <w:r w:rsidRPr="00AD0E1F">
        <w:rPr>
          <w:rFonts w:ascii="Times New Roman" w:hAnsi="Times New Roman" w:cs="Times New Roman"/>
          <w:sz w:val="24"/>
          <w:szCs w:val="24"/>
        </w:rPr>
        <w:tab/>
      </w:r>
    </w:p>
    <w:p w:rsidR="00A25E0D" w:rsidRPr="00AD0E1F" w:rsidRDefault="00A25E0D" w:rsidP="00A25E0D">
      <w:pPr>
        <w:jc w:val="both"/>
        <w:rPr>
          <w:rFonts w:ascii="Times New Roman" w:hAnsi="Times New Roman" w:cs="Times New Roman"/>
          <w:sz w:val="24"/>
          <w:szCs w:val="24"/>
        </w:rPr>
      </w:pPr>
      <w:commentRangeStart w:id="40"/>
      <w:r w:rsidRPr="00AD0E1F">
        <w:rPr>
          <w:rFonts w:ascii="Times New Roman" w:hAnsi="Times New Roman" w:cs="Times New Roman"/>
          <w:sz w:val="24"/>
          <w:szCs w:val="24"/>
        </w:rPr>
        <w:t>From the above data we can conclude that, the release pattern of drug from SD formulation containing PEG 4000 has increased gradually when the amount of PEG 4000 was increased. It was observed that solid dispersion formulation G5 showed substantially better result in 1:5 ratio in comparison to those of G1, G2, G3, and G4.</w:t>
      </w:r>
      <w:commentRangeEnd w:id="40"/>
      <w:r w:rsidR="005F3439">
        <w:rPr>
          <w:rStyle w:val="CommentReference"/>
        </w:rPr>
        <w:commentReference w:id="40"/>
      </w:r>
    </w:p>
    <w:p w:rsidR="00A25E0D" w:rsidRPr="00AD0E1F" w:rsidRDefault="00A25E0D" w:rsidP="00A25E0D">
      <w:pPr>
        <w:jc w:val="both"/>
        <w:rPr>
          <w:rFonts w:ascii="Times New Roman" w:hAnsi="Times New Roman" w:cs="Times New Roman"/>
          <w:sz w:val="24"/>
          <w:szCs w:val="24"/>
        </w:rPr>
      </w:pPr>
    </w:p>
    <w:p w:rsidR="00A25E0D" w:rsidRPr="00AD0E1F" w:rsidRDefault="00A25E0D" w:rsidP="00A25E0D">
      <w:pPr>
        <w:jc w:val="both"/>
        <w:rPr>
          <w:rFonts w:ascii="Times New Roman" w:hAnsi="Times New Roman" w:cs="Times New Roman"/>
          <w:b/>
          <w:sz w:val="28"/>
        </w:rPr>
      </w:pPr>
      <w:r w:rsidRPr="00AD0E1F">
        <w:rPr>
          <w:rFonts w:ascii="Times New Roman" w:hAnsi="Times New Roman" w:cs="Times New Roman"/>
          <w:b/>
          <w:sz w:val="24"/>
          <w:szCs w:val="24"/>
        </w:rPr>
        <w:lastRenderedPageBreak/>
        <w:t xml:space="preserve"> Comparative dissolution profile of active glimepiride and solid dispersion formulation (Glimepiride + PEG 6000) for their different ratio.</w:t>
      </w:r>
    </w:p>
    <w:p w:rsidR="00A25E0D" w:rsidRPr="00AD0E1F" w:rsidRDefault="00A25E0D" w:rsidP="00A25E0D">
      <w:pPr>
        <w:jc w:val="both"/>
        <w:rPr>
          <w:rFonts w:ascii="Times New Roman" w:hAnsi="Times New Roman" w:cs="Times New Roman"/>
          <w:sz w:val="24"/>
          <w:szCs w:val="24"/>
        </w:rPr>
      </w:pPr>
      <w:commentRangeStart w:id="41"/>
      <w:r w:rsidRPr="00AD0E1F">
        <w:rPr>
          <w:rFonts w:ascii="Times New Roman" w:hAnsi="Times New Roman" w:cs="Times New Roman"/>
          <w:sz w:val="24"/>
          <w:szCs w:val="24"/>
        </w:rPr>
        <w:t>Solid dispersion of glimepiride with PEG 6000 at different ratio G6 (1:1), G7 (1:2), G8 (1:3), G9 (1:4), and G10 (1:5) were used for dissolution study. It was found that 24.46% from G6, 37.86% from G7, 25.84% from G8, 38.53% from G9, 53.76% from G10 were released after 5 min and 60.36% from G6, 68.30% from G7, 70.72% from G8, 50.28% from G9, and 64.82% from G10 were released after 45min. Finally 71.31% from G6, 88.99% from G7, 91.87% from G8, 51.01% from G9 and 49.71% from G10 were released within an hour time interval.</w:t>
      </w:r>
      <w:commentRangeEnd w:id="41"/>
      <w:r w:rsidR="005F3439">
        <w:rPr>
          <w:rStyle w:val="CommentReference"/>
        </w:rPr>
        <w:commentReference w:id="41"/>
      </w:r>
    </w:p>
    <w:p w:rsidR="00A25E0D" w:rsidRPr="00AD0E1F" w:rsidRDefault="00A25E0D" w:rsidP="00A25E0D">
      <w:pPr>
        <w:rPr>
          <w:rFonts w:ascii="Times New Roman" w:hAnsi="Times New Roman" w:cs="Times New Roman"/>
          <w:sz w:val="24"/>
          <w:szCs w:val="24"/>
        </w:rPr>
      </w:pPr>
    </w:p>
    <w:p w:rsidR="00A25E0D" w:rsidRPr="00AD0E1F" w:rsidRDefault="00A25E0D" w:rsidP="00A25E0D">
      <w:pPr>
        <w:rPr>
          <w:rFonts w:ascii="Times New Roman" w:hAnsi="Times New Roman" w:cs="Times New Roman"/>
          <w:sz w:val="28"/>
        </w:rPr>
      </w:pPr>
      <w:r w:rsidRPr="00AD0E1F">
        <w:rPr>
          <w:rFonts w:ascii="Times New Roman" w:hAnsi="Times New Roman" w:cs="Times New Roman"/>
          <w:noProof/>
          <w:lang w:bidi="ar-SA"/>
        </w:rPr>
        <w:drawing>
          <wp:inline distT="0" distB="0" distL="0" distR="0">
            <wp:extent cx="5686425" cy="2828925"/>
            <wp:effectExtent l="19050" t="0" r="9525" b="0"/>
            <wp:docPr id="351" name="Chart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25E0D" w:rsidRPr="00AD0E1F" w:rsidRDefault="003A7731" w:rsidP="00A25E0D">
      <w:pPr>
        <w:jc w:val="both"/>
        <w:rPr>
          <w:rFonts w:ascii="Times New Roman" w:hAnsi="Times New Roman" w:cs="Times New Roman"/>
          <w:b/>
          <w:sz w:val="24"/>
          <w:szCs w:val="24"/>
        </w:rPr>
      </w:pPr>
      <w:r w:rsidRPr="00AD0E1F">
        <w:rPr>
          <w:rFonts w:ascii="Times New Roman" w:hAnsi="Times New Roman" w:cs="Times New Roman"/>
          <w:b/>
          <w:sz w:val="24"/>
          <w:szCs w:val="24"/>
        </w:rPr>
        <w:t>Fig: 4.</w:t>
      </w:r>
      <w:r w:rsidR="00A25E0D" w:rsidRPr="00AD0E1F">
        <w:rPr>
          <w:rFonts w:ascii="Times New Roman" w:hAnsi="Times New Roman" w:cs="Times New Roman"/>
          <w:b/>
          <w:sz w:val="24"/>
          <w:szCs w:val="24"/>
        </w:rPr>
        <w:t xml:space="preserve"> Average % release of drug from SD formulation containing PEG 6000 with different ratio</w:t>
      </w:r>
    </w:p>
    <w:p w:rsidR="00A25E0D" w:rsidRPr="00AD0E1F" w:rsidRDefault="00A25E0D" w:rsidP="00A25E0D">
      <w:pPr>
        <w:jc w:val="both"/>
        <w:rPr>
          <w:rFonts w:ascii="Times New Roman" w:hAnsi="Times New Roman" w:cs="Times New Roman"/>
          <w:sz w:val="24"/>
          <w:szCs w:val="24"/>
        </w:rPr>
      </w:pPr>
      <w:commentRangeStart w:id="42"/>
      <w:r w:rsidRPr="00AD0E1F">
        <w:rPr>
          <w:rFonts w:ascii="Times New Roman" w:hAnsi="Times New Roman" w:cs="Times New Roman"/>
          <w:sz w:val="24"/>
          <w:szCs w:val="24"/>
        </w:rPr>
        <w:t>From the above data it was found that, the release pattern from SD formulation containing PEG 6000 has increased gradually when the amount of PEG 6000 was decreased. It was observed that solid dispersion formulation G8 showed their better result in 1:3 ratios in comparison to those of G6, G7, G9, and G10.</w:t>
      </w:r>
      <w:commentRangeEnd w:id="42"/>
      <w:r w:rsidR="005F3439">
        <w:rPr>
          <w:rStyle w:val="CommentReference"/>
        </w:rPr>
        <w:commentReference w:id="42"/>
      </w:r>
    </w:p>
    <w:p w:rsidR="00A25E0D" w:rsidRPr="00AD0E1F" w:rsidRDefault="00A25E0D" w:rsidP="00A25E0D">
      <w:pPr>
        <w:jc w:val="both"/>
        <w:rPr>
          <w:rFonts w:ascii="Times New Roman" w:hAnsi="Times New Roman" w:cs="Times New Roman"/>
          <w:sz w:val="24"/>
          <w:szCs w:val="24"/>
        </w:rPr>
      </w:pPr>
    </w:p>
    <w:p w:rsidR="00A25E0D" w:rsidRPr="00AD0E1F" w:rsidRDefault="00A25E0D" w:rsidP="00A25E0D">
      <w:pPr>
        <w:jc w:val="both"/>
        <w:rPr>
          <w:rFonts w:ascii="Times New Roman" w:hAnsi="Times New Roman" w:cs="Times New Roman"/>
          <w:b/>
          <w:sz w:val="24"/>
          <w:szCs w:val="24"/>
        </w:rPr>
      </w:pPr>
      <w:r w:rsidRPr="00AD0E1F">
        <w:rPr>
          <w:rFonts w:ascii="Times New Roman" w:hAnsi="Times New Roman" w:cs="Times New Roman"/>
          <w:b/>
          <w:sz w:val="24"/>
          <w:szCs w:val="24"/>
        </w:rPr>
        <w:t xml:space="preserve"> Comparative dissolution profile of active glimepiride and solid dispersion (Glimepiride+ PEG 4000+ Povidon) for their different ratio</w:t>
      </w:r>
    </w:p>
    <w:p w:rsidR="00A25E0D" w:rsidRPr="00AD0E1F" w:rsidRDefault="00A25E0D" w:rsidP="00A25E0D">
      <w:pPr>
        <w:jc w:val="both"/>
        <w:rPr>
          <w:rFonts w:ascii="Times New Roman" w:hAnsi="Times New Roman" w:cs="Times New Roman"/>
          <w:sz w:val="24"/>
          <w:szCs w:val="24"/>
        </w:rPr>
      </w:pPr>
      <w:commentRangeStart w:id="43"/>
      <w:r w:rsidRPr="00AD0E1F">
        <w:rPr>
          <w:rFonts w:ascii="Times New Roman" w:hAnsi="Times New Roman" w:cs="Times New Roman"/>
          <w:sz w:val="24"/>
          <w:szCs w:val="24"/>
        </w:rPr>
        <w:t>Ternary SD formulation of Glimepiride containing PEG 4000 and Povidon at different ratios of G11 (1:1:0.75), G12 (1:1:0.50), G13 (1:1:0.25), G14 (1:1:0) and API were used for dissolution study. It was found that 6% from G11, 1.38% from G12, 64.15% from G13, 21.46% from G14 and 0.46% from API were released after 5 min and 11.48% from G11, 14.19% from G12, 65.47% from G13, 60.77% from G14, 15.29% from API were released after 45 min. Finally 24.69% from G11, 19.35% from G12, 75.75% from G13, 72.88% from G14 and 15.83% from API were released in an hour time interval.</w:t>
      </w:r>
      <w:commentRangeEnd w:id="43"/>
      <w:r w:rsidR="005F3439">
        <w:rPr>
          <w:rStyle w:val="CommentReference"/>
        </w:rPr>
        <w:commentReference w:id="43"/>
      </w:r>
    </w:p>
    <w:p w:rsidR="00A25E0D" w:rsidRPr="00AD0E1F" w:rsidRDefault="00A25E0D" w:rsidP="00A25E0D">
      <w:pPr>
        <w:rPr>
          <w:rFonts w:ascii="Times New Roman" w:hAnsi="Times New Roman" w:cs="Times New Roman"/>
          <w:sz w:val="24"/>
          <w:szCs w:val="24"/>
        </w:rPr>
      </w:pP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noProof/>
          <w:lang w:bidi="ar-SA"/>
        </w:rPr>
        <w:lastRenderedPageBreak/>
        <w:drawing>
          <wp:inline distT="0" distB="0" distL="0" distR="0">
            <wp:extent cx="5591175" cy="2514600"/>
            <wp:effectExtent l="19050" t="0" r="9525" b="0"/>
            <wp:docPr id="352" name="Chart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25E0D" w:rsidRPr="00AD0E1F" w:rsidRDefault="003A7731" w:rsidP="00A25E0D">
      <w:pPr>
        <w:jc w:val="both"/>
        <w:rPr>
          <w:rFonts w:ascii="Times New Roman" w:hAnsi="Times New Roman" w:cs="Times New Roman"/>
          <w:b/>
          <w:sz w:val="24"/>
          <w:szCs w:val="24"/>
        </w:rPr>
      </w:pPr>
      <w:r w:rsidRPr="00AD0E1F">
        <w:rPr>
          <w:rFonts w:ascii="Times New Roman" w:hAnsi="Times New Roman" w:cs="Times New Roman"/>
          <w:b/>
          <w:sz w:val="24"/>
          <w:szCs w:val="24"/>
        </w:rPr>
        <w:t>Fig: 5</w:t>
      </w:r>
      <w:r w:rsidR="00A25E0D" w:rsidRPr="00AD0E1F">
        <w:rPr>
          <w:rFonts w:ascii="Times New Roman" w:hAnsi="Times New Roman" w:cs="Times New Roman"/>
          <w:b/>
          <w:sz w:val="24"/>
          <w:szCs w:val="24"/>
        </w:rPr>
        <w:t xml:space="preserve"> Average % release of drug from ternary SD formulation containing PEG 4000 and Povidone.</w:t>
      </w:r>
    </w:p>
    <w:p w:rsidR="00A25E0D" w:rsidRPr="00AD0E1F" w:rsidRDefault="00A25E0D" w:rsidP="00A25E0D">
      <w:pPr>
        <w:jc w:val="both"/>
        <w:rPr>
          <w:rFonts w:ascii="Times New Roman" w:hAnsi="Times New Roman" w:cs="Times New Roman"/>
          <w:sz w:val="24"/>
          <w:szCs w:val="24"/>
        </w:rPr>
      </w:pPr>
      <w:commentRangeStart w:id="44"/>
      <w:r w:rsidRPr="00AD0E1F">
        <w:rPr>
          <w:rFonts w:ascii="Times New Roman" w:hAnsi="Times New Roman" w:cs="Times New Roman"/>
          <w:sz w:val="24"/>
          <w:szCs w:val="24"/>
        </w:rPr>
        <w:t>From the above data we can conclude that the release pattern from the glimepiride containg two water soluble polymer PEG 4000 and Povidone have increased gradually when the amount of second polymer povidone were decreased in different ratio. It was observed SD formulation G13 (1:1:0.75) gave the best result in comparison to those of G11, G12, G14.</w:t>
      </w:r>
      <w:commentRangeEnd w:id="44"/>
      <w:r w:rsidR="005F3439">
        <w:rPr>
          <w:rStyle w:val="CommentReference"/>
        </w:rPr>
        <w:commentReference w:id="44"/>
      </w:r>
    </w:p>
    <w:p w:rsidR="00A25E0D" w:rsidRPr="00AD0E1F" w:rsidRDefault="00A25E0D" w:rsidP="00A25E0D">
      <w:pPr>
        <w:jc w:val="both"/>
        <w:rPr>
          <w:rFonts w:ascii="Times New Roman" w:hAnsi="Times New Roman" w:cs="Times New Roman"/>
          <w:sz w:val="24"/>
          <w:szCs w:val="24"/>
        </w:rPr>
      </w:pPr>
    </w:p>
    <w:p w:rsidR="00A25E0D" w:rsidRPr="00AD0E1F" w:rsidRDefault="00A25E0D" w:rsidP="00A25E0D">
      <w:pPr>
        <w:jc w:val="both"/>
        <w:rPr>
          <w:rFonts w:ascii="Times New Roman" w:hAnsi="Times New Roman" w:cs="Times New Roman"/>
          <w:b/>
          <w:sz w:val="24"/>
          <w:szCs w:val="24"/>
        </w:rPr>
      </w:pPr>
      <w:r w:rsidRPr="00AD0E1F">
        <w:rPr>
          <w:rFonts w:ascii="Times New Roman" w:hAnsi="Times New Roman" w:cs="Times New Roman"/>
          <w:b/>
          <w:sz w:val="24"/>
          <w:szCs w:val="24"/>
        </w:rPr>
        <w:t>Comparative dissolution profile of pure glimepiride and solid dispersion formulation (Glimepiride+ PEG 6000+ Povidone) for their different ratio</w:t>
      </w:r>
    </w:p>
    <w:p w:rsidR="00A25E0D" w:rsidRPr="00AD0E1F" w:rsidRDefault="00A25E0D" w:rsidP="00A25E0D">
      <w:pPr>
        <w:jc w:val="both"/>
        <w:rPr>
          <w:rFonts w:ascii="Times New Roman" w:hAnsi="Times New Roman" w:cs="Times New Roman"/>
          <w:sz w:val="24"/>
          <w:szCs w:val="24"/>
        </w:rPr>
      </w:pPr>
      <w:commentRangeStart w:id="45"/>
      <w:r w:rsidRPr="00AD0E1F">
        <w:rPr>
          <w:rFonts w:ascii="Times New Roman" w:hAnsi="Times New Roman" w:cs="Times New Roman"/>
          <w:sz w:val="24"/>
          <w:szCs w:val="24"/>
        </w:rPr>
        <w:t>Ternary SD formulation of Glimepiride containing PEG 6000 and Povidone at different ratio of G15 (1:1:0.75), G16 (1:1:0.50), G17 (1:1:0.25), G17 (1:1:0) and API were used in dissolution study. It was found that 63.46% from G15, 63.92% from G16, 23.90% from G17, 24.46% from G18 and 0.46% from API were released after 5 min and 73.71% from G15, 69.14% from G16, 61.84% from G17, 60.36% from G18, 15.29% from API were released after 45 min. Finally 75.50% from G15, 72.06% from G16, 69.09% from G17, 71.31% from G18 and 15.83% from API were released in an hour interval.</w:t>
      </w:r>
      <w:commentRangeEnd w:id="45"/>
      <w:r w:rsidR="005F3439">
        <w:rPr>
          <w:rStyle w:val="CommentReference"/>
        </w:rPr>
        <w:commentReference w:id="45"/>
      </w:r>
    </w:p>
    <w:p w:rsidR="00A25E0D" w:rsidRPr="00AD0E1F" w:rsidRDefault="00A25E0D" w:rsidP="00A25E0D">
      <w:pPr>
        <w:rPr>
          <w:rFonts w:ascii="Times New Roman" w:hAnsi="Times New Roman" w:cs="Times New Roman"/>
          <w:sz w:val="24"/>
          <w:szCs w:val="24"/>
        </w:rPr>
      </w:pP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noProof/>
          <w:lang w:bidi="ar-SA"/>
        </w:rPr>
        <w:lastRenderedPageBreak/>
        <w:drawing>
          <wp:inline distT="0" distB="0" distL="0" distR="0">
            <wp:extent cx="5372100" cy="2886075"/>
            <wp:effectExtent l="19050" t="0" r="19050" b="0"/>
            <wp:docPr id="353" name="Chart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5E0D" w:rsidRPr="00AD0E1F" w:rsidRDefault="003A7731" w:rsidP="00A25E0D">
      <w:pPr>
        <w:jc w:val="both"/>
        <w:rPr>
          <w:rFonts w:ascii="Times New Roman" w:hAnsi="Times New Roman" w:cs="Times New Roman"/>
          <w:b/>
          <w:sz w:val="24"/>
          <w:szCs w:val="24"/>
        </w:rPr>
      </w:pPr>
      <w:r w:rsidRPr="00AD0E1F">
        <w:rPr>
          <w:rFonts w:ascii="Times New Roman" w:hAnsi="Times New Roman" w:cs="Times New Roman"/>
          <w:b/>
          <w:sz w:val="24"/>
          <w:szCs w:val="24"/>
        </w:rPr>
        <w:t xml:space="preserve">Fig: </w:t>
      </w:r>
      <w:r w:rsidR="00A25E0D" w:rsidRPr="00AD0E1F">
        <w:rPr>
          <w:rFonts w:ascii="Times New Roman" w:hAnsi="Times New Roman" w:cs="Times New Roman"/>
          <w:b/>
          <w:sz w:val="24"/>
          <w:szCs w:val="24"/>
        </w:rPr>
        <w:t xml:space="preserve">6 Percent release from ternary SD formulations of glimepiride containing </w:t>
      </w:r>
    </w:p>
    <w:p w:rsidR="00A25E0D" w:rsidRPr="00AD0E1F" w:rsidRDefault="00A25E0D" w:rsidP="00A25E0D">
      <w:pPr>
        <w:jc w:val="both"/>
        <w:rPr>
          <w:rFonts w:ascii="Times New Roman" w:hAnsi="Times New Roman" w:cs="Times New Roman"/>
          <w:b/>
          <w:sz w:val="24"/>
          <w:szCs w:val="24"/>
        </w:rPr>
      </w:pPr>
      <w:r w:rsidRPr="00AD0E1F">
        <w:rPr>
          <w:rFonts w:ascii="Times New Roman" w:hAnsi="Times New Roman" w:cs="Times New Roman"/>
          <w:b/>
          <w:sz w:val="24"/>
          <w:szCs w:val="24"/>
        </w:rPr>
        <w:t>PEG 6000 and Povidone.</w:t>
      </w:r>
    </w:p>
    <w:p w:rsidR="00A25E0D" w:rsidRPr="00AD0E1F" w:rsidRDefault="00A25E0D" w:rsidP="00A25E0D">
      <w:pPr>
        <w:jc w:val="both"/>
        <w:rPr>
          <w:rFonts w:ascii="Times New Roman" w:hAnsi="Times New Roman" w:cs="Times New Roman"/>
          <w:sz w:val="24"/>
          <w:szCs w:val="24"/>
        </w:rPr>
      </w:pPr>
      <w:commentRangeStart w:id="46"/>
      <w:r w:rsidRPr="00AD0E1F">
        <w:rPr>
          <w:rFonts w:ascii="Times New Roman" w:hAnsi="Times New Roman" w:cs="Times New Roman"/>
          <w:sz w:val="24"/>
          <w:szCs w:val="24"/>
        </w:rPr>
        <w:t>From the above data we can conclude that the release pattern from the glimepiride containg two water soluble polymer PEG 6000 and Povidone has increased gradually when the amount of second polymer povidone were increased in different ratio. It was observed SD formulation G15 (1:1:0.75) gave the best result in comparison to those of G16, G17, G18.</w:t>
      </w:r>
      <w:commentRangeEnd w:id="46"/>
      <w:r w:rsidR="005F3439">
        <w:rPr>
          <w:rStyle w:val="CommentReference"/>
        </w:rPr>
        <w:commentReference w:id="46"/>
      </w:r>
    </w:p>
    <w:p w:rsidR="00A25E0D" w:rsidRPr="00AD0E1F" w:rsidRDefault="00A25E0D" w:rsidP="00A25E0D">
      <w:pPr>
        <w:rPr>
          <w:rFonts w:ascii="Times New Roman" w:hAnsi="Times New Roman" w:cs="Times New Roman"/>
          <w:sz w:val="24"/>
          <w:szCs w:val="24"/>
        </w:rPr>
      </w:pPr>
    </w:p>
    <w:p w:rsidR="00A25E0D" w:rsidRPr="00AD0E1F" w:rsidRDefault="00A25E0D" w:rsidP="003A7731">
      <w:pPr>
        <w:jc w:val="both"/>
        <w:rPr>
          <w:rFonts w:ascii="Times New Roman" w:hAnsi="Times New Roman" w:cs="Times New Roman"/>
          <w:sz w:val="24"/>
          <w:szCs w:val="24"/>
        </w:rPr>
      </w:pPr>
      <w:r w:rsidRPr="00AD0E1F">
        <w:rPr>
          <w:rFonts w:ascii="Times New Roman" w:hAnsi="Times New Roman" w:cs="Times New Roman"/>
          <w:b/>
          <w:sz w:val="28"/>
        </w:rPr>
        <w:t xml:space="preserve"> Release kinetics study of pure glimepiride and different solid dispersion formulations </w:t>
      </w:r>
    </w:p>
    <w:p w:rsidR="00A25E0D" w:rsidRPr="00AD0E1F" w:rsidRDefault="00A25E0D" w:rsidP="00A25E0D">
      <w:pPr>
        <w:spacing w:line="360" w:lineRule="auto"/>
        <w:jc w:val="both"/>
        <w:rPr>
          <w:rFonts w:ascii="Times New Roman" w:hAnsi="Times New Roman" w:cs="Times New Roman"/>
          <w:sz w:val="24"/>
        </w:rPr>
      </w:pPr>
      <w:commentRangeStart w:id="47"/>
      <w:commentRangeStart w:id="48"/>
      <w:r w:rsidRPr="00AD0E1F">
        <w:rPr>
          <w:rFonts w:ascii="Times New Roman" w:hAnsi="Times New Roman" w:cs="Times New Roman"/>
          <w:sz w:val="24"/>
        </w:rPr>
        <w:t>We</w:t>
      </w:r>
      <w:commentRangeEnd w:id="47"/>
      <w:r w:rsidR="005F3439">
        <w:rPr>
          <w:rStyle w:val="CommentReference"/>
        </w:rPr>
        <w:commentReference w:id="47"/>
      </w:r>
      <w:r w:rsidRPr="00AD0E1F">
        <w:rPr>
          <w:rFonts w:ascii="Times New Roman" w:hAnsi="Times New Roman" w:cs="Times New Roman"/>
          <w:sz w:val="24"/>
        </w:rPr>
        <w:t xml:space="preserve"> have chosen five SD formulation G5 (Glim + PEG 4000), G8 (Glim + PEG 6000), G13 (Glim+ PEG 4000 + Povidone), SE2 (Glim + Eudragit), SE9 (Glim + Poloxamer), which were given most significant effect on the improvement of dissolution rate. There dissolution data were analyzed by zero order model, First order, Higuchi square root equation, Hixon crowell cube root law and Krosmeyer Kinetics.</w:t>
      </w:r>
      <w:commentRangeEnd w:id="48"/>
      <w:r w:rsidR="005F3439">
        <w:rPr>
          <w:rStyle w:val="CommentReference"/>
        </w:rPr>
        <w:commentReference w:id="48"/>
      </w:r>
    </w:p>
    <w:p w:rsidR="00A25E0D" w:rsidRPr="00AD0E1F" w:rsidRDefault="00A25E0D" w:rsidP="00A25E0D">
      <w:pPr>
        <w:jc w:val="both"/>
        <w:rPr>
          <w:rFonts w:ascii="Times New Roman" w:hAnsi="Times New Roman" w:cs="Times New Roman"/>
          <w:b/>
          <w:sz w:val="28"/>
          <w:szCs w:val="24"/>
        </w:rPr>
      </w:pPr>
      <w:r w:rsidRPr="00AD0E1F">
        <w:rPr>
          <w:rFonts w:ascii="Times New Roman" w:hAnsi="Times New Roman" w:cs="Times New Roman"/>
          <w:b/>
          <w:sz w:val="28"/>
          <w:szCs w:val="24"/>
        </w:rPr>
        <w:t xml:space="preserve"> Zero order kinetics</w:t>
      </w:r>
    </w:p>
    <w:p w:rsidR="00A25E0D" w:rsidRPr="00AD0E1F" w:rsidRDefault="003A7731" w:rsidP="00A25E0D">
      <w:pPr>
        <w:jc w:val="both"/>
        <w:rPr>
          <w:rFonts w:ascii="Times New Roman" w:hAnsi="Times New Roman" w:cs="Times New Roman"/>
          <w:b/>
          <w:sz w:val="24"/>
          <w:szCs w:val="24"/>
        </w:rPr>
      </w:pPr>
      <w:r w:rsidRPr="00AD0E1F">
        <w:rPr>
          <w:rFonts w:ascii="Times New Roman" w:hAnsi="Times New Roman" w:cs="Times New Roman"/>
          <w:b/>
          <w:sz w:val="24"/>
          <w:szCs w:val="24"/>
        </w:rPr>
        <w:t>Table 3</w:t>
      </w:r>
      <w:r w:rsidR="00A25E0D" w:rsidRPr="00AD0E1F">
        <w:rPr>
          <w:rFonts w:ascii="Times New Roman" w:hAnsi="Times New Roman" w:cs="Times New Roman"/>
          <w:b/>
          <w:sz w:val="24"/>
          <w:szCs w:val="24"/>
        </w:rPr>
        <w:t xml:space="preserve"> Comparative study of zero order kinetics of five solid dispersion formulations</w:t>
      </w:r>
    </w:p>
    <w:tbl>
      <w:tblPr>
        <w:tblW w:w="5788" w:type="dxa"/>
        <w:jc w:val="center"/>
        <w:tblLayout w:type="fixed"/>
        <w:tblCellMar>
          <w:left w:w="10" w:type="dxa"/>
          <w:right w:w="10" w:type="dxa"/>
        </w:tblCellMar>
        <w:tblLook w:val="04A0"/>
      </w:tblPr>
      <w:tblGrid>
        <w:gridCol w:w="851"/>
        <w:gridCol w:w="1574"/>
        <w:gridCol w:w="1740"/>
        <w:gridCol w:w="1623"/>
      </w:tblGrid>
      <w:tr w:rsidR="003A7731" w:rsidRPr="00AD0E1F" w:rsidTr="003A7731">
        <w:trPr>
          <w:trHeight w:val="910"/>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Time</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rsidR="003A7731" w:rsidRPr="00AD0E1F" w:rsidRDefault="003A7731" w:rsidP="00A25E0D">
            <w:pPr>
              <w:spacing w:after="0" w:line="240" w:lineRule="auto"/>
              <w:rPr>
                <w:rFonts w:ascii="Times New Roman" w:eastAsia="Times New Roman" w:hAnsi="Times New Roman" w:cs="Times New Roman"/>
                <w:szCs w:val="20"/>
              </w:rPr>
            </w:pPr>
            <w:r w:rsidRPr="00AD0E1F">
              <w:rPr>
                <w:rFonts w:ascii="Times New Roman" w:eastAsia="Times New Roman" w:hAnsi="Times New Roman" w:cs="Times New Roman"/>
                <w:szCs w:val="20"/>
              </w:rPr>
              <w:t>Percent release (%) G5</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3A7731" w:rsidRPr="00AD0E1F" w:rsidRDefault="003A7731" w:rsidP="00A25E0D">
            <w:pPr>
              <w:spacing w:after="0" w:line="240" w:lineRule="auto"/>
              <w:rPr>
                <w:rFonts w:ascii="Times New Roman" w:eastAsia="Times New Roman" w:hAnsi="Times New Roman" w:cs="Times New Roman"/>
                <w:szCs w:val="20"/>
              </w:rPr>
            </w:pPr>
            <w:r w:rsidRPr="00AD0E1F">
              <w:rPr>
                <w:rFonts w:ascii="Times New Roman" w:eastAsia="Times New Roman" w:hAnsi="Times New Roman" w:cs="Times New Roman"/>
                <w:szCs w:val="20"/>
              </w:rPr>
              <w:t>Percent release (%)G8</w:t>
            </w:r>
          </w:p>
        </w:tc>
        <w:tc>
          <w:tcPr>
            <w:tcW w:w="1623" w:type="dxa"/>
            <w:tcBorders>
              <w:top w:val="single" w:sz="4" w:space="0" w:color="auto"/>
              <w:left w:val="nil"/>
              <w:bottom w:val="single" w:sz="4" w:space="0" w:color="auto"/>
              <w:right w:val="single" w:sz="4" w:space="0" w:color="auto"/>
            </w:tcBorders>
            <w:shd w:val="clear" w:color="auto" w:fill="auto"/>
            <w:vAlign w:val="center"/>
            <w:hideMark/>
          </w:tcPr>
          <w:p w:rsidR="003A7731" w:rsidRPr="00AD0E1F" w:rsidRDefault="003A7731" w:rsidP="00A25E0D">
            <w:pPr>
              <w:spacing w:after="0" w:line="240" w:lineRule="auto"/>
              <w:rPr>
                <w:rFonts w:ascii="Times New Roman" w:eastAsia="Times New Roman" w:hAnsi="Times New Roman" w:cs="Times New Roman"/>
                <w:szCs w:val="20"/>
              </w:rPr>
            </w:pPr>
            <w:r w:rsidRPr="00AD0E1F">
              <w:rPr>
                <w:rFonts w:ascii="Times New Roman" w:eastAsia="Times New Roman" w:hAnsi="Times New Roman" w:cs="Times New Roman"/>
                <w:szCs w:val="20"/>
              </w:rPr>
              <w:t>Percent</w:t>
            </w:r>
          </w:p>
          <w:p w:rsidR="003A7731" w:rsidRPr="00AD0E1F" w:rsidRDefault="003A7731" w:rsidP="00A25E0D">
            <w:pPr>
              <w:spacing w:after="0" w:line="240" w:lineRule="auto"/>
              <w:rPr>
                <w:rFonts w:ascii="Times New Roman" w:eastAsia="Times New Roman" w:hAnsi="Times New Roman" w:cs="Times New Roman"/>
                <w:szCs w:val="20"/>
              </w:rPr>
            </w:pPr>
            <w:r w:rsidRPr="00AD0E1F">
              <w:rPr>
                <w:rFonts w:ascii="Times New Roman" w:eastAsia="Times New Roman" w:hAnsi="Times New Roman" w:cs="Times New Roman"/>
                <w:szCs w:val="20"/>
              </w:rPr>
              <w:t>release (%)G13</w:t>
            </w:r>
          </w:p>
        </w:tc>
      </w:tr>
      <w:tr w:rsidR="003A7731" w:rsidRPr="00AD0E1F" w:rsidTr="003A7731">
        <w:trPr>
          <w:trHeight w:val="395"/>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0</w:t>
            </w:r>
          </w:p>
        </w:tc>
        <w:tc>
          <w:tcPr>
            <w:tcW w:w="1574"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0</w:t>
            </w:r>
          </w:p>
        </w:tc>
        <w:tc>
          <w:tcPr>
            <w:tcW w:w="1740"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0</w:t>
            </w:r>
          </w:p>
        </w:tc>
        <w:tc>
          <w:tcPr>
            <w:tcW w:w="1623"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0</w:t>
            </w:r>
          </w:p>
        </w:tc>
      </w:tr>
      <w:tr w:rsidR="003A7731" w:rsidRPr="00AD0E1F" w:rsidTr="003A7731">
        <w:trPr>
          <w:trHeight w:val="33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5</w:t>
            </w:r>
          </w:p>
        </w:tc>
        <w:tc>
          <w:tcPr>
            <w:tcW w:w="1574"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76.84615</w:t>
            </w:r>
          </w:p>
        </w:tc>
        <w:tc>
          <w:tcPr>
            <w:tcW w:w="1740"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25.84615</w:t>
            </w:r>
          </w:p>
        </w:tc>
        <w:tc>
          <w:tcPr>
            <w:tcW w:w="1623"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64.15385</w:t>
            </w:r>
          </w:p>
        </w:tc>
      </w:tr>
      <w:tr w:rsidR="003A7731" w:rsidRPr="00AD0E1F" w:rsidTr="003A7731">
        <w:trPr>
          <w:trHeight w:val="33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15</w:t>
            </w:r>
          </w:p>
        </w:tc>
        <w:tc>
          <w:tcPr>
            <w:tcW w:w="1574"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80.73462</w:t>
            </w:r>
          </w:p>
        </w:tc>
        <w:tc>
          <w:tcPr>
            <w:tcW w:w="1740"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26.22051</w:t>
            </w:r>
          </w:p>
        </w:tc>
        <w:tc>
          <w:tcPr>
            <w:tcW w:w="1623"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61.04872</w:t>
            </w:r>
          </w:p>
        </w:tc>
      </w:tr>
      <w:tr w:rsidR="003A7731" w:rsidRPr="00AD0E1F" w:rsidTr="003A7731">
        <w:trPr>
          <w:trHeight w:val="33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30</w:t>
            </w:r>
          </w:p>
        </w:tc>
        <w:tc>
          <w:tcPr>
            <w:tcW w:w="1574"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89.02692</w:t>
            </w:r>
          </w:p>
        </w:tc>
        <w:tc>
          <w:tcPr>
            <w:tcW w:w="1740"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50.36538</w:t>
            </w:r>
          </w:p>
        </w:tc>
        <w:tc>
          <w:tcPr>
            <w:tcW w:w="1623"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71.77051</w:t>
            </w:r>
          </w:p>
        </w:tc>
      </w:tr>
      <w:tr w:rsidR="003A7731" w:rsidRPr="00AD0E1F" w:rsidTr="003A7731">
        <w:trPr>
          <w:trHeight w:val="33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45</w:t>
            </w:r>
          </w:p>
        </w:tc>
        <w:tc>
          <w:tcPr>
            <w:tcW w:w="1574"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94.36282</w:t>
            </w:r>
          </w:p>
        </w:tc>
        <w:tc>
          <w:tcPr>
            <w:tcW w:w="1740"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70.72051</w:t>
            </w:r>
          </w:p>
        </w:tc>
        <w:tc>
          <w:tcPr>
            <w:tcW w:w="1623"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65.47308</w:t>
            </w:r>
          </w:p>
        </w:tc>
      </w:tr>
      <w:tr w:rsidR="003A7731" w:rsidRPr="00AD0E1F" w:rsidTr="003A7731">
        <w:trPr>
          <w:trHeight w:val="330"/>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lastRenderedPageBreak/>
              <w:t>60</w:t>
            </w:r>
          </w:p>
        </w:tc>
        <w:tc>
          <w:tcPr>
            <w:tcW w:w="1574"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99.2641</w:t>
            </w:r>
          </w:p>
        </w:tc>
        <w:tc>
          <w:tcPr>
            <w:tcW w:w="1740"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91.87949</w:t>
            </w:r>
          </w:p>
        </w:tc>
        <w:tc>
          <w:tcPr>
            <w:tcW w:w="1623" w:type="dxa"/>
            <w:tcBorders>
              <w:top w:val="nil"/>
              <w:left w:val="nil"/>
              <w:bottom w:val="single" w:sz="4" w:space="0" w:color="auto"/>
              <w:right w:val="single" w:sz="4" w:space="0" w:color="auto"/>
            </w:tcBorders>
            <w:shd w:val="clear" w:color="auto" w:fill="auto"/>
            <w:noWrap/>
            <w:vAlign w:val="bottom"/>
            <w:hideMark/>
          </w:tcPr>
          <w:p w:rsidR="003A7731" w:rsidRPr="00AD0E1F" w:rsidRDefault="003A7731" w:rsidP="00A25E0D">
            <w:pPr>
              <w:spacing w:after="0" w:line="240" w:lineRule="auto"/>
              <w:jc w:val="center"/>
              <w:rPr>
                <w:rFonts w:ascii="Times New Roman" w:eastAsia="Times New Roman" w:hAnsi="Times New Roman" w:cs="Times New Roman"/>
                <w:szCs w:val="20"/>
              </w:rPr>
            </w:pPr>
            <w:r w:rsidRPr="00AD0E1F">
              <w:rPr>
                <w:rFonts w:ascii="Times New Roman" w:eastAsia="Times New Roman" w:hAnsi="Times New Roman" w:cs="Times New Roman"/>
                <w:szCs w:val="20"/>
              </w:rPr>
              <w:t>75.75385</w:t>
            </w:r>
          </w:p>
        </w:tc>
      </w:tr>
    </w:tbl>
    <w:p w:rsidR="00A25E0D" w:rsidRPr="00AD0E1F" w:rsidRDefault="00A25E0D" w:rsidP="00A25E0D">
      <w:pPr>
        <w:jc w:val="both"/>
        <w:rPr>
          <w:rFonts w:ascii="Times New Roman" w:hAnsi="Times New Roman" w:cs="Times New Roman"/>
          <w:b/>
          <w:sz w:val="28"/>
        </w:rPr>
      </w:pPr>
    </w:p>
    <w:p w:rsidR="00A25E0D" w:rsidRPr="00AD0E1F" w:rsidRDefault="00A25E0D" w:rsidP="003A7731">
      <w:pPr>
        <w:jc w:val="both"/>
        <w:rPr>
          <w:rFonts w:ascii="Times New Roman" w:hAnsi="Times New Roman" w:cs="Times New Roman"/>
          <w:b/>
          <w:sz w:val="28"/>
        </w:rPr>
      </w:pPr>
    </w:p>
    <w:p w:rsidR="00A25E0D" w:rsidRPr="00AD0E1F" w:rsidRDefault="00A25E0D" w:rsidP="00A25E0D">
      <w:pPr>
        <w:tabs>
          <w:tab w:val="left" w:pos="1102"/>
        </w:tabs>
        <w:spacing w:before="120" w:after="120" w:line="360" w:lineRule="auto"/>
        <w:rPr>
          <w:rFonts w:ascii="Times New Roman" w:hAnsi="Times New Roman" w:cs="Times New Roman"/>
        </w:rPr>
      </w:pPr>
    </w:p>
    <w:p w:rsidR="00A25E0D" w:rsidRPr="00AD0E1F" w:rsidRDefault="00A25E0D" w:rsidP="00A25E0D">
      <w:pPr>
        <w:jc w:val="both"/>
        <w:rPr>
          <w:rFonts w:ascii="Times New Roman" w:hAnsi="Times New Roman" w:cs="Times New Roman"/>
          <w:b/>
          <w:sz w:val="28"/>
          <w:szCs w:val="24"/>
        </w:rPr>
      </w:pPr>
      <w:r w:rsidRPr="00AD0E1F">
        <w:rPr>
          <w:rFonts w:ascii="Times New Roman" w:hAnsi="Times New Roman" w:cs="Times New Roman"/>
          <w:b/>
          <w:sz w:val="28"/>
          <w:szCs w:val="24"/>
        </w:rPr>
        <w:t>First order release kinetics</w:t>
      </w:r>
    </w:p>
    <w:p w:rsidR="00A25E0D" w:rsidRPr="00AD0E1F" w:rsidRDefault="003A7731" w:rsidP="00A25E0D">
      <w:pPr>
        <w:jc w:val="both"/>
        <w:rPr>
          <w:rFonts w:ascii="Times New Roman" w:hAnsi="Times New Roman" w:cs="Times New Roman"/>
          <w:b/>
          <w:sz w:val="24"/>
          <w:szCs w:val="24"/>
        </w:rPr>
      </w:pPr>
      <w:r w:rsidRPr="00AD0E1F">
        <w:rPr>
          <w:rFonts w:ascii="Times New Roman" w:hAnsi="Times New Roman" w:cs="Times New Roman"/>
          <w:b/>
          <w:sz w:val="24"/>
          <w:szCs w:val="24"/>
        </w:rPr>
        <w:t xml:space="preserve">Table 4: </w:t>
      </w:r>
      <w:r w:rsidR="00A25E0D" w:rsidRPr="00AD0E1F">
        <w:rPr>
          <w:rFonts w:ascii="Times New Roman" w:hAnsi="Times New Roman" w:cs="Times New Roman"/>
          <w:b/>
          <w:sz w:val="24"/>
          <w:szCs w:val="24"/>
        </w:rPr>
        <w:t>Comparative study of first order release kinetics of active glimepiride and five solid dispersion formulations</w:t>
      </w:r>
    </w:p>
    <w:tbl>
      <w:tblPr>
        <w:tblW w:w="0" w:type="auto"/>
        <w:tblInd w:w="10" w:type="dxa"/>
        <w:tblCellMar>
          <w:left w:w="10" w:type="dxa"/>
          <w:right w:w="10" w:type="dxa"/>
        </w:tblCellMar>
        <w:tblLook w:val="04A0"/>
      </w:tblPr>
      <w:tblGrid>
        <w:gridCol w:w="1063"/>
        <w:gridCol w:w="1461"/>
        <w:gridCol w:w="1461"/>
        <w:gridCol w:w="1364"/>
        <w:gridCol w:w="1334"/>
      </w:tblGrid>
      <w:tr w:rsidR="00D110CB" w:rsidRPr="00AD0E1F" w:rsidTr="00D110CB">
        <w:trPr>
          <w:trHeight w:val="409"/>
        </w:trPr>
        <w:tc>
          <w:tcPr>
            <w:tcW w:w="1063"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Time (min)</w:t>
            </w:r>
          </w:p>
        </w:tc>
        <w:tc>
          <w:tcPr>
            <w:tcW w:w="146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Log of % remaining drug(G5)</w:t>
            </w:r>
          </w:p>
        </w:tc>
        <w:tc>
          <w:tcPr>
            <w:tcW w:w="146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 xml:space="preserve">Log of % remaining drug (G8) </w:t>
            </w:r>
          </w:p>
        </w:tc>
        <w:tc>
          <w:tcPr>
            <w:tcW w:w="136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Log of % remaining drug(G13)</w:t>
            </w:r>
          </w:p>
        </w:tc>
        <w:tc>
          <w:tcPr>
            <w:tcW w:w="133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Log of % remaining drug(API)</w:t>
            </w:r>
          </w:p>
        </w:tc>
      </w:tr>
      <w:tr w:rsidR="00D110CB" w:rsidRPr="00AD0E1F" w:rsidTr="00D110CB">
        <w:trPr>
          <w:trHeight w:val="409"/>
        </w:trPr>
        <w:tc>
          <w:tcPr>
            <w:tcW w:w="1063"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w:t>
            </w:r>
          </w:p>
        </w:tc>
        <w:tc>
          <w:tcPr>
            <w:tcW w:w="146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2</w:t>
            </w:r>
          </w:p>
        </w:tc>
        <w:tc>
          <w:tcPr>
            <w:tcW w:w="146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2</w:t>
            </w:r>
          </w:p>
        </w:tc>
        <w:tc>
          <w:tcPr>
            <w:tcW w:w="136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2</w:t>
            </w:r>
          </w:p>
        </w:tc>
        <w:tc>
          <w:tcPr>
            <w:tcW w:w="133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2</w:t>
            </w:r>
          </w:p>
        </w:tc>
      </w:tr>
      <w:tr w:rsidR="00D110CB" w:rsidRPr="00AD0E1F" w:rsidTr="00D110CB">
        <w:trPr>
          <w:trHeight w:val="409"/>
        </w:trPr>
        <w:tc>
          <w:tcPr>
            <w:tcW w:w="1063" w:type="dxa"/>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5</w:t>
            </w:r>
          </w:p>
        </w:tc>
        <w:tc>
          <w:tcPr>
            <w:tcW w:w="146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1.364623</w:t>
            </w:r>
          </w:p>
        </w:tc>
        <w:tc>
          <w:tcPr>
            <w:tcW w:w="146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1.870134</w:t>
            </w:r>
          </w:p>
        </w:tc>
        <w:tc>
          <w:tcPr>
            <w:tcW w:w="136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1.554443</w:t>
            </w:r>
          </w:p>
        </w:tc>
        <w:tc>
          <w:tcPr>
            <w:tcW w:w="133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1.997991</w:t>
            </w:r>
          </w:p>
        </w:tc>
      </w:tr>
      <w:tr w:rsidR="00D110CB" w:rsidRPr="00AD0E1F" w:rsidTr="00D110CB">
        <w:trPr>
          <w:trHeight w:val="409"/>
        </w:trPr>
        <w:tc>
          <w:tcPr>
            <w:tcW w:w="1063" w:type="dxa"/>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15</w:t>
            </w:r>
          </w:p>
        </w:tc>
        <w:tc>
          <w:tcPr>
            <w:tcW w:w="146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1.284778</w:t>
            </w:r>
          </w:p>
        </w:tc>
        <w:tc>
          <w:tcPr>
            <w:tcW w:w="146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1.867936</w:t>
            </w:r>
          </w:p>
        </w:tc>
        <w:tc>
          <w:tcPr>
            <w:tcW w:w="136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1.590522</w:t>
            </w:r>
          </w:p>
        </w:tc>
        <w:tc>
          <w:tcPr>
            <w:tcW w:w="133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1.989849</w:t>
            </w:r>
          </w:p>
        </w:tc>
      </w:tr>
      <w:tr w:rsidR="00D110CB" w:rsidRPr="00AD0E1F" w:rsidTr="00D110CB">
        <w:trPr>
          <w:trHeight w:val="409"/>
        </w:trPr>
        <w:tc>
          <w:tcPr>
            <w:tcW w:w="1063" w:type="dxa"/>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30</w:t>
            </w:r>
          </w:p>
        </w:tc>
        <w:tc>
          <w:tcPr>
            <w:tcW w:w="146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1.040328</w:t>
            </w:r>
          </w:p>
        </w:tc>
        <w:tc>
          <w:tcPr>
            <w:tcW w:w="146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1.695785</w:t>
            </w:r>
          </w:p>
        </w:tc>
        <w:tc>
          <w:tcPr>
            <w:tcW w:w="136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1.450703</w:t>
            </w:r>
          </w:p>
        </w:tc>
        <w:tc>
          <w:tcPr>
            <w:tcW w:w="133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1.963352</w:t>
            </w:r>
          </w:p>
        </w:tc>
      </w:tr>
      <w:tr w:rsidR="00D110CB" w:rsidRPr="00AD0E1F" w:rsidTr="00D110CB">
        <w:trPr>
          <w:trHeight w:val="409"/>
        </w:trPr>
        <w:tc>
          <w:tcPr>
            <w:tcW w:w="1063" w:type="dxa"/>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45</w:t>
            </w:r>
          </w:p>
        </w:tc>
        <w:tc>
          <w:tcPr>
            <w:tcW w:w="146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0.751062</w:t>
            </w:r>
          </w:p>
        </w:tc>
        <w:tc>
          <w:tcPr>
            <w:tcW w:w="146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1.466564</w:t>
            </w:r>
          </w:p>
        </w:tc>
        <w:tc>
          <w:tcPr>
            <w:tcW w:w="136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1.538158</w:t>
            </w:r>
          </w:p>
        </w:tc>
        <w:tc>
          <w:tcPr>
            <w:tcW w:w="133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1.927929</w:t>
            </w:r>
          </w:p>
        </w:tc>
      </w:tr>
      <w:tr w:rsidR="00D110CB" w:rsidRPr="00AD0E1F" w:rsidTr="00D110CB">
        <w:trPr>
          <w:trHeight w:val="409"/>
        </w:trPr>
        <w:tc>
          <w:tcPr>
            <w:tcW w:w="1063" w:type="dxa"/>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60</w:t>
            </w:r>
          </w:p>
        </w:tc>
        <w:tc>
          <w:tcPr>
            <w:tcW w:w="146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-0.13318</w:t>
            </w:r>
          </w:p>
        </w:tc>
        <w:tc>
          <w:tcPr>
            <w:tcW w:w="146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0.909583</w:t>
            </w:r>
          </w:p>
        </w:tc>
        <w:tc>
          <w:tcPr>
            <w:tcW w:w="136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1.384643</w:t>
            </w:r>
          </w:p>
        </w:tc>
        <w:tc>
          <w:tcPr>
            <w:tcW w:w="133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1.92512</w:t>
            </w:r>
          </w:p>
        </w:tc>
      </w:tr>
    </w:tbl>
    <w:p w:rsidR="00A25E0D" w:rsidRPr="00AD0E1F" w:rsidRDefault="00A25E0D" w:rsidP="00A25E0D">
      <w:pPr>
        <w:rPr>
          <w:rFonts w:ascii="Times New Roman" w:hAnsi="Times New Roman" w:cs="Times New Roman"/>
          <w:sz w:val="28"/>
        </w:rPr>
      </w:pPr>
    </w:p>
    <w:p w:rsidR="00A25E0D" w:rsidRPr="00AD0E1F" w:rsidRDefault="00A25E0D" w:rsidP="00A25E0D">
      <w:pPr>
        <w:rPr>
          <w:rFonts w:ascii="Times New Roman" w:hAnsi="Times New Roman" w:cs="Times New Roman"/>
          <w:sz w:val="28"/>
        </w:rPr>
      </w:pPr>
    </w:p>
    <w:p w:rsidR="00A25E0D" w:rsidRPr="00AD0E1F" w:rsidRDefault="00A25E0D" w:rsidP="00A25E0D">
      <w:pPr>
        <w:rPr>
          <w:rFonts w:ascii="Times New Roman" w:hAnsi="Times New Roman" w:cs="Times New Roman"/>
          <w:b/>
          <w:sz w:val="24"/>
          <w:szCs w:val="24"/>
        </w:rPr>
      </w:pPr>
    </w:p>
    <w:p w:rsidR="00A25E0D" w:rsidRPr="00AD0E1F" w:rsidRDefault="00A25E0D" w:rsidP="00A25E0D">
      <w:pPr>
        <w:rPr>
          <w:rFonts w:ascii="Times New Roman" w:hAnsi="Times New Roman" w:cs="Times New Roman"/>
          <w:sz w:val="28"/>
        </w:rPr>
      </w:pPr>
    </w:p>
    <w:p w:rsidR="00A25E0D" w:rsidRPr="00AD0E1F" w:rsidRDefault="00A25E0D" w:rsidP="00A25E0D">
      <w:pPr>
        <w:rPr>
          <w:rFonts w:ascii="Times New Roman" w:hAnsi="Times New Roman" w:cs="Times New Roman"/>
          <w:b/>
          <w:sz w:val="28"/>
        </w:rPr>
      </w:pPr>
      <w:r w:rsidRPr="00AD0E1F">
        <w:rPr>
          <w:rFonts w:ascii="Times New Roman" w:hAnsi="Times New Roman" w:cs="Times New Roman"/>
          <w:b/>
          <w:sz w:val="28"/>
        </w:rPr>
        <w:t xml:space="preserve"> Higuchi release kinetics</w:t>
      </w:r>
    </w:p>
    <w:p w:rsidR="00A25E0D" w:rsidRPr="00AD0E1F" w:rsidRDefault="00D110CB" w:rsidP="00A25E0D">
      <w:pPr>
        <w:jc w:val="both"/>
        <w:rPr>
          <w:rFonts w:ascii="Times New Roman" w:hAnsi="Times New Roman" w:cs="Times New Roman"/>
          <w:b/>
          <w:sz w:val="24"/>
          <w:szCs w:val="24"/>
        </w:rPr>
      </w:pPr>
      <w:r w:rsidRPr="00AD0E1F">
        <w:rPr>
          <w:rFonts w:ascii="Times New Roman" w:hAnsi="Times New Roman" w:cs="Times New Roman"/>
          <w:b/>
          <w:sz w:val="24"/>
          <w:szCs w:val="24"/>
        </w:rPr>
        <w:t>Table 5</w:t>
      </w:r>
      <w:r w:rsidR="00A25E0D" w:rsidRPr="00AD0E1F">
        <w:rPr>
          <w:rFonts w:ascii="Times New Roman" w:hAnsi="Times New Roman" w:cs="Times New Roman"/>
          <w:b/>
          <w:sz w:val="24"/>
          <w:szCs w:val="24"/>
        </w:rPr>
        <w:t>: Comparative study of Higuchi release kinetics of active glimepiride and five solid dispersion formulations</w:t>
      </w:r>
    </w:p>
    <w:tbl>
      <w:tblPr>
        <w:tblpPr w:leftFromText="180" w:rightFromText="180" w:vertAnchor="text" w:tblpY="1"/>
        <w:tblOverlap w:val="never"/>
        <w:tblW w:w="0" w:type="auto"/>
        <w:tblCellMar>
          <w:left w:w="10" w:type="dxa"/>
          <w:right w:w="10" w:type="dxa"/>
        </w:tblCellMar>
        <w:tblLook w:val="04A0"/>
      </w:tblPr>
      <w:tblGrid>
        <w:gridCol w:w="1241"/>
        <w:gridCol w:w="1241"/>
        <w:gridCol w:w="1241"/>
        <w:gridCol w:w="1367"/>
        <w:gridCol w:w="1337"/>
      </w:tblGrid>
      <w:tr w:rsidR="00D110CB" w:rsidRPr="00AD0E1F" w:rsidTr="00A25E0D">
        <w:trPr>
          <w:trHeight w:val="306"/>
        </w:trPr>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Square root of time (SQRT)</w:t>
            </w:r>
          </w:p>
        </w:tc>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%release of drug(G5)</w:t>
            </w:r>
          </w:p>
        </w:tc>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%release of drug(G8)</w:t>
            </w:r>
          </w:p>
        </w:tc>
        <w:tc>
          <w:tcPr>
            <w:tcW w:w="1367"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 release of drug(G13)</w:t>
            </w:r>
          </w:p>
        </w:tc>
        <w:tc>
          <w:tcPr>
            <w:tcW w:w="1337"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 release of drug(API)</w:t>
            </w:r>
          </w:p>
        </w:tc>
      </w:tr>
      <w:tr w:rsidR="00D110CB" w:rsidRPr="00AD0E1F" w:rsidTr="00A25E0D">
        <w:trPr>
          <w:trHeight w:val="306"/>
        </w:trPr>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w:t>
            </w:r>
          </w:p>
        </w:tc>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w:t>
            </w:r>
          </w:p>
        </w:tc>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w:t>
            </w:r>
          </w:p>
        </w:tc>
        <w:tc>
          <w:tcPr>
            <w:tcW w:w="1367"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w:t>
            </w:r>
          </w:p>
        </w:tc>
        <w:tc>
          <w:tcPr>
            <w:tcW w:w="1337"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w:t>
            </w:r>
          </w:p>
        </w:tc>
      </w:tr>
      <w:tr w:rsidR="00D110CB" w:rsidRPr="00AD0E1F" w:rsidTr="00A25E0D">
        <w:trPr>
          <w:trHeight w:val="306"/>
        </w:trPr>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2.236068</w:t>
            </w:r>
          </w:p>
        </w:tc>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76.84615</w:t>
            </w:r>
          </w:p>
        </w:tc>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25.84615</w:t>
            </w:r>
          </w:p>
        </w:tc>
        <w:tc>
          <w:tcPr>
            <w:tcW w:w="1367"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64.15385</w:t>
            </w:r>
          </w:p>
        </w:tc>
        <w:tc>
          <w:tcPr>
            <w:tcW w:w="1337"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0.461538</w:t>
            </w:r>
          </w:p>
        </w:tc>
      </w:tr>
      <w:tr w:rsidR="00D110CB" w:rsidRPr="00AD0E1F" w:rsidTr="00A25E0D">
        <w:trPr>
          <w:trHeight w:val="306"/>
        </w:trPr>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3.872983</w:t>
            </w:r>
          </w:p>
        </w:tc>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80.73462</w:t>
            </w:r>
          </w:p>
        </w:tc>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26.22051</w:t>
            </w:r>
          </w:p>
        </w:tc>
        <w:tc>
          <w:tcPr>
            <w:tcW w:w="1367"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61.04872</w:t>
            </w:r>
          </w:p>
        </w:tc>
        <w:tc>
          <w:tcPr>
            <w:tcW w:w="1337"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2.310256</w:t>
            </w:r>
          </w:p>
        </w:tc>
      </w:tr>
      <w:tr w:rsidR="00D110CB" w:rsidRPr="00AD0E1F" w:rsidTr="00A25E0D">
        <w:trPr>
          <w:trHeight w:val="306"/>
        </w:trPr>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5.477226</w:t>
            </w:r>
          </w:p>
        </w:tc>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89.02692</w:t>
            </w:r>
          </w:p>
        </w:tc>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50.36538</w:t>
            </w:r>
          </w:p>
        </w:tc>
        <w:tc>
          <w:tcPr>
            <w:tcW w:w="1367"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71.77051</w:t>
            </w:r>
          </w:p>
        </w:tc>
        <w:tc>
          <w:tcPr>
            <w:tcW w:w="1337"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8.092308</w:t>
            </w:r>
          </w:p>
        </w:tc>
      </w:tr>
      <w:tr w:rsidR="00D110CB" w:rsidRPr="00AD0E1F" w:rsidTr="00A25E0D">
        <w:trPr>
          <w:trHeight w:val="306"/>
        </w:trPr>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6.708204</w:t>
            </w:r>
          </w:p>
        </w:tc>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94.36282</w:t>
            </w:r>
          </w:p>
        </w:tc>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70.72051</w:t>
            </w:r>
          </w:p>
        </w:tc>
        <w:tc>
          <w:tcPr>
            <w:tcW w:w="1367"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65.47308</w:t>
            </w:r>
          </w:p>
        </w:tc>
        <w:tc>
          <w:tcPr>
            <w:tcW w:w="1337"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15.29103</w:t>
            </w:r>
          </w:p>
        </w:tc>
      </w:tr>
      <w:tr w:rsidR="00D110CB" w:rsidRPr="00AD0E1F" w:rsidTr="00A25E0D">
        <w:trPr>
          <w:trHeight w:val="306"/>
        </w:trPr>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7.745967</w:t>
            </w:r>
          </w:p>
        </w:tc>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99.2641</w:t>
            </w:r>
          </w:p>
        </w:tc>
        <w:tc>
          <w:tcPr>
            <w:tcW w:w="124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91.87949</w:t>
            </w:r>
          </w:p>
        </w:tc>
        <w:tc>
          <w:tcPr>
            <w:tcW w:w="1367"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75.75385</w:t>
            </w:r>
          </w:p>
        </w:tc>
        <w:tc>
          <w:tcPr>
            <w:tcW w:w="1337"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15.83718</w:t>
            </w:r>
          </w:p>
        </w:tc>
      </w:tr>
    </w:tbl>
    <w:p w:rsidR="00A25E0D" w:rsidRPr="00AD0E1F" w:rsidRDefault="00A25E0D" w:rsidP="00A25E0D">
      <w:pPr>
        <w:rPr>
          <w:rFonts w:ascii="Times New Roman" w:hAnsi="Times New Roman" w:cs="Times New Roman"/>
          <w:sz w:val="28"/>
        </w:rPr>
      </w:pPr>
    </w:p>
    <w:p w:rsidR="00D110CB" w:rsidRPr="00AD0E1F" w:rsidRDefault="00D110CB" w:rsidP="00A25E0D">
      <w:pPr>
        <w:rPr>
          <w:rFonts w:ascii="Times New Roman" w:hAnsi="Times New Roman" w:cs="Times New Roman"/>
          <w:sz w:val="28"/>
        </w:rPr>
      </w:pPr>
    </w:p>
    <w:p w:rsidR="00D110CB" w:rsidRPr="00AD0E1F" w:rsidRDefault="00D110CB" w:rsidP="00A25E0D">
      <w:pPr>
        <w:rPr>
          <w:rFonts w:ascii="Times New Roman" w:hAnsi="Times New Roman" w:cs="Times New Roman"/>
          <w:sz w:val="28"/>
        </w:rPr>
      </w:pPr>
    </w:p>
    <w:p w:rsidR="00A25E0D" w:rsidRPr="00AD0E1F" w:rsidRDefault="00A25E0D" w:rsidP="00A25E0D">
      <w:pPr>
        <w:rPr>
          <w:rFonts w:ascii="Times New Roman" w:hAnsi="Times New Roman" w:cs="Times New Roman"/>
          <w:b/>
          <w:sz w:val="24"/>
          <w:szCs w:val="24"/>
        </w:rPr>
      </w:pPr>
    </w:p>
    <w:p w:rsidR="00A25E0D" w:rsidRPr="00AD0E1F" w:rsidRDefault="00A25E0D" w:rsidP="00A25E0D">
      <w:pPr>
        <w:rPr>
          <w:rFonts w:ascii="Times New Roman" w:hAnsi="Times New Roman" w:cs="Times New Roman"/>
          <w:b/>
          <w:sz w:val="24"/>
          <w:szCs w:val="24"/>
        </w:rPr>
      </w:pPr>
    </w:p>
    <w:p w:rsidR="00A25E0D" w:rsidRPr="00AD0E1F" w:rsidRDefault="00A25E0D" w:rsidP="00A25E0D">
      <w:pPr>
        <w:jc w:val="both"/>
        <w:rPr>
          <w:rFonts w:ascii="Times New Roman" w:hAnsi="Times New Roman" w:cs="Times New Roman"/>
          <w:b/>
          <w:sz w:val="28"/>
        </w:rPr>
      </w:pPr>
    </w:p>
    <w:p w:rsidR="00A25E0D" w:rsidRPr="00AD0E1F" w:rsidRDefault="00A25E0D" w:rsidP="00A25E0D">
      <w:pPr>
        <w:jc w:val="both"/>
        <w:rPr>
          <w:rFonts w:ascii="Times New Roman" w:hAnsi="Times New Roman" w:cs="Times New Roman"/>
          <w:b/>
          <w:sz w:val="28"/>
        </w:rPr>
      </w:pPr>
      <w:r w:rsidRPr="00AD0E1F">
        <w:rPr>
          <w:rFonts w:ascii="Times New Roman" w:hAnsi="Times New Roman" w:cs="Times New Roman"/>
          <w:b/>
          <w:sz w:val="28"/>
        </w:rPr>
        <w:t xml:space="preserve"> Hixon crowell release kinetics</w:t>
      </w:r>
    </w:p>
    <w:p w:rsidR="00A25E0D" w:rsidRPr="00AD0E1F" w:rsidRDefault="00D110CB" w:rsidP="00A25E0D">
      <w:pPr>
        <w:jc w:val="both"/>
        <w:rPr>
          <w:rFonts w:ascii="Times New Roman" w:hAnsi="Times New Roman" w:cs="Times New Roman"/>
          <w:b/>
          <w:sz w:val="24"/>
          <w:szCs w:val="24"/>
        </w:rPr>
      </w:pPr>
      <w:r w:rsidRPr="00AD0E1F">
        <w:rPr>
          <w:rFonts w:ascii="Times New Roman" w:hAnsi="Times New Roman" w:cs="Times New Roman"/>
          <w:b/>
          <w:sz w:val="24"/>
          <w:szCs w:val="24"/>
        </w:rPr>
        <w:t>Table 6.</w:t>
      </w:r>
      <w:r w:rsidR="00A25E0D" w:rsidRPr="00AD0E1F">
        <w:rPr>
          <w:rFonts w:ascii="Times New Roman" w:hAnsi="Times New Roman" w:cs="Times New Roman"/>
          <w:b/>
          <w:sz w:val="24"/>
          <w:szCs w:val="24"/>
        </w:rPr>
        <w:t xml:space="preserve"> Comparative </w:t>
      </w:r>
      <w:r w:rsidR="00A25E0D" w:rsidRPr="00AD0E1F">
        <w:rPr>
          <w:rFonts w:ascii="Times New Roman" w:hAnsi="Times New Roman" w:cs="Times New Roman"/>
          <w:b/>
          <w:sz w:val="24"/>
          <w:szCs w:val="24"/>
        </w:rPr>
        <w:lastRenderedPageBreak/>
        <w:t>study of Hixon crowell release kinetics of active glimepiride and five solid dispersion formulations</w:t>
      </w:r>
    </w:p>
    <w:tbl>
      <w:tblPr>
        <w:tblW w:w="0" w:type="auto"/>
        <w:tblInd w:w="10" w:type="dxa"/>
        <w:tblCellMar>
          <w:left w:w="10" w:type="dxa"/>
          <w:right w:w="10" w:type="dxa"/>
        </w:tblCellMar>
        <w:tblLook w:val="04A0"/>
      </w:tblPr>
      <w:tblGrid>
        <w:gridCol w:w="1074"/>
        <w:gridCol w:w="1331"/>
        <w:gridCol w:w="1331"/>
        <w:gridCol w:w="1331"/>
        <w:gridCol w:w="1331"/>
      </w:tblGrid>
      <w:tr w:rsidR="00D110CB" w:rsidRPr="00AD0E1F" w:rsidTr="00A25E0D">
        <w:trPr>
          <w:trHeight w:val="305"/>
        </w:trPr>
        <w:tc>
          <w:tcPr>
            <w:tcW w:w="107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Time (min)</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Cubic root of % remaining drug (G5)</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Cubic root of % remaining drug(G8)</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Cubic root of % remaining drug (G13)</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Cubic root of % remaining drug (API)</w:t>
            </w:r>
          </w:p>
        </w:tc>
      </w:tr>
      <w:tr w:rsidR="00D110CB" w:rsidRPr="00AD0E1F" w:rsidTr="00A25E0D">
        <w:trPr>
          <w:trHeight w:val="305"/>
        </w:trPr>
        <w:tc>
          <w:tcPr>
            <w:tcW w:w="1074" w:type="dxa"/>
            <w:noWrap/>
            <w:hideMark/>
          </w:tcPr>
          <w:p w:rsidR="00D110CB" w:rsidRPr="00AD0E1F" w:rsidRDefault="00D110CB" w:rsidP="00A25E0D">
            <w:pPr>
              <w:rPr>
                <w:rFonts w:ascii="Times New Roman" w:hAnsi="Times New Roman" w:cs="Times New Roman"/>
                <w:sz w:val="24"/>
                <w:szCs w:val="24"/>
              </w:rPr>
            </w:pPr>
          </w:p>
        </w:tc>
        <w:tc>
          <w:tcPr>
            <w:tcW w:w="1331" w:type="dxa"/>
            <w:noWrap/>
            <w:hideMark/>
          </w:tcPr>
          <w:p w:rsidR="00D110CB" w:rsidRPr="00AD0E1F" w:rsidRDefault="00D110CB" w:rsidP="00A25E0D">
            <w:pPr>
              <w:rPr>
                <w:rFonts w:ascii="Times New Roman" w:hAnsi="Times New Roman" w:cs="Times New Roman"/>
                <w:sz w:val="24"/>
                <w:szCs w:val="24"/>
              </w:rPr>
            </w:pPr>
          </w:p>
        </w:tc>
        <w:tc>
          <w:tcPr>
            <w:tcW w:w="1331" w:type="dxa"/>
            <w:noWrap/>
            <w:hideMark/>
          </w:tcPr>
          <w:p w:rsidR="00D110CB" w:rsidRPr="00AD0E1F" w:rsidRDefault="00D110CB" w:rsidP="00A25E0D">
            <w:pPr>
              <w:rPr>
                <w:rFonts w:ascii="Times New Roman" w:hAnsi="Times New Roman" w:cs="Times New Roman"/>
                <w:sz w:val="24"/>
                <w:szCs w:val="24"/>
              </w:rPr>
            </w:pPr>
          </w:p>
        </w:tc>
        <w:tc>
          <w:tcPr>
            <w:tcW w:w="1331" w:type="dxa"/>
            <w:noWrap/>
            <w:hideMark/>
          </w:tcPr>
          <w:p w:rsidR="00D110CB" w:rsidRPr="00AD0E1F" w:rsidRDefault="00D110CB" w:rsidP="00A25E0D">
            <w:pPr>
              <w:rPr>
                <w:rFonts w:ascii="Times New Roman" w:hAnsi="Times New Roman" w:cs="Times New Roman"/>
                <w:sz w:val="24"/>
                <w:szCs w:val="24"/>
              </w:rPr>
            </w:pPr>
          </w:p>
        </w:tc>
        <w:tc>
          <w:tcPr>
            <w:tcW w:w="1331" w:type="dxa"/>
            <w:noWrap/>
            <w:hideMark/>
          </w:tcPr>
          <w:p w:rsidR="00D110CB" w:rsidRPr="00AD0E1F" w:rsidRDefault="00D110CB" w:rsidP="00A25E0D">
            <w:pPr>
              <w:rPr>
                <w:rFonts w:ascii="Times New Roman" w:hAnsi="Times New Roman" w:cs="Times New Roman"/>
                <w:sz w:val="24"/>
                <w:szCs w:val="24"/>
              </w:rPr>
            </w:pPr>
          </w:p>
        </w:tc>
      </w:tr>
      <w:tr w:rsidR="00D110CB" w:rsidRPr="00AD0E1F" w:rsidTr="00A25E0D">
        <w:trPr>
          <w:trHeight w:val="305"/>
        </w:trPr>
        <w:tc>
          <w:tcPr>
            <w:tcW w:w="107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4.641589</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4.641589</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4.641589</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4.641589</w:t>
            </w:r>
          </w:p>
        </w:tc>
      </w:tr>
      <w:tr w:rsidR="00D110CB" w:rsidRPr="00AD0E1F" w:rsidTr="00A25E0D">
        <w:trPr>
          <w:trHeight w:val="305"/>
        </w:trPr>
        <w:tc>
          <w:tcPr>
            <w:tcW w:w="107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5</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2.850194</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4.201244</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3.297217</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4.634437</w:t>
            </w:r>
          </w:p>
        </w:tc>
      </w:tr>
      <w:tr w:rsidR="00D110CB" w:rsidRPr="00AD0E1F" w:rsidTr="00A25E0D">
        <w:trPr>
          <w:trHeight w:val="305"/>
        </w:trPr>
        <w:tc>
          <w:tcPr>
            <w:tcW w:w="107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15</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2.680768</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4.194162</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3.389799</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4.605566</w:t>
            </w:r>
          </w:p>
        </w:tc>
      </w:tr>
      <w:tr w:rsidR="00D110CB" w:rsidRPr="00AD0E1F" w:rsidTr="00A25E0D">
        <w:trPr>
          <w:trHeight w:val="305"/>
        </w:trPr>
        <w:tc>
          <w:tcPr>
            <w:tcW w:w="107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30</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2.222164</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3.675036</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3.044862</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4.512847</w:t>
            </w:r>
          </w:p>
        </w:tc>
      </w:tr>
      <w:tr w:rsidR="00D110CB" w:rsidRPr="00AD0E1F" w:rsidTr="00A25E0D">
        <w:trPr>
          <w:trHeight w:val="305"/>
        </w:trPr>
        <w:tc>
          <w:tcPr>
            <w:tcW w:w="107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45</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1.779729</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3.082155</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3.256262</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4.391806</w:t>
            </w:r>
          </w:p>
        </w:tc>
      </w:tr>
      <w:tr w:rsidR="00D110CB" w:rsidRPr="00AD0E1F" w:rsidTr="00A25E0D">
        <w:trPr>
          <w:trHeight w:val="305"/>
        </w:trPr>
        <w:tc>
          <w:tcPr>
            <w:tcW w:w="1074"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60</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0.90283</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2.009992</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2.894327</w:t>
            </w:r>
          </w:p>
        </w:tc>
        <w:tc>
          <w:tcPr>
            <w:tcW w:w="1331"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4.382347</w:t>
            </w:r>
          </w:p>
        </w:tc>
      </w:tr>
    </w:tbl>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r w:rsidRPr="00AD0E1F">
        <w:rPr>
          <w:rFonts w:ascii="Times New Roman" w:hAnsi="Times New Roman" w:cs="Times New Roman"/>
          <w:b/>
          <w:sz w:val="28"/>
        </w:rPr>
        <w:t xml:space="preserve"> Krosmeyer release kinetics</w:t>
      </w:r>
    </w:p>
    <w:p w:rsidR="00A25E0D" w:rsidRPr="00AD0E1F" w:rsidRDefault="00D110CB" w:rsidP="00A25E0D">
      <w:pPr>
        <w:jc w:val="both"/>
        <w:rPr>
          <w:rFonts w:ascii="Times New Roman" w:hAnsi="Times New Roman" w:cs="Times New Roman"/>
          <w:b/>
          <w:sz w:val="24"/>
          <w:szCs w:val="24"/>
        </w:rPr>
      </w:pPr>
      <w:r w:rsidRPr="00AD0E1F">
        <w:rPr>
          <w:rFonts w:ascii="Times New Roman" w:hAnsi="Times New Roman" w:cs="Times New Roman"/>
          <w:b/>
          <w:sz w:val="24"/>
          <w:szCs w:val="24"/>
        </w:rPr>
        <w:t>Table 7</w:t>
      </w:r>
      <w:r w:rsidR="00A25E0D" w:rsidRPr="00AD0E1F">
        <w:rPr>
          <w:rFonts w:ascii="Times New Roman" w:hAnsi="Times New Roman" w:cs="Times New Roman"/>
          <w:b/>
          <w:sz w:val="24"/>
          <w:szCs w:val="24"/>
        </w:rPr>
        <w:t>: Comparative study of korsmeyer release kinetics of active glimepiride and five solid dispersion formulations</w:t>
      </w:r>
    </w:p>
    <w:p w:rsidR="00A25E0D" w:rsidRPr="00AD0E1F" w:rsidRDefault="00A25E0D" w:rsidP="00A25E0D">
      <w:pPr>
        <w:jc w:val="both"/>
        <w:rPr>
          <w:rFonts w:ascii="Times New Roman" w:hAnsi="Times New Roman" w:cs="Times New Roman"/>
          <w:b/>
          <w:sz w:val="24"/>
          <w:szCs w:val="24"/>
        </w:rPr>
      </w:pPr>
    </w:p>
    <w:tbl>
      <w:tblPr>
        <w:tblW w:w="0" w:type="auto"/>
        <w:tblInd w:w="10" w:type="dxa"/>
        <w:tblCellMar>
          <w:left w:w="10" w:type="dxa"/>
          <w:right w:w="10" w:type="dxa"/>
        </w:tblCellMar>
        <w:tblLook w:val="04A0"/>
      </w:tblPr>
      <w:tblGrid>
        <w:gridCol w:w="969"/>
        <w:gridCol w:w="1487"/>
        <w:gridCol w:w="1487"/>
        <w:gridCol w:w="1607"/>
        <w:gridCol w:w="1580"/>
      </w:tblGrid>
      <w:tr w:rsidR="00D110CB" w:rsidRPr="00AD0E1F" w:rsidTr="00D110CB">
        <w:trPr>
          <w:trHeight w:val="226"/>
        </w:trPr>
        <w:tc>
          <w:tcPr>
            <w:tcW w:w="87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Log time=Log T</w:t>
            </w:r>
          </w:p>
        </w:tc>
        <w:tc>
          <w:tcPr>
            <w:tcW w:w="134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Log fraction of drug release=log( % release/100)G5</w:t>
            </w:r>
          </w:p>
        </w:tc>
        <w:tc>
          <w:tcPr>
            <w:tcW w:w="134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Log fraction of drug release=log( % release/100)G8</w:t>
            </w:r>
          </w:p>
        </w:tc>
        <w:tc>
          <w:tcPr>
            <w:tcW w:w="1456"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Log fraction of drug release=log( % release/100)G13</w:t>
            </w:r>
          </w:p>
        </w:tc>
        <w:tc>
          <w:tcPr>
            <w:tcW w:w="1432"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Log fraction of drug release=log( % release/100)API</w:t>
            </w:r>
          </w:p>
        </w:tc>
      </w:tr>
      <w:tr w:rsidR="00D110CB" w:rsidRPr="00AD0E1F" w:rsidTr="00D110CB">
        <w:trPr>
          <w:trHeight w:val="226"/>
        </w:trPr>
        <w:tc>
          <w:tcPr>
            <w:tcW w:w="87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0.69897</w:t>
            </w:r>
          </w:p>
        </w:tc>
        <w:tc>
          <w:tcPr>
            <w:tcW w:w="134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-0.11438</w:t>
            </w:r>
          </w:p>
        </w:tc>
        <w:tc>
          <w:tcPr>
            <w:tcW w:w="134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-0.5876</w:t>
            </w:r>
          </w:p>
        </w:tc>
        <w:tc>
          <w:tcPr>
            <w:tcW w:w="1456"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-0.19278</w:t>
            </w:r>
          </w:p>
        </w:tc>
        <w:tc>
          <w:tcPr>
            <w:tcW w:w="1432"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-2.33579</w:t>
            </w:r>
          </w:p>
        </w:tc>
      </w:tr>
      <w:tr w:rsidR="00D110CB" w:rsidRPr="00AD0E1F" w:rsidTr="00D110CB">
        <w:trPr>
          <w:trHeight w:val="226"/>
        </w:trPr>
        <w:tc>
          <w:tcPr>
            <w:tcW w:w="87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1.176091</w:t>
            </w:r>
          </w:p>
        </w:tc>
        <w:tc>
          <w:tcPr>
            <w:tcW w:w="134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-0.09294</w:t>
            </w:r>
          </w:p>
        </w:tc>
        <w:tc>
          <w:tcPr>
            <w:tcW w:w="134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-0.58136</w:t>
            </w:r>
          </w:p>
        </w:tc>
        <w:tc>
          <w:tcPr>
            <w:tcW w:w="1456"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-0.21432</w:t>
            </w:r>
          </w:p>
        </w:tc>
        <w:tc>
          <w:tcPr>
            <w:tcW w:w="1432"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-1.63634</w:t>
            </w:r>
          </w:p>
        </w:tc>
      </w:tr>
      <w:tr w:rsidR="00D110CB" w:rsidRPr="00AD0E1F" w:rsidTr="00D110CB">
        <w:trPr>
          <w:trHeight w:val="226"/>
        </w:trPr>
        <w:tc>
          <w:tcPr>
            <w:tcW w:w="87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1.477121</w:t>
            </w:r>
          </w:p>
        </w:tc>
        <w:tc>
          <w:tcPr>
            <w:tcW w:w="134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-0.05048</w:t>
            </w:r>
          </w:p>
        </w:tc>
        <w:tc>
          <w:tcPr>
            <w:tcW w:w="134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-0.29787</w:t>
            </w:r>
          </w:p>
        </w:tc>
        <w:tc>
          <w:tcPr>
            <w:tcW w:w="1456"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-0.14405</w:t>
            </w:r>
          </w:p>
        </w:tc>
        <w:tc>
          <w:tcPr>
            <w:tcW w:w="1432"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-1.09193</w:t>
            </w:r>
          </w:p>
        </w:tc>
      </w:tr>
      <w:tr w:rsidR="00D110CB" w:rsidRPr="00AD0E1F" w:rsidTr="00D110CB">
        <w:trPr>
          <w:trHeight w:val="226"/>
        </w:trPr>
        <w:tc>
          <w:tcPr>
            <w:tcW w:w="878" w:type="dxa"/>
            <w:noWrap/>
          </w:tcPr>
          <w:p w:rsidR="00D110CB" w:rsidRPr="00AD0E1F" w:rsidRDefault="00D110CB" w:rsidP="00A25E0D">
            <w:pPr>
              <w:rPr>
                <w:rFonts w:ascii="Times New Roman" w:hAnsi="Times New Roman" w:cs="Times New Roman"/>
                <w:sz w:val="24"/>
                <w:szCs w:val="24"/>
              </w:rPr>
            </w:pPr>
          </w:p>
        </w:tc>
        <w:tc>
          <w:tcPr>
            <w:tcW w:w="1348" w:type="dxa"/>
            <w:noWrap/>
          </w:tcPr>
          <w:p w:rsidR="00D110CB" w:rsidRPr="00AD0E1F" w:rsidRDefault="00D110CB" w:rsidP="00A25E0D">
            <w:pPr>
              <w:rPr>
                <w:rFonts w:ascii="Times New Roman" w:hAnsi="Times New Roman" w:cs="Times New Roman"/>
                <w:sz w:val="24"/>
                <w:szCs w:val="24"/>
              </w:rPr>
            </w:pPr>
          </w:p>
        </w:tc>
        <w:tc>
          <w:tcPr>
            <w:tcW w:w="1348" w:type="dxa"/>
            <w:noWrap/>
          </w:tcPr>
          <w:p w:rsidR="00D110CB" w:rsidRPr="00AD0E1F" w:rsidRDefault="00D110CB" w:rsidP="00A25E0D">
            <w:pPr>
              <w:rPr>
                <w:rFonts w:ascii="Times New Roman" w:hAnsi="Times New Roman" w:cs="Times New Roman"/>
                <w:sz w:val="24"/>
                <w:szCs w:val="24"/>
              </w:rPr>
            </w:pPr>
          </w:p>
        </w:tc>
        <w:tc>
          <w:tcPr>
            <w:tcW w:w="1456" w:type="dxa"/>
            <w:noWrap/>
          </w:tcPr>
          <w:p w:rsidR="00D110CB" w:rsidRPr="00AD0E1F" w:rsidRDefault="00D110CB" w:rsidP="00A25E0D">
            <w:pPr>
              <w:rPr>
                <w:rFonts w:ascii="Times New Roman" w:hAnsi="Times New Roman" w:cs="Times New Roman"/>
                <w:sz w:val="24"/>
                <w:szCs w:val="24"/>
              </w:rPr>
            </w:pPr>
          </w:p>
        </w:tc>
        <w:tc>
          <w:tcPr>
            <w:tcW w:w="1432" w:type="dxa"/>
            <w:noWrap/>
          </w:tcPr>
          <w:p w:rsidR="00D110CB" w:rsidRPr="00AD0E1F" w:rsidRDefault="00D110CB" w:rsidP="00A25E0D">
            <w:pPr>
              <w:rPr>
                <w:rFonts w:ascii="Times New Roman" w:hAnsi="Times New Roman" w:cs="Times New Roman"/>
                <w:sz w:val="24"/>
                <w:szCs w:val="24"/>
              </w:rPr>
            </w:pPr>
          </w:p>
        </w:tc>
      </w:tr>
      <w:tr w:rsidR="00D110CB" w:rsidRPr="00AD0E1F" w:rsidTr="00D110CB">
        <w:trPr>
          <w:trHeight w:val="226"/>
        </w:trPr>
        <w:tc>
          <w:tcPr>
            <w:tcW w:w="87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1.653213</w:t>
            </w:r>
          </w:p>
        </w:tc>
        <w:tc>
          <w:tcPr>
            <w:tcW w:w="134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-0.0252</w:t>
            </w:r>
          </w:p>
        </w:tc>
        <w:tc>
          <w:tcPr>
            <w:tcW w:w="134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-0.15045</w:t>
            </w:r>
          </w:p>
        </w:tc>
        <w:tc>
          <w:tcPr>
            <w:tcW w:w="1456"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-0.18394</w:t>
            </w:r>
          </w:p>
        </w:tc>
        <w:tc>
          <w:tcPr>
            <w:tcW w:w="1432"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-0.81556</w:t>
            </w:r>
          </w:p>
        </w:tc>
      </w:tr>
      <w:tr w:rsidR="00D110CB" w:rsidRPr="00AD0E1F" w:rsidTr="00D110CB">
        <w:trPr>
          <w:trHeight w:val="51"/>
        </w:trPr>
        <w:tc>
          <w:tcPr>
            <w:tcW w:w="87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1.778151</w:t>
            </w:r>
          </w:p>
        </w:tc>
        <w:tc>
          <w:tcPr>
            <w:tcW w:w="134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-0.00321</w:t>
            </w:r>
          </w:p>
        </w:tc>
        <w:tc>
          <w:tcPr>
            <w:tcW w:w="1348"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-0.03678</w:t>
            </w:r>
          </w:p>
        </w:tc>
        <w:tc>
          <w:tcPr>
            <w:tcW w:w="1456"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-0.1206</w:t>
            </w:r>
          </w:p>
        </w:tc>
        <w:tc>
          <w:tcPr>
            <w:tcW w:w="1432" w:type="dxa"/>
            <w:noWrap/>
            <w:hideMark/>
          </w:tcPr>
          <w:p w:rsidR="00D110CB" w:rsidRPr="00AD0E1F" w:rsidRDefault="00D110CB" w:rsidP="00A25E0D">
            <w:pPr>
              <w:rPr>
                <w:rFonts w:ascii="Times New Roman" w:hAnsi="Times New Roman" w:cs="Times New Roman"/>
                <w:sz w:val="24"/>
                <w:szCs w:val="24"/>
              </w:rPr>
            </w:pPr>
            <w:r w:rsidRPr="00AD0E1F">
              <w:rPr>
                <w:rFonts w:ascii="Times New Roman" w:hAnsi="Times New Roman" w:cs="Times New Roman"/>
                <w:sz w:val="24"/>
                <w:szCs w:val="24"/>
              </w:rPr>
              <w:t>-0.80032</w:t>
            </w:r>
          </w:p>
        </w:tc>
      </w:tr>
    </w:tbl>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jc w:val="both"/>
        <w:rPr>
          <w:rFonts w:ascii="Times New Roman" w:hAnsi="Times New Roman" w:cs="Times New Roman"/>
          <w:b/>
          <w:sz w:val="24"/>
          <w:szCs w:val="24"/>
        </w:rPr>
      </w:pPr>
    </w:p>
    <w:p w:rsidR="00A25E0D" w:rsidRPr="00AD0E1F" w:rsidRDefault="00A25E0D" w:rsidP="00A25E0D">
      <w:pPr>
        <w:rPr>
          <w:rFonts w:ascii="Times New Roman" w:hAnsi="Times New Roman" w:cs="Times New Roman"/>
          <w:b/>
          <w:sz w:val="24"/>
          <w:szCs w:val="24"/>
        </w:rPr>
      </w:pPr>
    </w:p>
    <w:p w:rsidR="00A25E0D" w:rsidRPr="00AD0E1F" w:rsidRDefault="00A25E0D" w:rsidP="00A25E0D">
      <w:pPr>
        <w:jc w:val="both"/>
        <w:rPr>
          <w:rFonts w:ascii="Times New Roman" w:hAnsi="Times New Roman" w:cs="Times New Roman"/>
          <w:b/>
          <w:sz w:val="28"/>
        </w:rPr>
      </w:pPr>
      <w:r w:rsidRPr="00AD0E1F">
        <w:rPr>
          <w:rFonts w:ascii="Times New Roman" w:hAnsi="Times New Roman" w:cs="Times New Roman"/>
          <w:b/>
          <w:sz w:val="28"/>
        </w:rPr>
        <w:t xml:space="preserve"> Successive fractional dissolution time </w:t>
      </w:r>
    </w:p>
    <w:p w:rsidR="00A25E0D" w:rsidRPr="00AD0E1F" w:rsidRDefault="00D110CB" w:rsidP="00A25E0D">
      <w:pPr>
        <w:jc w:val="both"/>
        <w:rPr>
          <w:rFonts w:ascii="Times New Roman" w:hAnsi="Times New Roman" w:cs="Times New Roman"/>
          <w:b/>
          <w:sz w:val="24"/>
          <w:szCs w:val="24"/>
        </w:rPr>
      </w:pPr>
      <w:r w:rsidRPr="00AD0E1F">
        <w:rPr>
          <w:rFonts w:ascii="Times New Roman" w:hAnsi="Times New Roman" w:cs="Times New Roman"/>
          <w:b/>
          <w:sz w:val="24"/>
          <w:szCs w:val="24"/>
        </w:rPr>
        <w:lastRenderedPageBreak/>
        <w:t>Table 8</w:t>
      </w:r>
      <w:r w:rsidR="00A25E0D" w:rsidRPr="00AD0E1F">
        <w:rPr>
          <w:rFonts w:ascii="Times New Roman" w:hAnsi="Times New Roman" w:cs="Times New Roman"/>
          <w:b/>
          <w:sz w:val="24"/>
          <w:szCs w:val="24"/>
        </w:rPr>
        <w:t xml:space="preserve">: Table for Mean Dissolution Time (MDT) calculation </w:t>
      </w:r>
    </w:p>
    <w:tbl>
      <w:tblPr>
        <w:tblW w:w="0" w:type="auto"/>
        <w:tblInd w:w="10" w:type="dxa"/>
        <w:tblCellMar>
          <w:left w:w="10" w:type="dxa"/>
          <w:right w:w="10" w:type="dxa"/>
        </w:tblCellMar>
        <w:tblLook w:val="04A0"/>
      </w:tblPr>
      <w:tblGrid>
        <w:gridCol w:w="2169"/>
        <w:gridCol w:w="1725"/>
        <w:gridCol w:w="1725"/>
        <w:gridCol w:w="1725"/>
        <w:gridCol w:w="1725"/>
      </w:tblGrid>
      <w:tr w:rsidR="00A25E0D" w:rsidRPr="00AD0E1F" w:rsidTr="00A25E0D">
        <w:trPr>
          <w:trHeight w:val="317"/>
        </w:trPr>
        <w:tc>
          <w:tcPr>
            <w:tcW w:w="2169"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Formulation Code</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T25%</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T50%</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T80%</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MDT</w:t>
            </w:r>
          </w:p>
        </w:tc>
      </w:tr>
      <w:tr w:rsidR="00A25E0D" w:rsidRPr="00AD0E1F" w:rsidTr="00A25E0D">
        <w:trPr>
          <w:trHeight w:val="317"/>
        </w:trPr>
        <w:tc>
          <w:tcPr>
            <w:tcW w:w="2169"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Pure Drug</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69.89354</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110.7925</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151.4168</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105.5033</w:t>
            </w:r>
          </w:p>
        </w:tc>
      </w:tr>
      <w:tr w:rsidR="00A25E0D" w:rsidRPr="00AD0E1F" w:rsidTr="00A25E0D">
        <w:trPr>
          <w:trHeight w:val="317"/>
        </w:trPr>
        <w:tc>
          <w:tcPr>
            <w:tcW w:w="2169"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G5</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0.000124</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0.100156</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9.39399</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7.609336</w:t>
            </w:r>
          </w:p>
        </w:tc>
      </w:tr>
      <w:tr w:rsidR="00A25E0D" w:rsidRPr="00AD0E1F" w:rsidTr="00A25E0D">
        <w:trPr>
          <w:trHeight w:val="317"/>
        </w:trPr>
        <w:tc>
          <w:tcPr>
            <w:tcW w:w="2169"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G8</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0.115755</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0.427337</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1.036083</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0.546968</w:t>
            </w:r>
          </w:p>
        </w:tc>
      </w:tr>
      <w:tr w:rsidR="00A25E0D" w:rsidRPr="00AD0E1F" w:rsidTr="00A25E0D">
        <w:trPr>
          <w:trHeight w:val="317"/>
        </w:trPr>
        <w:tc>
          <w:tcPr>
            <w:tcW w:w="2169"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G13</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7.09E-07</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0.124536</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448.1191</w:t>
            </w:r>
          </w:p>
        </w:tc>
        <w:tc>
          <w:tcPr>
            <w:tcW w:w="1725" w:type="dxa"/>
            <w:noWrap/>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1186.845</w:t>
            </w:r>
          </w:p>
        </w:tc>
      </w:tr>
    </w:tbl>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jc w:val="both"/>
        <w:rPr>
          <w:rFonts w:ascii="Times New Roman" w:hAnsi="Times New Roman" w:cs="Times New Roman"/>
          <w:sz w:val="24"/>
          <w:szCs w:val="24"/>
        </w:rPr>
      </w:pPr>
      <w:commentRangeStart w:id="49"/>
      <w:r w:rsidRPr="00AD0E1F">
        <w:rPr>
          <w:rFonts w:ascii="Times New Roman" w:hAnsi="Times New Roman" w:cs="Times New Roman"/>
          <w:sz w:val="24"/>
          <w:szCs w:val="24"/>
        </w:rPr>
        <w:t>Mean dissolution time (MDT) value was used to characterized the drug release rate form the dosage forms and the retarding efficiency of the pol</w:t>
      </w:r>
      <w:r w:rsidR="00D110CB" w:rsidRPr="00AD0E1F">
        <w:rPr>
          <w:rFonts w:ascii="Times New Roman" w:hAnsi="Times New Roman" w:cs="Times New Roman"/>
          <w:sz w:val="24"/>
          <w:szCs w:val="24"/>
        </w:rPr>
        <w:t>ymer. Form the above Table 8</w:t>
      </w:r>
      <w:r w:rsidRPr="00AD0E1F">
        <w:rPr>
          <w:rFonts w:ascii="Times New Roman" w:hAnsi="Times New Roman" w:cs="Times New Roman"/>
          <w:sz w:val="24"/>
          <w:szCs w:val="24"/>
        </w:rPr>
        <w:t xml:space="preserve">, it was found that, a higher MDT value for the SD formulation G13 ( glimepiride + PEG 4000 + Povidone) which was indicated that higher drug </w:t>
      </w:r>
      <w:commentRangeStart w:id="50"/>
      <w:r w:rsidRPr="00AD0E1F">
        <w:rPr>
          <w:rFonts w:ascii="Times New Roman" w:hAnsi="Times New Roman" w:cs="Times New Roman"/>
          <w:sz w:val="24"/>
          <w:szCs w:val="24"/>
        </w:rPr>
        <w:t>retarting</w:t>
      </w:r>
      <w:commentRangeEnd w:id="50"/>
      <w:r w:rsidR="009B53CE">
        <w:rPr>
          <w:rStyle w:val="CommentReference"/>
        </w:rPr>
        <w:commentReference w:id="50"/>
      </w:r>
      <w:r w:rsidRPr="00AD0E1F">
        <w:rPr>
          <w:rFonts w:ascii="Times New Roman" w:hAnsi="Times New Roman" w:cs="Times New Roman"/>
          <w:sz w:val="24"/>
          <w:szCs w:val="24"/>
        </w:rPr>
        <w:t xml:space="preserve"> ability of the </w:t>
      </w:r>
      <w:commentRangeEnd w:id="49"/>
      <w:r w:rsidR="009B53CE">
        <w:rPr>
          <w:rStyle w:val="CommentReference"/>
        </w:rPr>
        <w:commentReference w:id="49"/>
      </w:r>
      <w:r w:rsidRPr="00AD0E1F">
        <w:rPr>
          <w:rFonts w:ascii="Times New Roman" w:hAnsi="Times New Roman" w:cs="Times New Roman"/>
          <w:sz w:val="24"/>
          <w:szCs w:val="24"/>
        </w:rPr>
        <w:t>polymer in the formulation.</w:t>
      </w:r>
    </w:p>
    <w:p w:rsidR="00A25E0D" w:rsidRPr="00AD0E1F" w:rsidRDefault="00A25E0D" w:rsidP="00A25E0D">
      <w:pPr>
        <w:jc w:val="both"/>
        <w:rPr>
          <w:rFonts w:ascii="Times New Roman" w:hAnsi="Times New Roman" w:cs="Times New Roman"/>
          <w:b/>
          <w:sz w:val="28"/>
        </w:rPr>
      </w:pPr>
    </w:p>
    <w:p w:rsidR="00A25E0D" w:rsidRPr="00AD0E1F" w:rsidRDefault="00A25E0D" w:rsidP="00A25E0D">
      <w:pPr>
        <w:jc w:val="both"/>
        <w:rPr>
          <w:rFonts w:ascii="Times New Roman" w:hAnsi="Times New Roman" w:cs="Times New Roman"/>
          <w:b/>
          <w:sz w:val="28"/>
        </w:rPr>
      </w:pPr>
    </w:p>
    <w:p w:rsidR="00A25E0D" w:rsidRPr="00AD0E1F" w:rsidRDefault="00A25E0D" w:rsidP="00A25E0D">
      <w:pPr>
        <w:jc w:val="both"/>
        <w:rPr>
          <w:rFonts w:ascii="Times New Roman" w:hAnsi="Times New Roman" w:cs="Times New Roman"/>
          <w:b/>
          <w:sz w:val="28"/>
        </w:rPr>
      </w:pPr>
    </w:p>
    <w:p w:rsidR="00A25E0D" w:rsidRPr="00AD0E1F" w:rsidRDefault="00A25E0D" w:rsidP="00A25E0D">
      <w:pPr>
        <w:jc w:val="both"/>
        <w:rPr>
          <w:rFonts w:ascii="Times New Roman" w:hAnsi="Times New Roman" w:cs="Times New Roman"/>
          <w:b/>
          <w:sz w:val="28"/>
        </w:rPr>
      </w:pPr>
    </w:p>
    <w:p w:rsidR="00A25E0D" w:rsidRPr="00AD0E1F" w:rsidRDefault="00A25E0D" w:rsidP="00A25E0D">
      <w:pPr>
        <w:jc w:val="both"/>
        <w:rPr>
          <w:rFonts w:ascii="Times New Roman" w:hAnsi="Times New Roman" w:cs="Times New Roman"/>
          <w:b/>
          <w:sz w:val="28"/>
        </w:rPr>
      </w:pPr>
    </w:p>
    <w:p w:rsidR="00A25E0D" w:rsidRPr="00AD0E1F" w:rsidRDefault="00A25E0D" w:rsidP="00A25E0D">
      <w:pPr>
        <w:jc w:val="both"/>
        <w:rPr>
          <w:rFonts w:ascii="Times New Roman" w:hAnsi="Times New Roman" w:cs="Times New Roman"/>
          <w:b/>
          <w:sz w:val="28"/>
        </w:rPr>
      </w:pPr>
    </w:p>
    <w:p w:rsidR="00A25E0D" w:rsidRPr="00AD0E1F" w:rsidRDefault="00A25E0D" w:rsidP="00A25E0D">
      <w:pPr>
        <w:jc w:val="both"/>
        <w:rPr>
          <w:rFonts w:ascii="Times New Roman" w:hAnsi="Times New Roman" w:cs="Times New Roman"/>
          <w:b/>
          <w:sz w:val="28"/>
        </w:rPr>
      </w:pPr>
    </w:p>
    <w:p w:rsidR="00A25E0D" w:rsidRPr="00AD0E1F" w:rsidRDefault="00A25E0D" w:rsidP="00A25E0D">
      <w:pPr>
        <w:jc w:val="both"/>
        <w:rPr>
          <w:rFonts w:ascii="Times New Roman" w:hAnsi="Times New Roman" w:cs="Times New Roman"/>
          <w:b/>
          <w:sz w:val="28"/>
        </w:rPr>
      </w:pPr>
    </w:p>
    <w:p w:rsidR="00A25E0D" w:rsidRPr="00AD0E1F" w:rsidRDefault="00A25E0D" w:rsidP="00A25E0D">
      <w:pPr>
        <w:jc w:val="both"/>
        <w:rPr>
          <w:rFonts w:ascii="Times New Roman" w:hAnsi="Times New Roman" w:cs="Times New Roman"/>
          <w:b/>
          <w:sz w:val="28"/>
        </w:rPr>
      </w:pPr>
      <w:r w:rsidRPr="00AD0E1F">
        <w:rPr>
          <w:rFonts w:ascii="Times New Roman" w:hAnsi="Times New Roman" w:cs="Times New Roman"/>
          <w:b/>
          <w:sz w:val="28"/>
        </w:rPr>
        <w:t>Interpretation of Y equation  ( Y= ax + b) and correlation co efficient ( R</w:t>
      </w:r>
      <w:r w:rsidRPr="00AD0E1F">
        <w:rPr>
          <w:rFonts w:ascii="Times New Roman" w:hAnsi="Times New Roman" w:cs="Times New Roman"/>
          <w:b/>
          <w:sz w:val="28"/>
          <w:vertAlign w:val="superscript"/>
        </w:rPr>
        <w:t>2</w:t>
      </w:r>
      <w:r w:rsidRPr="00AD0E1F">
        <w:rPr>
          <w:rFonts w:ascii="Times New Roman" w:hAnsi="Times New Roman" w:cs="Times New Roman"/>
          <w:b/>
          <w:sz w:val="28"/>
        </w:rPr>
        <w:t>) value for different release kinetics of active glimepiride and SD formulation</w:t>
      </w:r>
    </w:p>
    <w:p w:rsidR="00A25E0D" w:rsidRPr="00AD0E1F" w:rsidRDefault="003100F1" w:rsidP="00A25E0D">
      <w:pPr>
        <w:jc w:val="both"/>
        <w:rPr>
          <w:rFonts w:ascii="Times New Roman" w:hAnsi="Times New Roman" w:cs="Times New Roman"/>
          <w:b/>
          <w:sz w:val="24"/>
          <w:szCs w:val="24"/>
        </w:rPr>
      </w:pPr>
      <w:r w:rsidRPr="00AD0E1F">
        <w:rPr>
          <w:rFonts w:ascii="Times New Roman" w:hAnsi="Times New Roman" w:cs="Times New Roman"/>
          <w:b/>
          <w:sz w:val="24"/>
          <w:szCs w:val="24"/>
        </w:rPr>
        <w:t>Table: 9</w:t>
      </w:r>
      <w:r w:rsidR="00A25E0D" w:rsidRPr="00AD0E1F">
        <w:rPr>
          <w:rFonts w:ascii="Times New Roman" w:hAnsi="Times New Roman" w:cs="Times New Roman"/>
          <w:b/>
          <w:sz w:val="24"/>
          <w:szCs w:val="24"/>
        </w:rPr>
        <w:t xml:space="preserve"> Y equation and R</w:t>
      </w:r>
      <w:r w:rsidR="00A25E0D" w:rsidRPr="00AD0E1F">
        <w:rPr>
          <w:rFonts w:ascii="Times New Roman" w:hAnsi="Times New Roman" w:cs="Times New Roman"/>
          <w:b/>
          <w:sz w:val="24"/>
          <w:szCs w:val="24"/>
          <w:vertAlign w:val="superscript"/>
        </w:rPr>
        <w:t>2</w:t>
      </w:r>
      <w:r w:rsidR="00A25E0D" w:rsidRPr="00AD0E1F">
        <w:rPr>
          <w:rFonts w:ascii="Times New Roman" w:hAnsi="Times New Roman" w:cs="Times New Roman"/>
          <w:b/>
          <w:sz w:val="24"/>
          <w:szCs w:val="24"/>
        </w:rPr>
        <w:t xml:space="preserve"> values of five SD formulations and active glimepiride </w:t>
      </w:r>
    </w:p>
    <w:tbl>
      <w:tblPr>
        <w:tblW w:w="9895" w:type="dxa"/>
        <w:tblInd w:w="10" w:type="dxa"/>
        <w:tblLayout w:type="fixed"/>
        <w:tblCellMar>
          <w:left w:w="10" w:type="dxa"/>
          <w:right w:w="10" w:type="dxa"/>
        </w:tblCellMar>
        <w:tblLook w:val="04A0"/>
      </w:tblPr>
      <w:tblGrid>
        <w:gridCol w:w="1075"/>
        <w:gridCol w:w="1080"/>
        <w:gridCol w:w="990"/>
        <w:gridCol w:w="1013"/>
        <w:gridCol w:w="1080"/>
        <w:gridCol w:w="1417"/>
        <w:gridCol w:w="990"/>
        <w:gridCol w:w="1260"/>
        <w:gridCol w:w="990"/>
      </w:tblGrid>
      <w:tr w:rsidR="00A25E0D" w:rsidRPr="00AD0E1F" w:rsidTr="00A25E0D">
        <w:trPr>
          <w:trHeight w:val="1142"/>
        </w:trPr>
        <w:tc>
          <w:tcPr>
            <w:tcW w:w="1075" w:type="dxa"/>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t>Formulation coding</w:t>
            </w:r>
          </w:p>
        </w:tc>
        <w:tc>
          <w:tcPr>
            <w:tcW w:w="2070" w:type="dxa"/>
            <w:gridSpan w:val="2"/>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t>Zero Order</w:t>
            </w:r>
          </w:p>
        </w:tc>
        <w:tc>
          <w:tcPr>
            <w:tcW w:w="2093" w:type="dxa"/>
            <w:gridSpan w:val="2"/>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t>1</w:t>
            </w:r>
            <w:r w:rsidRPr="00AD0E1F">
              <w:rPr>
                <w:rFonts w:ascii="Times New Roman" w:hAnsi="Times New Roman" w:cs="Times New Roman"/>
                <w:bCs/>
                <w:sz w:val="24"/>
                <w:szCs w:val="24"/>
                <w:vertAlign w:val="superscript"/>
              </w:rPr>
              <w:t>st</w:t>
            </w:r>
            <w:r w:rsidRPr="00AD0E1F">
              <w:rPr>
                <w:rFonts w:ascii="Times New Roman" w:hAnsi="Times New Roman" w:cs="Times New Roman"/>
                <w:bCs/>
                <w:sz w:val="24"/>
                <w:szCs w:val="24"/>
              </w:rPr>
              <w:t xml:space="preserve"> Order Kinetics</w:t>
            </w:r>
          </w:p>
        </w:tc>
        <w:tc>
          <w:tcPr>
            <w:tcW w:w="2407" w:type="dxa"/>
            <w:gridSpan w:val="2"/>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t>Higuchi model</w:t>
            </w:r>
          </w:p>
        </w:tc>
        <w:tc>
          <w:tcPr>
            <w:tcW w:w="2250" w:type="dxa"/>
            <w:gridSpan w:val="2"/>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t>Hixon Crowell model</w:t>
            </w:r>
          </w:p>
        </w:tc>
      </w:tr>
      <w:tr w:rsidR="00A25E0D" w:rsidRPr="00AD0E1F" w:rsidTr="00A25E0D">
        <w:trPr>
          <w:trHeight w:val="615"/>
        </w:trPr>
        <w:tc>
          <w:tcPr>
            <w:tcW w:w="1075" w:type="dxa"/>
            <w:hideMark/>
          </w:tcPr>
          <w:p w:rsidR="00A25E0D" w:rsidRPr="00AD0E1F" w:rsidRDefault="00A25E0D" w:rsidP="00A25E0D">
            <w:pPr>
              <w:rPr>
                <w:rFonts w:ascii="Times New Roman" w:hAnsi="Times New Roman" w:cs="Times New Roman"/>
                <w:bCs/>
                <w:sz w:val="24"/>
                <w:szCs w:val="24"/>
              </w:rPr>
            </w:pPr>
          </w:p>
        </w:tc>
        <w:tc>
          <w:tcPr>
            <w:tcW w:w="1080" w:type="dxa"/>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t>Y equation</w:t>
            </w:r>
          </w:p>
        </w:tc>
        <w:tc>
          <w:tcPr>
            <w:tcW w:w="990" w:type="dxa"/>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t>R</w:t>
            </w:r>
            <w:r w:rsidRPr="00AD0E1F">
              <w:rPr>
                <w:rFonts w:ascii="Times New Roman" w:hAnsi="Times New Roman" w:cs="Times New Roman"/>
                <w:bCs/>
                <w:sz w:val="24"/>
                <w:szCs w:val="24"/>
                <w:vertAlign w:val="superscript"/>
              </w:rPr>
              <w:t xml:space="preserve">2 </w:t>
            </w:r>
            <w:r w:rsidRPr="00AD0E1F">
              <w:rPr>
                <w:rFonts w:ascii="Times New Roman" w:hAnsi="Times New Roman" w:cs="Times New Roman"/>
                <w:bCs/>
                <w:sz w:val="24"/>
                <w:szCs w:val="24"/>
              </w:rPr>
              <w:t>Value</w:t>
            </w:r>
          </w:p>
        </w:tc>
        <w:tc>
          <w:tcPr>
            <w:tcW w:w="1013" w:type="dxa"/>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t>Y equation</w:t>
            </w:r>
          </w:p>
        </w:tc>
        <w:tc>
          <w:tcPr>
            <w:tcW w:w="1080" w:type="dxa"/>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t>R</w:t>
            </w:r>
            <w:r w:rsidRPr="00AD0E1F">
              <w:rPr>
                <w:rFonts w:ascii="Times New Roman" w:hAnsi="Times New Roman" w:cs="Times New Roman"/>
                <w:bCs/>
                <w:sz w:val="24"/>
                <w:szCs w:val="24"/>
                <w:vertAlign w:val="superscript"/>
              </w:rPr>
              <w:t xml:space="preserve">2 </w:t>
            </w:r>
            <w:r w:rsidRPr="00AD0E1F">
              <w:rPr>
                <w:rFonts w:ascii="Times New Roman" w:hAnsi="Times New Roman" w:cs="Times New Roman"/>
                <w:bCs/>
                <w:sz w:val="24"/>
                <w:szCs w:val="24"/>
              </w:rPr>
              <w:t>Value</w:t>
            </w:r>
          </w:p>
        </w:tc>
        <w:tc>
          <w:tcPr>
            <w:tcW w:w="1417" w:type="dxa"/>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t>Y equation</w:t>
            </w:r>
          </w:p>
        </w:tc>
        <w:tc>
          <w:tcPr>
            <w:tcW w:w="990" w:type="dxa"/>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t>R</w:t>
            </w:r>
            <w:r w:rsidRPr="00AD0E1F">
              <w:rPr>
                <w:rFonts w:ascii="Times New Roman" w:hAnsi="Times New Roman" w:cs="Times New Roman"/>
                <w:bCs/>
                <w:sz w:val="24"/>
                <w:szCs w:val="24"/>
                <w:vertAlign w:val="superscript"/>
              </w:rPr>
              <w:t xml:space="preserve">2 </w:t>
            </w:r>
            <w:r w:rsidRPr="00AD0E1F">
              <w:rPr>
                <w:rFonts w:ascii="Times New Roman" w:hAnsi="Times New Roman" w:cs="Times New Roman"/>
                <w:bCs/>
                <w:sz w:val="24"/>
                <w:szCs w:val="24"/>
              </w:rPr>
              <w:t>Value</w:t>
            </w:r>
          </w:p>
        </w:tc>
        <w:tc>
          <w:tcPr>
            <w:tcW w:w="1260" w:type="dxa"/>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t>Y equation</w:t>
            </w:r>
          </w:p>
        </w:tc>
        <w:tc>
          <w:tcPr>
            <w:tcW w:w="990" w:type="dxa"/>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t>R</w:t>
            </w:r>
            <w:r w:rsidRPr="00AD0E1F">
              <w:rPr>
                <w:rFonts w:ascii="Times New Roman" w:hAnsi="Times New Roman" w:cs="Times New Roman"/>
                <w:bCs/>
                <w:sz w:val="24"/>
                <w:szCs w:val="24"/>
                <w:vertAlign w:val="superscript"/>
              </w:rPr>
              <w:t xml:space="preserve">2 </w:t>
            </w:r>
            <w:r w:rsidRPr="00AD0E1F">
              <w:rPr>
                <w:rFonts w:ascii="Times New Roman" w:hAnsi="Times New Roman" w:cs="Times New Roman"/>
                <w:bCs/>
                <w:sz w:val="24"/>
                <w:szCs w:val="24"/>
              </w:rPr>
              <w:t>Value</w:t>
            </w:r>
          </w:p>
        </w:tc>
      </w:tr>
      <w:tr w:rsidR="00A25E0D" w:rsidRPr="00AD0E1F" w:rsidTr="00A25E0D">
        <w:trPr>
          <w:trHeight w:val="915"/>
        </w:trPr>
        <w:tc>
          <w:tcPr>
            <w:tcW w:w="1075" w:type="dxa"/>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t>Pure drug</w:t>
            </w:r>
          </w:p>
        </w:tc>
        <w:tc>
          <w:tcPr>
            <w:tcW w:w="108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0.3007x-0.77</w:t>
            </w:r>
          </w:p>
        </w:tc>
        <w:tc>
          <w:tcPr>
            <w:tcW w:w="99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color w:val="ED7D31" w:themeColor="accent2"/>
                <w:sz w:val="24"/>
                <w:szCs w:val="24"/>
              </w:rPr>
              <w:t> 0.957</w:t>
            </w:r>
          </w:p>
        </w:tc>
        <w:tc>
          <w:tcPr>
            <w:tcW w:w="1013"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-0.0041x+2.0041</w:t>
            </w:r>
          </w:p>
        </w:tc>
        <w:tc>
          <w:tcPr>
            <w:tcW w:w="108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0.955</w:t>
            </w:r>
          </w:p>
        </w:tc>
        <w:tc>
          <w:tcPr>
            <w:tcW w:w="1417"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2.3177x+3.0603</w:t>
            </w:r>
          </w:p>
        </w:tc>
        <w:tc>
          <w:tcPr>
            <w:tcW w:w="99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0.861</w:t>
            </w:r>
          </w:p>
        </w:tc>
        <w:tc>
          <w:tcPr>
            <w:tcW w:w="126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-0.0049x+4.6553</w:t>
            </w:r>
          </w:p>
        </w:tc>
        <w:tc>
          <w:tcPr>
            <w:tcW w:w="99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0.956</w:t>
            </w:r>
          </w:p>
        </w:tc>
      </w:tr>
      <w:tr w:rsidR="00A25E0D" w:rsidRPr="00AD0E1F" w:rsidTr="00A25E0D">
        <w:trPr>
          <w:trHeight w:val="915"/>
        </w:trPr>
        <w:tc>
          <w:tcPr>
            <w:tcW w:w="1075" w:type="dxa"/>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lastRenderedPageBreak/>
              <w:t>G5</w:t>
            </w:r>
          </w:p>
        </w:tc>
        <w:tc>
          <w:tcPr>
            <w:tcW w:w="108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1.1172x+44.512</w:t>
            </w:r>
          </w:p>
        </w:tc>
        <w:tc>
          <w:tcPr>
            <w:tcW w:w="99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0.508</w:t>
            </w:r>
          </w:p>
        </w:tc>
        <w:tc>
          <w:tcPr>
            <w:tcW w:w="1013"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-0.0288x+1.7956</w:t>
            </w:r>
          </w:p>
        </w:tc>
        <w:tc>
          <w:tcPr>
            <w:tcW w:w="108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w:t>
            </w:r>
            <w:r w:rsidRPr="00AD0E1F">
              <w:rPr>
                <w:rFonts w:ascii="Times New Roman" w:hAnsi="Times New Roman" w:cs="Times New Roman"/>
                <w:color w:val="ED7D31" w:themeColor="accent2"/>
                <w:sz w:val="24"/>
                <w:szCs w:val="24"/>
              </w:rPr>
              <w:t>0.903</w:t>
            </w:r>
          </w:p>
        </w:tc>
        <w:tc>
          <w:tcPr>
            <w:tcW w:w="1417"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11.038x+25.468</w:t>
            </w:r>
          </w:p>
        </w:tc>
        <w:tc>
          <w:tcPr>
            <w:tcW w:w="99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0.751</w:t>
            </w:r>
          </w:p>
        </w:tc>
        <w:tc>
          <w:tcPr>
            <w:tcW w:w="126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-0.0484x+3.7632</w:t>
            </w:r>
          </w:p>
        </w:tc>
        <w:tc>
          <w:tcPr>
            <w:tcW w:w="99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0.822</w:t>
            </w:r>
          </w:p>
        </w:tc>
      </w:tr>
      <w:tr w:rsidR="00A25E0D" w:rsidRPr="00AD0E1F" w:rsidTr="00A25E0D">
        <w:trPr>
          <w:trHeight w:val="915"/>
        </w:trPr>
        <w:tc>
          <w:tcPr>
            <w:tcW w:w="1075" w:type="dxa"/>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t>G8</w:t>
            </w:r>
          </w:p>
        </w:tc>
        <w:tc>
          <w:tcPr>
            <w:tcW w:w="108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1.401x+7.9786</w:t>
            </w:r>
          </w:p>
        </w:tc>
        <w:tc>
          <w:tcPr>
            <w:tcW w:w="99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w:t>
            </w:r>
            <w:r w:rsidRPr="00AD0E1F">
              <w:rPr>
                <w:rFonts w:ascii="Times New Roman" w:hAnsi="Times New Roman" w:cs="Times New Roman"/>
                <w:color w:val="ED7D31" w:themeColor="accent2"/>
                <w:sz w:val="24"/>
                <w:szCs w:val="24"/>
              </w:rPr>
              <w:t>0.966</w:t>
            </w:r>
          </w:p>
        </w:tc>
        <w:tc>
          <w:tcPr>
            <w:tcW w:w="1013"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-0.0161+2.0509</w:t>
            </w:r>
          </w:p>
        </w:tc>
        <w:tc>
          <w:tcPr>
            <w:tcW w:w="108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0.896</w:t>
            </w:r>
          </w:p>
        </w:tc>
        <w:tc>
          <w:tcPr>
            <w:tcW w:w="1417"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11.22x-4.5245</w:t>
            </w:r>
          </w:p>
        </w:tc>
        <w:tc>
          <w:tcPr>
            <w:tcW w:w="99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0.939</w:t>
            </w:r>
          </w:p>
        </w:tc>
        <w:tc>
          <w:tcPr>
            <w:tcW w:w="126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- 0.0396x+4.6578</w:t>
            </w:r>
          </w:p>
        </w:tc>
        <w:tc>
          <w:tcPr>
            <w:tcW w:w="99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0.947</w:t>
            </w:r>
          </w:p>
        </w:tc>
      </w:tr>
      <w:tr w:rsidR="00A25E0D" w:rsidRPr="00AD0E1F" w:rsidTr="00A25E0D">
        <w:trPr>
          <w:trHeight w:val="915"/>
        </w:trPr>
        <w:tc>
          <w:tcPr>
            <w:tcW w:w="1075" w:type="dxa"/>
            <w:hideMark/>
          </w:tcPr>
          <w:p w:rsidR="00A25E0D" w:rsidRPr="00AD0E1F" w:rsidRDefault="00A25E0D" w:rsidP="00A25E0D">
            <w:pPr>
              <w:rPr>
                <w:rFonts w:ascii="Times New Roman" w:hAnsi="Times New Roman" w:cs="Times New Roman"/>
                <w:bCs/>
                <w:sz w:val="24"/>
                <w:szCs w:val="24"/>
              </w:rPr>
            </w:pPr>
            <w:r w:rsidRPr="00AD0E1F">
              <w:rPr>
                <w:rFonts w:ascii="Times New Roman" w:hAnsi="Times New Roman" w:cs="Times New Roman"/>
                <w:bCs/>
                <w:sz w:val="24"/>
                <w:szCs w:val="24"/>
              </w:rPr>
              <w:t>G13</w:t>
            </w:r>
          </w:p>
        </w:tc>
        <w:tc>
          <w:tcPr>
            <w:tcW w:w="108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0.7739x+22.763</w:t>
            </w:r>
          </w:p>
        </w:tc>
        <w:tc>
          <w:tcPr>
            <w:tcW w:w="99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0.419</w:t>
            </w:r>
          </w:p>
        </w:tc>
        <w:tc>
          <w:tcPr>
            <w:tcW w:w="1013"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-0.0067x+1.7584</w:t>
            </w:r>
          </w:p>
        </w:tc>
        <w:tc>
          <w:tcPr>
            <w:tcW w:w="108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0.525</w:t>
            </w:r>
          </w:p>
        </w:tc>
        <w:tc>
          <w:tcPr>
            <w:tcW w:w="1417"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7.8884x+22.13</w:t>
            </w:r>
          </w:p>
        </w:tc>
        <w:tc>
          <w:tcPr>
            <w:tcW w:w="99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color w:val="ED7D31" w:themeColor="accent2"/>
                <w:sz w:val="24"/>
                <w:szCs w:val="24"/>
              </w:rPr>
              <w:t>0.66</w:t>
            </w:r>
          </w:p>
        </w:tc>
        <w:tc>
          <w:tcPr>
            <w:tcW w:w="126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-0.0185x+3.8993</w:t>
            </w:r>
          </w:p>
        </w:tc>
        <w:tc>
          <w:tcPr>
            <w:tcW w:w="990" w:type="dxa"/>
            <w:hideMark/>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0.487</w:t>
            </w:r>
          </w:p>
        </w:tc>
      </w:tr>
    </w:tbl>
    <w:p w:rsidR="00A25E0D" w:rsidRPr="00AD0E1F" w:rsidRDefault="00A25E0D" w:rsidP="00A25E0D">
      <w:pPr>
        <w:rPr>
          <w:rFonts w:ascii="Times New Roman" w:hAnsi="Times New Roman" w:cs="Times New Roman"/>
          <w:b/>
          <w:sz w:val="28"/>
        </w:rPr>
      </w:pPr>
    </w:p>
    <w:p w:rsidR="00A25E0D" w:rsidRPr="00AD0E1F" w:rsidRDefault="00A25E0D" w:rsidP="00A25E0D">
      <w:pPr>
        <w:jc w:val="both"/>
        <w:rPr>
          <w:rFonts w:ascii="Times New Roman" w:hAnsi="Times New Roman" w:cs="Times New Roman"/>
          <w:sz w:val="24"/>
          <w:szCs w:val="24"/>
        </w:rPr>
      </w:pPr>
      <w:commentRangeStart w:id="51"/>
      <w:r w:rsidRPr="00AD0E1F">
        <w:rPr>
          <w:rFonts w:ascii="Times New Roman" w:hAnsi="Times New Roman" w:cs="Times New Roman"/>
          <w:sz w:val="24"/>
          <w:szCs w:val="24"/>
        </w:rPr>
        <w:t>The above data showed that R</w:t>
      </w:r>
      <w:r w:rsidRPr="00AD0E1F">
        <w:rPr>
          <w:rFonts w:ascii="Times New Roman" w:hAnsi="Times New Roman" w:cs="Times New Roman"/>
          <w:sz w:val="24"/>
          <w:szCs w:val="24"/>
          <w:vertAlign w:val="superscript"/>
        </w:rPr>
        <w:t>2</w:t>
      </w:r>
      <w:r w:rsidRPr="00AD0E1F">
        <w:rPr>
          <w:rFonts w:ascii="Times New Roman" w:hAnsi="Times New Roman" w:cs="Times New Roman"/>
          <w:sz w:val="24"/>
          <w:szCs w:val="24"/>
        </w:rPr>
        <w:t xml:space="preserve"> value of active glimepiride, (R</w:t>
      </w:r>
      <w:r w:rsidRPr="00AD0E1F">
        <w:rPr>
          <w:rFonts w:ascii="Times New Roman" w:hAnsi="Times New Roman" w:cs="Times New Roman"/>
          <w:sz w:val="24"/>
          <w:szCs w:val="24"/>
          <w:vertAlign w:val="superscript"/>
        </w:rPr>
        <w:t xml:space="preserve">2 </w:t>
      </w:r>
      <w:r w:rsidRPr="00AD0E1F">
        <w:rPr>
          <w:rFonts w:ascii="Times New Roman" w:hAnsi="Times New Roman" w:cs="Times New Roman"/>
          <w:sz w:val="24"/>
          <w:szCs w:val="24"/>
        </w:rPr>
        <w:t>= 0.957) and SD formulation G8 (R</w:t>
      </w:r>
      <w:r w:rsidRPr="00AD0E1F">
        <w:rPr>
          <w:rFonts w:ascii="Times New Roman" w:hAnsi="Times New Roman" w:cs="Times New Roman"/>
          <w:sz w:val="24"/>
          <w:szCs w:val="24"/>
          <w:vertAlign w:val="superscript"/>
        </w:rPr>
        <w:t>2</w:t>
      </w:r>
      <w:r w:rsidR="003100F1" w:rsidRPr="00AD0E1F">
        <w:rPr>
          <w:rFonts w:ascii="Times New Roman" w:hAnsi="Times New Roman" w:cs="Times New Roman"/>
          <w:sz w:val="24"/>
          <w:szCs w:val="24"/>
        </w:rPr>
        <w:t xml:space="preserve"> = 0.966) </w:t>
      </w:r>
      <w:r w:rsidRPr="00AD0E1F">
        <w:rPr>
          <w:rFonts w:ascii="Times New Roman" w:hAnsi="Times New Roman" w:cs="Times New Roman"/>
          <w:sz w:val="24"/>
          <w:szCs w:val="24"/>
        </w:rPr>
        <w:t>were found substantially highest result in case of Zero order kinetics than other release kinetics. These R</w:t>
      </w:r>
      <w:r w:rsidRPr="00AD0E1F">
        <w:rPr>
          <w:rFonts w:ascii="Times New Roman" w:hAnsi="Times New Roman" w:cs="Times New Roman"/>
          <w:sz w:val="24"/>
          <w:szCs w:val="24"/>
          <w:vertAlign w:val="superscript"/>
        </w:rPr>
        <w:t>2</w:t>
      </w:r>
      <w:r w:rsidRPr="00AD0E1F">
        <w:rPr>
          <w:rFonts w:ascii="Times New Roman" w:hAnsi="Times New Roman" w:cs="Times New Roman"/>
          <w:sz w:val="24"/>
          <w:szCs w:val="24"/>
        </w:rPr>
        <w:t xml:space="preserve"> value is near about 01, so it can be said that, active glimepi</w:t>
      </w:r>
      <w:r w:rsidR="003100F1" w:rsidRPr="00AD0E1F">
        <w:rPr>
          <w:rFonts w:ascii="Times New Roman" w:hAnsi="Times New Roman" w:cs="Times New Roman"/>
          <w:sz w:val="24"/>
          <w:szCs w:val="24"/>
        </w:rPr>
        <w:t xml:space="preserve">ride, SD formulation G8 </w:t>
      </w:r>
      <w:r w:rsidRPr="00AD0E1F">
        <w:rPr>
          <w:rFonts w:ascii="Times New Roman" w:hAnsi="Times New Roman" w:cs="Times New Roman"/>
          <w:sz w:val="24"/>
          <w:szCs w:val="24"/>
        </w:rPr>
        <w:t>were followed zero order release pattern.</w:t>
      </w:r>
    </w:p>
    <w:p w:rsidR="00A25E0D" w:rsidRPr="00AD0E1F" w:rsidRDefault="003100F1" w:rsidP="00A25E0D">
      <w:pPr>
        <w:jc w:val="both"/>
        <w:rPr>
          <w:rFonts w:ascii="Times New Roman" w:hAnsi="Times New Roman" w:cs="Times New Roman"/>
          <w:sz w:val="24"/>
          <w:szCs w:val="24"/>
        </w:rPr>
      </w:pPr>
      <w:r w:rsidRPr="00AD0E1F">
        <w:rPr>
          <w:rFonts w:ascii="Times New Roman" w:hAnsi="Times New Roman" w:cs="Times New Roman"/>
          <w:sz w:val="24"/>
          <w:szCs w:val="24"/>
        </w:rPr>
        <w:t>Another</w:t>
      </w:r>
      <w:r w:rsidR="00A25E0D" w:rsidRPr="00AD0E1F">
        <w:rPr>
          <w:rFonts w:ascii="Times New Roman" w:hAnsi="Times New Roman" w:cs="Times New Roman"/>
          <w:sz w:val="24"/>
          <w:szCs w:val="24"/>
        </w:rPr>
        <w:t xml:space="preserve"> SD formulation G13</w:t>
      </w:r>
      <w:r w:rsidRPr="00AD0E1F">
        <w:rPr>
          <w:rFonts w:ascii="Times New Roman" w:hAnsi="Times New Roman" w:cs="Times New Roman"/>
          <w:sz w:val="24"/>
          <w:szCs w:val="24"/>
        </w:rPr>
        <w:t xml:space="preserve"> (R2= 0.66) was</w:t>
      </w:r>
      <w:r w:rsidR="00A25E0D" w:rsidRPr="00AD0E1F">
        <w:rPr>
          <w:rFonts w:ascii="Times New Roman" w:hAnsi="Times New Roman" w:cs="Times New Roman"/>
          <w:sz w:val="24"/>
          <w:szCs w:val="24"/>
        </w:rPr>
        <w:t xml:space="preserve"> displayed best fitting with Higuchi release kinetics pattern. Because R</w:t>
      </w:r>
      <w:r w:rsidR="00A25E0D" w:rsidRPr="00AD0E1F">
        <w:rPr>
          <w:rFonts w:ascii="Times New Roman" w:hAnsi="Times New Roman" w:cs="Times New Roman"/>
          <w:sz w:val="24"/>
          <w:szCs w:val="24"/>
          <w:vertAlign w:val="superscript"/>
        </w:rPr>
        <w:t>2</w:t>
      </w:r>
      <w:r w:rsidRPr="00AD0E1F">
        <w:rPr>
          <w:rFonts w:ascii="Times New Roman" w:hAnsi="Times New Roman" w:cs="Times New Roman"/>
          <w:sz w:val="24"/>
          <w:szCs w:val="24"/>
        </w:rPr>
        <w:t>value of G13 was</w:t>
      </w:r>
      <w:r w:rsidR="00A25E0D" w:rsidRPr="00AD0E1F">
        <w:rPr>
          <w:rFonts w:ascii="Times New Roman" w:hAnsi="Times New Roman" w:cs="Times New Roman"/>
          <w:sz w:val="24"/>
          <w:szCs w:val="24"/>
        </w:rPr>
        <w:t xml:space="preserve"> showed better value in case of Higuchi release kinetics.</w:t>
      </w:r>
    </w:p>
    <w:p w:rsidR="00A25E0D" w:rsidRPr="00AD0E1F" w:rsidRDefault="00A25E0D" w:rsidP="00A25E0D">
      <w:pPr>
        <w:jc w:val="both"/>
        <w:rPr>
          <w:rFonts w:ascii="Times New Roman" w:hAnsi="Times New Roman" w:cs="Times New Roman"/>
          <w:sz w:val="24"/>
          <w:szCs w:val="24"/>
        </w:rPr>
      </w:pPr>
      <w:r w:rsidRPr="00AD0E1F">
        <w:rPr>
          <w:rFonts w:ascii="Times New Roman" w:hAnsi="Times New Roman" w:cs="Times New Roman"/>
          <w:sz w:val="24"/>
          <w:szCs w:val="24"/>
        </w:rPr>
        <w:t>Only one SD formulation G15 was best fitted with first order release pattern.</w:t>
      </w:r>
    </w:p>
    <w:p w:rsidR="001B2AC1"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It was also observed that, in all case no formulation was fitted with Hixon Crowell kinetics model.</w:t>
      </w:r>
    </w:p>
    <w:commentRangeEnd w:id="51"/>
    <w:p w:rsidR="00A25E0D" w:rsidRPr="00AD0E1F" w:rsidRDefault="009B53CE" w:rsidP="00A25E0D">
      <w:pPr>
        <w:autoSpaceDE w:val="0"/>
        <w:autoSpaceDN w:val="0"/>
        <w:adjustRightInd w:val="0"/>
        <w:spacing w:after="0" w:line="360" w:lineRule="auto"/>
        <w:jc w:val="both"/>
        <w:rPr>
          <w:rFonts w:ascii="Times New Roman" w:hAnsi="Times New Roman" w:cs="Times New Roman"/>
          <w:b/>
          <w:color w:val="000000"/>
          <w:sz w:val="28"/>
        </w:rPr>
      </w:pPr>
      <w:r>
        <w:rPr>
          <w:rStyle w:val="CommentReference"/>
        </w:rPr>
        <w:commentReference w:id="51"/>
      </w:r>
      <w:commentRangeStart w:id="52"/>
      <w:r w:rsidR="00A25E0D" w:rsidRPr="00AD0E1F">
        <w:rPr>
          <w:rFonts w:ascii="Times New Roman" w:hAnsi="Times New Roman" w:cs="Times New Roman"/>
          <w:b/>
          <w:color w:val="000000"/>
          <w:sz w:val="28"/>
        </w:rPr>
        <w:t>Glimepiride &amp; polymer interaction study using FT</w:t>
      </w:r>
      <w:r w:rsidR="00A25E0D" w:rsidRPr="00AD0E1F">
        <w:rPr>
          <w:rFonts w:ascii="Times New Roman" w:hAnsi="Times New Roman" w:cs="Times New Roman"/>
          <w:color w:val="000000"/>
          <w:sz w:val="28"/>
        </w:rPr>
        <w:t>-</w:t>
      </w:r>
      <w:r w:rsidR="00A25E0D" w:rsidRPr="00AD0E1F">
        <w:rPr>
          <w:rFonts w:ascii="Times New Roman" w:hAnsi="Times New Roman" w:cs="Times New Roman"/>
          <w:b/>
          <w:color w:val="000000"/>
          <w:sz w:val="28"/>
        </w:rPr>
        <w:t>IR Spectroscopy:</w:t>
      </w:r>
    </w:p>
    <w:p w:rsidR="00A25E0D" w:rsidRPr="00AD0E1F" w:rsidRDefault="00A25E0D" w:rsidP="00A25E0D">
      <w:pPr>
        <w:spacing w:after="200" w:line="276" w:lineRule="auto"/>
        <w:jc w:val="both"/>
        <w:rPr>
          <w:rFonts w:ascii="Times New Roman" w:eastAsia="Calibri" w:hAnsi="Times New Roman" w:cs="Times New Roman"/>
          <w:sz w:val="24"/>
          <w:szCs w:val="24"/>
        </w:rPr>
      </w:pPr>
      <w:r w:rsidRPr="00AD0E1F">
        <w:rPr>
          <w:rFonts w:ascii="Times New Roman" w:eastAsia="Calibri" w:hAnsi="Times New Roman" w:cs="Times New Roman"/>
          <w:sz w:val="24"/>
          <w:szCs w:val="24"/>
        </w:rPr>
        <w:t>Fourier Transform Infrared Spectroscopic (FTIR) study was concluded four samples-</w:t>
      </w:r>
    </w:p>
    <w:p w:rsidR="00A25E0D" w:rsidRPr="00AD0E1F" w:rsidRDefault="005C7746" w:rsidP="005C7746">
      <w:pPr>
        <w:spacing w:after="200" w:line="276" w:lineRule="auto"/>
        <w:contextualSpacing/>
        <w:jc w:val="both"/>
        <w:rPr>
          <w:rFonts w:ascii="Times New Roman" w:eastAsia="Calibri" w:hAnsi="Times New Roman" w:cs="Times New Roman"/>
          <w:sz w:val="24"/>
          <w:szCs w:val="24"/>
        </w:rPr>
      </w:pPr>
      <w:r w:rsidRPr="00AD0E1F">
        <w:rPr>
          <w:rFonts w:ascii="Times New Roman" w:eastAsia="Calibri" w:hAnsi="Times New Roman" w:cs="Times New Roman"/>
          <w:sz w:val="24"/>
          <w:szCs w:val="24"/>
        </w:rPr>
        <w:t>1.</w:t>
      </w:r>
      <w:r w:rsidR="00A25E0D" w:rsidRPr="00AD0E1F">
        <w:rPr>
          <w:rFonts w:ascii="Times New Roman" w:eastAsia="Calibri" w:hAnsi="Times New Roman" w:cs="Times New Roman"/>
          <w:sz w:val="24"/>
          <w:szCs w:val="24"/>
        </w:rPr>
        <w:t>Pure drug/API (Glimepiride)</w:t>
      </w:r>
    </w:p>
    <w:p w:rsidR="00A25E0D" w:rsidRPr="00AD0E1F" w:rsidRDefault="00E404C2" w:rsidP="00E404C2">
      <w:pPr>
        <w:spacing w:after="200" w:line="276" w:lineRule="auto"/>
        <w:contextualSpacing/>
        <w:jc w:val="both"/>
        <w:rPr>
          <w:rFonts w:ascii="Times New Roman" w:eastAsia="Calibri" w:hAnsi="Times New Roman" w:cs="Times New Roman"/>
          <w:sz w:val="24"/>
          <w:szCs w:val="24"/>
        </w:rPr>
      </w:pPr>
      <w:r w:rsidRPr="00AD0E1F">
        <w:rPr>
          <w:rFonts w:ascii="Times New Roman" w:eastAsia="Calibri" w:hAnsi="Times New Roman" w:cs="Times New Roman"/>
          <w:sz w:val="24"/>
          <w:szCs w:val="24"/>
        </w:rPr>
        <w:t xml:space="preserve">2. </w:t>
      </w:r>
      <w:r w:rsidR="00A25E0D" w:rsidRPr="00AD0E1F">
        <w:rPr>
          <w:rFonts w:ascii="Times New Roman" w:eastAsia="Calibri" w:hAnsi="Times New Roman" w:cs="Times New Roman"/>
          <w:sz w:val="24"/>
          <w:szCs w:val="24"/>
        </w:rPr>
        <w:t>Polymer (PEG 4000)</w:t>
      </w:r>
    </w:p>
    <w:p w:rsidR="00A25E0D" w:rsidRPr="00AD0E1F" w:rsidRDefault="00E404C2" w:rsidP="00E404C2">
      <w:pPr>
        <w:spacing w:after="200" w:line="276" w:lineRule="auto"/>
        <w:contextualSpacing/>
        <w:jc w:val="both"/>
        <w:rPr>
          <w:rFonts w:ascii="Times New Roman" w:eastAsia="Calibri" w:hAnsi="Times New Roman" w:cs="Times New Roman"/>
          <w:sz w:val="24"/>
          <w:szCs w:val="24"/>
        </w:rPr>
      </w:pPr>
      <w:r w:rsidRPr="00AD0E1F">
        <w:rPr>
          <w:rFonts w:ascii="Times New Roman" w:eastAsia="Calibri" w:hAnsi="Times New Roman" w:cs="Times New Roman"/>
          <w:sz w:val="24"/>
          <w:szCs w:val="24"/>
        </w:rPr>
        <w:t xml:space="preserve">3. </w:t>
      </w:r>
      <w:r w:rsidR="00A25E0D" w:rsidRPr="00AD0E1F">
        <w:rPr>
          <w:rFonts w:ascii="Times New Roman" w:eastAsia="Calibri" w:hAnsi="Times New Roman" w:cs="Times New Roman"/>
          <w:sz w:val="24"/>
          <w:szCs w:val="24"/>
        </w:rPr>
        <w:t>Polymer (Poloxamer 407)</w:t>
      </w:r>
    </w:p>
    <w:p w:rsidR="00A25E0D" w:rsidRPr="00AD0E1F" w:rsidRDefault="00E404C2" w:rsidP="00E404C2">
      <w:pPr>
        <w:spacing w:after="200" w:line="276" w:lineRule="auto"/>
        <w:contextualSpacing/>
        <w:jc w:val="both"/>
        <w:rPr>
          <w:rFonts w:ascii="Times New Roman" w:eastAsia="Calibri" w:hAnsi="Times New Roman" w:cs="Times New Roman"/>
          <w:sz w:val="24"/>
          <w:szCs w:val="24"/>
        </w:rPr>
      </w:pPr>
      <w:r w:rsidRPr="00AD0E1F">
        <w:rPr>
          <w:rFonts w:ascii="Times New Roman" w:eastAsia="Calibri" w:hAnsi="Times New Roman" w:cs="Times New Roman"/>
          <w:sz w:val="24"/>
          <w:szCs w:val="24"/>
        </w:rPr>
        <w:t xml:space="preserve">4. </w:t>
      </w:r>
      <w:r w:rsidR="00A25E0D" w:rsidRPr="00AD0E1F">
        <w:rPr>
          <w:rFonts w:ascii="Times New Roman" w:eastAsia="Calibri" w:hAnsi="Times New Roman" w:cs="Times New Roman"/>
          <w:sz w:val="24"/>
          <w:szCs w:val="24"/>
        </w:rPr>
        <w:t>Solid Dispersion (G3=Glimipiride+PEG4000, 1:3)</w:t>
      </w:r>
    </w:p>
    <w:p w:rsidR="00A25E0D" w:rsidRPr="00AD0E1F" w:rsidRDefault="00E404C2" w:rsidP="00E404C2">
      <w:pPr>
        <w:spacing w:after="200" w:line="276" w:lineRule="auto"/>
        <w:contextualSpacing/>
        <w:jc w:val="both"/>
        <w:rPr>
          <w:rFonts w:ascii="Times New Roman" w:eastAsia="Calibri" w:hAnsi="Times New Roman" w:cs="Times New Roman"/>
          <w:sz w:val="24"/>
          <w:szCs w:val="24"/>
        </w:rPr>
      </w:pPr>
      <w:r w:rsidRPr="00AD0E1F">
        <w:rPr>
          <w:rFonts w:ascii="Times New Roman" w:eastAsia="Calibri" w:hAnsi="Times New Roman" w:cs="Times New Roman"/>
          <w:sz w:val="24"/>
          <w:szCs w:val="24"/>
        </w:rPr>
        <w:t xml:space="preserve">5. </w:t>
      </w:r>
      <w:r w:rsidR="00A25E0D" w:rsidRPr="00AD0E1F">
        <w:rPr>
          <w:rFonts w:ascii="Times New Roman" w:eastAsia="Calibri" w:hAnsi="Times New Roman" w:cs="Times New Roman"/>
          <w:sz w:val="24"/>
          <w:szCs w:val="24"/>
        </w:rPr>
        <w:t>Solid Dispersion (G13=Glimepiride+Povidone+PEG 4000, 1:5)</w:t>
      </w:r>
    </w:p>
    <w:p w:rsidR="00A25E0D" w:rsidRPr="00AD0E1F" w:rsidRDefault="00A25E0D" w:rsidP="00A341E8">
      <w:pPr>
        <w:spacing w:after="200" w:line="276" w:lineRule="auto"/>
        <w:contextualSpacing/>
        <w:jc w:val="both"/>
        <w:rPr>
          <w:rFonts w:ascii="Times New Roman" w:eastAsia="Calibri" w:hAnsi="Times New Roman" w:cs="Times New Roman"/>
          <w:sz w:val="24"/>
          <w:szCs w:val="24"/>
        </w:rPr>
      </w:pPr>
    </w:p>
    <w:p w:rsidR="00A25E0D" w:rsidRPr="00AD0E1F" w:rsidRDefault="00A25E0D" w:rsidP="00A25E0D">
      <w:pPr>
        <w:spacing w:after="200" w:line="276" w:lineRule="auto"/>
        <w:jc w:val="both"/>
        <w:rPr>
          <w:rFonts w:ascii="Times New Roman" w:eastAsia="Calibri" w:hAnsi="Times New Roman" w:cs="Times New Roman"/>
          <w:sz w:val="24"/>
          <w:szCs w:val="24"/>
        </w:rPr>
      </w:pPr>
      <w:r w:rsidRPr="00AD0E1F">
        <w:rPr>
          <w:rFonts w:ascii="Times New Roman" w:eastAsia="Calibri" w:hAnsi="Times New Roman" w:cs="Times New Roman"/>
          <w:sz w:val="24"/>
          <w:szCs w:val="24"/>
        </w:rPr>
        <w:t>FT-IR was used to characterize possible interactions between the drug and the carrier in solid Diclofenac Sodium.</w:t>
      </w:r>
    </w:p>
    <w:commentRangeEnd w:id="52"/>
    <w:p w:rsidR="00A25E0D" w:rsidRPr="00AD0E1F" w:rsidRDefault="005F3439" w:rsidP="00A25E0D">
      <w:pPr>
        <w:rPr>
          <w:rFonts w:ascii="Times New Roman" w:hAnsi="Times New Roman" w:cs="Times New Roman"/>
          <w:b/>
          <w:sz w:val="28"/>
        </w:rPr>
      </w:pPr>
      <w:r>
        <w:rPr>
          <w:rStyle w:val="CommentReference"/>
        </w:rPr>
        <w:commentReference w:id="52"/>
      </w:r>
    </w:p>
    <w:p w:rsidR="00A25E0D" w:rsidRPr="00AD0E1F" w:rsidRDefault="00A25E0D" w:rsidP="00A341E8">
      <w:pPr>
        <w:rPr>
          <w:rFonts w:ascii="Times New Roman" w:eastAsia="Calibri" w:hAnsi="Times New Roman" w:cs="Times New Roman"/>
          <w:b/>
          <w:sz w:val="24"/>
          <w:szCs w:val="24"/>
        </w:rPr>
      </w:pPr>
      <w:r w:rsidRPr="00AD0E1F">
        <w:rPr>
          <w:rFonts w:ascii="Times New Roman" w:hAnsi="Times New Roman" w:cs="Times New Roman"/>
          <w:b/>
          <w:sz w:val="28"/>
        </w:rPr>
        <w:t>FT-IR spectra of Pure Glimepiride</w:t>
      </w:r>
    </w:p>
    <w:p w:rsidR="00A25E0D" w:rsidRPr="00AD0E1F" w:rsidRDefault="00A25E0D" w:rsidP="00A25E0D">
      <w:pPr>
        <w:rPr>
          <w:rFonts w:ascii="Times New Roman" w:hAnsi="Times New Roman" w:cs="Times New Roman"/>
          <w:b/>
          <w:sz w:val="28"/>
        </w:rPr>
      </w:pPr>
      <w:commentRangeStart w:id="53"/>
      <w:r w:rsidRPr="00AD0E1F">
        <w:rPr>
          <w:rFonts w:ascii="Times New Roman" w:hAnsi="Times New Roman" w:cs="Times New Roman"/>
          <w:b/>
          <w:noProof/>
          <w:sz w:val="28"/>
          <w:lang w:bidi="ar-SA"/>
        </w:rPr>
        <w:lastRenderedPageBreak/>
        <w:drawing>
          <wp:inline distT="0" distB="0" distL="0" distR="0">
            <wp:extent cx="5943600" cy="4227382"/>
            <wp:effectExtent l="0" t="0" r="0" b="1905"/>
            <wp:docPr id="359" name="Picture 359" descr="C:\Users\HP\Desktop\Sajjad Project\Scan\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ajjad Project\Scan\Untitled-1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4227382"/>
                    </a:xfrm>
                    <a:prstGeom prst="rect">
                      <a:avLst/>
                    </a:prstGeom>
                    <a:noFill/>
                    <a:ln>
                      <a:noFill/>
                    </a:ln>
                  </pic:spPr>
                </pic:pic>
              </a:graphicData>
            </a:graphic>
          </wp:inline>
        </w:drawing>
      </w:r>
      <w:commentRangeEnd w:id="53"/>
      <w:r w:rsidR="005F3439">
        <w:rPr>
          <w:rStyle w:val="CommentReference"/>
        </w:rPr>
        <w:commentReference w:id="53"/>
      </w: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tbl>
      <w:tblPr>
        <w:tblW w:w="0" w:type="auto"/>
        <w:tblInd w:w="10" w:type="dxa"/>
        <w:tblCellMar>
          <w:left w:w="10" w:type="dxa"/>
          <w:right w:w="10" w:type="dxa"/>
        </w:tblCellMar>
        <w:tblLook w:val="04A0"/>
      </w:tblPr>
      <w:tblGrid>
        <w:gridCol w:w="1115"/>
        <w:gridCol w:w="2480"/>
        <w:gridCol w:w="4500"/>
      </w:tblGrid>
      <w:tr w:rsidR="00A25E0D" w:rsidRPr="00AD0E1F" w:rsidTr="00A25E0D">
        <w:trPr>
          <w:trHeight w:val="663"/>
        </w:trPr>
        <w:tc>
          <w:tcPr>
            <w:tcW w:w="1115" w:type="dxa"/>
          </w:tcPr>
          <w:p w:rsidR="00A25E0D" w:rsidRPr="00AD0E1F" w:rsidRDefault="00A25E0D" w:rsidP="00A25E0D">
            <w:pPr>
              <w:rPr>
                <w:rFonts w:ascii="Times New Roman" w:hAnsi="Times New Roman" w:cs="Times New Roman"/>
                <w:b/>
                <w:sz w:val="28"/>
              </w:rPr>
            </w:pPr>
            <w:r w:rsidRPr="00AD0E1F">
              <w:rPr>
                <w:rFonts w:ascii="Times New Roman" w:hAnsi="Times New Roman" w:cs="Times New Roman"/>
                <w:b/>
                <w:sz w:val="28"/>
              </w:rPr>
              <w:t>SN.</w:t>
            </w:r>
          </w:p>
        </w:tc>
        <w:tc>
          <w:tcPr>
            <w:tcW w:w="2480" w:type="dxa"/>
          </w:tcPr>
          <w:p w:rsidR="00A25E0D" w:rsidRPr="00AD0E1F" w:rsidRDefault="00A25E0D" w:rsidP="00A25E0D">
            <w:pPr>
              <w:rPr>
                <w:rFonts w:ascii="Times New Roman" w:hAnsi="Times New Roman" w:cs="Times New Roman"/>
                <w:b/>
                <w:sz w:val="28"/>
              </w:rPr>
            </w:pPr>
            <w:r w:rsidRPr="00AD0E1F">
              <w:rPr>
                <w:rFonts w:ascii="Times New Roman" w:hAnsi="Times New Roman" w:cs="Times New Roman"/>
                <w:b/>
                <w:sz w:val="28"/>
              </w:rPr>
              <w:t>Peak</w:t>
            </w:r>
          </w:p>
        </w:tc>
        <w:tc>
          <w:tcPr>
            <w:tcW w:w="4500" w:type="dxa"/>
          </w:tcPr>
          <w:p w:rsidR="00A25E0D" w:rsidRPr="00AD0E1F" w:rsidRDefault="00A25E0D" w:rsidP="00A25E0D">
            <w:pPr>
              <w:rPr>
                <w:rFonts w:ascii="Times New Roman" w:hAnsi="Times New Roman" w:cs="Times New Roman"/>
                <w:b/>
                <w:sz w:val="28"/>
              </w:rPr>
            </w:pPr>
            <w:r w:rsidRPr="00AD0E1F">
              <w:rPr>
                <w:rFonts w:ascii="Times New Roman" w:hAnsi="Times New Roman" w:cs="Times New Roman"/>
                <w:b/>
                <w:sz w:val="28"/>
              </w:rPr>
              <w:t>Indication</w:t>
            </w:r>
          </w:p>
        </w:tc>
      </w:tr>
      <w:tr w:rsidR="00A25E0D" w:rsidRPr="00AD0E1F" w:rsidTr="00A25E0D">
        <w:trPr>
          <w:trHeight w:val="1295"/>
        </w:trPr>
        <w:tc>
          <w:tcPr>
            <w:tcW w:w="1115" w:type="dxa"/>
          </w:tcPr>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lastRenderedPageBreak/>
              <w:t>01</w:t>
            </w:r>
          </w:p>
        </w:tc>
        <w:tc>
          <w:tcPr>
            <w:tcW w:w="2480" w:type="dxa"/>
          </w:tcPr>
          <w:p w:rsidR="00A25E0D" w:rsidRPr="00AD0E1F" w:rsidRDefault="00A25E0D" w:rsidP="00A25E0D">
            <w:pPr>
              <w:rPr>
                <w:rFonts w:ascii="Times New Roman" w:hAnsi="Times New Roman" w:cs="Times New Roman"/>
                <w:sz w:val="24"/>
                <w:szCs w:val="24"/>
                <w:vertAlign w:val="superscript"/>
              </w:rPr>
            </w:pPr>
            <w:r w:rsidRPr="00AD0E1F">
              <w:rPr>
                <w:rFonts w:ascii="Times New Roman" w:hAnsi="Times New Roman" w:cs="Times New Roman"/>
                <w:sz w:val="24"/>
                <w:szCs w:val="24"/>
              </w:rPr>
              <w:t>1454.39 cm</w:t>
            </w:r>
            <w:r w:rsidRPr="00AD0E1F">
              <w:rPr>
                <w:rFonts w:ascii="Times New Roman" w:hAnsi="Times New Roman" w:cs="Times New Roman"/>
                <w:sz w:val="24"/>
                <w:szCs w:val="24"/>
                <w:vertAlign w:val="superscript"/>
              </w:rPr>
              <w:t>-1</w:t>
            </w:r>
          </w:p>
          <w:p w:rsidR="00A25E0D" w:rsidRPr="00AD0E1F" w:rsidRDefault="00A25E0D" w:rsidP="00A25E0D">
            <w:pPr>
              <w:rPr>
                <w:rFonts w:ascii="Times New Roman" w:hAnsi="Times New Roman" w:cs="Times New Roman"/>
                <w:sz w:val="24"/>
                <w:szCs w:val="24"/>
                <w:vertAlign w:val="superscript"/>
              </w:rPr>
            </w:pPr>
            <w:r w:rsidRPr="00AD0E1F">
              <w:rPr>
                <w:rFonts w:ascii="Times New Roman" w:hAnsi="Times New Roman" w:cs="Times New Roman"/>
                <w:sz w:val="24"/>
                <w:szCs w:val="24"/>
              </w:rPr>
              <w:t>1444.75 cm</w:t>
            </w:r>
            <w:r w:rsidRPr="00AD0E1F">
              <w:rPr>
                <w:rFonts w:ascii="Times New Roman" w:hAnsi="Times New Roman" w:cs="Times New Roman"/>
                <w:sz w:val="24"/>
                <w:szCs w:val="24"/>
                <w:vertAlign w:val="superscript"/>
              </w:rPr>
              <w:t>-1</w:t>
            </w:r>
          </w:p>
          <w:p w:rsidR="00A25E0D" w:rsidRPr="00AD0E1F" w:rsidRDefault="00A25E0D" w:rsidP="00A25E0D">
            <w:pPr>
              <w:rPr>
                <w:rFonts w:ascii="Times New Roman" w:hAnsi="Times New Roman" w:cs="Times New Roman"/>
                <w:sz w:val="24"/>
                <w:szCs w:val="24"/>
                <w:vertAlign w:val="superscript"/>
              </w:rPr>
            </w:pPr>
            <w:r w:rsidRPr="00AD0E1F">
              <w:rPr>
                <w:rFonts w:ascii="Times New Roman" w:hAnsi="Times New Roman" w:cs="Times New Roman"/>
                <w:sz w:val="24"/>
                <w:szCs w:val="24"/>
              </w:rPr>
              <w:t>1437.03 cm</w:t>
            </w:r>
            <w:r w:rsidRPr="00AD0E1F">
              <w:rPr>
                <w:rFonts w:ascii="Times New Roman" w:hAnsi="Times New Roman" w:cs="Times New Roman"/>
                <w:sz w:val="24"/>
                <w:szCs w:val="24"/>
                <w:vertAlign w:val="superscript"/>
              </w:rPr>
              <w:t>-1</w:t>
            </w:r>
          </w:p>
        </w:tc>
        <w:tc>
          <w:tcPr>
            <w:tcW w:w="450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C-H bending</w:t>
            </w:r>
          </w:p>
        </w:tc>
      </w:tr>
      <w:tr w:rsidR="00A25E0D" w:rsidRPr="00AD0E1F" w:rsidTr="00A25E0D">
        <w:trPr>
          <w:trHeight w:val="800"/>
        </w:trPr>
        <w:tc>
          <w:tcPr>
            <w:tcW w:w="1115" w:type="dxa"/>
          </w:tcPr>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t>02</w:t>
            </w:r>
          </w:p>
        </w:tc>
        <w:tc>
          <w:tcPr>
            <w:tcW w:w="2480" w:type="dxa"/>
          </w:tcPr>
          <w:p w:rsidR="00A25E0D" w:rsidRPr="00AD0E1F" w:rsidRDefault="00A25E0D" w:rsidP="00A25E0D">
            <w:pPr>
              <w:rPr>
                <w:rFonts w:ascii="Times New Roman" w:hAnsi="Times New Roman" w:cs="Times New Roman"/>
                <w:sz w:val="24"/>
                <w:szCs w:val="24"/>
                <w:vertAlign w:val="superscript"/>
              </w:rPr>
            </w:pPr>
            <w:r w:rsidRPr="00AD0E1F">
              <w:rPr>
                <w:rFonts w:ascii="Times New Roman" w:hAnsi="Times New Roman" w:cs="Times New Roman"/>
                <w:sz w:val="24"/>
                <w:szCs w:val="24"/>
              </w:rPr>
              <w:t>1659.82 cm</w:t>
            </w:r>
            <w:r w:rsidRPr="00AD0E1F">
              <w:rPr>
                <w:rFonts w:ascii="Times New Roman" w:hAnsi="Times New Roman" w:cs="Times New Roman"/>
                <w:sz w:val="24"/>
                <w:szCs w:val="24"/>
                <w:vertAlign w:val="superscript"/>
              </w:rPr>
              <w:t>-1</w:t>
            </w:r>
          </w:p>
        </w:tc>
        <w:tc>
          <w:tcPr>
            <w:tcW w:w="450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C=C Stretching</w:t>
            </w:r>
          </w:p>
        </w:tc>
      </w:tr>
      <w:tr w:rsidR="00A25E0D" w:rsidRPr="00AD0E1F" w:rsidTr="00A25E0D">
        <w:trPr>
          <w:trHeight w:val="890"/>
        </w:trPr>
        <w:tc>
          <w:tcPr>
            <w:tcW w:w="1115" w:type="dxa"/>
          </w:tcPr>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t>03</w:t>
            </w:r>
          </w:p>
        </w:tc>
        <w:tc>
          <w:tcPr>
            <w:tcW w:w="2480" w:type="dxa"/>
          </w:tcPr>
          <w:p w:rsidR="00A25E0D" w:rsidRPr="00AD0E1F" w:rsidRDefault="00A25E0D" w:rsidP="00A25E0D">
            <w:pPr>
              <w:rPr>
                <w:rFonts w:ascii="Times New Roman" w:hAnsi="Times New Roman" w:cs="Times New Roman"/>
                <w:sz w:val="24"/>
                <w:szCs w:val="24"/>
                <w:vertAlign w:val="superscript"/>
              </w:rPr>
            </w:pPr>
            <w:r w:rsidRPr="00AD0E1F">
              <w:rPr>
                <w:rFonts w:ascii="Times New Roman" w:hAnsi="Times New Roman" w:cs="Times New Roman"/>
                <w:sz w:val="24"/>
                <w:szCs w:val="24"/>
              </w:rPr>
              <w:t>1595.20 cm</w:t>
            </w:r>
            <w:r w:rsidRPr="00AD0E1F">
              <w:rPr>
                <w:rFonts w:ascii="Times New Roman" w:hAnsi="Times New Roman" w:cs="Times New Roman"/>
                <w:sz w:val="24"/>
                <w:szCs w:val="24"/>
                <w:vertAlign w:val="superscript"/>
              </w:rPr>
              <w:t>-1</w:t>
            </w:r>
          </w:p>
        </w:tc>
        <w:tc>
          <w:tcPr>
            <w:tcW w:w="450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 xml:space="preserve">C=O Asymmetric Stretching  </w:t>
            </w:r>
          </w:p>
        </w:tc>
      </w:tr>
      <w:tr w:rsidR="00A25E0D" w:rsidRPr="00AD0E1F" w:rsidTr="00A25E0D">
        <w:trPr>
          <w:trHeight w:val="800"/>
        </w:trPr>
        <w:tc>
          <w:tcPr>
            <w:tcW w:w="1115" w:type="dxa"/>
          </w:tcPr>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t>04</w:t>
            </w:r>
          </w:p>
        </w:tc>
        <w:tc>
          <w:tcPr>
            <w:tcW w:w="2480" w:type="dxa"/>
          </w:tcPr>
          <w:p w:rsidR="00A25E0D" w:rsidRPr="00AD0E1F" w:rsidRDefault="00A25E0D" w:rsidP="00A25E0D">
            <w:pPr>
              <w:rPr>
                <w:rFonts w:ascii="Times New Roman" w:hAnsi="Times New Roman" w:cs="Times New Roman"/>
                <w:sz w:val="24"/>
                <w:szCs w:val="24"/>
                <w:vertAlign w:val="superscript"/>
              </w:rPr>
            </w:pPr>
            <w:r w:rsidRPr="00AD0E1F">
              <w:rPr>
                <w:rFonts w:ascii="Times New Roman" w:hAnsi="Times New Roman" w:cs="Times New Roman"/>
                <w:sz w:val="24"/>
                <w:szCs w:val="24"/>
              </w:rPr>
              <w:t>1345.41 cm</w:t>
            </w:r>
            <w:r w:rsidRPr="00AD0E1F">
              <w:rPr>
                <w:rFonts w:ascii="Times New Roman" w:hAnsi="Times New Roman" w:cs="Times New Roman"/>
                <w:sz w:val="24"/>
                <w:szCs w:val="24"/>
                <w:vertAlign w:val="superscript"/>
              </w:rPr>
              <w:t>-1</w:t>
            </w:r>
          </w:p>
        </w:tc>
        <w:tc>
          <w:tcPr>
            <w:tcW w:w="450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C-N Stretching</w:t>
            </w:r>
          </w:p>
        </w:tc>
      </w:tr>
      <w:tr w:rsidR="00A25E0D" w:rsidRPr="00AD0E1F" w:rsidTr="00A25E0D">
        <w:trPr>
          <w:trHeight w:val="800"/>
        </w:trPr>
        <w:tc>
          <w:tcPr>
            <w:tcW w:w="1115" w:type="dxa"/>
          </w:tcPr>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t>05</w:t>
            </w:r>
          </w:p>
        </w:tc>
        <w:tc>
          <w:tcPr>
            <w:tcW w:w="2480" w:type="dxa"/>
          </w:tcPr>
          <w:p w:rsidR="00A25E0D" w:rsidRPr="00AD0E1F" w:rsidRDefault="00A25E0D" w:rsidP="00A25E0D">
            <w:pPr>
              <w:rPr>
                <w:rFonts w:ascii="Times New Roman" w:hAnsi="Times New Roman" w:cs="Times New Roman"/>
                <w:sz w:val="24"/>
                <w:szCs w:val="24"/>
                <w:vertAlign w:val="superscript"/>
              </w:rPr>
            </w:pPr>
            <w:r w:rsidRPr="00AD0E1F">
              <w:rPr>
                <w:rFonts w:ascii="Times New Roman" w:hAnsi="Times New Roman" w:cs="Times New Roman"/>
                <w:sz w:val="24"/>
                <w:szCs w:val="24"/>
              </w:rPr>
              <w:t>1317.44 cm</w:t>
            </w:r>
            <w:r w:rsidRPr="00AD0E1F">
              <w:rPr>
                <w:rFonts w:ascii="Times New Roman" w:hAnsi="Times New Roman" w:cs="Times New Roman"/>
                <w:sz w:val="24"/>
                <w:szCs w:val="24"/>
                <w:vertAlign w:val="superscript"/>
              </w:rPr>
              <w:t>-1</w:t>
            </w:r>
          </w:p>
        </w:tc>
        <w:tc>
          <w:tcPr>
            <w:tcW w:w="450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S=O Asymmetric Stretching</w:t>
            </w:r>
          </w:p>
        </w:tc>
      </w:tr>
      <w:tr w:rsidR="00A25E0D" w:rsidRPr="00AD0E1F" w:rsidTr="00A25E0D">
        <w:trPr>
          <w:trHeight w:val="800"/>
        </w:trPr>
        <w:tc>
          <w:tcPr>
            <w:tcW w:w="1115" w:type="dxa"/>
          </w:tcPr>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t>06</w:t>
            </w:r>
          </w:p>
        </w:tc>
        <w:tc>
          <w:tcPr>
            <w:tcW w:w="2480" w:type="dxa"/>
          </w:tcPr>
          <w:p w:rsidR="00A25E0D" w:rsidRPr="00AD0E1F" w:rsidRDefault="00A25E0D" w:rsidP="00A25E0D">
            <w:pPr>
              <w:rPr>
                <w:rFonts w:ascii="Times New Roman" w:hAnsi="Times New Roman" w:cs="Times New Roman"/>
                <w:sz w:val="24"/>
                <w:szCs w:val="24"/>
                <w:vertAlign w:val="superscript"/>
              </w:rPr>
            </w:pPr>
            <w:r w:rsidRPr="00AD0E1F">
              <w:rPr>
                <w:rFonts w:ascii="Times New Roman" w:hAnsi="Times New Roman" w:cs="Times New Roman"/>
                <w:sz w:val="24"/>
                <w:szCs w:val="24"/>
              </w:rPr>
              <w:t>1150.59 cm</w:t>
            </w:r>
            <w:r w:rsidRPr="00AD0E1F">
              <w:rPr>
                <w:rFonts w:ascii="Times New Roman" w:hAnsi="Times New Roman" w:cs="Times New Roman"/>
                <w:sz w:val="24"/>
                <w:szCs w:val="24"/>
                <w:vertAlign w:val="superscript"/>
              </w:rPr>
              <w:t>-1</w:t>
            </w:r>
          </w:p>
        </w:tc>
        <w:tc>
          <w:tcPr>
            <w:tcW w:w="450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S=O Symmetric Stretching</w:t>
            </w:r>
          </w:p>
          <w:p w:rsidR="00A25E0D" w:rsidRPr="00AD0E1F" w:rsidRDefault="00A25E0D" w:rsidP="00A25E0D">
            <w:pPr>
              <w:rPr>
                <w:rFonts w:ascii="Times New Roman" w:hAnsi="Times New Roman" w:cs="Times New Roman"/>
                <w:sz w:val="24"/>
                <w:szCs w:val="24"/>
              </w:rPr>
            </w:pPr>
          </w:p>
        </w:tc>
      </w:tr>
      <w:tr w:rsidR="00A25E0D" w:rsidRPr="00AD0E1F" w:rsidTr="00A25E0D">
        <w:trPr>
          <w:trHeight w:val="980"/>
        </w:trPr>
        <w:tc>
          <w:tcPr>
            <w:tcW w:w="1115" w:type="dxa"/>
          </w:tcPr>
          <w:p w:rsidR="00A25E0D" w:rsidRPr="00AD0E1F" w:rsidRDefault="00A25E0D" w:rsidP="00A25E0D">
            <w:pPr>
              <w:rPr>
                <w:rFonts w:ascii="Times New Roman" w:hAnsi="Times New Roman" w:cs="Times New Roman"/>
                <w:b/>
                <w:sz w:val="24"/>
                <w:szCs w:val="24"/>
              </w:rPr>
            </w:pPr>
            <w:commentRangeStart w:id="54"/>
            <w:r w:rsidRPr="00AD0E1F">
              <w:rPr>
                <w:rFonts w:ascii="Times New Roman" w:hAnsi="Times New Roman" w:cs="Times New Roman"/>
                <w:b/>
                <w:sz w:val="24"/>
                <w:szCs w:val="24"/>
              </w:rPr>
              <w:t>07</w:t>
            </w:r>
          </w:p>
        </w:tc>
        <w:tc>
          <w:tcPr>
            <w:tcW w:w="2480" w:type="dxa"/>
          </w:tcPr>
          <w:p w:rsidR="00A25E0D" w:rsidRPr="00AD0E1F" w:rsidRDefault="00A25E0D" w:rsidP="00A25E0D">
            <w:pPr>
              <w:rPr>
                <w:rFonts w:ascii="Times New Roman" w:hAnsi="Times New Roman" w:cs="Times New Roman"/>
                <w:sz w:val="24"/>
                <w:szCs w:val="24"/>
                <w:vertAlign w:val="superscript"/>
              </w:rPr>
            </w:pPr>
            <w:r w:rsidRPr="00AD0E1F">
              <w:rPr>
                <w:rFonts w:ascii="Times New Roman" w:hAnsi="Times New Roman" w:cs="Times New Roman"/>
                <w:sz w:val="24"/>
                <w:szCs w:val="24"/>
              </w:rPr>
              <w:t>1472.71 cm</w:t>
            </w:r>
            <w:r w:rsidRPr="00AD0E1F">
              <w:rPr>
                <w:rFonts w:ascii="Times New Roman" w:hAnsi="Times New Roman" w:cs="Times New Roman"/>
                <w:sz w:val="24"/>
                <w:szCs w:val="24"/>
                <w:vertAlign w:val="superscript"/>
              </w:rPr>
              <w:t>-1</w:t>
            </w:r>
          </w:p>
        </w:tc>
        <w:tc>
          <w:tcPr>
            <w:tcW w:w="450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NH</w:t>
            </w:r>
            <w:r w:rsidRPr="00AD0E1F">
              <w:rPr>
                <w:rFonts w:ascii="Times New Roman" w:hAnsi="Times New Roman" w:cs="Times New Roman"/>
                <w:sz w:val="24"/>
                <w:szCs w:val="24"/>
                <w:vertAlign w:val="subscript"/>
              </w:rPr>
              <w:t xml:space="preserve">2 </w:t>
            </w:r>
            <w:r w:rsidRPr="00AD0E1F">
              <w:rPr>
                <w:rFonts w:ascii="Times New Roman" w:hAnsi="Times New Roman" w:cs="Times New Roman"/>
                <w:sz w:val="24"/>
                <w:szCs w:val="24"/>
              </w:rPr>
              <w:t>bending</w:t>
            </w:r>
            <w:commentRangeEnd w:id="54"/>
            <w:r w:rsidR="005F3439">
              <w:rPr>
                <w:rStyle w:val="CommentReference"/>
              </w:rPr>
              <w:commentReference w:id="54"/>
            </w:r>
          </w:p>
        </w:tc>
      </w:tr>
    </w:tbl>
    <w:p w:rsidR="00A25E0D" w:rsidRPr="00AD0E1F" w:rsidRDefault="00A25E0D" w:rsidP="00A341E8">
      <w:pPr>
        <w:autoSpaceDE w:val="0"/>
        <w:autoSpaceDN w:val="0"/>
        <w:adjustRightInd w:val="0"/>
        <w:spacing w:after="0" w:line="240" w:lineRule="auto"/>
        <w:rPr>
          <w:rFonts w:ascii="Times New Roman" w:hAnsi="Times New Roman" w:cs="Times New Roman"/>
          <w:b/>
          <w:bCs/>
          <w:color w:val="231F20"/>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r w:rsidRPr="00AD0E1F">
        <w:rPr>
          <w:rFonts w:ascii="Times New Roman" w:hAnsi="Times New Roman" w:cs="Times New Roman"/>
          <w:b/>
          <w:sz w:val="28"/>
        </w:rPr>
        <w:t>FTIR spectra of Glimepiride Solid dispersion with PEG4000 prepared by Fusion method (G3=Glim+PEG4000)</w:t>
      </w:r>
    </w:p>
    <w:p w:rsidR="00A25E0D" w:rsidRPr="00AD0E1F" w:rsidRDefault="00A25E0D" w:rsidP="00A25E0D">
      <w:pPr>
        <w:rPr>
          <w:rFonts w:ascii="Times New Roman" w:hAnsi="Times New Roman" w:cs="Times New Roman"/>
          <w:b/>
          <w:sz w:val="28"/>
        </w:rPr>
      </w:pPr>
      <w:commentRangeStart w:id="55"/>
      <w:r w:rsidRPr="00AD0E1F">
        <w:rPr>
          <w:rFonts w:ascii="Times New Roman" w:hAnsi="Times New Roman" w:cs="Times New Roman"/>
          <w:b/>
          <w:noProof/>
          <w:sz w:val="28"/>
          <w:lang w:bidi="ar-SA"/>
        </w:rPr>
        <w:drawing>
          <wp:inline distT="0" distB="0" distL="0" distR="0">
            <wp:extent cx="5943600" cy="4230763"/>
            <wp:effectExtent l="0" t="0" r="0" b="0"/>
            <wp:docPr id="362" name="Picture 362" descr="C:\Users\HP\Desktop\Sajjad Project\Scan\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ajjad Project\Scan\Untitled-5.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4230763"/>
                    </a:xfrm>
                    <a:prstGeom prst="rect">
                      <a:avLst/>
                    </a:prstGeom>
                    <a:noFill/>
                    <a:ln>
                      <a:noFill/>
                    </a:ln>
                  </pic:spPr>
                </pic:pic>
              </a:graphicData>
            </a:graphic>
          </wp:inline>
        </w:drawing>
      </w:r>
      <w:commentRangeEnd w:id="55"/>
      <w:r w:rsidR="005F3439">
        <w:rPr>
          <w:rStyle w:val="CommentReference"/>
        </w:rPr>
        <w:commentReference w:id="55"/>
      </w:r>
    </w:p>
    <w:p w:rsidR="00A25E0D" w:rsidRPr="00AD0E1F" w:rsidRDefault="00A341E8" w:rsidP="00A25E0D">
      <w:pPr>
        <w:rPr>
          <w:rFonts w:ascii="Times New Roman" w:hAnsi="Times New Roman" w:cs="Times New Roman"/>
          <w:b/>
          <w:sz w:val="28"/>
        </w:rPr>
      </w:pPr>
      <w:r w:rsidRPr="00AD0E1F">
        <w:rPr>
          <w:rFonts w:ascii="Times New Roman" w:hAnsi="Times New Roman" w:cs="Times New Roman"/>
          <w:b/>
          <w:sz w:val="28"/>
        </w:rPr>
        <w:t>Fig: 4.</w:t>
      </w:r>
      <w:r w:rsidR="00A25E0D" w:rsidRPr="00AD0E1F">
        <w:rPr>
          <w:rFonts w:ascii="Times New Roman" w:hAnsi="Times New Roman" w:cs="Times New Roman"/>
          <w:b/>
          <w:sz w:val="28"/>
        </w:rPr>
        <w:t xml:space="preserve"> FTIR of G3 (Glim+PEG4000)</w:t>
      </w: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tbl>
      <w:tblPr>
        <w:tblW w:w="0" w:type="auto"/>
        <w:tblInd w:w="10" w:type="dxa"/>
        <w:tblCellMar>
          <w:left w:w="10" w:type="dxa"/>
          <w:right w:w="10" w:type="dxa"/>
        </w:tblCellMar>
        <w:tblLook w:val="04A0"/>
      </w:tblPr>
      <w:tblGrid>
        <w:gridCol w:w="805"/>
        <w:gridCol w:w="2610"/>
        <w:gridCol w:w="3960"/>
      </w:tblGrid>
      <w:tr w:rsidR="00A25E0D" w:rsidRPr="00AD0E1F" w:rsidTr="00A25E0D">
        <w:trPr>
          <w:trHeight w:val="410"/>
        </w:trPr>
        <w:tc>
          <w:tcPr>
            <w:tcW w:w="805" w:type="dxa"/>
          </w:tcPr>
          <w:p w:rsidR="00A25E0D" w:rsidRPr="00AD0E1F" w:rsidRDefault="00A25E0D" w:rsidP="00A25E0D">
            <w:pPr>
              <w:rPr>
                <w:rFonts w:ascii="Times New Roman" w:hAnsi="Times New Roman" w:cs="Times New Roman"/>
                <w:b/>
                <w:sz w:val="28"/>
              </w:rPr>
            </w:pPr>
            <w:r w:rsidRPr="00AD0E1F">
              <w:rPr>
                <w:rFonts w:ascii="Times New Roman" w:hAnsi="Times New Roman" w:cs="Times New Roman"/>
                <w:b/>
                <w:sz w:val="28"/>
              </w:rPr>
              <w:t>SN.</w:t>
            </w:r>
          </w:p>
        </w:tc>
        <w:tc>
          <w:tcPr>
            <w:tcW w:w="2610" w:type="dxa"/>
          </w:tcPr>
          <w:p w:rsidR="00A25E0D" w:rsidRPr="00AD0E1F" w:rsidRDefault="00A25E0D" w:rsidP="00A25E0D">
            <w:pPr>
              <w:rPr>
                <w:rFonts w:ascii="Times New Roman" w:hAnsi="Times New Roman" w:cs="Times New Roman"/>
                <w:b/>
                <w:sz w:val="28"/>
              </w:rPr>
            </w:pPr>
            <w:r w:rsidRPr="00AD0E1F">
              <w:rPr>
                <w:rFonts w:ascii="Times New Roman" w:hAnsi="Times New Roman" w:cs="Times New Roman"/>
                <w:b/>
                <w:sz w:val="28"/>
              </w:rPr>
              <w:t>Peak</w:t>
            </w:r>
          </w:p>
        </w:tc>
        <w:tc>
          <w:tcPr>
            <w:tcW w:w="3960" w:type="dxa"/>
          </w:tcPr>
          <w:p w:rsidR="00A25E0D" w:rsidRPr="00AD0E1F" w:rsidRDefault="00A25E0D" w:rsidP="00A25E0D">
            <w:pPr>
              <w:rPr>
                <w:rFonts w:ascii="Times New Roman" w:hAnsi="Times New Roman" w:cs="Times New Roman"/>
                <w:b/>
                <w:sz w:val="28"/>
              </w:rPr>
            </w:pPr>
            <w:r w:rsidRPr="00AD0E1F">
              <w:rPr>
                <w:rFonts w:ascii="Times New Roman" w:hAnsi="Times New Roman" w:cs="Times New Roman"/>
                <w:b/>
                <w:sz w:val="28"/>
              </w:rPr>
              <w:t>Indication</w:t>
            </w:r>
          </w:p>
        </w:tc>
      </w:tr>
      <w:tr w:rsidR="00A25E0D" w:rsidRPr="00AD0E1F" w:rsidTr="00A25E0D">
        <w:trPr>
          <w:trHeight w:val="690"/>
        </w:trPr>
        <w:tc>
          <w:tcPr>
            <w:tcW w:w="805" w:type="dxa"/>
          </w:tcPr>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t>01</w:t>
            </w:r>
          </w:p>
        </w:tc>
        <w:tc>
          <w:tcPr>
            <w:tcW w:w="261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1150.59 cm</w:t>
            </w:r>
            <w:r w:rsidRPr="00AD0E1F">
              <w:rPr>
                <w:rFonts w:ascii="Times New Roman" w:hAnsi="Times New Roman" w:cs="Times New Roman"/>
                <w:sz w:val="24"/>
                <w:szCs w:val="24"/>
                <w:vertAlign w:val="superscript"/>
              </w:rPr>
              <w:t>-1</w:t>
            </w:r>
          </w:p>
        </w:tc>
        <w:tc>
          <w:tcPr>
            <w:tcW w:w="396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C=O (stretch)</w:t>
            </w:r>
          </w:p>
        </w:tc>
      </w:tr>
      <w:tr w:rsidR="00A25E0D" w:rsidRPr="00AD0E1F" w:rsidTr="00A25E0D">
        <w:trPr>
          <w:trHeight w:val="885"/>
        </w:trPr>
        <w:tc>
          <w:tcPr>
            <w:tcW w:w="805" w:type="dxa"/>
          </w:tcPr>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t>02</w:t>
            </w:r>
          </w:p>
        </w:tc>
        <w:tc>
          <w:tcPr>
            <w:tcW w:w="261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1360.84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1465.96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p w:rsidR="00A25E0D" w:rsidRPr="00AD0E1F" w:rsidRDefault="00A25E0D" w:rsidP="00A25E0D">
            <w:pPr>
              <w:rPr>
                <w:rFonts w:ascii="Times New Roman" w:hAnsi="Times New Roman" w:cs="Times New Roman"/>
                <w:sz w:val="24"/>
                <w:szCs w:val="24"/>
                <w:vertAlign w:val="superscript"/>
              </w:rPr>
            </w:pPr>
            <w:r w:rsidRPr="00AD0E1F">
              <w:rPr>
                <w:rFonts w:ascii="Times New Roman" w:hAnsi="Times New Roman" w:cs="Times New Roman"/>
                <w:sz w:val="24"/>
                <w:szCs w:val="24"/>
              </w:rPr>
              <w:t>1472.71 cm</w:t>
            </w:r>
            <w:r w:rsidRPr="00AD0E1F">
              <w:rPr>
                <w:rFonts w:ascii="Times New Roman" w:hAnsi="Times New Roman" w:cs="Times New Roman"/>
                <w:sz w:val="24"/>
                <w:szCs w:val="24"/>
                <w:vertAlign w:val="superscript"/>
              </w:rPr>
              <w:t>-1,</w:t>
            </w:r>
          </w:p>
        </w:tc>
        <w:tc>
          <w:tcPr>
            <w:tcW w:w="396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C-H (bending)</w:t>
            </w:r>
          </w:p>
        </w:tc>
      </w:tr>
      <w:tr w:rsidR="00A25E0D" w:rsidRPr="00AD0E1F" w:rsidTr="00A25E0D">
        <w:trPr>
          <w:trHeight w:val="825"/>
        </w:trPr>
        <w:tc>
          <w:tcPr>
            <w:tcW w:w="805" w:type="dxa"/>
          </w:tcPr>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t>03</w:t>
            </w:r>
          </w:p>
        </w:tc>
        <w:tc>
          <w:tcPr>
            <w:tcW w:w="2610" w:type="dxa"/>
          </w:tcPr>
          <w:p w:rsidR="00A25E0D" w:rsidRPr="00AD0E1F" w:rsidRDefault="00A25E0D" w:rsidP="00A25E0D">
            <w:pPr>
              <w:rPr>
                <w:rFonts w:ascii="Times New Roman" w:hAnsi="Times New Roman" w:cs="Times New Roman"/>
                <w:sz w:val="24"/>
                <w:szCs w:val="24"/>
                <w:vertAlign w:val="superscript"/>
              </w:rPr>
            </w:pPr>
            <w:r w:rsidRPr="00AD0E1F">
              <w:rPr>
                <w:rFonts w:ascii="Times New Roman" w:hAnsi="Times New Roman" w:cs="Times New Roman"/>
                <w:sz w:val="24"/>
                <w:szCs w:val="24"/>
              </w:rPr>
              <w:t>1671.39 cm</w:t>
            </w:r>
            <w:r w:rsidRPr="00AD0E1F">
              <w:rPr>
                <w:rFonts w:ascii="Times New Roman" w:hAnsi="Times New Roman" w:cs="Times New Roman"/>
                <w:sz w:val="24"/>
                <w:szCs w:val="24"/>
                <w:vertAlign w:val="superscript"/>
              </w:rPr>
              <w:t>-1</w:t>
            </w:r>
          </w:p>
        </w:tc>
        <w:tc>
          <w:tcPr>
            <w:tcW w:w="396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C=C (Stretch)</w:t>
            </w:r>
          </w:p>
        </w:tc>
      </w:tr>
      <w:tr w:rsidR="00A25E0D" w:rsidRPr="00AD0E1F" w:rsidTr="00A25E0D">
        <w:trPr>
          <w:trHeight w:val="870"/>
        </w:trPr>
        <w:tc>
          <w:tcPr>
            <w:tcW w:w="805" w:type="dxa"/>
          </w:tcPr>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t>04</w:t>
            </w:r>
          </w:p>
        </w:tc>
        <w:tc>
          <w:tcPr>
            <w:tcW w:w="261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1671.39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1696.47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p w:rsidR="00A25E0D" w:rsidRPr="00AD0E1F" w:rsidRDefault="00A25E0D" w:rsidP="00A25E0D">
            <w:pPr>
              <w:rPr>
                <w:rFonts w:ascii="Times New Roman" w:hAnsi="Times New Roman" w:cs="Times New Roman"/>
                <w:sz w:val="24"/>
                <w:szCs w:val="24"/>
                <w:vertAlign w:val="superscript"/>
              </w:rPr>
            </w:pPr>
            <w:r w:rsidRPr="00AD0E1F">
              <w:rPr>
                <w:rFonts w:ascii="Times New Roman" w:hAnsi="Times New Roman" w:cs="Times New Roman"/>
                <w:sz w:val="24"/>
                <w:szCs w:val="24"/>
              </w:rPr>
              <w:t>1706.11 cm</w:t>
            </w:r>
            <w:r w:rsidRPr="00AD0E1F">
              <w:rPr>
                <w:rFonts w:ascii="Times New Roman" w:hAnsi="Times New Roman" w:cs="Times New Roman"/>
                <w:sz w:val="24"/>
                <w:szCs w:val="24"/>
                <w:vertAlign w:val="superscript"/>
              </w:rPr>
              <w:t>-1,</w:t>
            </w:r>
          </w:p>
        </w:tc>
        <w:tc>
          <w:tcPr>
            <w:tcW w:w="396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C=O (Stretch), Carbonyl</w:t>
            </w:r>
          </w:p>
        </w:tc>
      </w:tr>
      <w:tr w:rsidR="00A25E0D" w:rsidRPr="00AD0E1F" w:rsidTr="00A25E0D">
        <w:trPr>
          <w:trHeight w:val="915"/>
        </w:trPr>
        <w:tc>
          <w:tcPr>
            <w:tcW w:w="805" w:type="dxa"/>
          </w:tcPr>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t>05</w:t>
            </w:r>
          </w:p>
        </w:tc>
        <w:tc>
          <w:tcPr>
            <w:tcW w:w="261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1242.21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1279.82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tc>
        <w:tc>
          <w:tcPr>
            <w:tcW w:w="396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C-O (Stretch), Acid</w:t>
            </w:r>
          </w:p>
        </w:tc>
      </w:tr>
      <w:tr w:rsidR="00A25E0D" w:rsidRPr="00AD0E1F" w:rsidTr="00A25E0D">
        <w:trPr>
          <w:trHeight w:val="975"/>
        </w:trPr>
        <w:tc>
          <w:tcPr>
            <w:tcW w:w="805" w:type="dxa"/>
          </w:tcPr>
          <w:p w:rsidR="00A25E0D" w:rsidRPr="00AD0E1F" w:rsidRDefault="00A25E0D" w:rsidP="00A25E0D">
            <w:pPr>
              <w:rPr>
                <w:rFonts w:ascii="Times New Roman" w:hAnsi="Times New Roman" w:cs="Times New Roman"/>
                <w:b/>
                <w:sz w:val="24"/>
                <w:szCs w:val="24"/>
              </w:rPr>
            </w:pPr>
            <w:commentRangeStart w:id="56"/>
            <w:r w:rsidRPr="00AD0E1F">
              <w:rPr>
                <w:rFonts w:ascii="Times New Roman" w:hAnsi="Times New Roman" w:cs="Times New Roman"/>
                <w:b/>
                <w:sz w:val="24"/>
                <w:szCs w:val="24"/>
              </w:rPr>
              <w:t>06</w:t>
            </w:r>
          </w:p>
        </w:tc>
        <w:tc>
          <w:tcPr>
            <w:tcW w:w="2610" w:type="dxa"/>
          </w:tcPr>
          <w:p w:rsidR="00A25E0D" w:rsidRPr="00AD0E1F" w:rsidRDefault="00A25E0D" w:rsidP="00A25E0D">
            <w:pPr>
              <w:rPr>
                <w:rFonts w:ascii="Times New Roman" w:hAnsi="Times New Roman" w:cs="Times New Roman"/>
                <w:sz w:val="24"/>
                <w:szCs w:val="24"/>
                <w:vertAlign w:val="superscript"/>
              </w:rPr>
            </w:pPr>
            <w:r w:rsidRPr="00AD0E1F">
              <w:rPr>
                <w:rFonts w:ascii="Times New Roman" w:hAnsi="Times New Roman" w:cs="Times New Roman"/>
                <w:sz w:val="24"/>
                <w:szCs w:val="24"/>
              </w:rPr>
              <w:t>1706.11 cm</w:t>
            </w:r>
            <w:r w:rsidRPr="00AD0E1F">
              <w:rPr>
                <w:rFonts w:ascii="Times New Roman" w:hAnsi="Times New Roman" w:cs="Times New Roman"/>
                <w:sz w:val="24"/>
                <w:szCs w:val="24"/>
                <w:vertAlign w:val="superscript"/>
              </w:rPr>
              <w:t>-1</w:t>
            </w:r>
          </w:p>
        </w:tc>
        <w:tc>
          <w:tcPr>
            <w:tcW w:w="396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Acyclic (Stretch), Ketone</w:t>
            </w:r>
            <w:commentRangeEnd w:id="56"/>
            <w:r w:rsidR="005F3439">
              <w:rPr>
                <w:rStyle w:val="CommentReference"/>
              </w:rPr>
              <w:commentReference w:id="56"/>
            </w:r>
          </w:p>
        </w:tc>
      </w:tr>
    </w:tbl>
    <w:p w:rsidR="00A25E0D" w:rsidRPr="00AD0E1F" w:rsidRDefault="00A25E0D" w:rsidP="00A25E0D">
      <w:pPr>
        <w:rPr>
          <w:rFonts w:ascii="Times New Roman" w:hAnsi="Times New Roman" w:cs="Times New Roman"/>
          <w:b/>
          <w:sz w:val="28"/>
        </w:rPr>
      </w:pPr>
    </w:p>
    <w:p w:rsidR="00A25E0D" w:rsidRPr="00AD0E1F" w:rsidRDefault="00A25E0D" w:rsidP="00A25E0D">
      <w:pPr>
        <w:jc w:val="both"/>
        <w:rPr>
          <w:rFonts w:ascii="Times New Roman" w:hAnsi="Times New Roman" w:cs="Times New Roman"/>
          <w:sz w:val="24"/>
          <w:szCs w:val="24"/>
        </w:rPr>
      </w:pPr>
      <w:commentRangeStart w:id="57"/>
      <w:r w:rsidRPr="00AD0E1F">
        <w:rPr>
          <w:rFonts w:ascii="Times New Roman" w:hAnsi="Times New Roman" w:cs="Times New Roman"/>
          <w:sz w:val="24"/>
          <w:szCs w:val="24"/>
        </w:rPr>
        <w:t>From the above shown spectrum, we came to conclude that the spectrum seen in the pure glimepiride was also found in the case of solid dispersion with PEG4000. The spectrum were at same frequency range but some peaks were shifted to their near values. So we can say that there is no significant interaction between the drug &amp; PEG4000, hence there was no chemical change in the PEG4000 when it was in solid dispersion form.</w:t>
      </w:r>
    </w:p>
    <w:p w:rsidR="00A25E0D" w:rsidRPr="00AD0E1F" w:rsidRDefault="00A25E0D" w:rsidP="00A25E0D">
      <w:pPr>
        <w:rPr>
          <w:rFonts w:ascii="Times New Roman" w:hAnsi="Times New Roman" w:cs="Times New Roman"/>
          <w:b/>
          <w:sz w:val="28"/>
        </w:rPr>
      </w:pPr>
    </w:p>
    <w:commentRangeEnd w:id="57"/>
    <w:p w:rsidR="00A25E0D" w:rsidRPr="00AD0E1F" w:rsidRDefault="009B53CE" w:rsidP="00A25E0D">
      <w:pPr>
        <w:rPr>
          <w:rFonts w:ascii="Times New Roman" w:hAnsi="Times New Roman" w:cs="Times New Roman"/>
          <w:b/>
          <w:sz w:val="28"/>
        </w:rPr>
      </w:pPr>
      <w:r>
        <w:rPr>
          <w:rStyle w:val="CommentReference"/>
        </w:rPr>
        <w:commentReference w:id="57"/>
      </w: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r w:rsidRPr="00AD0E1F">
        <w:rPr>
          <w:rFonts w:ascii="Times New Roman" w:hAnsi="Times New Roman" w:cs="Times New Roman"/>
          <w:b/>
          <w:sz w:val="28"/>
        </w:rPr>
        <w:t xml:space="preserve"> FTIR spectra of Glimepiride Solid dispersion with PEG4000 &amp; Povidon prepared by Fusion method (G13= Glim+PEG4000+Povidon)</w:t>
      </w: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commentRangeStart w:id="58"/>
      <w:r w:rsidRPr="00AD0E1F">
        <w:rPr>
          <w:rFonts w:ascii="Times New Roman" w:hAnsi="Times New Roman" w:cs="Times New Roman"/>
          <w:b/>
          <w:noProof/>
          <w:sz w:val="28"/>
          <w:lang w:bidi="ar-SA"/>
        </w:rPr>
        <w:drawing>
          <wp:inline distT="0" distB="0" distL="0" distR="0">
            <wp:extent cx="5943600" cy="4117294"/>
            <wp:effectExtent l="0" t="0" r="0" b="0"/>
            <wp:docPr id="368" name="Picture 368" descr="C:\Users\HP\Desktop\Sajjad Project\Scan\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Sajjad Project\Scan\Untitled-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4117294"/>
                    </a:xfrm>
                    <a:prstGeom prst="rect">
                      <a:avLst/>
                    </a:prstGeom>
                    <a:noFill/>
                    <a:ln>
                      <a:noFill/>
                    </a:ln>
                  </pic:spPr>
                </pic:pic>
              </a:graphicData>
            </a:graphic>
          </wp:inline>
        </w:drawing>
      </w:r>
      <w:commentRangeEnd w:id="58"/>
      <w:r w:rsidR="005F3439">
        <w:rPr>
          <w:rStyle w:val="CommentReference"/>
        </w:rPr>
        <w:commentReference w:id="58"/>
      </w:r>
    </w:p>
    <w:p w:rsidR="00A25E0D" w:rsidRPr="00AD0E1F" w:rsidRDefault="00A341E8" w:rsidP="00A25E0D">
      <w:pPr>
        <w:rPr>
          <w:rFonts w:ascii="Times New Roman" w:hAnsi="Times New Roman" w:cs="Times New Roman"/>
          <w:b/>
          <w:sz w:val="28"/>
        </w:rPr>
      </w:pPr>
      <w:r w:rsidRPr="00AD0E1F">
        <w:rPr>
          <w:rFonts w:ascii="Times New Roman" w:hAnsi="Times New Roman" w:cs="Times New Roman"/>
          <w:b/>
          <w:sz w:val="28"/>
        </w:rPr>
        <w:t xml:space="preserve">Fig: </w:t>
      </w:r>
      <w:r w:rsidR="00A25E0D" w:rsidRPr="00AD0E1F">
        <w:rPr>
          <w:rFonts w:ascii="Times New Roman" w:hAnsi="Times New Roman" w:cs="Times New Roman"/>
          <w:b/>
          <w:sz w:val="28"/>
        </w:rPr>
        <w:t>5 FTIR of G13 (Glim+PEG4000+Povidone)</w:t>
      </w: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tbl>
      <w:tblPr>
        <w:tblW w:w="0" w:type="auto"/>
        <w:tblInd w:w="10" w:type="dxa"/>
        <w:tblCellMar>
          <w:left w:w="10" w:type="dxa"/>
          <w:right w:w="10" w:type="dxa"/>
        </w:tblCellMar>
        <w:tblLook w:val="04A0"/>
      </w:tblPr>
      <w:tblGrid>
        <w:gridCol w:w="1075"/>
        <w:gridCol w:w="2880"/>
        <w:gridCol w:w="2880"/>
      </w:tblGrid>
      <w:tr w:rsidR="00A25E0D" w:rsidRPr="00AD0E1F" w:rsidTr="00A25E0D">
        <w:trPr>
          <w:trHeight w:val="667"/>
        </w:trPr>
        <w:tc>
          <w:tcPr>
            <w:tcW w:w="1075" w:type="dxa"/>
          </w:tcPr>
          <w:p w:rsidR="00A25E0D" w:rsidRPr="00AD0E1F" w:rsidRDefault="00A25E0D" w:rsidP="00A25E0D">
            <w:pPr>
              <w:rPr>
                <w:rFonts w:ascii="Times New Roman" w:hAnsi="Times New Roman" w:cs="Times New Roman"/>
                <w:b/>
                <w:sz w:val="28"/>
              </w:rPr>
            </w:pPr>
            <w:r w:rsidRPr="00AD0E1F">
              <w:rPr>
                <w:rFonts w:ascii="Times New Roman" w:hAnsi="Times New Roman" w:cs="Times New Roman"/>
                <w:b/>
                <w:sz w:val="28"/>
              </w:rPr>
              <w:t>SN.</w:t>
            </w:r>
          </w:p>
        </w:tc>
        <w:tc>
          <w:tcPr>
            <w:tcW w:w="2880" w:type="dxa"/>
          </w:tcPr>
          <w:p w:rsidR="00A25E0D" w:rsidRPr="00AD0E1F" w:rsidRDefault="00A25E0D" w:rsidP="00A25E0D">
            <w:pPr>
              <w:rPr>
                <w:rFonts w:ascii="Times New Roman" w:hAnsi="Times New Roman" w:cs="Times New Roman"/>
                <w:b/>
                <w:sz w:val="28"/>
              </w:rPr>
            </w:pPr>
            <w:r w:rsidRPr="00AD0E1F">
              <w:rPr>
                <w:rFonts w:ascii="Times New Roman" w:hAnsi="Times New Roman" w:cs="Times New Roman"/>
                <w:b/>
                <w:sz w:val="28"/>
              </w:rPr>
              <w:t>Peak</w:t>
            </w:r>
          </w:p>
        </w:tc>
        <w:tc>
          <w:tcPr>
            <w:tcW w:w="2880" w:type="dxa"/>
          </w:tcPr>
          <w:p w:rsidR="00A25E0D" w:rsidRPr="00AD0E1F" w:rsidRDefault="00A25E0D" w:rsidP="00A25E0D">
            <w:pPr>
              <w:rPr>
                <w:rFonts w:ascii="Times New Roman" w:hAnsi="Times New Roman" w:cs="Times New Roman"/>
                <w:b/>
                <w:sz w:val="28"/>
              </w:rPr>
            </w:pPr>
            <w:r w:rsidRPr="00AD0E1F">
              <w:rPr>
                <w:rFonts w:ascii="Times New Roman" w:hAnsi="Times New Roman" w:cs="Times New Roman"/>
                <w:b/>
                <w:sz w:val="28"/>
              </w:rPr>
              <w:t>Indication</w:t>
            </w:r>
          </w:p>
        </w:tc>
      </w:tr>
      <w:tr w:rsidR="00A25E0D" w:rsidRPr="00AD0E1F" w:rsidTr="00A25E0D">
        <w:trPr>
          <w:trHeight w:val="935"/>
        </w:trPr>
        <w:tc>
          <w:tcPr>
            <w:tcW w:w="1075" w:type="dxa"/>
          </w:tcPr>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lastRenderedPageBreak/>
              <w:t>01</w:t>
            </w:r>
          </w:p>
        </w:tc>
        <w:tc>
          <w:tcPr>
            <w:tcW w:w="288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1060.89 cm-1,</w:t>
            </w: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1079.22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1150.59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tc>
        <w:tc>
          <w:tcPr>
            <w:tcW w:w="288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C-O (Stretch)</w:t>
            </w:r>
          </w:p>
        </w:tc>
      </w:tr>
      <w:tr w:rsidR="00A25E0D" w:rsidRPr="00AD0E1F" w:rsidTr="00A25E0D">
        <w:trPr>
          <w:trHeight w:val="840"/>
        </w:trPr>
        <w:tc>
          <w:tcPr>
            <w:tcW w:w="1075" w:type="dxa"/>
          </w:tcPr>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t>02</w:t>
            </w:r>
          </w:p>
        </w:tc>
        <w:tc>
          <w:tcPr>
            <w:tcW w:w="288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1360.84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1394.59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1437.03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1456.32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1465.00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 &amp;</w:t>
            </w:r>
          </w:p>
          <w:p w:rsidR="00A25E0D" w:rsidRPr="00AD0E1F" w:rsidRDefault="00A25E0D" w:rsidP="00A25E0D">
            <w:pPr>
              <w:rPr>
                <w:rFonts w:ascii="Times New Roman" w:hAnsi="Times New Roman" w:cs="Times New Roman"/>
                <w:sz w:val="24"/>
                <w:szCs w:val="24"/>
                <w:vertAlign w:val="superscript"/>
              </w:rPr>
            </w:pPr>
            <w:r w:rsidRPr="00AD0E1F">
              <w:rPr>
                <w:rFonts w:ascii="Times New Roman" w:hAnsi="Times New Roman" w:cs="Times New Roman"/>
                <w:sz w:val="24"/>
                <w:szCs w:val="24"/>
              </w:rPr>
              <w:t>14.72.71 cm</w:t>
            </w:r>
            <w:r w:rsidRPr="00AD0E1F">
              <w:rPr>
                <w:rFonts w:ascii="Times New Roman" w:hAnsi="Times New Roman" w:cs="Times New Roman"/>
                <w:sz w:val="24"/>
                <w:szCs w:val="24"/>
                <w:vertAlign w:val="superscript"/>
              </w:rPr>
              <w:t>-1,</w:t>
            </w:r>
          </w:p>
        </w:tc>
        <w:tc>
          <w:tcPr>
            <w:tcW w:w="288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-C-H (bending)</w:t>
            </w:r>
          </w:p>
        </w:tc>
      </w:tr>
      <w:tr w:rsidR="00A25E0D" w:rsidRPr="00AD0E1F" w:rsidTr="00A25E0D">
        <w:trPr>
          <w:trHeight w:val="675"/>
        </w:trPr>
        <w:tc>
          <w:tcPr>
            <w:tcW w:w="1075" w:type="dxa"/>
          </w:tcPr>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t>03</w:t>
            </w:r>
          </w:p>
        </w:tc>
        <w:tc>
          <w:tcPr>
            <w:tcW w:w="288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687.65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841.96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949.98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963.98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 &amp;</w:t>
            </w:r>
          </w:p>
          <w:p w:rsidR="00A25E0D" w:rsidRPr="00AD0E1F" w:rsidRDefault="00A25E0D" w:rsidP="00A25E0D">
            <w:pPr>
              <w:rPr>
                <w:rFonts w:ascii="Times New Roman" w:hAnsi="Times New Roman" w:cs="Times New Roman"/>
                <w:sz w:val="24"/>
                <w:szCs w:val="24"/>
                <w:vertAlign w:val="superscript"/>
              </w:rPr>
            </w:pPr>
            <w:r w:rsidRPr="00AD0E1F">
              <w:rPr>
                <w:rFonts w:ascii="Times New Roman" w:hAnsi="Times New Roman" w:cs="Times New Roman"/>
                <w:sz w:val="24"/>
                <w:szCs w:val="24"/>
              </w:rPr>
              <w:t>1000.13 cm</w:t>
            </w:r>
            <w:r w:rsidRPr="00AD0E1F">
              <w:rPr>
                <w:rFonts w:ascii="Times New Roman" w:hAnsi="Times New Roman" w:cs="Times New Roman"/>
                <w:sz w:val="24"/>
                <w:szCs w:val="24"/>
                <w:vertAlign w:val="superscript"/>
              </w:rPr>
              <w:t>-1</w:t>
            </w:r>
          </w:p>
        </w:tc>
        <w:tc>
          <w:tcPr>
            <w:tcW w:w="288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=C-H (Stretch)</w:t>
            </w:r>
          </w:p>
        </w:tc>
      </w:tr>
      <w:tr w:rsidR="00A25E0D" w:rsidRPr="00AD0E1F" w:rsidTr="00A25E0D">
        <w:trPr>
          <w:trHeight w:val="450"/>
        </w:trPr>
        <w:tc>
          <w:tcPr>
            <w:tcW w:w="1075" w:type="dxa"/>
          </w:tcPr>
          <w:p w:rsidR="00A25E0D" w:rsidRPr="00AD0E1F" w:rsidRDefault="00A25E0D" w:rsidP="00A25E0D">
            <w:pPr>
              <w:rPr>
                <w:rFonts w:ascii="Times New Roman" w:hAnsi="Times New Roman" w:cs="Times New Roman"/>
                <w:b/>
                <w:sz w:val="24"/>
                <w:szCs w:val="24"/>
              </w:rPr>
            </w:pPr>
            <w:r w:rsidRPr="00AD0E1F">
              <w:rPr>
                <w:rFonts w:ascii="Times New Roman" w:hAnsi="Times New Roman" w:cs="Times New Roman"/>
                <w:b/>
                <w:sz w:val="24"/>
                <w:szCs w:val="24"/>
              </w:rPr>
              <w:t>04</w:t>
            </w:r>
          </w:p>
        </w:tc>
        <w:tc>
          <w:tcPr>
            <w:tcW w:w="2880" w:type="dxa"/>
          </w:tcPr>
          <w:p w:rsidR="00A25E0D" w:rsidRPr="00AD0E1F" w:rsidRDefault="00A25E0D" w:rsidP="00A25E0D">
            <w:pPr>
              <w:rPr>
                <w:rFonts w:ascii="Times New Roman" w:hAnsi="Times New Roman" w:cs="Times New Roman"/>
                <w:sz w:val="24"/>
                <w:szCs w:val="24"/>
              </w:rPr>
            </w:pPr>
            <w:commentRangeStart w:id="59"/>
            <w:r w:rsidRPr="00AD0E1F">
              <w:rPr>
                <w:rFonts w:ascii="Times New Roman" w:hAnsi="Times New Roman" w:cs="Times New Roman"/>
                <w:sz w:val="24"/>
                <w:szCs w:val="24"/>
              </w:rPr>
              <w:t>1437.03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1456.32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w:t>
            </w: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1465.00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 xml:space="preserve">, </w:t>
            </w:r>
          </w:p>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14.72.71 cm</w:t>
            </w:r>
            <w:r w:rsidRPr="00AD0E1F">
              <w:rPr>
                <w:rFonts w:ascii="Times New Roman" w:hAnsi="Times New Roman" w:cs="Times New Roman"/>
                <w:sz w:val="24"/>
                <w:szCs w:val="24"/>
                <w:vertAlign w:val="superscript"/>
              </w:rPr>
              <w:t>-1,</w:t>
            </w:r>
            <w:r w:rsidRPr="00AD0E1F">
              <w:rPr>
                <w:rFonts w:ascii="Times New Roman" w:hAnsi="Times New Roman" w:cs="Times New Roman"/>
                <w:sz w:val="24"/>
                <w:szCs w:val="24"/>
              </w:rPr>
              <w:t>&amp;</w:t>
            </w:r>
          </w:p>
          <w:p w:rsidR="00A25E0D" w:rsidRPr="00AD0E1F" w:rsidRDefault="00A25E0D" w:rsidP="00A25E0D">
            <w:pPr>
              <w:rPr>
                <w:rFonts w:ascii="Times New Roman" w:hAnsi="Times New Roman" w:cs="Times New Roman"/>
                <w:sz w:val="24"/>
                <w:szCs w:val="24"/>
                <w:vertAlign w:val="superscript"/>
              </w:rPr>
            </w:pPr>
            <w:r w:rsidRPr="00AD0E1F">
              <w:rPr>
                <w:rFonts w:ascii="Times New Roman" w:hAnsi="Times New Roman" w:cs="Times New Roman"/>
                <w:sz w:val="24"/>
                <w:szCs w:val="24"/>
              </w:rPr>
              <w:t>1595.20 cm</w:t>
            </w:r>
            <w:r w:rsidRPr="00AD0E1F">
              <w:rPr>
                <w:rFonts w:ascii="Times New Roman" w:hAnsi="Times New Roman" w:cs="Times New Roman"/>
                <w:sz w:val="24"/>
                <w:szCs w:val="24"/>
                <w:vertAlign w:val="superscript"/>
              </w:rPr>
              <w:t>-1</w:t>
            </w:r>
          </w:p>
        </w:tc>
        <w:tc>
          <w:tcPr>
            <w:tcW w:w="2880" w:type="dxa"/>
          </w:tcPr>
          <w:p w:rsidR="00A25E0D" w:rsidRPr="00AD0E1F" w:rsidRDefault="00A25E0D" w:rsidP="00A25E0D">
            <w:pPr>
              <w:rPr>
                <w:rFonts w:ascii="Times New Roman" w:hAnsi="Times New Roman" w:cs="Times New Roman"/>
                <w:sz w:val="24"/>
                <w:szCs w:val="24"/>
              </w:rPr>
            </w:pPr>
            <w:r w:rsidRPr="00AD0E1F">
              <w:rPr>
                <w:rFonts w:ascii="Times New Roman" w:hAnsi="Times New Roman" w:cs="Times New Roman"/>
                <w:sz w:val="24"/>
                <w:szCs w:val="24"/>
              </w:rPr>
              <w:t>C=C (Stretch)</w:t>
            </w:r>
            <w:commentRangeEnd w:id="59"/>
            <w:r w:rsidR="005F3439">
              <w:rPr>
                <w:rStyle w:val="CommentReference"/>
              </w:rPr>
              <w:commentReference w:id="59"/>
            </w:r>
          </w:p>
        </w:tc>
      </w:tr>
    </w:tbl>
    <w:p w:rsidR="00A25E0D" w:rsidRPr="00AD0E1F" w:rsidRDefault="00A25E0D" w:rsidP="00A25E0D">
      <w:pPr>
        <w:rPr>
          <w:rFonts w:ascii="Times New Roman" w:hAnsi="Times New Roman" w:cs="Times New Roman"/>
          <w:b/>
          <w:sz w:val="28"/>
        </w:rPr>
      </w:pPr>
    </w:p>
    <w:p w:rsidR="00A25E0D" w:rsidRPr="00AD0E1F" w:rsidRDefault="00A25E0D" w:rsidP="00A25E0D">
      <w:pPr>
        <w:jc w:val="both"/>
        <w:rPr>
          <w:rFonts w:ascii="Times New Roman" w:hAnsi="Times New Roman" w:cs="Times New Roman"/>
          <w:sz w:val="24"/>
          <w:szCs w:val="24"/>
        </w:rPr>
      </w:pPr>
      <w:commentRangeStart w:id="60"/>
      <w:r w:rsidRPr="00AD0E1F">
        <w:rPr>
          <w:rFonts w:ascii="Times New Roman" w:hAnsi="Times New Roman" w:cs="Times New Roman"/>
          <w:sz w:val="24"/>
          <w:szCs w:val="24"/>
        </w:rPr>
        <w:t>From the above shown spectrum, we came to conclude that the spectrum seen in the pure glimepiride was also found in the case of solid dispersion with PEG4000 &amp; Povidone. The spectrum were at same frequency range but some peaks were shifted to their near values. So we can say that there is no significant interaction between the drugs, PEG4000, &amp; Povidone, hence there was no chemical change in the PEG4000, and Povidone, when it was in solid dispersion form.</w:t>
      </w:r>
      <w:commentRangeEnd w:id="60"/>
      <w:r w:rsidR="009B53CE">
        <w:rPr>
          <w:rStyle w:val="CommentReference"/>
        </w:rPr>
        <w:commentReference w:id="60"/>
      </w: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25E0D">
      <w:pPr>
        <w:rPr>
          <w:rFonts w:ascii="Times New Roman" w:hAnsi="Times New Roman" w:cs="Times New Roman"/>
          <w:b/>
          <w:sz w:val="28"/>
        </w:rPr>
      </w:pPr>
    </w:p>
    <w:p w:rsidR="00A25E0D" w:rsidRPr="00AD0E1F" w:rsidRDefault="00A25E0D" w:rsidP="00A341E8">
      <w:pPr>
        <w:rPr>
          <w:rFonts w:ascii="Times New Roman" w:hAnsi="Times New Roman" w:cs="Times New Roman"/>
          <w:b/>
          <w:sz w:val="28"/>
        </w:rPr>
      </w:pPr>
    </w:p>
    <w:p w:rsidR="00AD0E1F" w:rsidRPr="00AD0E1F" w:rsidRDefault="00A25E0D" w:rsidP="00AD0E1F">
      <w:pPr>
        <w:rPr>
          <w:rFonts w:ascii="Times New Roman" w:hAnsi="Times New Roman" w:cs="Times New Roman"/>
          <w:b/>
          <w:sz w:val="28"/>
        </w:rPr>
      </w:pPr>
      <w:r w:rsidRPr="00AD0E1F">
        <w:rPr>
          <w:rFonts w:ascii="Times New Roman" w:hAnsi="Times New Roman" w:cs="Times New Roman"/>
          <w:b/>
          <w:sz w:val="28"/>
        </w:rPr>
        <w:lastRenderedPageBreak/>
        <w:t>Conclusion</w:t>
      </w:r>
    </w:p>
    <w:p w:rsidR="00A25E0D" w:rsidRPr="00AD0E1F" w:rsidRDefault="00AD0E1F" w:rsidP="00AD0E1F">
      <w:pPr>
        <w:jc w:val="both"/>
        <w:rPr>
          <w:rFonts w:ascii="Times New Roman" w:hAnsi="Times New Roman" w:cs="Times New Roman"/>
          <w:sz w:val="24"/>
          <w:szCs w:val="24"/>
        </w:rPr>
      </w:pPr>
      <w:commentRangeStart w:id="61"/>
      <w:r w:rsidRPr="00AD0E1F">
        <w:rPr>
          <w:rFonts w:ascii="Times New Roman" w:hAnsi="Times New Roman" w:cs="Times New Roman"/>
          <w:sz w:val="24"/>
          <w:szCs w:val="24"/>
        </w:rPr>
        <w:t xml:space="preserve">Solid dispersion has attracted considerable interest as an efficient means of improving the dissolution rate and bioavailability of hydrophobic drugs. </w:t>
      </w:r>
      <w:r w:rsidR="00A25E0D" w:rsidRPr="00AD0E1F">
        <w:rPr>
          <w:rFonts w:ascii="Times New Roman" w:hAnsi="Times New Roman" w:cs="Times New Roman"/>
          <w:sz w:val="24"/>
          <w:szCs w:val="24"/>
        </w:rPr>
        <w:t>In the present study, solid dispersions of Glimepiride with different hydrophilic carriers in different ratios were prepared by physical mixing and fusion method to improve water solubility and dissolution characteristics. The preparation of solid dispersion of Glimepiride by fusion method has been proven to be successful. This research showed that when Glimepiride was dispersed in suitable water-soluble carriers such as PEG 6000, PEG 4000 and Eudragit E-100, Poloxomer 407 and Povidone. Its dissolution were enhanced compared with pure drug. Fusion method of the poloxamer 407 and Eudragit with glimepiride at different ratios were also used. It was found the drug was released 0.46% after 5 minutes and only 15.83% within 60 minutes from active glimepiride on the other hand the release pattern of glimepiride from the binary formulation containing PEG 4000 in 1:5 (Formulation coding: G5) showed the best result</w:t>
      </w:r>
      <w:r w:rsidR="000E050B" w:rsidRPr="00AD0E1F">
        <w:rPr>
          <w:rFonts w:ascii="Times New Roman" w:hAnsi="Times New Roman" w:cs="Times New Roman"/>
          <w:sz w:val="24"/>
          <w:szCs w:val="24"/>
        </w:rPr>
        <w:t>.</w:t>
      </w:r>
      <w:r w:rsidR="00A25E0D" w:rsidRPr="00AD0E1F">
        <w:rPr>
          <w:rFonts w:ascii="Times New Roman" w:hAnsi="Times New Roman" w:cs="Times New Roman"/>
          <w:sz w:val="24"/>
          <w:szCs w:val="24"/>
        </w:rPr>
        <w:t xml:space="preserve"> It was found that the ternary different SD formulation containing </w:t>
      </w:r>
      <w:r w:rsidR="000E050B" w:rsidRPr="00AD0E1F">
        <w:rPr>
          <w:rFonts w:ascii="Times New Roman" w:hAnsi="Times New Roman" w:cs="Times New Roman"/>
          <w:sz w:val="24"/>
          <w:szCs w:val="24"/>
        </w:rPr>
        <w:t>(PEG4000: Glimepiride:Povidon) i</w:t>
      </w:r>
      <w:r w:rsidR="00A25E0D" w:rsidRPr="00AD0E1F">
        <w:rPr>
          <w:rFonts w:ascii="Times New Roman" w:hAnsi="Times New Roman" w:cs="Times New Roman"/>
          <w:sz w:val="24"/>
          <w:szCs w:val="24"/>
        </w:rPr>
        <w:t>n ratio 1:1:0.25 (Formulation coding were : G13) showed the best result</w:t>
      </w:r>
      <w:r w:rsidR="000E050B" w:rsidRPr="00AD0E1F">
        <w:rPr>
          <w:rFonts w:ascii="Times New Roman" w:hAnsi="Times New Roman" w:cs="Times New Roman"/>
          <w:sz w:val="24"/>
          <w:szCs w:val="24"/>
        </w:rPr>
        <w:t xml:space="preserve">. </w:t>
      </w:r>
      <w:r w:rsidR="00A25E0D" w:rsidRPr="00AD0E1F">
        <w:rPr>
          <w:rFonts w:ascii="Times New Roman" w:hAnsi="Times New Roman" w:cs="Times New Roman"/>
          <w:sz w:val="24"/>
          <w:szCs w:val="24"/>
        </w:rPr>
        <w:t xml:space="preserve">It was also studied that the release kinetics of glimepiride of different SD formulation with different ratio such as, First order release kinetics, Higuchi, Krosmeyer, Hixon crowell plot, and also be noted the MDT calculation for improving the solubility of glimepiride.. </w:t>
      </w:r>
      <w:r w:rsidR="00A25E0D" w:rsidRPr="00AD0E1F">
        <w:rPr>
          <w:rFonts w:ascii="Times New Roman" w:hAnsi="Times New Roman" w:cs="Times New Roman"/>
          <w:i/>
          <w:sz w:val="24"/>
          <w:szCs w:val="24"/>
        </w:rPr>
        <w:t>In-vitro</w:t>
      </w:r>
      <w:r w:rsidR="00A25E0D" w:rsidRPr="00AD0E1F">
        <w:rPr>
          <w:rFonts w:ascii="Times New Roman" w:hAnsi="Times New Roman" w:cs="Times New Roman"/>
          <w:sz w:val="24"/>
          <w:szCs w:val="24"/>
        </w:rPr>
        <w:t xml:space="preserve"> dissolution data also proves that percent release of drug from binary SDs was not similar with ternary SDs. Ternary SDs is more effective to increase the diclofenac sodium release rate. The water soluble carrier may operate in the micro environment (diffusion layer) immediately surrounding the drug particles in the early stage of dissolution, since the carrier completely dissolves in short time thus enhancing the solubility &amp; dissolution of dr</w:t>
      </w:r>
      <w:r w:rsidR="000E050B" w:rsidRPr="00AD0E1F">
        <w:rPr>
          <w:rFonts w:ascii="Times New Roman" w:hAnsi="Times New Roman" w:cs="Times New Roman"/>
          <w:sz w:val="24"/>
          <w:szCs w:val="24"/>
        </w:rPr>
        <w:t xml:space="preserve">ug. </w:t>
      </w:r>
      <w:commentRangeEnd w:id="61"/>
      <w:r w:rsidR="005F3439">
        <w:rPr>
          <w:rStyle w:val="CommentReference"/>
        </w:rPr>
        <w:commentReference w:id="61"/>
      </w:r>
    </w:p>
    <w:p w:rsidR="00A25E0D" w:rsidRPr="00AD0E1F" w:rsidRDefault="00A25E0D" w:rsidP="00A25E0D">
      <w:pPr>
        <w:rPr>
          <w:rFonts w:ascii="Times New Roman" w:hAnsi="Times New Roman" w:cs="Times New Roman"/>
          <w:b/>
          <w:sz w:val="24"/>
          <w:szCs w:val="24"/>
        </w:rPr>
      </w:pPr>
    </w:p>
    <w:p w:rsidR="006112B4" w:rsidRPr="006112B4" w:rsidRDefault="006112B4" w:rsidP="006112B4">
      <w:pPr>
        <w:tabs>
          <w:tab w:val="left" w:pos="4485"/>
          <w:tab w:val="center" w:pos="5527"/>
        </w:tabs>
        <w:autoSpaceDE w:val="0"/>
        <w:autoSpaceDN w:val="0"/>
        <w:adjustRightInd w:val="0"/>
        <w:spacing w:before="120" w:after="120" w:line="360" w:lineRule="auto"/>
        <w:jc w:val="both"/>
        <w:rPr>
          <w:rFonts w:ascii="Times New Roman" w:hAnsi="Times New Roman" w:cs="Times New Roman"/>
          <w:b/>
          <w:sz w:val="28"/>
        </w:rPr>
      </w:pPr>
      <w:commentRangeStart w:id="62"/>
      <w:commentRangeStart w:id="63"/>
      <w:r w:rsidRPr="006112B4">
        <w:rPr>
          <w:rFonts w:ascii="Times New Roman" w:hAnsi="Times New Roman" w:cs="Times New Roman"/>
          <w:b/>
          <w:sz w:val="28"/>
        </w:rPr>
        <w:t>REFERE</w:t>
      </w:r>
      <w:commentRangeStart w:id="64"/>
      <w:r w:rsidRPr="006112B4">
        <w:rPr>
          <w:rFonts w:ascii="Times New Roman" w:hAnsi="Times New Roman" w:cs="Times New Roman"/>
          <w:b/>
          <w:sz w:val="28"/>
        </w:rPr>
        <w:t>NCE</w:t>
      </w:r>
      <w:commentRangeEnd w:id="64"/>
      <w:r w:rsidR="005F3439">
        <w:rPr>
          <w:rStyle w:val="CommentReference"/>
        </w:rPr>
        <w:commentReference w:id="64"/>
      </w:r>
      <w:r w:rsidRPr="006112B4">
        <w:rPr>
          <w:rFonts w:ascii="Times New Roman" w:hAnsi="Times New Roman" w:cs="Times New Roman"/>
          <w:b/>
          <w:sz w:val="28"/>
        </w:rPr>
        <w:t>S</w:t>
      </w:r>
      <w:commentRangeEnd w:id="62"/>
      <w:r w:rsidR="00EB248E">
        <w:rPr>
          <w:rStyle w:val="CommentReference"/>
        </w:rPr>
        <w:commentReference w:id="62"/>
      </w:r>
      <w:commentRangeEnd w:id="63"/>
      <w:r w:rsidR="00D43565">
        <w:rPr>
          <w:rStyle w:val="CommentReference"/>
        </w:rPr>
        <w:commentReference w:id="63"/>
      </w:r>
    </w:p>
    <w:p w:rsidR="002D61EB" w:rsidRPr="00AD0E1F" w:rsidRDefault="006112B4" w:rsidP="002D61EB">
      <w:pPr>
        <w:pStyle w:val="Default"/>
        <w:spacing w:before="120" w:after="120" w:line="360" w:lineRule="auto"/>
        <w:jc w:val="both"/>
        <w:rPr>
          <w:color w:val="auto"/>
        </w:rPr>
      </w:pPr>
      <w:r w:rsidRPr="006112B4">
        <w:t xml:space="preserve">1. </w:t>
      </w:r>
      <w:commentRangeStart w:id="65"/>
      <w:r w:rsidR="00BA5923">
        <w:fldChar w:fldCharType="begin"/>
      </w:r>
      <w:r w:rsidR="000928DD">
        <w:instrText>HYPERLINK "http://www.ncbi.nlm.nih.gov/pubmed?term=Dahlberg%20C%5BAuthor%5D&amp;cauthor=true&amp;cauthor_uid=18577450"</w:instrText>
      </w:r>
      <w:r w:rsidR="00BA5923">
        <w:fldChar w:fldCharType="separate"/>
      </w:r>
      <w:r w:rsidR="002D61EB" w:rsidRPr="00AD0E1F">
        <w:rPr>
          <w:rStyle w:val="Hyperlink"/>
          <w:color w:val="auto"/>
          <w:u w:val="none"/>
        </w:rPr>
        <w:t>Dahlberg C</w:t>
      </w:r>
      <w:r w:rsidR="00BA5923">
        <w:fldChar w:fldCharType="end"/>
      </w:r>
      <w:r w:rsidR="002D61EB" w:rsidRPr="00AD0E1F">
        <w:rPr>
          <w:color w:val="auto"/>
        </w:rPr>
        <w:t xml:space="preserve">, </w:t>
      </w:r>
      <w:hyperlink r:id="rId18" w:history="1">
        <w:r w:rsidR="002D61EB" w:rsidRPr="00AD0E1F">
          <w:rPr>
            <w:rStyle w:val="Hyperlink"/>
            <w:color w:val="auto"/>
            <w:u w:val="none"/>
          </w:rPr>
          <w:t>Millqvist-Fureby A</w:t>
        </w:r>
      </w:hyperlink>
      <w:r w:rsidR="002D61EB" w:rsidRPr="00AD0E1F">
        <w:rPr>
          <w:color w:val="auto"/>
        </w:rPr>
        <w:t xml:space="preserve">, </w:t>
      </w:r>
      <w:hyperlink r:id="rId19" w:history="1">
        <w:r w:rsidR="002D61EB" w:rsidRPr="00AD0E1F">
          <w:rPr>
            <w:rStyle w:val="Hyperlink"/>
            <w:color w:val="auto"/>
            <w:u w:val="none"/>
          </w:rPr>
          <w:t>Schuleit M</w:t>
        </w:r>
      </w:hyperlink>
      <w:r w:rsidR="002D61EB" w:rsidRPr="00AD0E1F">
        <w:rPr>
          <w:color w:val="auto"/>
        </w:rPr>
        <w:t xml:space="preserve">. Surface comparison and contact angle relationship for differently prepared solid dispersion. European Journal of Pharmacy and bio-pharmacy, 2008; 70(2): 478-485. </w:t>
      </w:r>
    </w:p>
    <w:p w:rsidR="006112B4" w:rsidRPr="006112B4" w:rsidRDefault="006112B4" w:rsidP="00362B46">
      <w:pPr>
        <w:autoSpaceDE w:val="0"/>
        <w:autoSpaceDN w:val="0"/>
        <w:adjustRightInd w:val="0"/>
        <w:spacing w:before="120" w:after="120" w:line="360" w:lineRule="auto"/>
        <w:jc w:val="both"/>
        <w:rPr>
          <w:rFonts w:ascii="Times New Roman" w:hAnsi="Times New Roman" w:cs="Times New Roman"/>
          <w:bCs/>
          <w:sz w:val="24"/>
          <w:szCs w:val="24"/>
        </w:rPr>
      </w:pPr>
      <w:r w:rsidRPr="006112B4">
        <w:rPr>
          <w:rFonts w:ascii="Times New Roman" w:hAnsi="Times New Roman" w:cs="Times New Roman"/>
          <w:sz w:val="24"/>
          <w:szCs w:val="24"/>
        </w:rPr>
        <w:t>2.</w:t>
      </w:r>
      <w:r w:rsidRPr="006112B4">
        <w:rPr>
          <w:rFonts w:ascii="Times New Roman" w:hAnsi="Times New Roman" w:cs="Times New Roman"/>
          <w:bCs/>
          <w:sz w:val="24"/>
          <w:szCs w:val="24"/>
        </w:rPr>
        <w:t xml:space="preserve"> Singh S, B</w:t>
      </w:r>
      <w:commentRangeEnd w:id="65"/>
      <w:r w:rsidR="005F3439">
        <w:rPr>
          <w:rStyle w:val="CommentReference"/>
        </w:rPr>
        <w:commentReference w:id="65"/>
      </w:r>
      <w:r w:rsidRPr="006112B4">
        <w:rPr>
          <w:rFonts w:ascii="Times New Roman" w:hAnsi="Times New Roman" w:cs="Times New Roman"/>
          <w:bCs/>
          <w:sz w:val="24"/>
          <w:szCs w:val="24"/>
        </w:rPr>
        <w:t xml:space="preserve">aghel RS, Yadav L. </w:t>
      </w:r>
      <w:r w:rsidRPr="006112B4">
        <w:rPr>
          <w:rFonts w:ascii="Times New Roman" w:hAnsi="Times New Roman" w:cs="Times New Roman"/>
          <w:sz w:val="24"/>
          <w:szCs w:val="24"/>
        </w:rPr>
        <w:t>A review on solid dispersion. International Journal of Pharmacy and Life Sciences, 2011; 2(9):</w:t>
      </w:r>
      <w:r w:rsidRPr="006112B4">
        <w:rPr>
          <w:rFonts w:ascii="Times New Roman" w:hAnsi="Times New Roman" w:cs="Times New Roman"/>
          <w:bCs/>
          <w:sz w:val="24"/>
          <w:szCs w:val="24"/>
        </w:rPr>
        <w:t xml:space="preserve"> 1078-1095.</w:t>
      </w:r>
    </w:p>
    <w:p w:rsidR="002D61EB" w:rsidRPr="00AD0E1F" w:rsidRDefault="006112B4" w:rsidP="002D61EB">
      <w:pPr>
        <w:autoSpaceDE w:val="0"/>
        <w:autoSpaceDN w:val="0"/>
        <w:adjustRightInd w:val="0"/>
        <w:spacing w:before="120" w:after="120" w:line="360" w:lineRule="auto"/>
        <w:jc w:val="both"/>
        <w:rPr>
          <w:rFonts w:ascii="Times New Roman" w:eastAsia="Calibri" w:hAnsi="Times New Roman" w:cs="Times New Roman"/>
          <w:sz w:val="24"/>
          <w:szCs w:val="24"/>
        </w:rPr>
      </w:pPr>
      <w:r w:rsidRPr="00AD0E1F">
        <w:rPr>
          <w:rFonts w:ascii="Times New Roman" w:hAnsi="Times New Roman" w:cs="Times New Roman"/>
          <w:bCs/>
          <w:sz w:val="24"/>
          <w:szCs w:val="24"/>
        </w:rPr>
        <w:t>3.</w:t>
      </w:r>
      <w:r w:rsidR="002D61EB" w:rsidRPr="00AD0E1F">
        <w:rPr>
          <w:rFonts w:ascii="Times New Roman" w:eastAsia="Calibri" w:hAnsi="Times New Roman" w:cs="Times New Roman"/>
          <w:sz w:val="24"/>
          <w:szCs w:val="24"/>
        </w:rPr>
        <w:t xml:space="preserve"> Costantino HR, Firouzabadian L, Wu C, Carrasquil</w:t>
      </w:r>
      <w:r w:rsidR="002D61EB" w:rsidRPr="00AD0E1F">
        <w:rPr>
          <w:rFonts w:ascii="Times New Roman" w:hAnsi="Times New Roman" w:cs="Times New Roman"/>
          <w:sz w:val="24"/>
          <w:szCs w:val="24"/>
        </w:rPr>
        <w:t xml:space="preserve">lo KG, Griebenow K, Zale SE et al. </w:t>
      </w:r>
      <w:r w:rsidR="002D61EB" w:rsidRPr="00AD0E1F">
        <w:rPr>
          <w:rFonts w:ascii="Times New Roman" w:eastAsia="Calibri" w:hAnsi="Times New Roman" w:cs="Times New Roman"/>
          <w:sz w:val="24"/>
          <w:szCs w:val="24"/>
        </w:rPr>
        <w:t xml:space="preserve">Protein spray freeze drying. Effect of formulation variables on particle size and stability. </w:t>
      </w:r>
      <w:r w:rsidR="002D61EB" w:rsidRPr="00AD0E1F">
        <w:rPr>
          <w:rFonts w:ascii="Times New Roman" w:eastAsia="Calibri" w:hAnsi="Times New Roman" w:cs="Times New Roman"/>
          <w:iCs/>
          <w:sz w:val="24"/>
          <w:szCs w:val="24"/>
        </w:rPr>
        <w:t>Journal of Pharmaceutical Science,</w:t>
      </w:r>
      <w:r w:rsidR="002D61EB" w:rsidRPr="00AD0E1F">
        <w:rPr>
          <w:rFonts w:ascii="Times New Roman" w:hAnsi="Times New Roman" w:cs="Times New Roman"/>
          <w:iCs/>
          <w:sz w:val="24"/>
          <w:szCs w:val="24"/>
        </w:rPr>
        <w:t xml:space="preserve"> 2002;</w:t>
      </w:r>
      <w:r w:rsidR="002D61EB" w:rsidRPr="00AD0E1F">
        <w:rPr>
          <w:rFonts w:ascii="Times New Roman" w:eastAsia="Calibri" w:hAnsi="Times New Roman" w:cs="Times New Roman"/>
          <w:bCs/>
          <w:sz w:val="24"/>
          <w:szCs w:val="24"/>
        </w:rPr>
        <w:t>91</w:t>
      </w:r>
      <w:r w:rsidR="002D61EB" w:rsidRPr="00AD0E1F">
        <w:rPr>
          <w:rFonts w:ascii="Times New Roman" w:eastAsia="Calibri" w:hAnsi="Times New Roman" w:cs="Times New Roman"/>
          <w:sz w:val="24"/>
          <w:szCs w:val="24"/>
        </w:rPr>
        <w:t>(2): 388-395.</w:t>
      </w:r>
    </w:p>
    <w:p w:rsidR="006112B4" w:rsidRPr="006112B4" w:rsidRDefault="006112B4" w:rsidP="006112B4">
      <w:pPr>
        <w:autoSpaceDE w:val="0"/>
        <w:autoSpaceDN w:val="0"/>
        <w:adjustRightInd w:val="0"/>
        <w:spacing w:before="120" w:after="120" w:line="360" w:lineRule="auto"/>
        <w:jc w:val="both"/>
        <w:rPr>
          <w:rFonts w:ascii="Times New Roman" w:hAnsi="Times New Roman" w:cs="Times New Roman"/>
          <w:bCs/>
          <w:sz w:val="24"/>
          <w:szCs w:val="24"/>
        </w:rPr>
      </w:pPr>
    </w:p>
    <w:p w:rsidR="006112B4" w:rsidRPr="006112B4" w:rsidRDefault="006112B4" w:rsidP="006112B4">
      <w:pPr>
        <w:autoSpaceDE w:val="0"/>
        <w:autoSpaceDN w:val="0"/>
        <w:adjustRightInd w:val="0"/>
        <w:spacing w:before="120" w:after="120" w:line="360" w:lineRule="auto"/>
        <w:jc w:val="both"/>
        <w:rPr>
          <w:rFonts w:ascii="Times New Roman" w:hAnsi="Times New Roman" w:cs="Times New Roman"/>
          <w:bCs/>
          <w:iCs/>
          <w:sz w:val="24"/>
          <w:szCs w:val="24"/>
        </w:rPr>
      </w:pPr>
      <w:r w:rsidRPr="006112B4">
        <w:rPr>
          <w:rFonts w:ascii="Times New Roman" w:hAnsi="Times New Roman" w:cs="Times New Roman"/>
          <w:bCs/>
          <w:sz w:val="24"/>
          <w:szCs w:val="24"/>
        </w:rPr>
        <w:t xml:space="preserve">4. Arunachalam A, Karthikeyan M, Konam K, Prasad PH, Sethuraman S, Ashutoshkumar A. </w:t>
      </w:r>
      <w:r w:rsidRPr="006112B4">
        <w:rPr>
          <w:rFonts w:ascii="Times New Roman" w:hAnsi="Times New Roman" w:cs="Times New Roman"/>
          <w:sz w:val="24"/>
          <w:szCs w:val="24"/>
        </w:rPr>
        <w:t xml:space="preserve"> A review on solid dispersion. </w:t>
      </w:r>
      <w:r w:rsidRPr="006112B4">
        <w:rPr>
          <w:rFonts w:ascii="Times New Roman" w:hAnsi="Times New Roman" w:cs="Times New Roman"/>
          <w:bCs/>
          <w:iCs/>
          <w:sz w:val="24"/>
          <w:szCs w:val="24"/>
        </w:rPr>
        <w:t>Current Pharmaceutical Research, 2010; 1(82): 82-90.</w:t>
      </w:r>
    </w:p>
    <w:p w:rsidR="002D61EB" w:rsidRPr="00AD0E1F" w:rsidRDefault="006112B4" w:rsidP="002D61EB">
      <w:pPr>
        <w:autoSpaceDE w:val="0"/>
        <w:autoSpaceDN w:val="0"/>
        <w:adjustRightInd w:val="0"/>
        <w:spacing w:before="120" w:after="120" w:line="360" w:lineRule="auto"/>
        <w:jc w:val="both"/>
        <w:rPr>
          <w:rFonts w:ascii="Times New Roman" w:hAnsi="Times New Roman" w:cs="Times New Roman"/>
          <w:sz w:val="24"/>
          <w:szCs w:val="24"/>
        </w:rPr>
      </w:pPr>
      <w:r w:rsidRPr="00AD0E1F">
        <w:rPr>
          <w:rFonts w:ascii="Times New Roman" w:eastAsiaTheme="majorEastAsia" w:hAnsi="Times New Roman" w:cs="Times New Roman"/>
          <w:bCs/>
          <w:sz w:val="24"/>
          <w:szCs w:val="24"/>
          <w:lang w:bidi="ar-SA"/>
        </w:rPr>
        <w:t xml:space="preserve">5. </w:t>
      </w:r>
      <w:hyperlink r:id="rId20" w:history="1">
        <w:r w:rsidR="002D61EB" w:rsidRPr="00AD0E1F">
          <w:rPr>
            <w:rStyle w:val="Hyperlink"/>
            <w:rFonts w:ascii="Times New Roman" w:hAnsi="Times New Roman" w:cs="Times New Roman"/>
            <w:color w:val="auto"/>
            <w:sz w:val="24"/>
            <w:szCs w:val="24"/>
            <w:u w:val="none"/>
          </w:rPr>
          <w:t>Deepti</w:t>
        </w:r>
      </w:hyperlink>
      <w:r w:rsidR="002D61EB" w:rsidRPr="00AD0E1F">
        <w:rPr>
          <w:rFonts w:ascii="Times New Roman" w:hAnsi="Times New Roman" w:cs="Times New Roman"/>
          <w:sz w:val="24"/>
          <w:szCs w:val="24"/>
        </w:rPr>
        <w:t xml:space="preserve">, </w:t>
      </w:r>
      <w:hyperlink r:id="rId21" w:history="1">
        <w:r w:rsidR="002D61EB" w:rsidRPr="00AD0E1F">
          <w:rPr>
            <w:rStyle w:val="Hyperlink"/>
            <w:rFonts w:ascii="Times New Roman" w:hAnsi="Times New Roman" w:cs="Times New Roman"/>
            <w:color w:val="auto"/>
            <w:sz w:val="24"/>
            <w:szCs w:val="24"/>
            <w:u w:val="none"/>
          </w:rPr>
          <w:t>Dureja H</w:t>
        </w:r>
      </w:hyperlink>
      <w:r w:rsidR="002D61EB" w:rsidRPr="00AD0E1F">
        <w:rPr>
          <w:rFonts w:ascii="Times New Roman" w:hAnsi="Times New Roman" w:cs="Times New Roman"/>
          <w:sz w:val="24"/>
          <w:szCs w:val="24"/>
        </w:rPr>
        <w:t xml:space="preserve">, </w:t>
      </w:r>
      <w:hyperlink r:id="rId22" w:history="1">
        <w:r w:rsidR="002D61EB" w:rsidRPr="00AD0E1F">
          <w:rPr>
            <w:rStyle w:val="Hyperlink"/>
            <w:rFonts w:ascii="Times New Roman" w:hAnsi="Times New Roman" w:cs="Times New Roman"/>
            <w:color w:val="auto"/>
            <w:sz w:val="24"/>
            <w:szCs w:val="24"/>
            <w:u w:val="none"/>
          </w:rPr>
          <w:t>Madan AK</w:t>
        </w:r>
      </w:hyperlink>
      <w:r w:rsidR="002D61EB" w:rsidRPr="00AD0E1F">
        <w:rPr>
          <w:rFonts w:ascii="Times New Roman" w:hAnsi="Times New Roman" w:cs="Times New Roman"/>
          <w:sz w:val="24"/>
          <w:szCs w:val="24"/>
        </w:rPr>
        <w:t xml:space="preserve">. Solid dispersion adsorbates for enhancement of dissolution rates of drugs. </w:t>
      </w:r>
      <w:hyperlink r:id="rId23" w:tooltip="PDA journal of pharmaceutical science and technology / PDA." w:history="1">
        <w:r w:rsidR="002D61EB" w:rsidRPr="00AD0E1F">
          <w:rPr>
            <w:rStyle w:val="Hyperlink"/>
            <w:rFonts w:ascii="Times New Roman" w:hAnsi="Times New Roman" w:cs="Times New Roman"/>
            <w:color w:val="auto"/>
            <w:sz w:val="24"/>
            <w:szCs w:val="24"/>
            <w:u w:val="none"/>
          </w:rPr>
          <w:t>PDA Journal of Pharmaceutical Science and Technology</w:t>
        </w:r>
      </w:hyperlink>
      <w:r w:rsidR="002D61EB" w:rsidRPr="00AD0E1F">
        <w:rPr>
          <w:rFonts w:ascii="Times New Roman" w:hAnsi="Times New Roman" w:cs="Times New Roman"/>
          <w:sz w:val="24"/>
          <w:szCs w:val="24"/>
        </w:rPr>
        <w:t>, 2007; 61(2): 97-101.</w:t>
      </w:r>
    </w:p>
    <w:p w:rsidR="006112B4" w:rsidRPr="006112B4" w:rsidRDefault="006112B4" w:rsidP="002D61EB">
      <w:pPr>
        <w:keepNext/>
        <w:keepLines/>
        <w:spacing w:before="120" w:after="120" w:line="360" w:lineRule="auto"/>
        <w:jc w:val="both"/>
        <w:outlineLvl w:val="2"/>
        <w:rPr>
          <w:rFonts w:ascii="Times New Roman" w:eastAsiaTheme="majorEastAsia" w:hAnsi="Times New Roman" w:cs="Times New Roman"/>
          <w:bCs/>
          <w:sz w:val="24"/>
          <w:szCs w:val="24"/>
          <w:lang w:bidi="ar-SA"/>
        </w:rPr>
      </w:pPr>
    </w:p>
    <w:p w:rsidR="006112B4" w:rsidRPr="006112B4" w:rsidRDefault="006112B4" w:rsidP="006112B4">
      <w:pPr>
        <w:autoSpaceDE w:val="0"/>
        <w:autoSpaceDN w:val="0"/>
        <w:adjustRightInd w:val="0"/>
        <w:spacing w:before="120" w:after="120" w:line="360" w:lineRule="auto"/>
        <w:jc w:val="both"/>
        <w:rPr>
          <w:rFonts w:ascii="Times New Roman" w:hAnsi="Times New Roman" w:cs="Times New Roman"/>
          <w:sz w:val="24"/>
          <w:szCs w:val="24"/>
        </w:rPr>
      </w:pPr>
      <w:r w:rsidRPr="006112B4">
        <w:rPr>
          <w:rFonts w:ascii="Times New Roman" w:hAnsi="Times New Roman" w:cs="Times New Roman"/>
          <w:sz w:val="24"/>
          <w:szCs w:val="24"/>
        </w:rPr>
        <w:t xml:space="preserve">6.Bandarkar FS, Khattab IS. Lyophilized Gliclazide poloxamer solid dispersions for enhancement of in vitro dissolution and in vivo bioavailability. </w:t>
      </w:r>
      <w:r w:rsidRPr="006112B4">
        <w:rPr>
          <w:rFonts w:ascii="Times New Roman" w:hAnsi="Times New Roman" w:cs="Times New Roman"/>
          <w:iCs/>
          <w:sz w:val="24"/>
          <w:szCs w:val="24"/>
        </w:rPr>
        <w:t xml:space="preserve">International Journal of Pharmacy and Pharmaceutical Sciences, </w:t>
      </w:r>
      <w:r w:rsidRPr="006112B4">
        <w:rPr>
          <w:rFonts w:ascii="Times New Roman" w:hAnsi="Times New Roman" w:cs="Times New Roman"/>
          <w:sz w:val="24"/>
          <w:szCs w:val="24"/>
        </w:rPr>
        <w:t>2011; 3: 122-127.</w:t>
      </w:r>
    </w:p>
    <w:p w:rsidR="006112B4" w:rsidRPr="006112B4" w:rsidRDefault="006112B4" w:rsidP="006112B4">
      <w:pPr>
        <w:autoSpaceDE w:val="0"/>
        <w:autoSpaceDN w:val="0"/>
        <w:adjustRightInd w:val="0"/>
        <w:spacing w:before="120" w:after="120" w:line="360" w:lineRule="auto"/>
        <w:jc w:val="both"/>
        <w:rPr>
          <w:rFonts w:ascii="Times New Roman" w:hAnsi="Times New Roman" w:cs="Times New Roman"/>
          <w:sz w:val="24"/>
          <w:szCs w:val="24"/>
        </w:rPr>
      </w:pPr>
      <w:r w:rsidRPr="006112B4">
        <w:rPr>
          <w:rFonts w:ascii="Times New Roman" w:hAnsi="Times New Roman" w:cs="Times New Roman"/>
          <w:sz w:val="24"/>
          <w:szCs w:val="24"/>
        </w:rPr>
        <w:t xml:space="preserve">7.Chiou WL, Riegelman S. Pharmaceutical applications of solid dispersion systems. </w:t>
      </w:r>
      <w:hyperlink r:id="rId24" w:history="1">
        <w:r w:rsidRPr="00AD0E1F">
          <w:rPr>
            <w:rFonts w:ascii="Times New Roman" w:hAnsi="Times New Roman" w:cs="Times New Roman"/>
            <w:sz w:val="24"/>
            <w:szCs w:val="24"/>
          </w:rPr>
          <w:t>Journal of Pharmaceutical Sciences</w:t>
        </w:r>
      </w:hyperlink>
      <w:r w:rsidRPr="006112B4">
        <w:rPr>
          <w:rFonts w:ascii="Times New Roman" w:hAnsi="Times New Roman" w:cs="Times New Roman"/>
          <w:sz w:val="24"/>
          <w:szCs w:val="24"/>
        </w:rPr>
        <w:t>,1971; 60: 1281–1302.</w:t>
      </w:r>
    </w:p>
    <w:p w:rsidR="006112B4" w:rsidRPr="006112B4" w:rsidRDefault="006112B4" w:rsidP="006112B4">
      <w:pPr>
        <w:autoSpaceDE w:val="0"/>
        <w:autoSpaceDN w:val="0"/>
        <w:adjustRightInd w:val="0"/>
        <w:spacing w:before="120" w:after="120" w:line="360" w:lineRule="auto"/>
        <w:jc w:val="both"/>
        <w:rPr>
          <w:rFonts w:ascii="Times New Roman" w:eastAsiaTheme="minorHAnsi" w:hAnsi="Times New Roman" w:cs="Times New Roman"/>
          <w:sz w:val="24"/>
          <w:szCs w:val="24"/>
          <w:lang w:bidi="ar-SA"/>
        </w:rPr>
      </w:pPr>
      <w:r w:rsidRPr="006112B4">
        <w:rPr>
          <w:rFonts w:ascii="Times New Roman" w:eastAsiaTheme="minorHAnsi" w:hAnsi="Times New Roman" w:cs="Times New Roman"/>
          <w:bCs/>
          <w:sz w:val="24"/>
          <w:szCs w:val="24"/>
          <w:lang w:bidi="ar-SA"/>
        </w:rPr>
        <w:t>8. Nasir ASM, Aarti MJ, Manoj M, Bari, Randhir B, Chavhan, Barhate SD.New dimensions to Solid Dispersion. Indo American Journal of Pharmaceutical Research, 2013; 3(4): 3247.</w:t>
      </w:r>
    </w:p>
    <w:p w:rsidR="006112B4" w:rsidRPr="006112B4" w:rsidRDefault="006112B4" w:rsidP="006112B4">
      <w:pPr>
        <w:autoSpaceDE w:val="0"/>
        <w:autoSpaceDN w:val="0"/>
        <w:adjustRightInd w:val="0"/>
        <w:spacing w:before="120" w:after="120" w:line="360" w:lineRule="auto"/>
        <w:ind w:left="630"/>
        <w:contextualSpacing/>
        <w:jc w:val="both"/>
        <w:rPr>
          <w:rFonts w:ascii="Times New Roman" w:eastAsiaTheme="minorHAnsi" w:hAnsi="Times New Roman" w:cs="Times New Roman"/>
          <w:sz w:val="24"/>
          <w:szCs w:val="24"/>
          <w:lang w:bidi="ar-SA"/>
        </w:rPr>
      </w:pPr>
    </w:p>
    <w:p w:rsidR="006112B4" w:rsidRPr="006112B4" w:rsidRDefault="006112B4" w:rsidP="006112B4">
      <w:pPr>
        <w:autoSpaceDE w:val="0"/>
        <w:autoSpaceDN w:val="0"/>
        <w:adjustRightInd w:val="0"/>
        <w:spacing w:before="120" w:after="120" w:line="360" w:lineRule="auto"/>
        <w:jc w:val="both"/>
        <w:rPr>
          <w:rFonts w:ascii="Times New Roman" w:hAnsi="Times New Roman" w:cs="Times New Roman"/>
          <w:sz w:val="24"/>
          <w:szCs w:val="24"/>
        </w:rPr>
      </w:pPr>
      <w:r w:rsidRPr="006112B4">
        <w:rPr>
          <w:rFonts w:ascii="Times New Roman" w:hAnsi="Times New Roman" w:cs="Times New Roman"/>
          <w:sz w:val="24"/>
          <w:szCs w:val="24"/>
        </w:rPr>
        <w:t xml:space="preserve">9. Chiou WL, Riegelman S. Preparation and dissolution characteristics of several fast-release solid dispersions of griseofulvin. </w:t>
      </w:r>
      <w:hyperlink r:id="rId25" w:history="1">
        <w:r w:rsidRPr="00AD0E1F">
          <w:rPr>
            <w:rFonts w:ascii="Times New Roman" w:hAnsi="Times New Roman" w:cs="Times New Roman"/>
            <w:sz w:val="24"/>
            <w:szCs w:val="24"/>
          </w:rPr>
          <w:t>Journal of Pharmaceutical Sciences</w:t>
        </w:r>
      </w:hyperlink>
      <w:r w:rsidRPr="006112B4">
        <w:rPr>
          <w:rFonts w:ascii="Times New Roman" w:hAnsi="Times New Roman" w:cs="Times New Roman"/>
          <w:sz w:val="24"/>
          <w:szCs w:val="24"/>
        </w:rPr>
        <w:t>, 1969; 58: 1505–1510.</w:t>
      </w:r>
    </w:p>
    <w:p w:rsidR="006112B4" w:rsidRPr="006112B4" w:rsidRDefault="006112B4" w:rsidP="006112B4">
      <w:pPr>
        <w:spacing w:before="120" w:after="120" w:line="360" w:lineRule="auto"/>
        <w:jc w:val="both"/>
        <w:rPr>
          <w:rFonts w:ascii="Times New Roman" w:hAnsi="Times New Roman" w:cs="Times New Roman"/>
          <w:sz w:val="24"/>
          <w:szCs w:val="24"/>
        </w:rPr>
      </w:pPr>
      <w:r w:rsidRPr="006112B4">
        <w:rPr>
          <w:rFonts w:ascii="Times New Roman" w:hAnsi="Times New Roman" w:cs="Times New Roman"/>
          <w:sz w:val="24"/>
          <w:szCs w:val="24"/>
        </w:rPr>
        <w:t>10. Sonpal RN, Lalwani AN, Darji VC, Patel KR. Solid dispersion; an efficient tool for increasing bioavailability of poorly soluble drugs</w:t>
      </w:r>
      <w:r w:rsidRPr="006112B4">
        <w:rPr>
          <w:rFonts w:ascii="Times New Roman" w:hAnsi="Times New Roman" w:cs="Times New Roman"/>
          <w:bCs/>
          <w:sz w:val="24"/>
          <w:szCs w:val="24"/>
        </w:rPr>
        <w:t>.</w:t>
      </w:r>
      <w:r w:rsidRPr="006112B4">
        <w:rPr>
          <w:rFonts w:ascii="Times New Roman" w:hAnsi="Times New Roman" w:cs="Times New Roman"/>
          <w:bCs/>
          <w:iCs/>
          <w:sz w:val="24"/>
          <w:szCs w:val="24"/>
        </w:rPr>
        <w:t>International Journal of Pharmaceutical Sciences Review and Research, 2011; 8(1): 44-45.</w:t>
      </w:r>
    </w:p>
    <w:p w:rsidR="006112B4" w:rsidRPr="006112B4" w:rsidRDefault="006112B4" w:rsidP="006112B4">
      <w:pPr>
        <w:autoSpaceDE w:val="0"/>
        <w:autoSpaceDN w:val="0"/>
        <w:adjustRightInd w:val="0"/>
        <w:spacing w:before="120" w:after="120" w:line="360" w:lineRule="auto"/>
        <w:ind w:left="547"/>
        <w:contextualSpacing/>
        <w:jc w:val="both"/>
        <w:rPr>
          <w:rFonts w:ascii="Times New Roman" w:eastAsiaTheme="minorHAnsi" w:hAnsi="Times New Roman" w:cs="Times New Roman"/>
          <w:sz w:val="24"/>
          <w:szCs w:val="24"/>
          <w:lang w:bidi="ar-SA"/>
        </w:rPr>
      </w:pPr>
    </w:p>
    <w:p w:rsidR="006112B4" w:rsidRPr="006112B4" w:rsidRDefault="006112B4" w:rsidP="006112B4">
      <w:pPr>
        <w:autoSpaceDE w:val="0"/>
        <w:autoSpaceDN w:val="0"/>
        <w:adjustRightInd w:val="0"/>
        <w:spacing w:before="120" w:after="120" w:line="360" w:lineRule="auto"/>
        <w:jc w:val="both"/>
        <w:rPr>
          <w:rFonts w:ascii="Times New Roman" w:eastAsia="Calibri" w:hAnsi="Times New Roman" w:cs="Times New Roman"/>
          <w:sz w:val="24"/>
          <w:szCs w:val="24"/>
        </w:rPr>
      </w:pPr>
      <w:r w:rsidRPr="006112B4">
        <w:rPr>
          <w:rFonts w:ascii="Times New Roman" w:eastAsia="Calibri" w:hAnsi="Times New Roman" w:cs="Times New Roman"/>
          <w:sz w:val="24"/>
          <w:szCs w:val="24"/>
        </w:rPr>
        <w:t>11.Costantino HR, Firouzabadian L, Wu C, Carrasquil</w:t>
      </w:r>
      <w:r w:rsidRPr="006112B4">
        <w:rPr>
          <w:rFonts w:ascii="Times New Roman" w:hAnsi="Times New Roman" w:cs="Times New Roman"/>
          <w:sz w:val="24"/>
          <w:szCs w:val="24"/>
        </w:rPr>
        <w:t xml:space="preserve">lo KG, Griebenow K, Zale SE et al. </w:t>
      </w:r>
      <w:r w:rsidRPr="006112B4">
        <w:rPr>
          <w:rFonts w:ascii="Times New Roman" w:eastAsia="Calibri" w:hAnsi="Times New Roman" w:cs="Times New Roman"/>
          <w:sz w:val="24"/>
          <w:szCs w:val="24"/>
        </w:rPr>
        <w:t xml:space="preserve">Protein spray freeze drying. Effect of formulation variables on particle size and stability. </w:t>
      </w:r>
      <w:r w:rsidRPr="006112B4">
        <w:rPr>
          <w:rFonts w:ascii="Times New Roman" w:eastAsia="Calibri" w:hAnsi="Times New Roman" w:cs="Times New Roman"/>
          <w:iCs/>
          <w:sz w:val="24"/>
          <w:szCs w:val="24"/>
        </w:rPr>
        <w:t>Journal of Pharmaceutical Science,</w:t>
      </w:r>
      <w:r w:rsidRPr="006112B4">
        <w:rPr>
          <w:rFonts w:ascii="Times New Roman" w:hAnsi="Times New Roman" w:cs="Times New Roman"/>
          <w:iCs/>
          <w:sz w:val="24"/>
          <w:szCs w:val="24"/>
        </w:rPr>
        <w:t xml:space="preserve"> 2002;</w:t>
      </w:r>
      <w:r w:rsidRPr="006112B4">
        <w:rPr>
          <w:rFonts w:ascii="Times New Roman" w:eastAsia="Calibri" w:hAnsi="Times New Roman" w:cs="Times New Roman"/>
          <w:bCs/>
          <w:sz w:val="24"/>
          <w:szCs w:val="24"/>
        </w:rPr>
        <w:t>91</w:t>
      </w:r>
      <w:r w:rsidRPr="006112B4">
        <w:rPr>
          <w:rFonts w:ascii="Times New Roman" w:eastAsia="Calibri" w:hAnsi="Times New Roman" w:cs="Times New Roman"/>
          <w:sz w:val="24"/>
          <w:szCs w:val="24"/>
        </w:rPr>
        <w:t>(2): 388-395.</w:t>
      </w:r>
    </w:p>
    <w:p w:rsidR="006112B4" w:rsidRPr="006112B4" w:rsidRDefault="006112B4" w:rsidP="006112B4">
      <w:pPr>
        <w:autoSpaceDE w:val="0"/>
        <w:autoSpaceDN w:val="0"/>
        <w:adjustRightInd w:val="0"/>
        <w:spacing w:before="120" w:after="120" w:line="360" w:lineRule="auto"/>
        <w:jc w:val="both"/>
        <w:rPr>
          <w:rFonts w:ascii="Times New Roman" w:eastAsiaTheme="minorHAnsi" w:hAnsi="Times New Roman" w:cs="Times New Roman"/>
          <w:sz w:val="24"/>
          <w:szCs w:val="24"/>
          <w:lang w:bidi="ar-SA"/>
        </w:rPr>
      </w:pPr>
      <w:r w:rsidRPr="006112B4">
        <w:rPr>
          <w:rFonts w:ascii="Times New Roman" w:eastAsiaTheme="minorHAnsi" w:hAnsi="Times New Roman" w:cs="Times New Roman"/>
          <w:color w:val="000000"/>
          <w:sz w:val="24"/>
          <w:szCs w:val="24"/>
          <w:lang w:bidi="ar-SA"/>
        </w:rPr>
        <w:t xml:space="preserve">12. </w:t>
      </w:r>
      <w:hyperlink r:id="rId26" w:history="1">
        <w:r w:rsidRPr="00AD0E1F">
          <w:rPr>
            <w:rFonts w:ascii="Times New Roman" w:eastAsiaTheme="minorHAnsi" w:hAnsi="Times New Roman" w:cs="Times New Roman"/>
            <w:sz w:val="24"/>
            <w:szCs w:val="24"/>
            <w:u w:val="single"/>
            <w:lang w:bidi="ar-SA"/>
          </w:rPr>
          <w:t>Dahlberg C</w:t>
        </w:r>
      </w:hyperlink>
      <w:r w:rsidRPr="006112B4">
        <w:rPr>
          <w:rFonts w:ascii="Times New Roman" w:eastAsiaTheme="minorHAnsi" w:hAnsi="Times New Roman" w:cs="Times New Roman"/>
          <w:sz w:val="24"/>
          <w:szCs w:val="24"/>
          <w:lang w:bidi="ar-SA"/>
        </w:rPr>
        <w:t xml:space="preserve">, </w:t>
      </w:r>
      <w:hyperlink r:id="rId27" w:history="1">
        <w:r w:rsidRPr="00AD0E1F">
          <w:rPr>
            <w:rFonts w:ascii="Times New Roman" w:eastAsiaTheme="minorHAnsi" w:hAnsi="Times New Roman" w:cs="Times New Roman"/>
            <w:sz w:val="24"/>
            <w:szCs w:val="24"/>
            <w:u w:val="single"/>
            <w:lang w:bidi="ar-SA"/>
          </w:rPr>
          <w:t>Millqvist-Fureby A</w:t>
        </w:r>
      </w:hyperlink>
      <w:r w:rsidRPr="006112B4">
        <w:rPr>
          <w:rFonts w:ascii="Times New Roman" w:eastAsiaTheme="minorHAnsi" w:hAnsi="Times New Roman" w:cs="Times New Roman"/>
          <w:sz w:val="24"/>
          <w:szCs w:val="24"/>
          <w:lang w:bidi="ar-SA"/>
        </w:rPr>
        <w:t xml:space="preserve">, </w:t>
      </w:r>
      <w:hyperlink r:id="rId28" w:history="1">
        <w:r w:rsidRPr="00AD0E1F">
          <w:rPr>
            <w:rFonts w:ascii="Times New Roman" w:eastAsiaTheme="minorHAnsi" w:hAnsi="Times New Roman" w:cs="Times New Roman"/>
            <w:sz w:val="24"/>
            <w:szCs w:val="24"/>
            <w:u w:val="single"/>
            <w:lang w:bidi="ar-SA"/>
          </w:rPr>
          <w:t>Schuleit M</w:t>
        </w:r>
      </w:hyperlink>
      <w:r w:rsidRPr="006112B4">
        <w:rPr>
          <w:rFonts w:ascii="Times New Roman" w:eastAsiaTheme="minorHAnsi" w:hAnsi="Times New Roman" w:cs="Times New Roman"/>
          <w:sz w:val="24"/>
          <w:szCs w:val="24"/>
          <w:lang w:bidi="ar-SA"/>
        </w:rPr>
        <w:t xml:space="preserve">. Surface comparison and contact angle relationship for differently prepared solid dispersion. European Journal of Pharmacy and bio-pharmacy, 2008; 70(2): 478-485. </w:t>
      </w:r>
    </w:p>
    <w:p w:rsidR="006112B4" w:rsidRPr="006112B4" w:rsidRDefault="006112B4" w:rsidP="006112B4">
      <w:pPr>
        <w:autoSpaceDE w:val="0"/>
        <w:autoSpaceDN w:val="0"/>
        <w:adjustRightInd w:val="0"/>
        <w:spacing w:before="120" w:after="120" w:line="360" w:lineRule="auto"/>
        <w:jc w:val="both"/>
        <w:rPr>
          <w:rFonts w:ascii="Times New Roman" w:hAnsi="Times New Roman" w:cs="Times New Roman"/>
          <w:bCs/>
          <w:sz w:val="24"/>
          <w:szCs w:val="24"/>
        </w:rPr>
      </w:pPr>
      <w:r w:rsidRPr="00AD0E1F">
        <w:rPr>
          <w:rFonts w:ascii="Times New Roman" w:eastAsia="Calibri" w:hAnsi="Times New Roman" w:cs="Times New Roman"/>
          <w:sz w:val="24"/>
          <w:szCs w:val="24"/>
        </w:rPr>
        <w:t xml:space="preserve">13. </w:t>
      </w:r>
      <w:r w:rsidR="00362B46" w:rsidRPr="00AD0E1F">
        <w:rPr>
          <w:rFonts w:ascii="Times New Roman" w:hAnsi="Times New Roman" w:cs="Times New Roman"/>
          <w:bCs/>
          <w:sz w:val="24"/>
          <w:szCs w:val="24"/>
        </w:rPr>
        <w:t xml:space="preserve">Rani KS, Poornima G, Krishnaveni A, Brahmaiah B, Nama S. A review on solid dispersions. </w:t>
      </w:r>
      <w:r w:rsidR="00362B46" w:rsidRPr="00AD0E1F">
        <w:rPr>
          <w:rFonts w:ascii="Times New Roman" w:hAnsi="Times New Roman" w:cs="Times New Roman"/>
          <w:iCs/>
          <w:sz w:val="24"/>
          <w:szCs w:val="24"/>
        </w:rPr>
        <w:t>Asian Journal of Pharmaceutical Research, 2013; 3(2): 93-98.</w:t>
      </w:r>
    </w:p>
    <w:p w:rsidR="006112B4" w:rsidRPr="006112B4" w:rsidRDefault="006112B4" w:rsidP="006112B4">
      <w:pPr>
        <w:autoSpaceDE w:val="0"/>
        <w:autoSpaceDN w:val="0"/>
        <w:adjustRightInd w:val="0"/>
        <w:spacing w:before="120" w:after="120" w:line="360" w:lineRule="auto"/>
        <w:jc w:val="both"/>
        <w:rPr>
          <w:rFonts w:ascii="Times New Roman" w:hAnsi="Times New Roman" w:cs="Times New Roman"/>
          <w:sz w:val="24"/>
          <w:szCs w:val="24"/>
        </w:rPr>
      </w:pPr>
      <w:r w:rsidRPr="006112B4">
        <w:rPr>
          <w:rFonts w:ascii="Times New Roman" w:hAnsi="Times New Roman" w:cs="Times New Roman"/>
          <w:sz w:val="24"/>
          <w:szCs w:val="24"/>
        </w:rPr>
        <w:t xml:space="preserve">14. Nagarajan K, Rao MG. Formulation and Dissolution Studies of Solid Dispersions of Nifedipine. </w:t>
      </w:r>
      <w:r w:rsidRPr="006112B4">
        <w:rPr>
          <w:rFonts w:ascii="Times New Roman" w:hAnsi="Times New Roman" w:cs="Times New Roman"/>
          <w:iCs/>
          <w:sz w:val="24"/>
          <w:szCs w:val="24"/>
        </w:rPr>
        <w:t xml:space="preserve">Indian Journal of Novel Drug Delivery, </w:t>
      </w:r>
      <w:r w:rsidRPr="006112B4">
        <w:rPr>
          <w:rFonts w:ascii="Times New Roman" w:hAnsi="Times New Roman" w:cs="Times New Roman"/>
          <w:sz w:val="24"/>
          <w:szCs w:val="24"/>
        </w:rPr>
        <w:t>2010; 2: 96-98.</w:t>
      </w:r>
    </w:p>
    <w:p w:rsidR="006112B4" w:rsidRPr="00D43565" w:rsidRDefault="006112B4" w:rsidP="00D43565">
      <w:pPr>
        <w:autoSpaceDE w:val="0"/>
        <w:autoSpaceDN w:val="0"/>
        <w:adjustRightInd w:val="0"/>
        <w:spacing w:before="120" w:after="120" w:line="360" w:lineRule="auto"/>
        <w:jc w:val="both"/>
        <w:rPr>
          <w:rFonts w:ascii="Times New Roman" w:hAnsi="Times New Roman" w:cs="Times New Roman"/>
          <w:sz w:val="24"/>
          <w:szCs w:val="24"/>
        </w:rPr>
      </w:pPr>
      <w:r w:rsidRPr="00AD0E1F">
        <w:rPr>
          <w:rFonts w:ascii="Times New Roman" w:eastAsiaTheme="majorEastAsia" w:hAnsi="Times New Roman" w:cs="Times New Roman"/>
          <w:bCs/>
          <w:sz w:val="24"/>
          <w:szCs w:val="24"/>
          <w:lang w:bidi="ar-SA"/>
        </w:rPr>
        <w:t>15.</w:t>
      </w:r>
      <w:r w:rsidR="00362B46" w:rsidRPr="00AD0E1F">
        <w:rPr>
          <w:rFonts w:ascii="Times New Roman" w:hAnsi="Times New Roman" w:cs="Times New Roman"/>
          <w:sz w:val="24"/>
          <w:szCs w:val="24"/>
        </w:rPr>
        <w:t xml:space="preserve"> Kalpana P, Manish S, Sharma K, Dinesh, Jain K, Surendra. Solid dispersion: Approaches, technology involved unmet need and Challenges. Drug Invention Today, 2010; 2(7): 349-357. </w:t>
      </w:r>
    </w:p>
    <w:p w:rsidR="00A25E0D" w:rsidRPr="00AD0E1F" w:rsidRDefault="00A25E0D" w:rsidP="00A25E0D">
      <w:pPr>
        <w:rPr>
          <w:rFonts w:ascii="Times New Roman" w:hAnsi="Times New Roman" w:cs="Times New Roman"/>
          <w:sz w:val="28"/>
        </w:rPr>
      </w:pPr>
    </w:p>
    <w:p w:rsidR="00A25E0D" w:rsidRPr="00AD0E1F" w:rsidRDefault="00A25E0D" w:rsidP="00A25E0D">
      <w:pPr>
        <w:rPr>
          <w:rFonts w:ascii="Times New Roman" w:hAnsi="Times New Roman" w:cs="Times New Roman"/>
          <w:sz w:val="28"/>
        </w:rPr>
      </w:pPr>
    </w:p>
    <w:p w:rsidR="00A25E0D" w:rsidRPr="00AD0E1F" w:rsidRDefault="00A25E0D" w:rsidP="00A25E0D">
      <w:pPr>
        <w:rPr>
          <w:rFonts w:ascii="Times New Roman" w:hAnsi="Times New Roman" w:cs="Times New Roman"/>
          <w:sz w:val="28"/>
        </w:rPr>
      </w:pPr>
    </w:p>
    <w:p w:rsidR="00A25E0D" w:rsidRPr="00AD0E1F" w:rsidRDefault="00A25E0D" w:rsidP="00A25E0D">
      <w:pPr>
        <w:rPr>
          <w:rFonts w:ascii="Times New Roman" w:hAnsi="Times New Roman" w:cs="Times New Roman"/>
        </w:rPr>
      </w:pPr>
    </w:p>
    <w:sectPr w:rsidR="00A25E0D" w:rsidRPr="00AD0E1F" w:rsidSect="00DC6E83">
      <w:headerReference w:type="even" r:id="rId29"/>
      <w:headerReference w:type="default" r:id="rId30"/>
      <w:footerReference w:type="even" r:id="rId31"/>
      <w:footerReference w:type="default" r:id="rId32"/>
      <w:headerReference w:type="first" r:id="rId33"/>
      <w:footerReference w:type="first" r:id="rId34"/>
      <w:pgSz w:w="12240" w:h="15840"/>
      <w:pgMar w:top="284" w:right="1440" w:bottom="142" w:left="1440" w:header="294"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Kapil" w:date="2021-05-23T18:01:00Z" w:initials="K">
    <w:p w:rsidR="00104D2E" w:rsidRPr="00B07E1A" w:rsidRDefault="00104D2E" w:rsidP="00104D2E">
      <w:pPr>
        <w:spacing w:after="0"/>
        <w:rPr>
          <w:rFonts w:ascii="Bookman Old Style" w:hAnsi="Bookman Old Style" w:cs="Times New Roman"/>
        </w:rPr>
      </w:pPr>
      <w:r>
        <w:rPr>
          <w:rStyle w:val="CommentReference"/>
        </w:rPr>
        <w:annotationRef/>
      </w:r>
      <w:r w:rsidR="006371CD" w:rsidRPr="006371CD">
        <w:rPr>
          <w:rFonts w:ascii="Bookman Old Style" w:hAnsi="Bookman Old Style" w:cs="Times New Roman"/>
          <w:noProof/>
          <w:lang w:bidi="ar-SA"/>
        </w:rPr>
        <w:drawing>
          <wp:inline distT="0" distB="0" distL="0" distR="0">
            <wp:extent cx="895350" cy="28753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7931" cy="288364"/>
                    </a:xfrm>
                    <a:prstGeom prst="rect">
                      <a:avLst/>
                    </a:prstGeom>
                    <a:noFill/>
                    <a:ln w="9525">
                      <a:noFill/>
                      <a:miter lim="800000"/>
                      <a:headEnd/>
                      <a:tailEnd/>
                    </a:ln>
                  </pic:spPr>
                </pic:pic>
              </a:graphicData>
            </a:graphic>
          </wp:inline>
        </w:drawing>
      </w:r>
      <w:r w:rsidRPr="00B07E1A">
        <w:rPr>
          <w:rFonts w:ascii="Bookman Old Style" w:hAnsi="Bookman Old Style" w:cs="Times New Roman"/>
        </w:rPr>
        <w:t xml:space="preserve">Similarity Index detected by </w:t>
      </w:r>
      <w:hyperlink r:id="rId2" w:history="1">
        <w:r w:rsidRPr="00502FAD">
          <w:rPr>
            <w:rStyle w:val="Hyperlink"/>
            <w:rFonts w:ascii="Bookman Old Style" w:hAnsi="Bookman Old Style" w:cs="Times New Roman"/>
          </w:rPr>
          <w:t>Turnitin</w:t>
        </w:r>
      </w:hyperlink>
      <w:r w:rsidRPr="00502FAD">
        <w:rPr>
          <w:rFonts w:ascii="Bookman Old Style" w:hAnsi="Bookman Old Style" w:cs="Times New Roman"/>
          <w:highlight w:val="green"/>
        </w:rPr>
        <w:t>=</w:t>
      </w:r>
      <w:r w:rsidRPr="00B07E1A">
        <w:rPr>
          <w:rFonts w:ascii="Bookman Old Style" w:hAnsi="Bookman Old Style" w:cs="Times New Roman"/>
        </w:rPr>
        <w:t xml:space="preserve">  </w:t>
      </w:r>
      <w:r>
        <w:rPr>
          <w:rFonts w:ascii="Bookman Old Style" w:hAnsi="Bookman Old Style" w:cs="Times New Roman"/>
          <w:highlight w:val="green"/>
        </w:rPr>
        <w:t>63</w:t>
      </w:r>
      <w:r w:rsidRPr="00502FAD">
        <w:rPr>
          <w:rFonts w:ascii="Bookman Old Style" w:hAnsi="Bookman Old Style" w:cs="Times New Roman"/>
          <w:highlight w:val="green"/>
        </w:rPr>
        <w:t>%</w:t>
      </w:r>
      <w:r w:rsidRPr="00B07E1A">
        <w:rPr>
          <w:rFonts w:ascii="Bookman Old Style" w:hAnsi="Bookman Old Style" w:cs="Times New Roman"/>
        </w:rPr>
        <w:t xml:space="preserve"> </w:t>
      </w:r>
    </w:p>
    <w:p w:rsidR="00104D2E" w:rsidRPr="00B07E1A" w:rsidRDefault="00104D2E" w:rsidP="00104D2E">
      <w:pPr>
        <w:spacing w:after="0"/>
        <w:rPr>
          <w:rFonts w:ascii="Bookman Old Style" w:hAnsi="Bookman Old Style" w:cs="Times New Roman"/>
          <w:i/>
        </w:rPr>
      </w:pPr>
      <w:r w:rsidRPr="00B07E1A">
        <w:rPr>
          <w:rFonts w:ascii="Bookman Old Style" w:hAnsi="Bookman Old Style" w:cs="Times New Roman"/>
          <w:i/>
        </w:rPr>
        <w:t xml:space="preserve">Please revise your article according to the </w:t>
      </w:r>
      <w:r w:rsidRPr="00502FAD">
        <w:rPr>
          <w:rFonts w:ascii="Bookman Old Style" w:hAnsi="Bookman Old Style" w:cs="Times New Roman"/>
          <w:i/>
          <w:highlight w:val="green"/>
        </w:rPr>
        <w:t>Turnitin</w:t>
      </w:r>
      <w:r w:rsidRPr="00B07E1A">
        <w:rPr>
          <w:rFonts w:ascii="Bookman Old Style" w:hAnsi="Bookman Old Style" w:cs="Times New Roman"/>
          <w:i/>
        </w:rPr>
        <w:t xml:space="preserve"> report</w:t>
      </w:r>
    </w:p>
    <w:p w:rsidR="00104D2E" w:rsidRDefault="00104D2E">
      <w:pPr>
        <w:pStyle w:val="CommentText"/>
      </w:pPr>
    </w:p>
  </w:comment>
  <w:comment w:id="1" w:author="Kapil" w:date="2021-04-02T15:27:00Z" w:initials="K">
    <w:p w:rsidR="00104D2E" w:rsidRPr="00104D2E" w:rsidRDefault="00104D2E">
      <w:pPr>
        <w:pStyle w:val="CommentText"/>
        <w:rPr>
          <w:i/>
        </w:rPr>
      </w:pPr>
      <w:r>
        <w:rPr>
          <w:rStyle w:val="CommentReference"/>
        </w:rPr>
        <w:annotationRef/>
      </w:r>
      <w:r w:rsidRPr="00104D2E">
        <w:rPr>
          <w:i/>
        </w:rPr>
        <w:t>In-vitro</w:t>
      </w:r>
    </w:p>
  </w:comment>
  <w:comment w:id="3" w:author="Kapil" w:date="2021-04-02T11:12:00Z" w:initials="K">
    <w:p w:rsidR="008627A1" w:rsidRPr="00EE2A57" w:rsidRDefault="008627A1" w:rsidP="008627A1">
      <w:pPr>
        <w:spacing w:after="0"/>
        <w:rPr>
          <w:rFonts w:ascii="Bookman Old Style" w:hAnsi="Bookman Old Style" w:cs="Times New Roman"/>
        </w:rPr>
      </w:pPr>
      <w:r>
        <w:rPr>
          <w:rStyle w:val="CommentReference"/>
        </w:rPr>
        <w:annotationRef/>
      </w:r>
      <w:r w:rsidRPr="00351C84">
        <w:rPr>
          <w:rFonts w:ascii="Bookman Old Style" w:hAnsi="Bookman Old Style" w:cs="Times New Roman"/>
        </w:rPr>
        <w:t>Rephrase the content of article to reduce the plagiarism.</w:t>
      </w:r>
    </w:p>
    <w:p w:rsidR="008627A1" w:rsidRDefault="008627A1">
      <w:pPr>
        <w:pStyle w:val="CommentText"/>
      </w:pPr>
    </w:p>
  </w:comment>
  <w:comment w:id="2" w:author="DELL" w:date="2019-10-03T14:37:00Z" w:initials="D">
    <w:p w:rsidR="008627A1" w:rsidRDefault="008627A1" w:rsidP="00EB248E">
      <w:pPr>
        <w:pStyle w:val="NormalWeb"/>
        <w:spacing w:before="0" w:beforeAutospacing="0" w:after="0" w:afterAutospacing="0"/>
        <w:jc w:val="both"/>
        <w:rPr>
          <w:rFonts w:ascii="Arial" w:hAnsi="Arial" w:cs="Arial"/>
        </w:rPr>
      </w:pPr>
      <w:r>
        <w:rPr>
          <w:rStyle w:val="CommentReference"/>
        </w:rPr>
        <w:annotationRef/>
      </w:r>
      <w:r w:rsidRPr="00BF1356">
        <w:rPr>
          <w:rFonts w:ascii="Arial" w:hAnsi="Arial" w:cs="Arial"/>
        </w:rPr>
        <w:t>The novelty of the ma</w:t>
      </w:r>
      <w:r>
        <w:rPr>
          <w:rFonts w:ascii="Arial" w:hAnsi="Arial" w:cs="Arial"/>
        </w:rPr>
        <w:t xml:space="preserve">nuscript need to be clarify. There are already published articles related with this study, it is need to be discussed and referred them both in introduction and in discussion parts of the manuscript. </w:t>
      </w:r>
    </w:p>
    <w:p w:rsidR="008627A1" w:rsidRDefault="008627A1" w:rsidP="00EB248E">
      <w:pPr>
        <w:pStyle w:val="NormalWeb"/>
        <w:spacing w:before="0" w:beforeAutospacing="0" w:after="0" w:afterAutospacing="0"/>
        <w:jc w:val="both"/>
        <w:rPr>
          <w:rFonts w:ascii="Arial" w:hAnsi="Arial" w:cs="Arial"/>
        </w:rPr>
      </w:pPr>
    </w:p>
    <w:p w:rsidR="008627A1" w:rsidRDefault="008627A1" w:rsidP="00EB248E">
      <w:pPr>
        <w:pStyle w:val="NormalWeb"/>
        <w:spacing w:before="0" w:beforeAutospacing="0" w:after="0" w:afterAutospacing="0"/>
        <w:jc w:val="both"/>
        <w:rPr>
          <w:rFonts w:ascii="Arial" w:hAnsi="Arial" w:cs="Arial"/>
        </w:rPr>
      </w:pPr>
      <w:r>
        <w:rPr>
          <w:rFonts w:ascii="Arial" w:hAnsi="Arial" w:cs="Arial"/>
        </w:rPr>
        <w:t xml:space="preserve">The grammar, written and format mistakes need to be correct. </w:t>
      </w:r>
    </w:p>
    <w:p w:rsidR="008627A1" w:rsidRDefault="008627A1">
      <w:pPr>
        <w:pStyle w:val="CommentText"/>
      </w:pPr>
    </w:p>
  </w:comment>
  <w:comment w:id="4" w:author="DELL" w:date="2019-10-03T14:43:00Z" w:initials="D">
    <w:p w:rsidR="008627A1" w:rsidRDefault="008627A1">
      <w:pPr>
        <w:pStyle w:val="CommentText"/>
      </w:pPr>
      <w:r>
        <w:rPr>
          <w:rStyle w:val="CommentReference"/>
        </w:rPr>
        <w:annotationRef/>
      </w:r>
      <w:r w:rsidRPr="00F422AE">
        <w:rPr>
          <w:rFonts w:asciiTheme="majorBidi" w:hAnsiTheme="majorBidi" w:cstheme="majorBidi"/>
        </w:rPr>
        <w:t>it does not represent a summary for the drug problem, and consequently the aim for this work.</w:t>
      </w:r>
    </w:p>
  </w:comment>
  <w:comment w:id="6" w:author="Kapil" w:date="2021-04-02T15:30:00Z" w:initials="K">
    <w:p w:rsidR="00104D2E" w:rsidRDefault="00104D2E">
      <w:pPr>
        <w:pStyle w:val="CommentText"/>
      </w:pPr>
      <w:r>
        <w:rPr>
          <w:rStyle w:val="CommentReference"/>
        </w:rPr>
        <w:annotationRef/>
      </w:r>
      <w:r>
        <w:t>Spacing needed</w:t>
      </w:r>
    </w:p>
  </w:comment>
  <w:comment w:id="7" w:author="Kapil" w:date="2021-04-02T11:42:00Z" w:initials="K">
    <w:p w:rsidR="009B53CE" w:rsidRDefault="009B53CE">
      <w:pPr>
        <w:pStyle w:val="CommentText"/>
      </w:pPr>
      <w:r>
        <w:rPr>
          <w:rStyle w:val="CommentReference"/>
        </w:rPr>
        <w:annotationRef/>
      </w:r>
      <w:r>
        <w:t>Spacing needed</w:t>
      </w:r>
    </w:p>
  </w:comment>
  <w:comment w:id="5" w:author="Kapil" w:date="2021-04-02T11:17:00Z" w:initials="K">
    <w:p w:rsidR="008627A1" w:rsidRPr="00EE2A57" w:rsidRDefault="008627A1" w:rsidP="008627A1">
      <w:pPr>
        <w:pStyle w:val="CommentText"/>
        <w:rPr>
          <w:rFonts w:ascii="Bookman Old Style" w:hAnsi="Bookman Old Style" w:cs="Times New Roman"/>
        </w:rPr>
      </w:pPr>
      <w:r>
        <w:rPr>
          <w:rStyle w:val="CommentReference"/>
        </w:rPr>
        <w:annotationRef/>
      </w:r>
      <w:r w:rsidRPr="00EE2A57">
        <w:rPr>
          <w:rFonts w:ascii="Bookman Old Style" w:hAnsi="Bookman Old Style" w:cs="Times New Roman"/>
        </w:rPr>
        <w:t>Please divide the abstract in below</w:t>
      </w:r>
      <w:r>
        <w:rPr>
          <w:rFonts w:ascii="Bookman Old Style" w:hAnsi="Bookman Old Style" w:cs="Times New Roman"/>
        </w:rPr>
        <w:t xml:space="preserve"> sections</w:t>
      </w:r>
      <w:r w:rsidRPr="00EE2A57">
        <w:rPr>
          <w:rFonts w:ascii="Bookman Old Style" w:hAnsi="Bookman Old Style" w:cs="Times New Roman"/>
        </w:rPr>
        <w:t xml:space="preserve"> </w:t>
      </w:r>
    </w:p>
    <w:p w:rsidR="008627A1" w:rsidRPr="00B07E1A" w:rsidRDefault="008627A1" w:rsidP="008627A1">
      <w:pPr>
        <w:pStyle w:val="CommentText"/>
        <w:rPr>
          <w:rFonts w:ascii="Bookman Old Style" w:hAnsi="Bookman Old Style" w:cs="Times New Roman"/>
          <w:b/>
          <w:highlight w:val="green"/>
        </w:rPr>
      </w:pPr>
      <w:r w:rsidRPr="00B07E1A">
        <w:rPr>
          <w:rFonts w:ascii="Bookman Old Style" w:hAnsi="Bookman Old Style" w:cs="Times New Roman"/>
          <w:b/>
          <w:highlight w:val="green"/>
        </w:rPr>
        <w:t>Aim and objective</w:t>
      </w:r>
    </w:p>
    <w:p w:rsidR="008627A1" w:rsidRPr="00B07E1A" w:rsidRDefault="008627A1" w:rsidP="008627A1">
      <w:pPr>
        <w:pStyle w:val="CommentText"/>
        <w:rPr>
          <w:rFonts w:ascii="Bookman Old Style" w:hAnsi="Bookman Old Style" w:cs="Times New Roman"/>
          <w:b/>
          <w:highlight w:val="green"/>
        </w:rPr>
      </w:pPr>
      <w:r w:rsidRPr="00B07E1A">
        <w:rPr>
          <w:rFonts w:ascii="Bookman Old Style" w:hAnsi="Bookman Old Style" w:cs="Times New Roman"/>
          <w:b/>
          <w:highlight w:val="green"/>
        </w:rPr>
        <w:t>Methods</w:t>
      </w:r>
    </w:p>
    <w:p w:rsidR="008627A1" w:rsidRPr="00B07E1A" w:rsidRDefault="008627A1" w:rsidP="008627A1">
      <w:pPr>
        <w:pStyle w:val="CommentText"/>
        <w:rPr>
          <w:rFonts w:ascii="Bookman Old Style" w:hAnsi="Bookman Old Style" w:cs="Times New Roman"/>
          <w:b/>
          <w:highlight w:val="green"/>
        </w:rPr>
      </w:pPr>
      <w:r w:rsidRPr="00B07E1A">
        <w:rPr>
          <w:rFonts w:ascii="Bookman Old Style" w:hAnsi="Bookman Old Style" w:cs="Times New Roman"/>
          <w:b/>
          <w:highlight w:val="green"/>
        </w:rPr>
        <w:t>Results</w:t>
      </w:r>
    </w:p>
    <w:p w:rsidR="008627A1" w:rsidRPr="00B07E1A" w:rsidRDefault="008627A1" w:rsidP="008627A1">
      <w:pPr>
        <w:pStyle w:val="CommentText"/>
        <w:rPr>
          <w:rFonts w:ascii="Bookman Old Style" w:hAnsi="Bookman Old Style" w:cs="Times New Roman"/>
          <w:b/>
          <w:highlight w:val="green"/>
        </w:rPr>
      </w:pPr>
      <w:r w:rsidRPr="00B07E1A">
        <w:rPr>
          <w:rFonts w:ascii="Bookman Old Style" w:hAnsi="Bookman Old Style" w:cs="Times New Roman"/>
          <w:b/>
          <w:highlight w:val="green"/>
        </w:rPr>
        <w:t>Conclusion</w:t>
      </w:r>
    </w:p>
    <w:p w:rsidR="008627A1" w:rsidRPr="00EE2A57" w:rsidRDefault="008627A1" w:rsidP="008627A1">
      <w:pPr>
        <w:pStyle w:val="CommentText"/>
        <w:rPr>
          <w:rFonts w:ascii="Bookman Old Style" w:hAnsi="Bookman Old Style" w:cs="Times New Roman"/>
        </w:rPr>
      </w:pPr>
      <w:r w:rsidRPr="00B07E1A">
        <w:rPr>
          <w:rFonts w:ascii="Bookman Old Style" w:hAnsi="Bookman Old Style" w:cs="Times New Roman"/>
          <w:b/>
          <w:highlight w:val="green"/>
        </w:rPr>
        <w:t>Keywords</w:t>
      </w:r>
    </w:p>
    <w:p w:rsidR="008627A1" w:rsidRDefault="008627A1">
      <w:pPr>
        <w:pStyle w:val="CommentText"/>
      </w:pPr>
    </w:p>
  </w:comment>
  <w:comment w:id="8" w:author="DELL" w:date="2019-10-03T14:37:00Z" w:initials="D">
    <w:p w:rsidR="008627A1" w:rsidRDefault="008627A1" w:rsidP="00EB248E">
      <w:pPr>
        <w:pStyle w:val="NormalWeb"/>
        <w:spacing w:before="0" w:beforeAutospacing="0" w:after="0" w:afterAutospacing="0"/>
        <w:jc w:val="both"/>
        <w:rPr>
          <w:rFonts w:ascii="Arial" w:hAnsi="Arial" w:cs="Arial"/>
        </w:rPr>
      </w:pPr>
      <w:r>
        <w:rPr>
          <w:rStyle w:val="CommentReference"/>
        </w:rPr>
        <w:annotationRef/>
      </w:r>
      <w:r>
        <w:rPr>
          <w:rFonts w:ascii="Arial" w:hAnsi="Arial" w:cs="Arial"/>
        </w:rPr>
        <w:t xml:space="preserve">It would be better to change the key words </w:t>
      </w:r>
      <w:r>
        <w:t>“</w:t>
      </w:r>
      <w:r w:rsidRPr="000724D5">
        <w:rPr>
          <w:rFonts w:ascii="Arial" w:hAnsi="Arial" w:cs="Arial"/>
        </w:rPr>
        <w:t>Dissolution</w:t>
      </w:r>
      <w:r>
        <w:rPr>
          <w:rFonts w:ascii="Arial" w:hAnsi="Arial" w:cs="Arial"/>
        </w:rPr>
        <w:t xml:space="preserve"> </w:t>
      </w:r>
      <w:r w:rsidRPr="000724D5">
        <w:rPr>
          <w:rFonts w:ascii="Arial" w:hAnsi="Arial" w:cs="Arial"/>
        </w:rPr>
        <w:t>Study, Formulation, IR spectrum</w:t>
      </w:r>
      <w:r>
        <w:rPr>
          <w:rFonts w:ascii="Arial" w:hAnsi="Arial" w:cs="Arial"/>
        </w:rPr>
        <w:t>” with specific key words for this study.</w:t>
      </w:r>
    </w:p>
    <w:p w:rsidR="008627A1" w:rsidRDefault="008627A1">
      <w:pPr>
        <w:pStyle w:val="CommentText"/>
      </w:pPr>
    </w:p>
  </w:comment>
  <w:comment w:id="9" w:author="Kapil" w:date="2021-04-02T11:42:00Z" w:initials="K">
    <w:p w:rsidR="009B53CE" w:rsidRDefault="009B53CE">
      <w:pPr>
        <w:pStyle w:val="CommentText"/>
      </w:pPr>
      <w:r>
        <w:rPr>
          <w:rStyle w:val="CommentReference"/>
        </w:rPr>
        <w:annotationRef/>
      </w:r>
      <w:r>
        <w:t>Spacing needed</w:t>
      </w:r>
    </w:p>
  </w:comment>
  <w:comment w:id="10" w:author="DELL" w:date="2019-10-03T14:37:00Z" w:initials="D">
    <w:p w:rsidR="008627A1" w:rsidRDefault="008627A1">
      <w:pPr>
        <w:pStyle w:val="CommentText"/>
      </w:pPr>
      <w:r>
        <w:rPr>
          <w:rStyle w:val="CommentReference"/>
        </w:rPr>
        <w:annotationRef/>
      </w:r>
      <w:r>
        <w:rPr>
          <w:rFonts w:ascii="Arial" w:eastAsia="Times New Roman" w:hAnsi="Arial" w:cs="Arial"/>
          <w:bCs/>
        </w:rPr>
        <w:t>Properties of excipients that are used for this study need to be indicated in terms of their usage aim and expected contributions</w:t>
      </w:r>
    </w:p>
  </w:comment>
  <w:comment w:id="13" w:author="Kapil" w:date="2021-04-02T11:42:00Z" w:initials="K">
    <w:p w:rsidR="009B53CE" w:rsidRDefault="009B53CE">
      <w:pPr>
        <w:pStyle w:val="CommentText"/>
      </w:pPr>
      <w:r>
        <w:rPr>
          <w:rStyle w:val="CommentReference"/>
        </w:rPr>
        <w:annotationRef/>
      </w:r>
      <w:r>
        <w:t>Spacing needed</w:t>
      </w:r>
    </w:p>
  </w:comment>
  <w:comment w:id="14" w:author="Kapil" w:date="2021-04-02T11:42:00Z" w:initials="K">
    <w:p w:rsidR="009B53CE" w:rsidRDefault="009B53CE">
      <w:pPr>
        <w:pStyle w:val="CommentText"/>
      </w:pPr>
      <w:r>
        <w:rPr>
          <w:rStyle w:val="CommentReference"/>
        </w:rPr>
        <w:annotationRef/>
      </w:r>
      <w:r>
        <w:t>Spacing needed</w:t>
      </w:r>
    </w:p>
  </w:comment>
  <w:comment w:id="16" w:author="Kapil" w:date="2021-04-02T11:39:00Z" w:initials="K">
    <w:p w:rsidR="005F3439" w:rsidRDefault="005F3439" w:rsidP="005F3439">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this reference.</w:t>
      </w:r>
    </w:p>
    <w:p w:rsidR="005F3439" w:rsidRDefault="005F3439">
      <w:pPr>
        <w:pStyle w:val="CommentText"/>
      </w:pPr>
    </w:p>
  </w:comment>
  <w:comment w:id="15" w:author="Kapil" w:date="2021-04-02T11:44:00Z" w:initials="K">
    <w:p w:rsidR="009B53CE" w:rsidRDefault="009B53CE" w:rsidP="009B53CE">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9B53CE" w:rsidRDefault="009B53CE">
      <w:pPr>
        <w:pStyle w:val="CommentText"/>
      </w:pPr>
    </w:p>
  </w:comment>
  <w:comment w:id="12" w:author="Kapil Kumar" w:date="2021-05-23T18:08:00Z" w:initials="KK">
    <w:p w:rsidR="003C471B" w:rsidRDefault="003C471B" w:rsidP="003C471B">
      <w:pPr>
        <w:spacing w:after="0" w:line="240" w:lineRule="auto"/>
        <w:rPr>
          <w:rFonts w:ascii="Bookman Old Style" w:hAnsi="Bookman Old Style" w:cs="Times New Roman"/>
        </w:rPr>
      </w:pPr>
      <w:r>
        <w:rPr>
          <w:rStyle w:val="CommentReference"/>
        </w:rPr>
        <w:annotationRef/>
      </w:r>
      <w:r w:rsidRPr="00073C62">
        <w:rPr>
          <w:rFonts w:ascii="Bookman Old Style" w:hAnsi="Bookman Old Style" w:cs="Times New Roman"/>
        </w:rPr>
        <w:t xml:space="preserve">The </w:t>
      </w:r>
      <w:r>
        <w:rPr>
          <w:rFonts w:ascii="Bookman Old Style" w:hAnsi="Bookman Old Style" w:cs="Times New Roman"/>
        </w:rPr>
        <w:t>content</w:t>
      </w:r>
      <w:r w:rsidRPr="00073C62">
        <w:rPr>
          <w:rFonts w:ascii="Bookman Old Style" w:hAnsi="Bookman Old Style" w:cs="Times New Roman"/>
        </w:rPr>
        <w:t xml:space="preserve"> relevantly addressed the research problems, is comprehensive, and well-organised</w:t>
      </w:r>
      <w:r>
        <w:rPr>
          <w:rFonts w:ascii="Bookman Old Style" w:hAnsi="Bookman Old Style" w:cs="Times New Roman"/>
        </w:rPr>
        <w:t xml:space="preserve"> </w:t>
      </w:r>
      <w:r w:rsidRPr="00073C62">
        <w:rPr>
          <w:rFonts w:ascii="Bookman Old Style" w:hAnsi="Bookman Old Style" w:cs="Times New Roman"/>
        </w:rPr>
        <w:t>in sequence that facilitate better unders</w:t>
      </w:r>
      <w:r>
        <w:rPr>
          <w:rFonts w:ascii="Bookman Old Style" w:hAnsi="Bookman Old Style" w:cs="Times New Roman"/>
        </w:rPr>
        <w:t>tanding of the research issues</w:t>
      </w:r>
      <w:r w:rsidRPr="00073C62">
        <w:rPr>
          <w:rFonts w:ascii="Bookman Old Style" w:hAnsi="Bookman Old Style" w:cs="Times New Roman"/>
        </w:rPr>
        <w:t xml:space="preserve">. </w:t>
      </w:r>
    </w:p>
    <w:p w:rsidR="003C471B" w:rsidRDefault="003C471B">
      <w:pPr>
        <w:pStyle w:val="CommentText"/>
      </w:pPr>
    </w:p>
  </w:comment>
  <w:comment w:id="18" w:author="Kapil Kumar" w:date="2021-05-23T18:08:00Z" w:initials="KK">
    <w:p w:rsidR="003C471B" w:rsidRPr="00073C62" w:rsidRDefault="003C471B" w:rsidP="003C471B">
      <w:pPr>
        <w:spacing w:after="0" w:line="240" w:lineRule="auto"/>
        <w:rPr>
          <w:rFonts w:ascii="Bookman Old Style" w:hAnsi="Bookman Old Style" w:cs="Times New Roman"/>
        </w:rPr>
      </w:pPr>
      <w:r>
        <w:rPr>
          <w:rStyle w:val="CommentReference"/>
        </w:rPr>
        <w:annotationRef/>
      </w:r>
      <w:r w:rsidRPr="00073C62">
        <w:rPr>
          <w:rFonts w:ascii="Bookman Old Style" w:hAnsi="Bookman Old Style" w:cs="Times New Roman"/>
        </w:rPr>
        <w:t>Information provided in the</w:t>
      </w:r>
      <w:r>
        <w:rPr>
          <w:rFonts w:ascii="Bookman Old Style" w:hAnsi="Bookman Old Style" w:cs="Times New Roman"/>
        </w:rPr>
        <w:t xml:space="preserve"> introduction will</w:t>
      </w:r>
      <w:r w:rsidRPr="00073C62">
        <w:rPr>
          <w:rFonts w:ascii="Bookman Old Style" w:hAnsi="Bookman Old Style" w:cs="Times New Roman"/>
        </w:rPr>
        <w:t xml:space="preserve"> helps </w:t>
      </w:r>
      <w:r>
        <w:rPr>
          <w:rFonts w:ascii="Bookman Old Style" w:hAnsi="Bookman Old Style" w:cs="Times New Roman"/>
        </w:rPr>
        <w:t xml:space="preserve">to </w:t>
      </w:r>
      <w:r w:rsidRPr="00073C62">
        <w:rPr>
          <w:rFonts w:ascii="Bookman Old Style" w:hAnsi="Bookman Old Style" w:cs="Times New Roman"/>
        </w:rPr>
        <w:t>reveal the gap of knowledge.</w:t>
      </w:r>
    </w:p>
    <w:p w:rsidR="003C471B" w:rsidRDefault="003C471B">
      <w:pPr>
        <w:pStyle w:val="CommentText"/>
      </w:pPr>
    </w:p>
  </w:comment>
  <w:comment w:id="19" w:author="Kapil" w:date="2021-04-02T11:39:00Z" w:initials="K">
    <w:p w:rsidR="005F3439" w:rsidRDefault="005F3439" w:rsidP="005F3439">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this reference.</w:t>
      </w:r>
    </w:p>
    <w:p w:rsidR="005F3439" w:rsidRDefault="005F3439">
      <w:pPr>
        <w:pStyle w:val="CommentText"/>
      </w:pPr>
    </w:p>
  </w:comment>
  <w:comment w:id="17" w:author="Kapil" w:date="2021-04-02T11:29:00Z" w:initials="K">
    <w:p w:rsidR="008627A1" w:rsidRPr="00C91010" w:rsidRDefault="008627A1" w:rsidP="008627A1">
      <w:pPr>
        <w:spacing w:after="0"/>
        <w:rPr>
          <w:rFonts w:ascii="Bookman Old Style" w:hAnsi="Bookman Old Style" w:cs="Times New Roman"/>
        </w:rPr>
      </w:pPr>
      <w:r>
        <w:rPr>
          <w:rStyle w:val="CommentReference"/>
        </w:rPr>
        <w:annotationRef/>
      </w:r>
      <w:r w:rsidRPr="00C91010">
        <w:rPr>
          <w:rFonts w:ascii="Bookman Old Style" w:hAnsi="Bookman Old Style" w:cs="Times New Roman"/>
        </w:rPr>
        <w:t>Too long detail. It should be reduced</w:t>
      </w:r>
    </w:p>
    <w:p w:rsidR="008627A1" w:rsidRDefault="008627A1">
      <w:pPr>
        <w:pStyle w:val="CommentText"/>
      </w:pPr>
    </w:p>
  </w:comment>
  <w:comment w:id="22" w:author="Kapil" w:date="2021-04-02T11:42:00Z" w:initials="K">
    <w:p w:rsidR="009B53CE" w:rsidRDefault="009B53CE">
      <w:pPr>
        <w:pStyle w:val="CommentText"/>
      </w:pPr>
      <w:r>
        <w:rPr>
          <w:rStyle w:val="CommentReference"/>
        </w:rPr>
        <w:annotationRef/>
      </w:r>
      <w:r>
        <w:t>Spacing needed</w:t>
      </w:r>
    </w:p>
  </w:comment>
  <w:comment w:id="21" w:author="Kapil" w:date="2021-04-02T11:44:00Z" w:initials="K">
    <w:p w:rsidR="009B53CE" w:rsidRDefault="009B53CE" w:rsidP="009B53CE">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9B53CE" w:rsidRDefault="009B53CE">
      <w:pPr>
        <w:pStyle w:val="CommentText"/>
      </w:pPr>
    </w:p>
  </w:comment>
  <w:comment w:id="24" w:author="Kapil" w:date="2021-04-02T11:42:00Z" w:initials="K">
    <w:p w:rsidR="009B53CE" w:rsidRDefault="009B53CE">
      <w:pPr>
        <w:pStyle w:val="CommentText"/>
      </w:pPr>
      <w:r>
        <w:rPr>
          <w:rStyle w:val="CommentReference"/>
        </w:rPr>
        <w:annotationRef/>
      </w:r>
      <w:r>
        <w:t>Spacing needed</w:t>
      </w:r>
    </w:p>
  </w:comment>
  <w:comment w:id="23" w:author="Kapil" w:date="2021-04-02T11:29:00Z" w:initials="K">
    <w:p w:rsidR="008627A1" w:rsidRPr="00C91010" w:rsidRDefault="008627A1" w:rsidP="008627A1">
      <w:pPr>
        <w:spacing w:after="0"/>
        <w:rPr>
          <w:rFonts w:ascii="Bookman Old Style" w:hAnsi="Bookman Old Style" w:cs="Times New Roman"/>
        </w:rPr>
      </w:pPr>
      <w:r>
        <w:rPr>
          <w:rStyle w:val="CommentReference"/>
        </w:rPr>
        <w:annotationRef/>
      </w:r>
      <w:r w:rsidRPr="00C91010">
        <w:rPr>
          <w:rFonts w:ascii="Bookman Old Style" w:hAnsi="Bookman Old Style" w:cs="Times New Roman"/>
        </w:rPr>
        <w:t>Too long detail. It should be reduced</w:t>
      </w:r>
    </w:p>
    <w:p w:rsidR="008627A1" w:rsidRDefault="008627A1">
      <w:pPr>
        <w:pStyle w:val="CommentText"/>
      </w:pPr>
    </w:p>
  </w:comment>
  <w:comment w:id="20" w:author="Kapil Kumar" w:date="2021-05-23T18:08:00Z" w:initials="KK">
    <w:p w:rsidR="003C471B" w:rsidRDefault="003C471B" w:rsidP="003C471B">
      <w:pPr>
        <w:spacing w:after="0"/>
        <w:rPr>
          <w:rFonts w:ascii="Bookman Old Style" w:hAnsi="Bookman Old Style" w:cs="Times New Roman"/>
        </w:rPr>
      </w:pPr>
      <w:r>
        <w:rPr>
          <w:rStyle w:val="CommentReference"/>
        </w:rPr>
        <w:annotationRef/>
      </w:r>
      <w:r w:rsidRPr="00487DDD">
        <w:rPr>
          <w:rFonts w:ascii="Bookman Old Style" w:hAnsi="Bookman Old Style" w:cs="Times New Roman"/>
        </w:rPr>
        <w:t>The introduction is written in a pertinent and coherent way with the research carried out; and contains a number of appropriate references to the topic.</w:t>
      </w:r>
    </w:p>
    <w:p w:rsidR="003C471B" w:rsidRDefault="003C471B">
      <w:pPr>
        <w:pStyle w:val="CommentText"/>
      </w:pPr>
    </w:p>
  </w:comment>
  <w:comment w:id="25" w:author="Kapil" w:date="2021-04-02T11:39:00Z" w:initials="K">
    <w:p w:rsidR="005F3439" w:rsidRDefault="005F3439" w:rsidP="005F3439">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this reference.</w:t>
      </w:r>
    </w:p>
    <w:p w:rsidR="005F3439" w:rsidRDefault="005F3439">
      <w:pPr>
        <w:pStyle w:val="CommentText"/>
      </w:pPr>
    </w:p>
  </w:comment>
  <w:comment w:id="26" w:author="DELL" w:date="2019-10-03T14:38:00Z" w:initials="D">
    <w:p w:rsidR="008627A1" w:rsidRPr="00A932D4" w:rsidRDefault="008627A1" w:rsidP="00EB248E">
      <w:pPr>
        <w:pStyle w:val="NormalWeb"/>
        <w:spacing w:before="0" w:beforeAutospacing="0" w:after="0" w:afterAutospacing="0"/>
        <w:rPr>
          <w:rFonts w:ascii="Arial" w:hAnsi="Arial" w:cs="Arial"/>
          <w:bCs/>
        </w:rPr>
      </w:pPr>
      <w:r>
        <w:rPr>
          <w:rStyle w:val="CommentReference"/>
        </w:rPr>
        <w:annotationRef/>
      </w:r>
      <w:r>
        <w:rPr>
          <w:rFonts w:ascii="Arial" w:hAnsi="Arial" w:cs="Arial"/>
          <w:bCs/>
        </w:rPr>
        <w:t>Statistical methods and Kinetic models need to be indicated in this part.</w:t>
      </w:r>
    </w:p>
    <w:p w:rsidR="008627A1" w:rsidRDefault="008627A1">
      <w:pPr>
        <w:pStyle w:val="CommentText"/>
      </w:pPr>
    </w:p>
  </w:comment>
  <w:comment w:id="27" w:author="DELL" w:date="2019-10-03T14:44:00Z" w:initials="D">
    <w:p w:rsidR="008627A1" w:rsidRDefault="008627A1">
      <w:pPr>
        <w:pStyle w:val="CommentText"/>
      </w:pPr>
      <w:r>
        <w:rPr>
          <w:rStyle w:val="CommentReference"/>
        </w:rPr>
        <w:annotationRef/>
      </w:r>
      <w:r w:rsidRPr="00F422AE">
        <w:rPr>
          <w:rFonts w:asciiTheme="majorBidi" w:hAnsiTheme="majorBidi" w:cstheme="majorBidi"/>
        </w:rPr>
        <w:t>There is no arrangement of the steps, a lot of the essential methodology for solid dispersions id missed as: physical mixture preparation, fusion method for ternary systems, also the method itself may be not applicable as it is known that PEG is highly hygroscopic and easily absorbs water vapour, how could it be left for 72 hours. In abstract the author mentioned that he used solvent evaporation method, while it is not mentioned at all. Also, for characterization of the solid dispersions, first of all, drug content must be done to calculate the actual amount of drug in the formulation, also, authors mentioned that XRD were done, but in results, not mentioned at all, also, a main characterization tool for solid dispersions is DSC for thermal analysis. In abstract, they mentioned that they use poloxamer 407 and eudragit, which not mentioned in methodology or results. In dissolution studies, the drug was assayed at 273 nm while in standard curve it was mentioned that the drug was analyzed at 228 nm ?????. In table 2, the serial no. of formulations is incorrect; 66, 37 and 38. From the table, what is the difference between G1 and G14, both have the same composition; also, G6 and G18 have the same composition???</w:t>
      </w:r>
    </w:p>
  </w:comment>
  <w:comment w:id="28" w:author="DELL" w:date="2019-10-03T14:44:00Z" w:initials="D">
    <w:p w:rsidR="008627A1" w:rsidRDefault="008627A1">
      <w:pPr>
        <w:pStyle w:val="CommentText"/>
      </w:pPr>
      <w:r>
        <w:rPr>
          <w:rStyle w:val="CommentReference"/>
        </w:rPr>
        <w:annotationRef/>
      </w:r>
      <w:r>
        <w:t>You can remove this table</w:t>
      </w:r>
    </w:p>
  </w:comment>
  <w:comment w:id="29" w:author="Kapil" w:date="2021-04-02T11:30:00Z" w:initials="K">
    <w:p w:rsidR="008627A1" w:rsidRDefault="008627A1">
      <w:pPr>
        <w:pStyle w:val="CommentText"/>
      </w:pPr>
      <w:r>
        <w:rPr>
          <w:rStyle w:val="CommentReference"/>
        </w:rPr>
        <w:annotationRef/>
      </w:r>
      <w:r>
        <w:t>Write it in the form of sentences</w:t>
      </w:r>
    </w:p>
  </w:comment>
  <w:comment w:id="30" w:author="Kapil" w:date="2021-04-02T11:30:00Z" w:initials="K">
    <w:p w:rsidR="008627A1" w:rsidRDefault="008627A1">
      <w:pPr>
        <w:pStyle w:val="CommentText"/>
      </w:pPr>
      <w:r>
        <w:rPr>
          <w:rStyle w:val="CommentReference"/>
        </w:rPr>
        <w:annotationRef/>
      </w:r>
      <w:r>
        <w:t>Author should delete it. No need</w:t>
      </w:r>
    </w:p>
  </w:comment>
  <w:comment w:id="32" w:author="Kapil" w:date="2021-04-02T11:43:00Z" w:initials="K">
    <w:p w:rsidR="009B53CE" w:rsidRDefault="009B53CE">
      <w:pPr>
        <w:pStyle w:val="CommentText"/>
      </w:pPr>
      <w:r>
        <w:rPr>
          <w:rStyle w:val="CommentReference"/>
        </w:rPr>
        <w:annotationRef/>
      </w:r>
      <w:r>
        <w:t>Spacing needed</w:t>
      </w:r>
    </w:p>
  </w:comment>
  <w:comment w:id="31" w:author="Kapil" w:date="2021-04-02T11:44:00Z" w:initials="K">
    <w:p w:rsidR="009B53CE" w:rsidRDefault="009B53CE" w:rsidP="009B53CE">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9B53CE" w:rsidRDefault="009B53CE">
      <w:pPr>
        <w:pStyle w:val="CommentText"/>
      </w:pPr>
    </w:p>
  </w:comment>
  <w:comment w:id="33" w:author="Kapil" w:date="2021-04-02T11:39:00Z" w:initials="K">
    <w:p w:rsidR="005F3439" w:rsidRDefault="005F3439" w:rsidP="005F3439">
      <w:pPr>
        <w:spacing w:after="0"/>
        <w:rPr>
          <w:rFonts w:ascii="Bookman Old Style" w:hAnsi="Bookman Old Style" w:cs="Times New Roman"/>
        </w:rPr>
      </w:pPr>
      <w:r>
        <w:rPr>
          <w:rStyle w:val="CommentReference"/>
        </w:rPr>
        <w:annotationRef/>
      </w:r>
      <w:r>
        <w:rPr>
          <w:rFonts w:ascii="Bookman Old Style" w:hAnsi="Bookman Old Style" w:cs="Times New Roman"/>
        </w:rPr>
        <w:t>Please cross check this reference.</w:t>
      </w:r>
    </w:p>
    <w:p w:rsidR="005F3439" w:rsidRDefault="005F3439">
      <w:pPr>
        <w:pStyle w:val="CommentText"/>
      </w:pPr>
    </w:p>
  </w:comment>
  <w:comment w:id="34" w:author="Kapil" w:date="2021-04-02T11:44:00Z" w:initials="K">
    <w:p w:rsidR="009B53CE" w:rsidRDefault="009B53CE" w:rsidP="009B53CE">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9B53CE" w:rsidRDefault="009B53CE">
      <w:pPr>
        <w:pStyle w:val="CommentText"/>
      </w:pPr>
    </w:p>
  </w:comment>
  <w:comment w:id="35" w:author="DELL" w:date="2019-10-03T14:46:00Z" w:initials="D">
    <w:p w:rsidR="008627A1" w:rsidRPr="00F422AE" w:rsidRDefault="008627A1" w:rsidP="00D43565">
      <w:pPr>
        <w:pStyle w:val="NormalWeb"/>
        <w:spacing w:before="0" w:beforeAutospacing="0" w:after="0" w:afterAutospacing="0"/>
        <w:jc w:val="both"/>
        <w:rPr>
          <w:rFonts w:asciiTheme="majorBidi" w:hAnsiTheme="majorBidi" w:cstheme="majorBidi"/>
        </w:rPr>
      </w:pPr>
      <w:r>
        <w:rPr>
          <w:rStyle w:val="CommentReference"/>
        </w:rPr>
        <w:annotationRef/>
      </w:r>
      <w:r w:rsidRPr="00F422AE">
        <w:rPr>
          <w:rFonts w:asciiTheme="majorBidi" w:hAnsiTheme="majorBidi" w:cstheme="majorBidi"/>
        </w:rPr>
        <w:t>authors did not provide any justification for the obtained results, they did not give us the reasons for the rapid dissolution effect of PEG at 5 minutes, the effect is increased slightly, they did not give us the reasons that G3 gave higher effects than G4, and the same in G6 and G10. The FT-IR charts are not clear and resolution of the image is so bad, we cannot read the data, also, the IR spectra of PEG and PVP must be done to compare them with the formulation. In the release kinetics 5 SD formulations were selected, among them SE2 and SE9, which are not included here in this research work, also, what is the impact and importance of successive fractional dissolution studies/// what is the unit used to measure T25%, T50%, T80%, and what is the MDT and how can it be calculated in table8??</w:t>
      </w:r>
    </w:p>
    <w:p w:rsidR="008627A1" w:rsidRPr="00F422AE" w:rsidRDefault="008627A1" w:rsidP="00D43565">
      <w:pPr>
        <w:pStyle w:val="NormalWeb"/>
        <w:spacing w:before="0" w:beforeAutospacing="0" w:after="0" w:afterAutospacing="0"/>
        <w:jc w:val="both"/>
        <w:rPr>
          <w:rFonts w:asciiTheme="majorBidi" w:hAnsiTheme="majorBidi" w:cstheme="majorBidi"/>
        </w:rPr>
      </w:pPr>
      <w:r w:rsidRPr="00F422AE">
        <w:rPr>
          <w:rFonts w:asciiTheme="majorBidi" w:hAnsiTheme="majorBidi" w:cstheme="majorBidi"/>
        </w:rPr>
        <w:t>In conclusion, the authors mentioned also that they used poloxamer and eudragit for formulation, and also, they mentioned that they conclude that ternary systems are more effective than binary systems, what is the basis for this comparison??????</w:t>
      </w:r>
    </w:p>
    <w:p w:rsidR="008627A1" w:rsidRDefault="008627A1" w:rsidP="00D43565">
      <w:pPr>
        <w:pStyle w:val="CommentText"/>
      </w:pPr>
      <w:r w:rsidRPr="00F422AE">
        <w:rPr>
          <w:rFonts w:asciiTheme="majorBidi" w:hAnsiTheme="majorBidi" w:cstheme="majorBidi"/>
        </w:rPr>
        <w:t xml:space="preserve">The most fatal mistake which may destroys this manuscript, that the authors mentioned in the conclusion that “ternary SDs is more effective to increase the </w:t>
      </w:r>
      <w:r w:rsidRPr="00F422AE">
        <w:rPr>
          <w:rFonts w:asciiTheme="majorBidi" w:hAnsiTheme="majorBidi" w:cstheme="majorBidi"/>
          <w:color w:val="C00000"/>
          <w:sz w:val="28"/>
          <w:szCs w:val="28"/>
          <w:u w:val="single"/>
        </w:rPr>
        <w:t>diclofenac sodium</w:t>
      </w:r>
      <w:r w:rsidRPr="00F422AE">
        <w:rPr>
          <w:rFonts w:asciiTheme="majorBidi" w:hAnsiTheme="majorBidi" w:cstheme="majorBidi"/>
          <w:sz w:val="28"/>
          <w:szCs w:val="28"/>
        </w:rPr>
        <w:t xml:space="preserve"> </w:t>
      </w:r>
      <w:r w:rsidRPr="00F422AE">
        <w:rPr>
          <w:rFonts w:asciiTheme="majorBidi" w:hAnsiTheme="majorBidi" w:cstheme="majorBidi"/>
        </w:rPr>
        <w:t>release rate.</w:t>
      </w:r>
    </w:p>
  </w:comment>
  <w:comment w:id="36" w:author="DELL" w:date="2019-10-03T14:45:00Z" w:initials="D">
    <w:p w:rsidR="008627A1" w:rsidRPr="00F422AE" w:rsidRDefault="008627A1" w:rsidP="00EB248E">
      <w:pPr>
        <w:pStyle w:val="NormalWeb"/>
        <w:spacing w:before="0" w:beforeAutospacing="0" w:after="0" w:afterAutospacing="0"/>
        <w:jc w:val="both"/>
        <w:rPr>
          <w:rFonts w:asciiTheme="majorBidi" w:hAnsiTheme="majorBidi" w:cstheme="majorBidi"/>
        </w:rPr>
      </w:pPr>
      <w:r>
        <w:rPr>
          <w:rStyle w:val="CommentReference"/>
        </w:rPr>
        <w:annotationRef/>
      </w:r>
      <w:r w:rsidRPr="00F422AE">
        <w:rPr>
          <w:rFonts w:asciiTheme="majorBidi" w:hAnsiTheme="majorBidi" w:cstheme="majorBidi"/>
        </w:rPr>
        <w:t>The authors insisted in the results and discussion section that they used poloxamer 407 and solvent evaporation method???</w:t>
      </w:r>
    </w:p>
    <w:p w:rsidR="008627A1" w:rsidRDefault="008627A1" w:rsidP="00EB248E">
      <w:pPr>
        <w:pStyle w:val="CommentText"/>
      </w:pPr>
      <w:r w:rsidRPr="00F422AE">
        <w:rPr>
          <w:rFonts w:asciiTheme="majorBidi" w:hAnsiTheme="majorBidi" w:cstheme="majorBidi"/>
        </w:rPr>
        <w:t>The obtained results cannot be a true measure for the required work, as all obtained data need justification.</w:t>
      </w:r>
    </w:p>
  </w:comment>
  <w:comment w:id="37" w:author="Kapil" w:date="2021-04-02T11:31:00Z" w:initials="K">
    <w:p w:rsidR="005F3439" w:rsidRDefault="005F3439">
      <w:pPr>
        <w:pStyle w:val="CommentText"/>
      </w:pPr>
      <w:r>
        <w:rPr>
          <w:rStyle w:val="CommentReference"/>
        </w:rPr>
        <w:annotationRef/>
      </w:r>
      <w:r>
        <w:t>Remove this image</w:t>
      </w:r>
    </w:p>
  </w:comment>
  <w:comment w:id="38" w:author="Kapil" w:date="2021-04-02T11:45:00Z" w:initials="K">
    <w:p w:rsidR="009B53CE" w:rsidRDefault="009B53CE" w:rsidP="009B53CE">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9B53CE" w:rsidRDefault="009B53CE">
      <w:pPr>
        <w:pStyle w:val="CommentText"/>
      </w:pPr>
    </w:p>
  </w:comment>
  <w:comment w:id="39" w:author="Kapil" w:date="2021-04-02T11:45:00Z" w:initials="K">
    <w:p w:rsidR="009B53CE" w:rsidRDefault="009B53CE" w:rsidP="009B53CE">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9B53CE" w:rsidRDefault="009B53CE">
      <w:pPr>
        <w:pStyle w:val="CommentText"/>
      </w:pPr>
    </w:p>
  </w:comment>
  <w:comment w:id="40" w:author="Kapil" w:date="2021-04-02T11:31:00Z" w:initials="K">
    <w:p w:rsidR="005F3439" w:rsidRPr="00EE2A57" w:rsidRDefault="005F3439" w:rsidP="005F3439">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 to make more effective.</w:t>
      </w:r>
    </w:p>
    <w:p w:rsidR="005F3439" w:rsidRDefault="005F3439">
      <w:pPr>
        <w:pStyle w:val="CommentText"/>
      </w:pPr>
    </w:p>
  </w:comment>
  <w:comment w:id="41" w:author="Kapil" w:date="2021-04-02T11:31:00Z" w:initials="K">
    <w:p w:rsidR="005F3439" w:rsidRPr="00EE2A57" w:rsidRDefault="005F3439" w:rsidP="005F3439">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 to make more effective.</w:t>
      </w:r>
    </w:p>
    <w:p w:rsidR="005F3439" w:rsidRDefault="005F3439">
      <w:pPr>
        <w:pStyle w:val="CommentText"/>
      </w:pPr>
    </w:p>
  </w:comment>
  <w:comment w:id="42" w:author="Kapil" w:date="2021-04-02T11:31:00Z" w:initials="K">
    <w:p w:rsidR="005F3439" w:rsidRPr="00EE2A57" w:rsidRDefault="005F3439" w:rsidP="005F3439">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 to make more effective.</w:t>
      </w:r>
    </w:p>
    <w:p w:rsidR="005F3439" w:rsidRDefault="005F3439">
      <w:pPr>
        <w:pStyle w:val="CommentText"/>
      </w:pPr>
    </w:p>
  </w:comment>
  <w:comment w:id="43" w:author="Kapil" w:date="2021-04-02T11:32:00Z" w:initials="K">
    <w:p w:rsidR="005F3439" w:rsidRPr="00EE2A57" w:rsidRDefault="005F3439" w:rsidP="005F3439">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 to make more effective.</w:t>
      </w:r>
    </w:p>
    <w:p w:rsidR="005F3439" w:rsidRDefault="005F3439">
      <w:pPr>
        <w:pStyle w:val="CommentText"/>
      </w:pPr>
    </w:p>
  </w:comment>
  <w:comment w:id="44" w:author="Kapil" w:date="2021-04-02T11:32:00Z" w:initials="K">
    <w:p w:rsidR="005F3439" w:rsidRPr="00EE2A57" w:rsidRDefault="005F3439" w:rsidP="005F3439">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 to make more effective.</w:t>
      </w:r>
    </w:p>
    <w:p w:rsidR="005F3439" w:rsidRDefault="005F3439">
      <w:pPr>
        <w:pStyle w:val="CommentText"/>
      </w:pPr>
    </w:p>
  </w:comment>
  <w:comment w:id="45" w:author="Kapil" w:date="2021-04-02T11:32:00Z" w:initials="K">
    <w:p w:rsidR="005F3439" w:rsidRPr="00EE2A57" w:rsidRDefault="005F3439" w:rsidP="005F3439">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 to make more effective.</w:t>
      </w:r>
    </w:p>
    <w:p w:rsidR="005F3439" w:rsidRDefault="005F3439">
      <w:pPr>
        <w:pStyle w:val="CommentText"/>
      </w:pPr>
    </w:p>
  </w:comment>
  <w:comment w:id="46" w:author="Kapil" w:date="2021-04-02T11:32:00Z" w:initials="K">
    <w:p w:rsidR="005F3439" w:rsidRPr="00EE2A57" w:rsidRDefault="005F3439" w:rsidP="005F3439">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 to make more effective.</w:t>
      </w:r>
    </w:p>
    <w:p w:rsidR="005F3439" w:rsidRDefault="005F3439">
      <w:pPr>
        <w:pStyle w:val="CommentText"/>
      </w:pPr>
    </w:p>
  </w:comment>
  <w:comment w:id="47" w:author="Kapil" w:date="2021-04-02T11:32:00Z" w:initials="K">
    <w:p w:rsidR="005F3439" w:rsidRDefault="005F3439" w:rsidP="005F3439">
      <w:pPr>
        <w:spacing w:after="0" w:line="240" w:lineRule="auto"/>
        <w:rPr>
          <w:rFonts w:ascii="Bookman Old Style" w:hAnsi="Bookman Old Style" w:cs="Times New Roman"/>
          <w:highlight w:val="yellow"/>
        </w:rPr>
      </w:pPr>
      <w:r>
        <w:rPr>
          <w:rStyle w:val="CommentReference"/>
        </w:rPr>
        <w:annotationRef/>
      </w:r>
      <w:r w:rsidRPr="006B3A13">
        <w:rPr>
          <w:rFonts w:ascii="Bookman Old Style" w:hAnsi="Bookman Old Style" w:cs="Times New Roman"/>
        </w:rPr>
        <w:t>Please use some scientific words, remove words like we, I, our, your</w:t>
      </w:r>
      <w:r>
        <w:rPr>
          <w:rFonts w:ascii="Bookman Old Style" w:hAnsi="Bookman Old Style" w:cs="Times New Roman"/>
        </w:rPr>
        <w:t>,</w:t>
      </w:r>
      <w:r w:rsidRPr="006B3A13">
        <w:rPr>
          <w:rFonts w:ascii="Bookman Old Style" w:hAnsi="Bookman Old Style" w:cs="Times New Roman"/>
        </w:rPr>
        <w:t xml:space="preserve"> etc</w:t>
      </w:r>
      <w:r>
        <w:rPr>
          <w:rFonts w:ascii="Bookman Old Style" w:hAnsi="Bookman Old Style" w:cs="Times New Roman"/>
        </w:rPr>
        <w:t>.</w:t>
      </w:r>
      <w:r w:rsidRPr="006B3A13">
        <w:rPr>
          <w:rFonts w:ascii="Bookman Old Style" w:hAnsi="Bookman Old Style" w:cs="Times New Roman"/>
          <w:highlight w:val="yellow"/>
        </w:rPr>
        <w:t xml:space="preserve"> </w:t>
      </w:r>
    </w:p>
    <w:p w:rsidR="005F3439" w:rsidRDefault="005F3439">
      <w:pPr>
        <w:pStyle w:val="CommentText"/>
      </w:pPr>
    </w:p>
  </w:comment>
  <w:comment w:id="48" w:author="Kapil" w:date="2021-04-02T11:32:00Z" w:initials="K">
    <w:p w:rsidR="005F3439" w:rsidRPr="00EE2A57" w:rsidRDefault="005F3439" w:rsidP="005F3439">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 to make more effective.</w:t>
      </w:r>
    </w:p>
    <w:p w:rsidR="005F3439" w:rsidRDefault="005F3439">
      <w:pPr>
        <w:pStyle w:val="CommentText"/>
      </w:pPr>
    </w:p>
  </w:comment>
  <w:comment w:id="50" w:author="Kapil" w:date="2021-04-02T11:43:00Z" w:initials="K">
    <w:p w:rsidR="009B53CE" w:rsidRDefault="009B53CE">
      <w:pPr>
        <w:pStyle w:val="CommentText"/>
      </w:pPr>
      <w:r>
        <w:rPr>
          <w:rStyle w:val="CommentReference"/>
        </w:rPr>
        <w:annotationRef/>
      </w:r>
      <w:r>
        <w:t>?</w:t>
      </w:r>
    </w:p>
  </w:comment>
  <w:comment w:id="49" w:author="Kapil" w:date="2021-04-02T11:45:00Z" w:initials="K">
    <w:p w:rsidR="009B53CE" w:rsidRDefault="009B53CE" w:rsidP="009B53CE">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9B53CE" w:rsidRDefault="009B53CE">
      <w:pPr>
        <w:pStyle w:val="CommentText"/>
      </w:pPr>
    </w:p>
  </w:comment>
  <w:comment w:id="51" w:author="Kapil" w:date="2021-04-02T11:45:00Z" w:initials="K">
    <w:p w:rsidR="009B53CE" w:rsidRDefault="009B53CE" w:rsidP="009B53CE">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9B53CE" w:rsidRDefault="009B53CE">
      <w:pPr>
        <w:pStyle w:val="CommentText"/>
      </w:pPr>
    </w:p>
  </w:comment>
  <w:comment w:id="52" w:author="Kapil" w:date="2021-04-02T11:33:00Z" w:initials="K">
    <w:p w:rsidR="005F3439" w:rsidRDefault="005F3439">
      <w:pPr>
        <w:pStyle w:val="CommentText"/>
      </w:pPr>
      <w:r>
        <w:rPr>
          <w:rStyle w:val="CommentReference"/>
        </w:rPr>
        <w:annotationRef/>
      </w:r>
      <w:r>
        <w:t>Delete this  content</w:t>
      </w:r>
    </w:p>
  </w:comment>
  <w:comment w:id="53" w:author="Kapil" w:date="2021-04-02T11:33:00Z" w:initials="K">
    <w:p w:rsidR="005F3439" w:rsidRDefault="005F3439">
      <w:pPr>
        <w:pStyle w:val="CommentText"/>
      </w:pPr>
      <w:r>
        <w:rPr>
          <w:rStyle w:val="CommentReference"/>
        </w:rPr>
        <w:annotationRef/>
      </w:r>
      <w:r>
        <w:t>No need</w:t>
      </w:r>
    </w:p>
  </w:comment>
  <w:comment w:id="54" w:author="Kapil" w:date="2021-04-02T11:33:00Z" w:initials="K">
    <w:p w:rsidR="005F3439" w:rsidRDefault="005F3439">
      <w:pPr>
        <w:pStyle w:val="CommentText"/>
      </w:pPr>
      <w:r>
        <w:rPr>
          <w:rStyle w:val="CommentReference"/>
        </w:rPr>
        <w:annotationRef/>
      </w:r>
      <w:r>
        <w:t>Delete this  content</w:t>
      </w:r>
    </w:p>
  </w:comment>
  <w:comment w:id="55" w:author="Kapil" w:date="2021-04-02T11:33:00Z" w:initials="K">
    <w:p w:rsidR="005F3439" w:rsidRDefault="005F3439">
      <w:pPr>
        <w:pStyle w:val="CommentText"/>
      </w:pPr>
      <w:r>
        <w:rPr>
          <w:rStyle w:val="CommentReference"/>
        </w:rPr>
        <w:annotationRef/>
      </w:r>
      <w:r>
        <w:t>Delete this  content</w:t>
      </w:r>
    </w:p>
  </w:comment>
  <w:comment w:id="56" w:author="Kapil" w:date="2021-04-02T11:34:00Z" w:initials="K">
    <w:p w:rsidR="005F3439" w:rsidRDefault="005F3439">
      <w:pPr>
        <w:pStyle w:val="CommentText"/>
      </w:pPr>
      <w:r>
        <w:rPr>
          <w:rStyle w:val="CommentReference"/>
        </w:rPr>
        <w:annotationRef/>
      </w:r>
      <w:r>
        <w:t>Delete this  content</w:t>
      </w:r>
    </w:p>
  </w:comment>
  <w:comment w:id="57" w:author="Kapil" w:date="2021-04-02T11:45:00Z" w:initials="K">
    <w:p w:rsidR="009B53CE" w:rsidRDefault="009B53CE" w:rsidP="009B53CE">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9B53CE" w:rsidRDefault="009B53CE">
      <w:pPr>
        <w:pStyle w:val="CommentText"/>
      </w:pPr>
    </w:p>
  </w:comment>
  <w:comment w:id="58" w:author="Kapil" w:date="2021-04-02T11:34:00Z" w:initials="K">
    <w:p w:rsidR="005F3439" w:rsidRDefault="005F3439">
      <w:pPr>
        <w:pStyle w:val="CommentText"/>
      </w:pPr>
      <w:r>
        <w:rPr>
          <w:rStyle w:val="CommentReference"/>
        </w:rPr>
        <w:annotationRef/>
      </w:r>
      <w:r>
        <w:t>Delete this  content</w:t>
      </w:r>
    </w:p>
  </w:comment>
  <w:comment w:id="59" w:author="Kapil" w:date="2021-04-02T11:34:00Z" w:initials="K">
    <w:p w:rsidR="005F3439" w:rsidRDefault="005F3439">
      <w:pPr>
        <w:pStyle w:val="CommentText"/>
      </w:pPr>
      <w:r>
        <w:rPr>
          <w:rStyle w:val="CommentReference"/>
        </w:rPr>
        <w:annotationRef/>
      </w:r>
      <w:r>
        <w:t>Delete this  content</w:t>
      </w:r>
    </w:p>
  </w:comment>
  <w:comment w:id="60" w:author="Kapil" w:date="2021-04-02T11:45:00Z" w:initials="K">
    <w:p w:rsidR="009B53CE" w:rsidRDefault="009B53CE" w:rsidP="009B53CE">
      <w:pPr>
        <w:spacing w:after="0"/>
        <w:rPr>
          <w:rFonts w:ascii="Bookman Old Style" w:hAnsi="Bookman Old Style" w:cs="Times New Roman"/>
        </w:rPr>
      </w:pPr>
      <w:r>
        <w:rPr>
          <w:rStyle w:val="CommentReference"/>
        </w:rPr>
        <w:annotationRef/>
      </w:r>
      <w:r w:rsidRPr="00EE2A57">
        <w:rPr>
          <w:rFonts w:ascii="Bookman Old Style" w:hAnsi="Bookman Old Style" w:cs="Times New Roman"/>
        </w:rPr>
        <w:t>These sentences should be rephrased</w:t>
      </w:r>
      <w:r>
        <w:rPr>
          <w:rFonts w:ascii="Bookman Old Style" w:hAnsi="Bookman Old Style" w:cs="Times New Roman"/>
        </w:rPr>
        <w:t>.</w:t>
      </w:r>
    </w:p>
    <w:p w:rsidR="009B53CE" w:rsidRDefault="009B53CE">
      <w:pPr>
        <w:pStyle w:val="CommentText"/>
      </w:pPr>
    </w:p>
  </w:comment>
  <w:comment w:id="61" w:author="Kapil" w:date="2021-04-02T11:34:00Z" w:initials="K">
    <w:p w:rsidR="005F3439" w:rsidRPr="00C91010" w:rsidRDefault="005F3439" w:rsidP="005F3439">
      <w:pPr>
        <w:spacing w:after="0"/>
        <w:rPr>
          <w:rFonts w:ascii="Bookman Old Style" w:hAnsi="Bookman Old Style" w:cs="Times New Roman"/>
        </w:rPr>
      </w:pPr>
      <w:r>
        <w:rPr>
          <w:rStyle w:val="CommentReference"/>
        </w:rPr>
        <w:annotationRef/>
      </w:r>
      <w:r w:rsidRPr="00C91010">
        <w:rPr>
          <w:rFonts w:ascii="Bookman Old Style" w:hAnsi="Bookman Old Style" w:cs="Times New Roman"/>
        </w:rPr>
        <w:t>Too long detail. It should be reduced</w:t>
      </w:r>
    </w:p>
    <w:p w:rsidR="005F3439" w:rsidRDefault="005F3439">
      <w:pPr>
        <w:pStyle w:val="CommentText"/>
      </w:pPr>
    </w:p>
  </w:comment>
  <w:comment w:id="64" w:author="Kapil" w:date="2021-04-02T11:35:00Z" w:initials="K">
    <w:p w:rsidR="005F3439" w:rsidRPr="00186B8E" w:rsidRDefault="005F3439" w:rsidP="005F3439">
      <w:pPr>
        <w:spacing w:after="0" w:line="240" w:lineRule="auto"/>
        <w:jc w:val="both"/>
        <w:rPr>
          <w:rFonts w:ascii="Bookman Old Style" w:hAnsi="Bookman Old Style" w:cs="Times New Roman"/>
        </w:rPr>
      </w:pPr>
      <w:r>
        <w:rPr>
          <w:rStyle w:val="CommentReference"/>
        </w:rPr>
        <w:annotationRef/>
      </w:r>
      <w:r w:rsidRPr="00186B8E">
        <w:rPr>
          <w:rFonts w:ascii="Bookman Old Style" w:hAnsi="Bookman Old Style" w:cs="Times New Roman"/>
        </w:rPr>
        <w:t>Please follow the journal specifications for references</w:t>
      </w:r>
      <w:r>
        <w:rPr>
          <w:rFonts w:ascii="Bookman Old Style" w:hAnsi="Bookman Old Style" w:cs="Times New Roman"/>
        </w:rPr>
        <w:t xml:space="preserve">. </w:t>
      </w:r>
      <w:r w:rsidRPr="00351C84">
        <w:rPr>
          <w:rFonts w:ascii="Bookman Old Style" w:hAnsi="Bookman Old Style" w:cs="Times New Roman"/>
        </w:rPr>
        <w:t>For example</w:t>
      </w:r>
    </w:p>
    <w:p w:rsidR="005F3439" w:rsidRDefault="005F3439" w:rsidP="005F3439">
      <w:pPr>
        <w:spacing w:after="0" w:line="240" w:lineRule="auto"/>
        <w:jc w:val="both"/>
        <w:rPr>
          <w:rFonts w:ascii="Bookman Old Style" w:hAnsi="Bookman Old Style" w:cs="Times New Roman"/>
        </w:rPr>
      </w:pPr>
      <w:r w:rsidRPr="00186B8E">
        <w:rPr>
          <w:rFonts w:ascii="Bookman Old Style" w:hAnsi="Bookman Old Style" w:cs="Times New Roman"/>
        </w:rPr>
        <w:t xml:space="preserve">Chioma ED. </w:t>
      </w:r>
      <w:r>
        <w:rPr>
          <w:rFonts w:ascii="Bookman Old Style" w:hAnsi="Bookman Old Style" w:cs="Times New Roman"/>
        </w:rPr>
        <w:t xml:space="preserve"> </w:t>
      </w:r>
      <w:r w:rsidRPr="00186B8E">
        <w:rPr>
          <w:rFonts w:ascii="Bookman Old Style" w:hAnsi="Bookman Old Style" w:cs="Times New Roman"/>
        </w:rPr>
        <w:t>Formulation and evaluation of etodolac niosomes by modified ether injection technique. Universal J Pharm Res 2016; 1(1): 1-4.</w:t>
      </w:r>
    </w:p>
    <w:p w:rsidR="005F3439" w:rsidRDefault="00BA5923" w:rsidP="005F3439">
      <w:pPr>
        <w:spacing w:after="0" w:line="240" w:lineRule="auto"/>
        <w:jc w:val="both"/>
        <w:rPr>
          <w:rFonts w:ascii="Bookman Old Style" w:hAnsi="Bookman Old Style" w:cs="Times New Roman"/>
        </w:rPr>
      </w:pPr>
      <w:hyperlink r:id="rId3" w:history="1">
        <w:r w:rsidR="005F3439" w:rsidRPr="006504E1">
          <w:rPr>
            <w:rStyle w:val="Hyperlink"/>
            <w:rFonts w:ascii="Bookman Old Style" w:hAnsi="Bookman Old Style" w:cs="Times New Roman"/>
          </w:rPr>
          <w:t>http://doi.org/10.22270/ujpr.v1i1.R1</w:t>
        </w:r>
      </w:hyperlink>
    </w:p>
    <w:p w:rsidR="005F3439" w:rsidRDefault="005F3439">
      <w:pPr>
        <w:pStyle w:val="CommentText"/>
      </w:pPr>
    </w:p>
  </w:comment>
  <w:comment w:id="62" w:author="DELL" w:date="2019-10-03T14:42:00Z" w:initials="D">
    <w:p w:rsidR="008627A1" w:rsidRDefault="008627A1">
      <w:pPr>
        <w:pStyle w:val="CommentText"/>
      </w:pPr>
      <w:r>
        <w:rPr>
          <w:rStyle w:val="CommentReference"/>
        </w:rPr>
        <w:annotationRef/>
      </w:r>
      <w:r w:rsidRPr="0084791E">
        <w:rPr>
          <w:rFonts w:ascii="Arial" w:eastAsia="Times New Roman" w:hAnsi="Arial" w:cs="Arial"/>
          <w:bCs/>
        </w:rPr>
        <w:t>This part need to be revised by adding related and latest articles.</w:t>
      </w:r>
    </w:p>
  </w:comment>
  <w:comment w:id="63" w:author="DELL" w:date="2019-10-03T14:46:00Z" w:initials="D">
    <w:p w:rsidR="008627A1" w:rsidRPr="00F422AE" w:rsidRDefault="008627A1" w:rsidP="00D43565">
      <w:pPr>
        <w:pStyle w:val="NormalWeb"/>
        <w:spacing w:before="0" w:beforeAutospacing="0" w:after="0" w:afterAutospacing="0"/>
        <w:rPr>
          <w:rFonts w:asciiTheme="majorBidi" w:hAnsiTheme="majorBidi" w:cstheme="majorBidi"/>
        </w:rPr>
      </w:pPr>
      <w:r>
        <w:rPr>
          <w:rStyle w:val="CommentReference"/>
        </w:rPr>
        <w:annotationRef/>
      </w:r>
      <w:r w:rsidRPr="00F422AE">
        <w:rPr>
          <w:rFonts w:asciiTheme="majorBidi" w:hAnsiTheme="majorBidi" w:cstheme="majorBidi"/>
        </w:rPr>
        <w:t>Reference no. 3 not related to corresponding paragraph.</w:t>
      </w:r>
    </w:p>
    <w:p w:rsidR="008627A1" w:rsidRPr="00F422AE" w:rsidRDefault="008627A1" w:rsidP="00D43565">
      <w:pPr>
        <w:pStyle w:val="NormalWeb"/>
        <w:spacing w:before="0" w:beforeAutospacing="0" w:after="0" w:afterAutospacing="0"/>
        <w:rPr>
          <w:rFonts w:asciiTheme="majorBidi" w:hAnsiTheme="majorBidi" w:cstheme="majorBidi"/>
        </w:rPr>
      </w:pPr>
      <w:r w:rsidRPr="00F422AE">
        <w:rPr>
          <w:rFonts w:asciiTheme="majorBidi" w:hAnsiTheme="majorBidi" w:cstheme="majorBidi"/>
        </w:rPr>
        <w:t>Reference no. 6 not related to the glimepiride, it relates to gliclazide.</w:t>
      </w:r>
    </w:p>
    <w:p w:rsidR="008627A1" w:rsidRPr="00F422AE" w:rsidRDefault="008627A1" w:rsidP="00D43565">
      <w:pPr>
        <w:pStyle w:val="NormalWeb"/>
        <w:spacing w:before="0" w:beforeAutospacing="0" w:after="0" w:afterAutospacing="0"/>
        <w:rPr>
          <w:rFonts w:asciiTheme="majorBidi" w:hAnsiTheme="majorBidi" w:cstheme="majorBidi"/>
        </w:rPr>
      </w:pPr>
      <w:r w:rsidRPr="00F422AE">
        <w:rPr>
          <w:rFonts w:asciiTheme="majorBidi" w:hAnsiTheme="majorBidi" w:cstheme="majorBidi"/>
        </w:rPr>
        <w:t>References no. 13 and 14 not found in the text at all.</w:t>
      </w:r>
    </w:p>
    <w:p w:rsidR="008627A1" w:rsidRDefault="008627A1" w:rsidP="00D43565">
      <w:pPr>
        <w:pStyle w:val="CommentText"/>
      </w:pPr>
      <w:r w:rsidRPr="00F422AE">
        <w:rPr>
          <w:rFonts w:asciiTheme="majorBidi" w:hAnsiTheme="majorBidi" w:cstheme="majorBidi"/>
        </w:rPr>
        <w:t>Reference no. 15 out of scope of the mentioned paragraph.</w:t>
      </w:r>
    </w:p>
  </w:comment>
  <w:comment w:id="65" w:author="Kapil" w:date="2021-04-02T11:37:00Z" w:initials="K">
    <w:p w:rsidR="005F3439" w:rsidRDefault="005F3439" w:rsidP="005F3439">
      <w:pPr>
        <w:spacing w:after="0"/>
        <w:rPr>
          <w:rFonts w:ascii="Bookman Old Style" w:hAnsi="Bookman Old Style" w:cs="Times New Roman"/>
        </w:rPr>
      </w:pPr>
      <w:r>
        <w:rPr>
          <w:rStyle w:val="CommentReference"/>
        </w:rPr>
        <w:annotationRef/>
      </w:r>
      <w:r w:rsidRPr="00186B8E">
        <w:rPr>
          <w:rFonts w:ascii="Bookman Old Style" w:hAnsi="Bookman Old Style" w:cs="Times New Roman"/>
        </w:rPr>
        <w:t>Please add DOI to articles if available like this</w:t>
      </w:r>
    </w:p>
    <w:p w:rsidR="005F3439" w:rsidRDefault="00BA5923" w:rsidP="005F3439">
      <w:pPr>
        <w:pStyle w:val="CommentText"/>
      </w:pPr>
      <w:hyperlink r:id="rId4" w:history="1">
        <w:r w:rsidR="005F3439" w:rsidRPr="006504E1">
          <w:rPr>
            <w:rStyle w:val="Hyperlink"/>
            <w:rFonts w:ascii="Bookman Old Style" w:hAnsi="Bookman Old Style" w:cs="Times New Roman"/>
          </w:rPr>
          <w:t>http://doi.org/10.22270/ujpr.v1i1.R1</w:t>
        </w:r>
      </w:hyperlink>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7F33" w:rsidRDefault="00A07F33" w:rsidP="005C7746">
      <w:pPr>
        <w:spacing w:after="0" w:line="240" w:lineRule="auto"/>
      </w:pPr>
      <w:r>
        <w:separator/>
      </w:r>
    </w:p>
  </w:endnote>
  <w:endnote w:type="continuationSeparator" w:id="1">
    <w:p w:rsidR="00A07F33" w:rsidRDefault="00A07F33" w:rsidP="005C77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7A1" w:rsidRDefault="008627A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7A1" w:rsidRDefault="008627A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7A1" w:rsidRDefault="008627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7F33" w:rsidRDefault="00A07F33" w:rsidP="005C7746">
      <w:pPr>
        <w:spacing w:after="0" w:line="240" w:lineRule="auto"/>
      </w:pPr>
      <w:r>
        <w:separator/>
      </w:r>
    </w:p>
  </w:footnote>
  <w:footnote w:type="continuationSeparator" w:id="1">
    <w:p w:rsidR="00A07F33" w:rsidRDefault="00A07F33" w:rsidP="005C774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7A1" w:rsidRDefault="00BA59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81797" o:spid="_x0000_s3074" type="#_x0000_t136" style="position:absolute;margin-left:0;margin-top:0;width:433.5pt;height:58.5pt;rotation:315;z-index:-251654144;mso-position-horizontal:center;mso-position-horizontal-relative:margin;mso-position-vertical:center;mso-position-vertical-relative:margin" o:allowincell="f" fillcolor="#002060" stroked="f">
          <v:fill opacity=".5"/>
          <v:textpath style="font-family:&quot;Calibri&quot;;font-size:48pt" string="Revie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7A1" w:rsidRDefault="00BA59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81798" o:spid="_x0000_s3075" type="#_x0000_t136" style="position:absolute;margin-left:0;margin-top:0;width:433.5pt;height:58.5pt;rotation:315;z-index:-251652096;mso-position-horizontal:center;mso-position-horizontal-relative:margin;mso-position-vertical:center;mso-position-vertical-relative:margin" o:allowincell="f" fillcolor="#002060" stroked="f">
          <v:fill opacity=".5"/>
          <v:textpath style="font-family:&quot;Calibri&quot;;font-size:48pt" string="Revie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27A1" w:rsidRDefault="00BA592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681796" o:spid="_x0000_s3073" type="#_x0000_t136" style="position:absolute;margin-left:0;margin-top:0;width:433.5pt;height:58.5pt;rotation:315;z-index:-251656192;mso-position-horizontal:center;mso-position-horizontal-relative:margin;mso-position-vertical:center;mso-position-vertical-relative:margin" o:allowincell="f" fillcolor="#002060" stroked="f">
          <v:fill opacity=".5"/>
          <v:textpath style="font-family:&quot;Calibri&quot;;font-size:48pt" string="Reviewer's Comments"/>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1B485B"/>
    <w:multiLevelType w:val="multilevel"/>
    <w:tmpl w:val="3D2E91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3A1E58DF"/>
    <w:multiLevelType w:val="hybridMultilevel"/>
    <w:tmpl w:val="A7608308"/>
    <w:lvl w:ilvl="0" w:tplc="04090001">
      <w:start w:val="1"/>
      <w:numFmt w:val="bullet"/>
      <w:lvlText w:val=""/>
      <w:lvlJc w:val="left"/>
      <w:pPr>
        <w:ind w:left="630" w:hanging="360"/>
      </w:pPr>
      <w:rPr>
        <w:rFonts w:ascii="Symbol" w:hAnsi="Symbol" w:hint="default"/>
        <w:b w:val="0"/>
        <w:i w:val="0"/>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4338"/>
    <o:shapelayout v:ext="edit">
      <o:idmap v:ext="edit" data="3"/>
    </o:shapelayout>
  </w:hdrShapeDefaults>
  <w:footnotePr>
    <w:footnote w:id="0"/>
    <w:footnote w:id="1"/>
  </w:footnotePr>
  <w:endnotePr>
    <w:endnote w:id="0"/>
    <w:endnote w:id="1"/>
  </w:endnotePr>
  <w:compat/>
  <w:rsids>
    <w:rsidRoot w:val="00661946"/>
    <w:rsid w:val="000928DD"/>
    <w:rsid w:val="000A53A7"/>
    <w:rsid w:val="000E050B"/>
    <w:rsid w:val="00104D2E"/>
    <w:rsid w:val="00177678"/>
    <w:rsid w:val="001B2AC1"/>
    <w:rsid w:val="001C62A2"/>
    <w:rsid w:val="00221194"/>
    <w:rsid w:val="00267591"/>
    <w:rsid w:val="002D400F"/>
    <w:rsid w:val="002D61EB"/>
    <w:rsid w:val="00301F8F"/>
    <w:rsid w:val="003055B3"/>
    <w:rsid w:val="003100F1"/>
    <w:rsid w:val="00321CCD"/>
    <w:rsid w:val="00362B46"/>
    <w:rsid w:val="00372A94"/>
    <w:rsid w:val="00396F62"/>
    <w:rsid w:val="003A72B8"/>
    <w:rsid w:val="003A7731"/>
    <w:rsid w:val="003C471B"/>
    <w:rsid w:val="003D110A"/>
    <w:rsid w:val="00463772"/>
    <w:rsid w:val="005C7746"/>
    <w:rsid w:val="005F3439"/>
    <w:rsid w:val="00606D2D"/>
    <w:rsid w:val="006112B4"/>
    <w:rsid w:val="006371CD"/>
    <w:rsid w:val="00661946"/>
    <w:rsid w:val="00721017"/>
    <w:rsid w:val="007A7C73"/>
    <w:rsid w:val="008627A1"/>
    <w:rsid w:val="009B53CE"/>
    <w:rsid w:val="00A07F33"/>
    <w:rsid w:val="00A15746"/>
    <w:rsid w:val="00A25E0D"/>
    <w:rsid w:val="00A341E8"/>
    <w:rsid w:val="00A42D7A"/>
    <w:rsid w:val="00A6745B"/>
    <w:rsid w:val="00A8560A"/>
    <w:rsid w:val="00AD0E1F"/>
    <w:rsid w:val="00AD7DC8"/>
    <w:rsid w:val="00BA5923"/>
    <w:rsid w:val="00BC19BF"/>
    <w:rsid w:val="00C75E9E"/>
    <w:rsid w:val="00CE5395"/>
    <w:rsid w:val="00D110CB"/>
    <w:rsid w:val="00D43565"/>
    <w:rsid w:val="00D97508"/>
    <w:rsid w:val="00DC6E83"/>
    <w:rsid w:val="00E404C2"/>
    <w:rsid w:val="00E9140F"/>
    <w:rsid w:val="00EB248E"/>
    <w:rsid w:val="00F63E12"/>
    <w:rsid w:val="00FC128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bn-BD"/>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1946"/>
    <w:rPr>
      <w:rFonts w:eastAsiaTheme="minorEastAsia" w:cs="Vrinda"/>
    </w:rPr>
  </w:style>
  <w:style w:type="paragraph" w:styleId="Heading1">
    <w:name w:val="heading 1"/>
    <w:basedOn w:val="Normal"/>
    <w:next w:val="Normal"/>
    <w:link w:val="Heading1Char"/>
    <w:qFormat/>
    <w:rsid w:val="00EB248E"/>
    <w:pPr>
      <w:keepNext/>
      <w:spacing w:after="0" w:line="360" w:lineRule="auto"/>
      <w:jc w:val="lowKashida"/>
      <w:outlineLvl w:val="0"/>
    </w:pPr>
    <w:rPr>
      <w:rFonts w:ascii="Times New Roman" w:eastAsia="Times New Roman" w:hAnsi="Times New Roman" w:cs="Times New Roman"/>
      <w:b/>
      <w:bCs/>
      <w:noProof/>
      <w:sz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A53A7"/>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5C77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746"/>
    <w:rPr>
      <w:rFonts w:eastAsiaTheme="minorEastAsia" w:cs="Vrinda"/>
    </w:rPr>
  </w:style>
  <w:style w:type="paragraph" w:styleId="Footer">
    <w:name w:val="footer"/>
    <w:basedOn w:val="Normal"/>
    <w:link w:val="FooterChar"/>
    <w:uiPriority w:val="99"/>
    <w:unhideWhenUsed/>
    <w:rsid w:val="005C77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746"/>
    <w:rPr>
      <w:rFonts w:eastAsiaTheme="minorEastAsia" w:cs="Vrinda"/>
    </w:rPr>
  </w:style>
  <w:style w:type="paragraph" w:customStyle="1" w:styleId="Default">
    <w:name w:val="Default"/>
    <w:rsid w:val="002D61EB"/>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styleId="Hyperlink">
    <w:name w:val="Hyperlink"/>
    <w:basedOn w:val="DefaultParagraphFont"/>
    <w:uiPriority w:val="99"/>
    <w:unhideWhenUsed/>
    <w:rsid w:val="002D61EB"/>
    <w:rPr>
      <w:color w:val="0000FF"/>
      <w:u w:val="single"/>
    </w:rPr>
  </w:style>
  <w:style w:type="paragraph" w:styleId="ListParagraph">
    <w:name w:val="List Paragraph"/>
    <w:basedOn w:val="Normal"/>
    <w:uiPriority w:val="34"/>
    <w:qFormat/>
    <w:rsid w:val="002D61EB"/>
    <w:pPr>
      <w:spacing w:after="200" w:line="276" w:lineRule="auto"/>
      <w:ind w:left="720"/>
      <w:contextualSpacing/>
    </w:pPr>
    <w:rPr>
      <w:rFonts w:eastAsiaTheme="minorHAnsi" w:cstheme="minorBidi"/>
      <w:szCs w:val="22"/>
      <w:lang w:bidi="ar-SA"/>
    </w:rPr>
  </w:style>
  <w:style w:type="character" w:customStyle="1" w:styleId="fontstyle01">
    <w:name w:val="fontstyle01"/>
    <w:basedOn w:val="DefaultParagraphFont"/>
    <w:rsid w:val="00DC6E83"/>
    <w:rPr>
      <w:rFonts w:ascii="Times New Roman" w:hAnsi="Times New Roman" w:cs="Times New Roman" w:hint="default"/>
      <w:b/>
      <w:bCs/>
      <w:i w:val="0"/>
      <w:iCs w:val="0"/>
      <w:color w:val="000000"/>
      <w:sz w:val="28"/>
      <w:szCs w:val="28"/>
    </w:rPr>
  </w:style>
  <w:style w:type="paragraph" w:styleId="BalloonText">
    <w:name w:val="Balloon Text"/>
    <w:basedOn w:val="Normal"/>
    <w:link w:val="BalloonTextChar"/>
    <w:uiPriority w:val="99"/>
    <w:semiHidden/>
    <w:unhideWhenUsed/>
    <w:rsid w:val="00DC6E83"/>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DC6E83"/>
    <w:rPr>
      <w:rFonts w:ascii="Tahoma" w:eastAsiaTheme="minorEastAsia" w:hAnsi="Tahoma" w:cs="Tahoma"/>
      <w:sz w:val="16"/>
      <w:szCs w:val="20"/>
    </w:rPr>
  </w:style>
  <w:style w:type="character" w:customStyle="1" w:styleId="Heading1Char">
    <w:name w:val="Heading 1 Char"/>
    <w:basedOn w:val="DefaultParagraphFont"/>
    <w:link w:val="Heading1"/>
    <w:rsid w:val="00EB248E"/>
    <w:rPr>
      <w:rFonts w:ascii="Times New Roman" w:eastAsia="Times New Roman" w:hAnsi="Times New Roman" w:cs="Times New Roman"/>
      <w:b/>
      <w:bCs/>
      <w:noProof/>
      <w:sz w:val="32"/>
      <w:lang w:bidi="ar-SA"/>
    </w:rPr>
  </w:style>
  <w:style w:type="character" w:styleId="CommentReference">
    <w:name w:val="annotation reference"/>
    <w:basedOn w:val="DefaultParagraphFont"/>
    <w:uiPriority w:val="99"/>
    <w:semiHidden/>
    <w:unhideWhenUsed/>
    <w:rsid w:val="00EB248E"/>
    <w:rPr>
      <w:sz w:val="16"/>
      <w:szCs w:val="16"/>
    </w:rPr>
  </w:style>
  <w:style w:type="paragraph" w:styleId="CommentText">
    <w:name w:val="annotation text"/>
    <w:basedOn w:val="Normal"/>
    <w:link w:val="CommentTextChar"/>
    <w:uiPriority w:val="99"/>
    <w:unhideWhenUsed/>
    <w:rsid w:val="00EB248E"/>
    <w:pPr>
      <w:spacing w:line="240" w:lineRule="auto"/>
    </w:pPr>
    <w:rPr>
      <w:sz w:val="20"/>
      <w:szCs w:val="25"/>
    </w:rPr>
  </w:style>
  <w:style w:type="character" w:customStyle="1" w:styleId="CommentTextChar">
    <w:name w:val="Comment Text Char"/>
    <w:basedOn w:val="DefaultParagraphFont"/>
    <w:link w:val="CommentText"/>
    <w:uiPriority w:val="99"/>
    <w:rsid w:val="00EB248E"/>
    <w:rPr>
      <w:rFonts w:eastAsiaTheme="minorEastAsia" w:cs="Vrinda"/>
      <w:sz w:val="20"/>
      <w:szCs w:val="25"/>
    </w:rPr>
  </w:style>
  <w:style w:type="paragraph" w:styleId="CommentSubject">
    <w:name w:val="annotation subject"/>
    <w:basedOn w:val="CommentText"/>
    <w:next w:val="CommentText"/>
    <w:link w:val="CommentSubjectChar"/>
    <w:uiPriority w:val="99"/>
    <w:semiHidden/>
    <w:unhideWhenUsed/>
    <w:rsid w:val="00EB248E"/>
    <w:rPr>
      <w:b/>
      <w:bCs/>
    </w:rPr>
  </w:style>
  <w:style w:type="character" w:customStyle="1" w:styleId="CommentSubjectChar">
    <w:name w:val="Comment Subject Char"/>
    <w:basedOn w:val="CommentTextChar"/>
    <w:link w:val="CommentSubject"/>
    <w:uiPriority w:val="99"/>
    <w:semiHidden/>
    <w:rsid w:val="00EB248E"/>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doi.org/10.22270/ujpr.v1i1.R1" TargetMode="External"/><Relationship Id="rId2" Type="http://schemas.openxmlformats.org/officeDocument/2006/relationships/hyperlink" Target="https://www.turnitin.com/" TargetMode="External"/><Relationship Id="rId1" Type="http://schemas.openxmlformats.org/officeDocument/2006/relationships/image" Target="media/image2.png"/><Relationship Id="rId4" Type="http://schemas.openxmlformats.org/officeDocument/2006/relationships/hyperlink" Target="http://doi.org/10.22270/ujpr.v1i1.R1"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chart" Target="charts/chart5.xml"/><Relationship Id="rId18" Type="http://schemas.openxmlformats.org/officeDocument/2006/relationships/hyperlink" Target="http://www.ncbi.nlm.nih.gov/pubmed?term=Millqvist-Fureby%20A%5BAuthor%5D&amp;cauthor=true&amp;cauthor_uid=18577450" TargetMode="External"/><Relationship Id="rId26" Type="http://schemas.openxmlformats.org/officeDocument/2006/relationships/hyperlink" Target="http://www.ncbi.nlm.nih.gov/pubmed?term=Dahlberg%20C%5BAuthor%5D&amp;cauthor=true&amp;cauthor_uid=18577450" TargetMode="External"/><Relationship Id="rId3" Type="http://schemas.openxmlformats.org/officeDocument/2006/relationships/settings" Target="settings.xml"/><Relationship Id="rId21" Type="http://schemas.openxmlformats.org/officeDocument/2006/relationships/hyperlink" Target="http://www.ncbi.nlm.nih.gov/pubmed?term=Dureja%20H%5BAuthor%5D&amp;cauthor=true&amp;cauthor_uid=17479717"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image" Target="media/image5.jpeg"/><Relationship Id="rId25" Type="http://schemas.openxmlformats.org/officeDocument/2006/relationships/hyperlink" Target="http://www.google.com.bd/url?sa=t&amp;rct=j&amp;q=&amp;esrc=s&amp;source=web&amp;cd=1&amp;cad=rja&amp;ved=0CCwQFjAA&amp;url=http%3A%2F%2Fonlinelibrary.wiley.com%2Fjournal%2F10.1002%2F%28ISSN%291520-6017&amp;ei=3vJGUsDdJ4_PsgbFloGYDQ&amp;usg=AFQjCNEeBnvShf8sESHCjvIQXLEnpeuOkA&amp;bvm=bv.53217764,d.Yms"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www.ncbi.nlm.nih.gov/pubmed?term=Deepti%5BAuthor%5D&amp;cauthor=true&amp;cauthor_uid=17479717"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yperlink" Target="http://www.google.com.bd/url?sa=t&amp;rct=j&amp;q=&amp;esrc=s&amp;source=web&amp;cd=1&amp;cad=rja&amp;ved=0CCwQFjAA&amp;url=http%3A%2F%2Fonlinelibrary.wiley.com%2Fjournal%2F10.1002%2F%28ISSN%291520-6017&amp;ei=3vJGUsDdJ4_PsgbFloGYDQ&amp;usg=AFQjCNEeBnvShf8sESHCjvIQXLEnpeuOkA&amp;bvm=bv.53217764,d.Yms"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ncbi.nlm.nih.gov/pubmed/17479717" TargetMode="External"/><Relationship Id="rId28" Type="http://schemas.openxmlformats.org/officeDocument/2006/relationships/hyperlink" Target="http://www.ncbi.nlm.nih.gov/pubmed?term=Schuleit%20M%5BAuthor%5D&amp;cauthor=true&amp;cauthor_uid=18577450" TargetMode="Externa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hyperlink" Target="http://www.ncbi.nlm.nih.gov/pubmed?term=Schuleit%20M%5BAuthor%5D&amp;cauthor=true&amp;cauthor_uid=18577450"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www.ncbi.nlm.nih.gov/pubmed?term=Madan%20AK%5BAuthor%5D&amp;cauthor=true&amp;cauthor_uid=17479717" TargetMode="External"/><Relationship Id="rId27" Type="http://schemas.openxmlformats.org/officeDocument/2006/relationships/hyperlink" Target="http://www.ncbi.nlm.nih.gov/pubmed?term=Millqvist-Fureby%20A%5BAuthor%5D&amp;cauthor=true&amp;cauthor_uid=18577450" TargetMode="External"/><Relationship Id="rId30" Type="http://schemas.openxmlformats.org/officeDocument/2006/relationships/header" Target="header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600" b="1" i="0" u="none" strike="noStrike" kern="1200" baseline="0">
                <a:solidFill>
                  <a:schemeClr val="tx1">
                    <a:lumMod val="65000"/>
                    <a:lumOff val="35000"/>
                  </a:schemeClr>
                </a:solidFill>
                <a:latin typeface="+mn-lt"/>
                <a:ea typeface="+mn-ea"/>
                <a:cs typeface="+mn-cs"/>
              </a:defRPr>
            </a:pPr>
            <a:r>
              <a:rPr lang="en-US" sz="1400">
                <a:latin typeface="Times New Roman" pitchFamily="18" charset="0"/>
                <a:cs typeface="Times New Roman" pitchFamily="18" charset="0"/>
              </a:rPr>
              <a:t>Standard Curve of Glimepiride</a:t>
            </a:r>
          </a:p>
        </c:rich>
      </c:tx>
      <c:spPr>
        <a:noFill/>
        <a:ln>
          <a:noFill/>
        </a:ln>
        <a:effectLst/>
      </c:spPr>
    </c:title>
    <c:plotArea>
      <c:layout/>
      <c:scatterChart>
        <c:scatterStyle val="lineMarker"/>
        <c:ser>
          <c:idx val="0"/>
          <c:order val="0"/>
          <c:tx>
            <c:strRef>
              <c:f>'Standard Curve'!$F$1</c:f>
              <c:strCache>
                <c:ptCount val="1"/>
                <c:pt idx="0">
                  <c:v>Absorbance</c:v>
                </c:pt>
              </c:strCache>
            </c:strRef>
          </c:tx>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trendline>
            <c:spPr>
              <a:ln w="19050" cap="rnd">
                <a:solidFill>
                  <a:schemeClr val="accent1"/>
                </a:solidFill>
              </a:ln>
              <a:effectLst/>
            </c:spPr>
            <c:trendlineType val="linear"/>
            <c:dispRSqr val="1"/>
            <c:dispEq val="1"/>
            <c:trendlineLbl>
              <c:layout>
                <c:manualLayout>
                  <c:x val="-6.2282755196141305E-3"/>
                  <c:y val="0.12458049886621322"/>
                </c:manualLayout>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trendlineLbl>
          </c:trendline>
          <c:xVal>
            <c:numRef>
              <c:f>'Standard Curve'!$E$2:$E$12</c:f>
              <c:numCache>
                <c:formatCode>General</c:formatCode>
                <c:ptCount val="11"/>
                <c:pt idx="0">
                  <c:v>1</c:v>
                </c:pt>
                <c:pt idx="1">
                  <c:v>2</c:v>
                </c:pt>
                <c:pt idx="2">
                  <c:v>3</c:v>
                </c:pt>
                <c:pt idx="3">
                  <c:v>4</c:v>
                </c:pt>
                <c:pt idx="4">
                  <c:v>5</c:v>
                </c:pt>
                <c:pt idx="5">
                  <c:v>6</c:v>
                </c:pt>
                <c:pt idx="6">
                  <c:v>7</c:v>
                </c:pt>
                <c:pt idx="7">
                  <c:v>8</c:v>
                </c:pt>
                <c:pt idx="8">
                  <c:v>9</c:v>
                </c:pt>
                <c:pt idx="9">
                  <c:v>10</c:v>
                </c:pt>
              </c:numCache>
            </c:numRef>
          </c:xVal>
          <c:yVal>
            <c:numRef>
              <c:f>'Standard Curve'!$F$2:$F$12</c:f>
              <c:numCache>
                <c:formatCode>General</c:formatCode>
                <c:ptCount val="11"/>
                <c:pt idx="0">
                  <c:v>0.2210000000000002</c:v>
                </c:pt>
                <c:pt idx="1">
                  <c:v>0.252</c:v>
                </c:pt>
                <c:pt idx="2">
                  <c:v>0.29300000000000032</c:v>
                </c:pt>
                <c:pt idx="3">
                  <c:v>0.33400000000000191</c:v>
                </c:pt>
                <c:pt idx="4">
                  <c:v>0.37200000000000144</c:v>
                </c:pt>
                <c:pt idx="5">
                  <c:v>0.41500000000000031</c:v>
                </c:pt>
                <c:pt idx="6">
                  <c:v>0.45700000000000002</c:v>
                </c:pt>
                <c:pt idx="7">
                  <c:v>0.49800000000000144</c:v>
                </c:pt>
                <c:pt idx="8">
                  <c:v>0.53200000000000003</c:v>
                </c:pt>
                <c:pt idx="9">
                  <c:v>0.56299999999999994</c:v>
                </c:pt>
              </c:numCache>
            </c:numRef>
          </c:yVal>
          <c:extLst xmlns:c16r2="http://schemas.microsoft.com/office/drawing/2015/06/chart">
            <c:ext xmlns:c16="http://schemas.microsoft.com/office/drawing/2014/chart" uri="{C3380CC4-5D6E-409C-BE32-E72D297353CC}">
              <c16:uniqueId val="{00000000-6CC4-46BC-B608-898E42707847}"/>
            </c:ext>
          </c:extLst>
        </c:ser>
        <c:axId val="102197120"/>
        <c:axId val="102201216"/>
      </c:scatterChart>
      <c:valAx>
        <c:axId val="102197120"/>
        <c:scaling>
          <c:orientation val="minMax"/>
          <c:max val="10"/>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a:t>Concentration (mcg/ml)</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2201216"/>
        <c:crosses val="autoZero"/>
        <c:crossBetween val="midCat"/>
        <c:majorUnit val="1"/>
      </c:valAx>
      <c:valAx>
        <c:axId val="1022012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r>
                  <a:rPr lang="en-US"/>
                  <a:t>Absorbance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2197120"/>
        <c:crosses val="autoZero"/>
        <c:crossBetween val="midCat"/>
      </c:valAx>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en-US" sz="1400">
                <a:latin typeface="Times New Roman" pitchFamily="18" charset="0"/>
                <a:cs typeface="Times New Roman" pitchFamily="18" charset="0"/>
              </a:rPr>
              <a:t>Percent release(%)</a:t>
            </a:r>
          </a:p>
        </c:rich>
      </c:tx>
      <c:spPr>
        <a:noFill/>
        <a:ln>
          <a:noFill/>
        </a:ln>
        <a:effectLst/>
      </c:spPr>
    </c:title>
    <c:plotArea>
      <c:layout/>
      <c:scatterChart>
        <c:scatterStyle val="smoothMarker"/>
        <c:ser>
          <c:idx val="0"/>
          <c:order val="0"/>
          <c:tx>
            <c:strRef>
              <c:f>'Glimepiride standard'!$B$11</c:f>
              <c:strCache>
                <c:ptCount val="1"/>
                <c:pt idx="0">
                  <c:v>Percent release(%)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'Glimepiride standard'!$A$12:$A$17</c:f>
              <c:numCache>
                <c:formatCode>General</c:formatCode>
                <c:ptCount val="6"/>
                <c:pt idx="0">
                  <c:v>0</c:v>
                </c:pt>
                <c:pt idx="1">
                  <c:v>5</c:v>
                </c:pt>
                <c:pt idx="2">
                  <c:v>15</c:v>
                </c:pt>
                <c:pt idx="3">
                  <c:v>30</c:v>
                </c:pt>
                <c:pt idx="4">
                  <c:v>45</c:v>
                </c:pt>
                <c:pt idx="5">
                  <c:v>60</c:v>
                </c:pt>
              </c:numCache>
            </c:numRef>
          </c:xVal>
          <c:yVal>
            <c:numRef>
              <c:f>'Glimepiride standard'!$B$12:$B$17</c:f>
              <c:numCache>
                <c:formatCode>General</c:formatCode>
                <c:ptCount val="6"/>
                <c:pt idx="0">
                  <c:v>0</c:v>
                </c:pt>
                <c:pt idx="1">
                  <c:v>0.46153846153846356</c:v>
                </c:pt>
                <c:pt idx="2">
                  <c:v>2.3102564102564127</c:v>
                </c:pt>
                <c:pt idx="3">
                  <c:v>8.0923076923077026</c:v>
                </c:pt>
                <c:pt idx="4">
                  <c:v>15.291025641025641</c:v>
                </c:pt>
                <c:pt idx="5">
                  <c:v>15.837179487179448</c:v>
                </c:pt>
              </c:numCache>
            </c:numRef>
          </c:yVal>
          <c:smooth val="1"/>
          <c:extLst xmlns:c16r2="http://schemas.microsoft.com/office/drawing/2015/06/chart">
            <c:ext xmlns:c16="http://schemas.microsoft.com/office/drawing/2014/chart" uri="{C3380CC4-5D6E-409C-BE32-E72D297353CC}">
              <c16:uniqueId val="{00000000-F47B-444E-BFFD-250BE148BB31}"/>
            </c:ext>
          </c:extLst>
        </c:ser>
        <c:axId val="103265408"/>
        <c:axId val="103311616"/>
      </c:scatterChart>
      <c:valAx>
        <c:axId val="103265408"/>
        <c:scaling>
          <c:orientation val="minMax"/>
          <c:max val="60"/>
        </c:scaling>
        <c:axPos val="b"/>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sz="900" b="1">
                    <a:latin typeface="Times New Roman" panose="02020603050405020304" pitchFamily="18" charset="0"/>
                    <a:cs typeface="Times New Roman" panose="02020603050405020304" pitchFamily="18" charset="0"/>
                  </a:rPr>
                  <a:t>time</a:t>
                </a:r>
                <a:r>
                  <a:rPr lang="en-US" sz="900" b="1" baseline="0">
                    <a:latin typeface="Times New Roman" panose="02020603050405020304" pitchFamily="18" charset="0"/>
                    <a:cs typeface="Times New Roman" panose="02020603050405020304" pitchFamily="18" charset="0"/>
                  </a:rPr>
                  <a:t>(min</a:t>
                </a:r>
                <a:r>
                  <a:rPr lang="en-US" b="1" baseline="0"/>
                  <a:t>)</a:t>
                </a:r>
                <a:endParaRPr lang="en-US" b="1"/>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3311616"/>
        <c:crosses val="autoZero"/>
        <c:crossBetween val="midCat"/>
        <c:majorUnit val="5"/>
      </c:valAx>
      <c:valAx>
        <c:axId val="103311616"/>
        <c:scaling>
          <c:orientation val="minMax"/>
          <c:max val="100"/>
        </c:scaling>
        <c:axPos val="l"/>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sz="900" b="1">
                    <a:latin typeface="Times New Roman" panose="02020603050405020304" pitchFamily="18" charset="0"/>
                    <a:cs typeface="Times New Roman" panose="02020603050405020304" pitchFamily="18" charset="0"/>
                  </a:rPr>
                  <a:t>%</a:t>
                </a:r>
                <a:r>
                  <a:rPr lang="en-US" sz="900" b="1" baseline="0">
                    <a:latin typeface="Times New Roman" panose="02020603050405020304" pitchFamily="18" charset="0"/>
                    <a:cs typeface="Times New Roman" panose="02020603050405020304" pitchFamily="18" charset="0"/>
                  </a:rPr>
                  <a:t> release of glimepiride</a:t>
                </a:r>
                <a:endParaRPr lang="en-US" sz="900" b="1">
                  <a:latin typeface="Times New Roman" panose="02020603050405020304" pitchFamily="18" charset="0"/>
                  <a:cs typeface="Times New Roman" panose="02020603050405020304" pitchFamily="18" charset="0"/>
                </a:endParaRPr>
              </a:p>
            </c:rich>
          </c:tx>
          <c:layout>
            <c:manualLayout>
              <c:xMode val="edge"/>
              <c:yMode val="edge"/>
              <c:x val="2.7777777777778078E-2"/>
              <c:y val="0.24724591717702121"/>
            </c:manualLayout>
          </c:layout>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3265408"/>
        <c:crosses val="autoZero"/>
        <c:crossBetween val="midCat"/>
        <c:majorUnit val="10"/>
      </c:valAx>
      <c:spPr>
        <a:noFill/>
        <a:ln>
          <a:noFill/>
        </a:ln>
        <a:effectLst/>
      </c:spPr>
    </c:plotArea>
    <c:legend>
      <c:legendPos val="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en-US" sz="1200">
                <a:latin typeface="Times New Roman" pitchFamily="18" charset="0"/>
                <a:cs typeface="Times New Roman" pitchFamily="18" charset="0"/>
              </a:rPr>
              <a:t>Peercent release from</a:t>
            </a:r>
            <a:r>
              <a:rPr lang="en-US" sz="1200" baseline="0">
                <a:latin typeface="Times New Roman" pitchFamily="18" charset="0"/>
                <a:cs typeface="Times New Roman" pitchFamily="18" charset="0"/>
              </a:rPr>
              <a:t> sd </a:t>
            </a:r>
            <a:r>
              <a:rPr lang="en-US" sz="1200">
                <a:latin typeface="Times New Roman" pitchFamily="18" charset="0"/>
                <a:cs typeface="Times New Roman" pitchFamily="18" charset="0"/>
              </a:rPr>
              <a:t>glimepiride with</a:t>
            </a:r>
            <a:r>
              <a:rPr lang="en-US" sz="1200" baseline="0">
                <a:latin typeface="Times New Roman" pitchFamily="18" charset="0"/>
                <a:cs typeface="Times New Roman" pitchFamily="18" charset="0"/>
              </a:rPr>
              <a:t> </a:t>
            </a:r>
            <a:r>
              <a:rPr lang="en-US" sz="1200">
                <a:latin typeface="Times New Roman" pitchFamily="18" charset="0"/>
                <a:cs typeface="Times New Roman" pitchFamily="18" charset="0"/>
              </a:rPr>
              <a:t>PEG 4000</a:t>
            </a:r>
          </a:p>
        </c:rich>
      </c:tx>
      <c:layout>
        <c:manualLayout>
          <c:xMode val="edge"/>
          <c:yMode val="edge"/>
          <c:x val="0.11975459081977408"/>
          <c:y val="1.5238095238095243E-2"/>
        </c:manualLayout>
      </c:layout>
      <c:spPr>
        <a:noFill/>
        <a:ln>
          <a:noFill/>
        </a:ln>
        <a:effectLst/>
      </c:spPr>
    </c:title>
    <c:plotArea>
      <c:layout/>
      <c:scatterChart>
        <c:scatterStyle val="smoothMarker"/>
        <c:ser>
          <c:idx val="0"/>
          <c:order val="0"/>
          <c:tx>
            <c:strRef>
              <c:f>'% relese zero order'!$D$97</c:f>
              <c:strCache>
                <c:ptCount val="1"/>
                <c:pt idx="0">
                  <c:v>Percent release(%)G1</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 relese zero order'!$C$98:$C$103</c:f>
              <c:numCache>
                <c:formatCode>General</c:formatCode>
                <c:ptCount val="6"/>
                <c:pt idx="0">
                  <c:v>0</c:v>
                </c:pt>
                <c:pt idx="1">
                  <c:v>5</c:v>
                </c:pt>
                <c:pt idx="2">
                  <c:v>15</c:v>
                </c:pt>
                <c:pt idx="3">
                  <c:v>30</c:v>
                </c:pt>
                <c:pt idx="4">
                  <c:v>45</c:v>
                </c:pt>
                <c:pt idx="5">
                  <c:v>60</c:v>
                </c:pt>
              </c:numCache>
            </c:numRef>
          </c:xVal>
          <c:yVal>
            <c:numRef>
              <c:f>'% relese zero order'!$D$98:$D$103</c:f>
              <c:numCache>
                <c:formatCode>General</c:formatCode>
                <c:ptCount val="6"/>
                <c:pt idx="0">
                  <c:v>0</c:v>
                </c:pt>
                <c:pt idx="1">
                  <c:v>21.461538461538471</c:v>
                </c:pt>
                <c:pt idx="2">
                  <c:v>35.426923076923089</c:v>
                </c:pt>
                <c:pt idx="3">
                  <c:v>41.853846153845737</c:v>
                </c:pt>
                <c:pt idx="4">
                  <c:v>60.776923076923083</c:v>
                </c:pt>
                <c:pt idx="5">
                  <c:v>72.880769230769218</c:v>
                </c:pt>
              </c:numCache>
            </c:numRef>
          </c:yVal>
          <c:smooth val="1"/>
          <c:extLst xmlns:c16r2="http://schemas.microsoft.com/office/drawing/2015/06/chart">
            <c:ext xmlns:c16="http://schemas.microsoft.com/office/drawing/2014/chart" uri="{C3380CC4-5D6E-409C-BE32-E72D297353CC}">
              <c16:uniqueId val="{00000000-B813-4DF0-813C-E02E0D58A315}"/>
            </c:ext>
          </c:extLst>
        </c:ser>
        <c:ser>
          <c:idx val="1"/>
          <c:order val="1"/>
          <c:tx>
            <c:strRef>
              <c:f>'% relese zero order'!$E$97</c:f>
              <c:strCache>
                <c:ptCount val="1"/>
                <c:pt idx="0">
                  <c:v>% release(G2)</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 relese zero order'!$C$98:$C$103</c:f>
              <c:numCache>
                <c:formatCode>General</c:formatCode>
                <c:ptCount val="6"/>
                <c:pt idx="0">
                  <c:v>0</c:v>
                </c:pt>
                <c:pt idx="1">
                  <c:v>5</c:v>
                </c:pt>
                <c:pt idx="2">
                  <c:v>15</c:v>
                </c:pt>
                <c:pt idx="3">
                  <c:v>30</c:v>
                </c:pt>
                <c:pt idx="4">
                  <c:v>45</c:v>
                </c:pt>
                <c:pt idx="5">
                  <c:v>60</c:v>
                </c:pt>
              </c:numCache>
            </c:numRef>
          </c:xVal>
          <c:yVal>
            <c:numRef>
              <c:f>'% relese zero order'!$E$98:$E$103</c:f>
              <c:numCache>
                <c:formatCode>General</c:formatCode>
                <c:ptCount val="6"/>
                <c:pt idx="0">
                  <c:v>0</c:v>
                </c:pt>
                <c:pt idx="1">
                  <c:v>56.307692307691994</c:v>
                </c:pt>
                <c:pt idx="2">
                  <c:v>60.543589743589763</c:v>
                </c:pt>
                <c:pt idx="3">
                  <c:v>72.416666666666927</c:v>
                </c:pt>
                <c:pt idx="4">
                  <c:v>83.66153846153847</c:v>
                </c:pt>
                <c:pt idx="5">
                  <c:v>97.274358974358918</c:v>
                </c:pt>
              </c:numCache>
            </c:numRef>
          </c:yVal>
          <c:smooth val="1"/>
          <c:extLst xmlns:c16r2="http://schemas.microsoft.com/office/drawing/2015/06/chart">
            <c:ext xmlns:c16="http://schemas.microsoft.com/office/drawing/2014/chart" uri="{C3380CC4-5D6E-409C-BE32-E72D297353CC}">
              <c16:uniqueId val="{00000001-B813-4DF0-813C-E02E0D58A315}"/>
            </c:ext>
          </c:extLst>
        </c:ser>
        <c:ser>
          <c:idx val="2"/>
          <c:order val="2"/>
          <c:tx>
            <c:strRef>
              <c:f>'% relese zero order'!$F$97</c:f>
              <c:strCache>
                <c:ptCount val="1"/>
                <c:pt idx="0">
                  <c:v>Percent release(%) G3</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 relese zero order'!$C$98:$C$103</c:f>
              <c:numCache>
                <c:formatCode>General</c:formatCode>
                <c:ptCount val="6"/>
                <c:pt idx="0">
                  <c:v>0</c:v>
                </c:pt>
                <c:pt idx="1">
                  <c:v>5</c:v>
                </c:pt>
                <c:pt idx="2">
                  <c:v>15</c:v>
                </c:pt>
                <c:pt idx="3">
                  <c:v>30</c:v>
                </c:pt>
                <c:pt idx="4">
                  <c:v>45</c:v>
                </c:pt>
                <c:pt idx="5">
                  <c:v>60</c:v>
                </c:pt>
              </c:numCache>
            </c:numRef>
          </c:xVal>
          <c:yVal>
            <c:numRef>
              <c:f>'% relese zero order'!$F$98:$F$103</c:f>
              <c:numCache>
                <c:formatCode>General</c:formatCode>
                <c:ptCount val="6"/>
                <c:pt idx="0">
                  <c:v>0</c:v>
                </c:pt>
                <c:pt idx="1">
                  <c:v>77.307692307692278</c:v>
                </c:pt>
                <c:pt idx="2">
                  <c:v>80.275641025641008</c:v>
                </c:pt>
                <c:pt idx="3">
                  <c:v>86.719230769231245</c:v>
                </c:pt>
                <c:pt idx="4">
                  <c:v>88.834615384615859</c:v>
                </c:pt>
                <c:pt idx="5">
                  <c:v>90.912948717948709</c:v>
                </c:pt>
              </c:numCache>
            </c:numRef>
          </c:yVal>
          <c:smooth val="1"/>
          <c:extLst xmlns:c16r2="http://schemas.microsoft.com/office/drawing/2015/06/chart">
            <c:ext xmlns:c16="http://schemas.microsoft.com/office/drawing/2014/chart" uri="{C3380CC4-5D6E-409C-BE32-E72D297353CC}">
              <c16:uniqueId val="{00000002-B813-4DF0-813C-E02E0D58A315}"/>
            </c:ext>
          </c:extLst>
        </c:ser>
        <c:ser>
          <c:idx val="3"/>
          <c:order val="3"/>
          <c:tx>
            <c:strRef>
              <c:f>'% relese zero order'!$G$97</c:f>
              <c:strCache>
                <c:ptCount val="1"/>
                <c:pt idx="0">
                  <c:v>Percent release(%)G4</c:v>
                </c:pt>
              </c:strCache>
            </c:strRef>
          </c:tx>
          <c:spPr>
            <a:ln w="22225" cap="rnd">
              <a:solidFill>
                <a:schemeClr val="accent4"/>
              </a:solidFill>
              <a:round/>
            </a:ln>
            <a:effectLst/>
          </c:spPr>
          <c:marker>
            <c:symbol val="x"/>
            <c:size val="6"/>
            <c:spPr>
              <a:noFill/>
              <a:ln w="9525">
                <a:solidFill>
                  <a:schemeClr val="accent4"/>
                </a:solidFill>
                <a:round/>
              </a:ln>
              <a:effectLst/>
            </c:spPr>
          </c:marker>
          <c:xVal>
            <c:numRef>
              <c:f>'% relese zero order'!$C$98:$C$103</c:f>
              <c:numCache>
                <c:formatCode>General</c:formatCode>
                <c:ptCount val="6"/>
                <c:pt idx="0">
                  <c:v>0</c:v>
                </c:pt>
                <c:pt idx="1">
                  <c:v>5</c:v>
                </c:pt>
                <c:pt idx="2">
                  <c:v>15</c:v>
                </c:pt>
                <c:pt idx="3">
                  <c:v>30</c:v>
                </c:pt>
                <c:pt idx="4">
                  <c:v>45</c:v>
                </c:pt>
                <c:pt idx="5">
                  <c:v>60</c:v>
                </c:pt>
              </c:numCache>
            </c:numRef>
          </c:xVal>
          <c:yVal>
            <c:numRef>
              <c:f>'% relese zero order'!$G$98:$G$103</c:f>
              <c:numCache>
                <c:formatCode>General</c:formatCode>
                <c:ptCount val="6"/>
                <c:pt idx="0">
                  <c:v>0</c:v>
                </c:pt>
                <c:pt idx="1">
                  <c:v>64.153846153845507</c:v>
                </c:pt>
                <c:pt idx="2">
                  <c:v>61.048717948718142</c:v>
                </c:pt>
                <c:pt idx="3">
                  <c:v>71.770512820512778</c:v>
                </c:pt>
                <c:pt idx="4">
                  <c:v>65.473076923076889</c:v>
                </c:pt>
                <c:pt idx="5">
                  <c:v>75.753846153845743</c:v>
                </c:pt>
              </c:numCache>
            </c:numRef>
          </c:yVal>
          <c:smooth val="1"/>
          <c:extLst xmlns:c16r2="http://schemas.microsoft.com/office/drawing/2015/06/chart">
            <c:ext xmlns:c16="http://schemas.microsoft.com/office/drawing/2014/chart" uri="{C3380CC4-5D6E-409C-BE32-E72D297353CC}">
              <c16:uniqueId val="{00000003-B813-4DF0-813C-E02E0D58A315}"/>
            </c:ext>
          </c:extLst>
        </c:ser>
        <c:ser>
          <c:idx val="4"/>
          <c:order val="4"/>
          <c:tx>
            <c:strRef>
              <c:f>'% relese zero order'!$H$97</c:f>
              <c:strCache>
                <c:ptCount val="1"/>
                <c:pt idx="0">
                  <c:v>Percent release(%)G5</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 relese zero order'!$C$98:$C$103</c:f>
              <c:numCache>
                <c:formatCode>General</c:formatCode>
                <c:ptCount val="6"/>
                <c:pt idx="0">
                  <c:v>0</c:v>
                </c:pt>
                <c:pt idx="1">
                  <c:v>5</c:v>
                </c:pt>
                <c:pt idx="2">
                  <c:v>15</c:v>
                </c:pt>
                <c:pt idx="3">
                  <c:v>30</c:v>
                </c:pt>
                <c:pt idx="4">
                  <c:v>45</c:v>
                </c:pt>
                <c:pt idx="5">
                  <c:v>60</c:v>
                </c:pt>
              </c:numCache>
            </c:numRef>
          </c:xVal>
          <c:yVal>
            <c:numRef>
              <c:f>'% relese zero order'!$H$98:$H$103</c:f>
              <c:numCache>
                <c:formatCode>General</c:formatCode>
                <c:ptCount val="6"/>
                <c:pt idx="0">
                  <c:v>0</c:v>
                </c:pt>
                <c:pt idx="1">
                  <c:v>76.84615384615384</c:v>
                </c:pt>
                <c:pt idx="2">
                  <c:v>80.734615384616006</c:v>
                </c:pt>
                <c:pt idx="3">
                  <c:v>89.026923076923083</c:v>
                </c:pt>
                <c:pt idx="4">
                  <c:v>94.362820512819866</c:v>
                </c:pt>
                <c:pt idx="5">
                  <c:v>99.264102564102927</c:v>
                </c:pt>
              </c:numCache>
            </c:numRef>
          </c:yVal>
          <c:smooth val="1"/>
          <c:extLst xmlns:c16r2="http://schemas.microsoft.com/office/drawing/2015/06/chart">
            <c:ext xmlns:c16="http://schemas.microsoft.com/office/drawing/2014/chart" uri="{C3380CC4-5D6E-409C-BE32-E72D297353CC}">
              <c16:uniqueId val="{00000004-B813-4DF0-813C-E02E0D58A315}"/>
            </c:ext>
          </c:extLst>
        </c:ser>
        <c:ser>
          <c:idx val="5"/>
          <c:order val="5"/>
          <c:tx>
            <c:strRef>
              <c:f>'% relese zero order'!$I$97</c:f>
              <c:strCache>
                <c:ptCount val="1"/>
                <c:pt idx="0">
                  <c:v>Percent release(%)API</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 relese zero order'!$C$98:$C$103</c:f>
              <c:numCache>
                <c:formatCode>General</c:formatCode>
                <c:ptCount val="6"/>
                <c:pt idx="0">
                  <c:v>0</c:v>
                </c:pt>
                <c:pt idx="1">
                  <c:v>5</c:v>
                </c:pt>
                <c:pt idx="2">
                  <c:v>15</c:v>
                </c:pt>
                <c:pt idx="3">
                  <c:v>30</c:v>
                </c:pt>
                <c:pt idx="4">
                  <c:v>45</c:v>
                </c:pt>
                <c:pt idx="5">
                  <c:v>60</c:v>
                </c:pt>
              </c:numCache>
            </c:numRef>
          </c:xVal>
          <c:yVal>
            <c:numRef>
              <c:f>'% relese zero order'!$I$98:$I$103</c:f>
              <c:numCache>
                <c:formatCode>General</c:formatCode>
                <c:ptCount val="6"/>
                <c:pt idx="0">
                  <c:v>0</c:v>
                </c:pt>
                <c:pt idx="1">
                  <c:v>0.46153846153846356</c:v>
                </c:pt>
                <c:pt idx="2">
                  <c:v>2.3102564102564127</c:v>
                </c:pt>
                <c:pt idx="3">
                  <c:v>8.0923076923077026</c:v>
                </c:pt>
                <c:pt idx="4">
                  <c:v>15.291025641025641</c:v>
                </c:pt>
                <c:pt idx="5">
                  <c:v>15.837179487179448</c:v>
                </c:pt>
              </c:numCache>
            </c:numRef>
          </c:yVal>
          <c:smooth val="1"/>
          <c:extLst xmlns:c16r2="http://schemas.microsoft.com/office/drawing/2015/06/chart">
            <c:ext xmlns:c16="http://schemas.microsoft.com/office/drawing/2014/chart" uri="{C3380CC4-5D6E-409C-BE32-E72D297353CC}">
              <c16:uniqueId val="{00000005-B813-4DF0-813C-E02E0D58A315}"/>
            </c:ext>
          </c:extLst>
        </c:ser>
        <c:axId val="114179072"/>
        <c:axId val="117143808"/>
      </c:scatterChart>
      <c:valAx>
        <c:axId val="114179072"/>
        <c:scaling>
          <c:orientation val="minMax"/>
          <c:max val="60"/>
        </c:scaling>
        <c:axPos val="b"/>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sz="1200" b="1"/>
                  <a:t>Time(min</a:t>
                </a:r>
                <a:r>
                  <a:rPr lang="en-US"/>
                  <a:t>)</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cap="all" spc="120" normalizeH="0" baseline="0">
                <a:solidFill>
                  <a:schemeClr val="tx1">
                    <a:lumMod val="65000"/>
                    <a:lumOff val="35000"/>
                  </a:schemeClr>
                </a:solidFill>
                <a:latin typeface="+mn-lt"/>
                <a:ea typeface="+mn-ea"/>
                <a:cs typeface="+mn-cs"/>
              </a:defRPr>
            </a:pPr>
            <a:endParaRPr lang="en-US"/>
          </a:p>
        </c:txPr>
        <c:crossAx val="117143808"/>
        <c:crosses val="autoZero"/>
        <c:crossBetween val="midCat"/>
      </c:valAx>
      <c:valAx>
        <c:axId val="117143808"/>
        <c:scaling>
          <c:orientation val="minMax"/>
          <c:max val="100"/>
        </c:scaling>
        <c:axPos val="l"/>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sz="1200" b="1"/>
                  <a:t>%release </a:t>
                </a:r>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4179072"/>
        <c:crosses val="autoZero"/>
        <c:crossBetween val="midCat"/>
        <c:majorUnit val="10"/>
      </c:valAx>
      <c:spPr>
        <a:noFill/>
        <a:ln w="25400">
          <a:noFill/>
        </a:ln>
        <a:effectLst/>
      </c:spPr>
    </c:plotArea>
    <c:legend>
      <c:legendPos val="r"/>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lang="en-US" sz="1600" b="1" i="0" u="none" strike="noStrike" kern="1200" cap="all" spc="120" normalizeH="0" baseline="0">
                <a:solidFill>
                  <a:schemeClr val="tx1">
                    <a:lumMod val="65000"/>
                    <a:lumOff val="35000"/>
                  </a:schemeClr>
                </a:solidFill>
                <a:latin typeface="+mn-lt"/>
                <a:ea typeface="+mn-ea"/>
                <a:cs typeface="+mn-cs"/>
              </a:defRPr>
            </a:pPr>
            <a:r>
              <a:rPr lang="en-US" sz="1200">
                <a:latin typeface="Times New Roman" pitchFamily="18" charset="0"/>
                <a:cs typeface="Times New Roman" pitchFamily="18" charset="0"/>
              </a:rPr>
              <a:t>Percent</a:t>
            </a:r>
            <a:r>
              <a:rPr lang="en-US" sz="1200" baseline="0">
                <a:latin typeface="Times New Roman" pitchFamily="18" charset="0"/>
                <a:cs typeface="Times New Roman" pitchFamily="18" charset="0"/>
              </a:rPr>
              <a:t> releasr from sdglimepiride with peg6000 </a:t>
            </a:r>
            <a:endParaRPr lang="en-US" sz="1200">
              <a:latin typeface="Times New Roman" pitchFamily="18" charset="0"/>
              <a:cs typeface="Times New Roman" pitchFamily="18" charset="0"/>
            </a:endParaRPr>
          </a:p>
        </c:rich>
      </c:tx>
      <c:spPr>
        <a:noFill/>
        <a:ln>
          <a:noFill/>
        </a:ln>
        <a:effectLst/>
      </c:spPr>
    </c:title>
    <c:plotArea>
      <c:layout>
        <c:manualLayout>
          <c:layoutTarget val="inner"/>
          <c:xMode val="edge"/>
          <c:yMode val="edge"/>
          <c:x val="0.10552294340042777"/>
          <c:y val="0.15456722206720519"/>
          <c:w val="0.62027325703373914"/>
          <c:h val="0.72405398589401559"/>
        </c:manualLayout>
      </c:layout>
      <c:scatterChart>
        <c:scatterStyle val="smoothMarker"/>
        <c:ser>
          <c:idx val="0"/>
          <c:order val="0"/>
          <c:tx>
            <c:strRef>
              <c:f>'% relese zero order'!$N$88</c:f>
              <c:strCache>
                <c:ptCount val="1"/>
                <c:pt idx="0">
                  <c:v>Percent release(%)G6</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 relese zero order'!$M$89:$M$94</c:f>
              <c:numCache>
                <c:formatCode>General</c:formatCode>
                <c:ptCount val="6"/>
                <c:pt idx="0">
                  <c:v>0</c:v>
                </c:pt>
                <c:pt idx="1">
                  <c:v>5</c:v>
                </c:pt>
                <c:pt idx="2">
                  <c:v>15</c:v>
                </c:pt>
                <c:pt idx="3">
                  <c:v>30</c:v>
                </c:pt>
                <c:pt idx="4">
                  <c:v>45</c:v>
                </c:pt>
                <c:pt idx="5">
                  <c:v>60</c:v>
                </c:pt>
              </c:numCache>
            </c:numRef>
          </c:xVal>
          <c:yVal>
            <c:numRef>
              <c:f>'% relese zero order'!$N$89:$N$94</c:f>
              <c:numCache>
                <c:formatCode>General</c:formatCode>
                <c:ptCount val="6"/>
                <c:pt idx="0">
                  <c:v>0</c:v>
                </c:pt>
                <c:pt idx="1">
                  <c:v>24.46153846153846</c:v>
                </c:pt>
                <c:pt idx="2">
                  <c:v>38.905128205128385</c:v>
                </c:pt>
                <c:pt idx="3">
                  <c:v>44.658974358974362</c:v>
                </c:pt>
                <c:pt idx="4">
                  <c:v>60.366666666666191</c:v>
                </c:pt>
                <c:pt idx="5">
                  <c:v>71.314102564102626</c:v>
                </c:pt>
              </c:numCache>
            </c:numRef>
          </c:yVal>
          <c:smooth val="1"/>
          <c:extLst xmlns:c16r2="http://schemas.microsoft.com/office/drawing/2015/06/chart">
            <c:ext xmlns:c16="http://schemas.microsoft.com/office/drawing/2014/chart" uri="{C3380CC4-5D6E-409C-BE32-E72D297353CC}">
              <c16:uniqueId val="{00000000-AFBF-438A-8670-E2992385F3F2}"/>
            </c:ext>
          </c:extLst>
        </c:ser>
        <c:ser>
          <c:idx val="1"/>
          <c:order val="1"/>
          <c:tx>
            <c:strRef>
              <c:f>'% relese zero order'!$O$88</c:f>
              <c:strCache>
                <c:ptCount val="1"/>
                <c:pt idx="0">
                  <c:v>% release(G7)</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 relese zero order'!$M$89:$M$94</c:f>
              <c:numCache>
                <c:formatCode>General</c:formatCode>
                <c:ptCount val="6"/>
                <c:pt idx="0">
                  <c:v>0</c:v>
                </c:pt>
                <c:pt idx="1">
                  <c:v>5</c:v>
                </c:pt>
                <c:pt idx="2">
                  <c:v>15</c:v>
                </c:pt>
                <c:pt idx="3">
                  <c:v>30</c:v>
                </c:pt>
                <c:pt idx="4">
                  <c:v>45</c:v>
                </c:pt>
                <c:pt idx="5">
                  <c:v>60</c:v>
                </c:pt>
              </c:numCache>
            </c:numRef>
          </c:xVal>
          <c:yVal>
            <c:numRef>
              <c:f>'% relese zero order'!$O$89:$O$94</c:f>
              <c:numCache>
                <c:formatCode>General</c:formatCode>
                <c:ptCount val="6"/>
                <c:pt idx="0">
                  <c:v>0</c:v>
                </c:pt>
                <c:pt idx="1">
                  <c:v>37.846153846154117</c:v>
                </c:pt>
                <c:pt idx="2">
                  <c:v>39.671794871794845</c:v>
                </c:pt>
                <c:pt idx="3">
                  <c:v>47.737179487179503</c:v>
                </c:pt>
                <c:pt idx="4">
                  <c:v>68.307692307692278</c:v>
                </c:pt>
                <c:pt idx="5">
                  <c:v>88.991025641026312</c:v>
                </c:pt>
              </c:numCache>
            </c:numRef>
          </c:yVal>
          <c:smooth val="1"/>
          <c:extLst xmlns:c16r2="http://schemas.microsoft.com/office/drawing/2015/06/chart">
            <c:ext xmlns:c16="http://schemas.microsoft.com/office/drawing/2014/chart" uri="{C3380CC4-5D6E-409C-BE32-E72D297353CC}">
              <c16:uniqueId val="{00000001-AFBF-438A-8670-E2992385F3F2}"/>
            </c:ext>
          </c:extLst>
        </c:ser>
        <c:ser>
          <c:idx val="2"/>
          <c:order val="2"/>
          <c:tx>
            <c:strRef>
              <c:f>'% relese zero order'!$P$88</c:f>
              <c:strCache>
                <c:ptCount val="1"/>
                <c:pt idx="0">
                  <c:v>Percent release(%) G8</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 relese zero order'!$M$89:$M$94</c:f>
              <c:numCache>
                <c:formatCode>General</c:formatCode>
                <c:ptCount val="6"/>
                <c:pt idx="0">
                  <c:v>0</c:v>
                </c:pt>
                <c:pt idx="1">
                  <c:v>5</c:v>
                </c:pt>
                <c:pt idx="2">
                  <c:v>15</c:v>
                </c:pt>
                <c:pt idx="3">
                  <c:v>30</c:v>
                </c:pt>
                <c:pt idx="4">
                  <c:v>45</c:v>
                </c:pt>
                <c:pt idx="5">
                  <c:v>60</c:v>
                </c:pt>
              </c:numCache>
            </c:numRef>
          </c:xVal>
          <c:yVal>
            <c:numRef>
              <c:f>'% relese zero order'!$P$89:$P$94</c:f>
              <c:numCache>
                <c:formatCode>General</c:formatCode>
                <c:ptCount val="6"/>
                <c:pt idx="0">
                  <c:v>0</c:v>
                </c:pt>
                <c:pt idx="1">
                  <c:v>25.846153846153829</c:v>
                </c:pt>
                <c:pt idx="2">
                  <c:v>26.22051282051271</c:v>
                </c:pt>
                <c:pt idx="3">
                  <c:v>50.365384615384421</c:v>
                </c:pt>
                <c:pt idx="4">
                  <c:v>70.720512820512809</c:v>
                </c:pt>
                <c:pt idx="5">
                  <c:v>91.879487179486247</c:v>
                </c:pt>
              </c:numCache>
            </c:numRef>
          </c:yVal>
          <c:smooth val="1"/>
          <c:extLst xmlns:c16r2="http://schemas.microsoft.com/office/drawing/2015/06/chart">
            <c:ext xmlns:c16="http://schemas.microsoft.com/office/drawing/2014/chart" uri="{C3380CC4-5D6E-409C-BE32-E72D297353CC}">
              <c16:uniqueId val="{00000002-AFBF-438A-8670-E2992385F3F2}"/>
            </c:ext>
          </c:extLst>
        </c:ser>
        <c:ser>
          <c:idx val="3"/>
          <c:order val="3"/>
          <c:tx>
            <c:strRef>
              <c:f>'% relese zero order'!$Q$88</c:f>
              <c:strCache>
                <c:ptCount val="1"/>
                <c:pt idx="0">
                  <c:v>Percent release(%)G9</c:v>
                </c:pt>
              </c:strCache>
            </c:strRef>
          </c:tx>
          <c:spPr>
            <a:ln w="22225" cap="rnd">
              <a:solidFill>
                <a:schemeClr val="accent4"/>
              </a:solidFill>
              <a:round/>
            </a:ln>
            <a:effectLst/>
          </c:spPr>
          <c:marker>
            <c:symbol val="x"/>
            <c:size val="6"/>
            <c:spPr>
              <a:noFill/>
              <a:ln w="9525">
                <a:solidFill>
                  <a:schemeClr val="accent4"/>
                </a:solidFill>
                <a:round/>
              </a:ln>
              <a:effectLst/>
            </c:spPr>
          </c:marker>
          <c:xVal>
            <c:numRef>
              <c:f>'% relese zero order'!$M$89:$M$94</c:f>
              <c:numCache>
                <c:formatCode>General</c:formatCode>
                <c:ptCount val="6"/>
                <c:pt idx="0">
                  <c:v>0</c:v>
                </c:pt>
                <c:pt idx="1">
                  <c:v>5</c:v>
                </c:pt>
                <c:pt idx="2">
                  <c:v>15</c:v>
                </c:pt>
                <c:pt idx="3">
                  <c:v>30</c:v>
                </c:pt>
                <c:pt idx="4">
                  <c:v>45</c:v>
                </c:pt>
                <c:pt idx="5">
                  <c:v>60</c:v>
                </c:pt>
              </c:numCache>
            </c:numRef>
          </c:xVal>
          <c:yVal>
            <c:numRef>
              <c:f>'% relese zero order'!$Q$89:$Q$94</c:f>
              <c:numCache>
                <c:formatCode>General</c:formatCode>
                <c:ptCount val="6"/>
                <c:pt idx="0">
                  <c:v>0</c:v>
                </c:pt>
                <c:pt idx="1">
                  <c:v>38.53846153846154</c:v>
                </c:pt>
                <c:pt idx="2">
                  <c:v>39.214102564102554</c:v>
                </c:pt>
                <c:pt idx="3">
                  <c:v>42.892307692307675</c:v>
                </c:pt>
                <c:pt idx="4">
                  <c:v>50.282051282051313</c:v>
                </c:pt>
                <c:pt idx="5">
                  <c:v>51.019230769230774</c:v>
                </c:pt>
              </c:numCache>
            </c:numRef>
          </c:yVal>
          <c:smooth val="1"/>
          <c:extLst xmlns:c16r2="http://schemas.microsoft.com/office/drawing/2015/06/chart">
            <c:ext xmlns:c16="http://schemas.microsoft.com/office/drawing/2014/chart" uri="{C3380CC4-5D6E-409C-BE32-E72D297353CC}">
              <c16:uniqueId val="{00000003-AFBF-438A-8670-E2992385F3F2}"/>
            </c:ext>
          </c:extLst>
        </c:ser>
        <c:ser>
          <c:idx val="4"/>
          <c:order val="4"/>
          <c:tx>
            <c:strRef>
              <c:f>'% relese zero order'!$R$88</c:f>
              <c:strCache>
                <c:ptCount val="1"/>
                <c:pt idx="0">
                  <c:v>Percent release(%)G10</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 relese zero order'!$M$89:$M$94</c:f>
              <c:numCache>
                <c:formatCode>General</c:formatCode>
                <c:ptCount val="6"/>
                <c:pt idx="0">
                  <c:v>0</c:v>
                </c:pt>
                <c:pt idx="1">
                  <c:v>5</c:v>
                </c:pt>
                <c:pt idx="2">
                  <c:v>15</c:v>
                </c:pt>
                <c:pt idx="3">
                  <c:v>30</c:v>
                </c:pt>
                <c:pt idx="4">
                  <c:v>45</c:v>
                </c:pt>
                <c:pt idx="5">
                  <c:v>60</c:v>
                </c:pt>
              </c:numCache>
            </c:numRef>
          </c:xVal>
          <c:yVal>
            <c:numRef>
              <c:f>'% relese zero order'!$R$89:$R$94</c:f>
              <c:numCache>
                <c:formatCode>General</c:formatCode>
                <c:ptCount val="6"/>
                <c:pt idx="0">
                  <c:v>0</c:v>
                </c:pt>
                <c:pt idx="1">
                  <c:v>53.769230769230766</c:v>
                </c:pt>
                <c:pt idx="2">
                  <c:v>53.144871794871811</c:v>
                </c:pt>
                <c:pt idx="3">
                  <c:v>55.515384615384384</c:v>
                </c:pt>
                <c:pt idx="4">
                  <c:v>64.820512820512818</c:v>
                </c:pt>
                <c:pt idx="5">
                  <c:v>49.714102564102554</c:v>
                </c:pt>
              </c:numCache>
            </c:numRef>
          </c:yVal>
          <c:smooth val="1"/>
          <c:extLst xmlns:c16r2="http://schemas.microsoft.com/office/drawing/2015/06/chart">
            <c:ext xmlns:c16="http://schemas.microsoft.com/office/drawing/2014/chart" uri="{C3380CC4-5D6E-409C-BE32-E72D297353CC}">
              <c16:uniqueId val="{00000004-AFBF-438A-8670-E2992385F3F2}"/>
            </c:ext>
          </c:extLst>
        </c:ser>
        <c:ser>
          <c:idx val="5"/>
          <c:order val="5"/>
          <c:tx>
            <c:strRef>
              <c:f>'% relese zero order'!$S$88</c:f>
              <c:strCache>
                <c:ptCount val="1"/>
                <c:pt idx="0">
                  <c:v>Percent release(%)API</c:v>
                </c:pt>
              </c:strCache>
            </c:strRef>
          </c:tx>
          <c:spPr>
            <a:ln w="22225" cap="rnd">
              <a:solidFill>
                <a:schemeClr val="accent6"/>
              </a:solidFill>
              <a:round/>
            </a:ln>
            <a:effectLst/>
          </c:spPr>
          <c:marker>
            <c:symbol val="circle"/>
            <c:size val="6"/>
            <c:spPr>
              <a:solidFill>
                <a:schemeClr val="accent6"/>
              </a:solidFill>
              <a:ln w="9525">
                <a:solidFill>
                  <a:schemeClr val="accent6"/>
                </a:solidFill>
                <a:round/>
              </a:ln>
              <a:effectLst/>
            </c:spPr>
          </c:marker>
          <c:xVal>
            <c:numRef>
              <c:f>'% relese zero order'!$M$89:$M$94</c:f>
              <c:numCache>
                <c:formatCode>General</c:formatCode>
                <c:ptCount val="6"/>
                <c:pt idx="0">
                  <c:v>0</c:v>
                </c:pt>
                <c:pt idx="1">
                  <c:v>5</c:v>
                </c:pt>
                <c:pt idx="2">
                  <c:v>15</c:v>
                </c:pt>
                <c:pt idx="3">
                  <c:v>30</c:v>
                </c:pt>
                <c:pt idx="4">
                  <c:v>45</c:v>
                </c:pt>
                <c:pt idx="5">
                  <c:v>60</c:v>
                </c:pt>
              </c:numCache>
            </c:numRef>
          </c:xVal>
          <c:yVal>
            <c:numRef>
              <c:f>'% relese zero order'!$S$89:$S$94</c:f>
              <c:numCache>
                <c:formatCode>General</c:formatCode>
                <c:ptCount val="6"/>
                <c:pt idx="0">
                  <c:v>0</c:v>
                </c:pt>
                <c:pt idx="1">
                  <c:v>0.46153846153846356</c:v>
                </c:pt>
                <c:pt idx="2">
                  <c:v>2.3102564102564127</c:v>
                </c:pt>
                <c:pt idx="3">
                  <c:v>8.0923076923077026</c:v>
                </c:pt>
                <c:pt idx="4">
                  <c:v>15.291025641025641</c:v>
                </c:pt>
                <c:pt idx="5">
                  <c:v>15.837179487179448</c:v>
                </c:pt>
              </c:numCache>
            </c:numRef>
          </c:yVal>
          <c:smooth val="1"/>
          <c:extLst xmlns:c16r2="http://schemas.microsoft.com/office/drawing/2015/06/chart">
            <c:ext xmlns:c16="http://schemas.microsoft.com/office/drawing/2014/chart" uri="{C3380CC4-5D6E-409C-BE32-E72D297353CC}">
              <c16:uniqueId val="{00000005-AFBF-438A-8670-E2992385F3F2}"/>
            </c:ext>
          </c:extLst>
        </c:ser>
        <c:axId val="124814080"/>
        <c:axId val="124841344"/>
      </c:scatterChart>
      <c:valAx>
        <c:axId val="124814080"/>
        <c:scaling>
          <c:orientation val="minMax"/>
          <c:max val="60"/>
        </c:scaling>
        <c:axPos val="b"/>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sz="1200" b="1"/>
                  <a:t>time(min</a:t>
                </a:r>
                <a:r>
                  <a:rPr lang="en-US"/>
                  <a:t>)</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cap="all" spc="120" normalizeH="0" baseline="0">
                <a:solidFill>
                  <a:schemeClr val="tx1">
                    <a:lumMod val="65000"/>
                    <a:lumOff val="35000"/>
                  </a:schemeClr>
                </a:solidFill>
                <a:latin typeface="+mn-lt"/>
                <a:ea typeface="+mn-ea"/>
                <a:cs typeface="+mn-cs"/>
              </a:defRPr>
            </a:pPr>
            <a:endParaRPr lang="en-US"/>
          </a:p>
        </c:txPr>
        <c:crossAx val="124841344"/>
        <c:crosses val="autoZero"/>
        <c:crossBetween val="midCat"/>
      </c:valAx>
      <c:valAx>
        <c:axId val="124841344"/>
        <c:scaling>
          <c:orientation val="minMax"/>
        </c:scaling>
        <c:axPos val="l"/>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sz="1200" b="1"/>
                  <a:t>%release</a:t>
                </a:r>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24814080"/>
        <c:crosses val="autoZero"/>
        <c:crossBetween val="midCat"/>
        <c:majorUnit val="10"/>
      </c:valAx>
      <c:spPr>
        <a:noFill/>
        <a:ln>
          <a:noFill/>
        </a:ln>
        <a:effectLst/>
      </c:spPr>
    </c:plotArea>
    <c:legend>
      <c:legendPos val="r"/>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en-US" sz="1200" b="1"/>
              <a:t>Percent</a:t>
            </a:r>
            <a:r>
              <a:rPr lang="en-US" sz="1200" b="1" baseline="0"/>
              <a:t> release from sd glimepiride with containing peg 4000 and povidone</a:t>
            </a:r>
            <a:endParaRPr lang="en-US" sz="1200" b="1"/>
          </a:p>
        </c:rich>
      </c:tx>
      <c:spPr>
        <a:noFill/>
        <a:ln>
          <a:noFill/>
        </a:ln>
        <a:effectLst/>
      </c:spPr>
    </c:title>
    <c:plotArea>
      <c:layout>
        <c:manualLayout>
          <c:layoutTarget val="inner"/>
          <c:xMode val="edge"/>
          <c:yMode val="edge"/>
          <c:x val="8.7676133719116964E-2"/>
          <c:y val="0.13290834800314441"/>
          <c:w val="0.68303636634086151"/>
          <c:h val="0.71056837070707557"/>
        </c:manualLayout>
      </c:layout>
      <c:scatterChart>
        <c:scatterStyle val="smoothMarker"/>
        <c:ser>
          <c:idx val="1"/>
          <c:order val="0"/>
          <c:tx>
            <c:strRef>
              <c:f>' Ternary Zero order'!$F$58</c:f>
              <c:strCache>
                <c:ptCount val="1"/>
                <c:pt idx="0">
                  <c:v>Percent release(%G12)</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 Ternary Zero order'!$D$59:$D$64</c:f>
              <c:numCache>
                <c:formatCode>General</c:formatCode>
                <c:ptCount val="6"/>
                <c:pt idx="0">
                  <c:v>0</c:v>
                </c:pt>
                <c:pt idx="1">
                  <c:v>5</c:v>
                </c:pt>
                <c:pt idx="2">
                  <c:v>15</c:v>
                </c:pt>
                <c:pt idx="3">
                  <c:v>30</c:v>
                </c:pt>
                <c:pt idx="4">
                  <c:v>45</c:v>
                </c:pt>
                <c:pt idx="5">
                  <c:v>60</c:v>
                </c:pt>
              </c:numCache>
            </c:numRef>
          </c:xVal>
          <c:yVal>
            <c:numRef>
              <c:f>' Ternary Zero order'!$F$59:$F$64</c:f>
              <c:numCache>
                <c:formatCode>General</c:formatCode>
                <c:ptCount val="6"/>
                <c:pt idx="0">
                  <c:v>0</c:v>
                </c:pt>
                <c:pt idx="1">
                  <c:v>1.3846153846153861</c:v>
                </c:pt>
                <c:pt idx="2">
                  <c:v>7.3923076923076909</c:v>
                </c:pt>
                <c:pt idx="3">
                  <c:v>12.741025641025585</c:v>
                </c:pt>
                <c:pt idx="4">
                  <c:v>14.196153846153845</c:v>
                </c:pt>
                <c:pt idx="5">
                  <c:v>19.351282051282055</c:v>
                </c:pt>
              </c:numCache>
            </c:numRef>
          </c:yVal>
          <c:smooth val="1"/>
          <c:extLst xmlns:c16r2="http://schemas.microsoft.com/office/drawing/2015/06/chart">
            <c:ext xmlns:c16="http://schemas.microsoft.com/office/drawing/2014/chart" uri="{C3380CC4-5D6E-409C-BE32-E72D297353CC}">
              <c16:uniqueId val="{00000000-D9A0-484C-A0B5-91355E38D090}"/>
            </c:ext>
          </c:extLst>
        </c:ser>
        <c:ser>
          <c:idx val="2"/>
          <c:order val="1"/>
          <c:tx>
            <c:strRef>
              <c:f>' Ternary Zero order'!$G$58</c:f>
              <c:strCache>
                <c:ptCount val="1"/>
                <c:pt idx="0">
                  <c:v>Percent release(%)G13</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 Ternary Zero order'!$D$59:$D$64</c:f>
              <c:numCache>
                <c:formatCode>General</c:formatCode>
                <c:ptCount val="6"/>
                <c:pt idx="0">
                  <c:v>0</c:v>
                </c:pt>
                <c:pt idx="1">
                  <c:v>5</c:v>
                </c:pt>
                <c:pt idx="2">
                  <c:v>15</c:v>
                </c:pt>
                <c:pt idx="3">
                  <c:v>30</c:v>
                </c:pt>
                <c:pt idx="4">
                  <c:v>45</c:v>
                </c:pt>
                <c:pt idx="5">
                  <c:v>60</c:v>
                </c:pt>
              </c:numCache>
            </c:numRef>
          </c:xVal>
          <c:yVal>
            <c:numRef>
              <c:f>' Ternary Zero order'!$G$59:$G$64</c:f>
              <c:numCache>
                <c:formatCode>General</c:formatCode>
                <c:ptCount val="6"/>
                <c:pt idx="0">
                  <c:v>0</c:v>
                </c:pt>
                <c:pt idx="1">
                  <c:v>64.153846153845507</c:v>
                </c:pt>
                <c:pt idx="2">
                  <c:v>61.048717948718142</c:v>
                </c:pt>
                <c:pt idx="3">
                  <c:v>71.770512820512778</c:v>
                </c:pt>
                <c:pt idx="4">
                  <c:v>65.473076923076889</c:v>
                </c:pt>
                <c:pt idx="5">
                  <c:v>75.753846153845743</c:v>
                </c:pt>
              </c:numCache>
            </c:numRef>
          </c:yVal>
          <c:smooth val="1"/>
          <c:extLst xmlns:c16r2="http://schemas.microsoft.com/office/drawing/2015/06/chart">
            <c:ext xmlns:c16="http://schemas.microsoft.com/office/drawing/2014/chart" uri="{C3380CC4-5D6E-409C-BE32-E72D297353CC}">
              <c16:uniqueId val="{00000001-D9A0-484C-A0B5-91355E38D090}"/>
            </c:ext>
          </c:extLst>
        </c:ser>
        <c:ser>
          <c:idx val="3"/>
          <c:order val="2"/>
          <c:tx>
            <c:strRef>
              <c:f>' Ternary Zero order'!$H$58</c:f>
              <c:strCache>
                <c:ptCount val="1"/>
                <c:pt idx="0">
                  <c:v>Percent release(%)G14</c:v>
                </c:pt>
              </c:strCache>
            </c:strRef>
          </c:tx>
          <c:spPr>
            <a:ln w="22225" cap="rnd">
              <a:solidFill>
                <a:schemeClr val="accent4"/>
              </a:solidFill>
              <a:round/>
            </a:ln>
            <a:effectLst/>
          </c:spPr>
          <c:marker>
            <c:symbol val="x"/>
            <c:size val="6"/>
            <c:spPr>
              <a:noFill/>
              <a:ln w="9525">
                <a:solidFill>
                  <a:schemeClr val="accent4"/>
                </a:solidFill>
                <a:round/>
              </a:ln>
              <a:effectLst/>
            </c:spPr>
          </c:marker>
          <c:xVal>
            <c:numRef>
              <c:f>' Ternary Zero order'!$D$59:$D$64</c:f>
              <c:numCache>
                <c:formatCode>General</c:formatCode>
                <c:ptCount val="6"/>
                <c:pt idx="0">
                  <c:v>0</c:v>
                </c:pt>
                <c:pt idx="1">
                  <c:v>5</c:v>
                </c:pt>
                <c:pt idx="2">
                  <c:v>15</c:v>
                </c:pt>
                <c:pt idx="3">
                  <c:v>30</c:v>
                </c:pt>
                <c:pt idx="4">
                  <c:v>45</c:v>
                </c:pt>
                <c:pt idx="5">
                  <c:v>60</c:v>
                </c:pt>
              </c:numCache>
            </c:numRef>
          </c:xVal>
          <c:yVal>
            <c:numRef>
              <c:f>' Ternary Zero order'!$H$59:$H$64</c:f>
              <c:numCache>
                <c:formatCode>General</c:formatCode>
                <c:ptCount val="6"/>
                <c:pt idx="0">
                  <c:v>0</c:v>
                </c:pt>
                <c:pt idx="1">
                  <c:v>21.461538461538471</c:v>
                </c:pt>
                <c:pt idx="2">
                  <c:v>35.426923076923089</c:v>
                </c:pt>
                <c:pt idx="3">
                  <c:v>41.853846153845737</c:v>
                </c:pt>
                <c:pt idx="4">
                  <c:v>60.776923076923083</c:v>
                </c:pt>
                <c:pt idx="5">
                  <c:v>72.880769230769218</c:v>
                </c:pt>
              </c:numCache>
            </c:numRef>
          </c:yVal>
          <c:smooth val="1"/>
          <c:extLst xmlns:c16r2="http://schemas.microsoft.com/office/drawing/2015/06/chart">
            <c:ext xmlns:c16="http://schemas.microsoft.com/office/drawing/2014/chart" uri="{C3380CC4-5D6E-409C-BE32-E72D297353CC}">
              <c16:uniqueId val="{00000002-D9A0-484C-A0B5-91355E38D090}"/>
            </c:ext>
          </c:extLst>
        </c:ser>
        <c:ser>
          <c:idx val="4"/>
          <c:order val="3"/>
          <c:tx>
            <c:strRef>
              <c:f>' Ternary Zero order'!$I$58</c:f>
              <c:strCache>
                <c:ptCount val="1"/>
                <c:pt idx="0">
                  <c:v>Percent release(%)API</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 Ternary Zero order'!$D$59:$D$64</c:f>
              <c:numCache>
                <c:formatCode>General</c:formatCode>
                <c:ptCount val="6"/>
                <c:pt idx="0">
                  <c:v>0</c:v>
                </c:pt>
                <c:pt idx="1">
                  <c:v>5</c:v>
                </c:pt>
                <c:pt idx="2">
                  <c:v>15</c:v>
                </c:pt>
                <c:pt idx="3">
                  <c:v>30</c:v>
                </c:pt>
                <c:pt idx="4">
                  <c:v>45</c:v>
                </c:pt>
                <c:pt idx="5">
                  <c:v>60</c:v>
                </c:pt>
              </c:numCache>
            </c:numRef>
          </c:xVal>
          <c:yVal>
            <c:numRef>
              <c:f>' Ternary Zero order'!$I$59:$I$64</c:f>
              <c:numCache>
                <c:formatCode>General</c:formatCode>
                <c:ptCount val="6"/>
                <c:pt idx="0">
                  <c:v>0</c:v>
                </c:pt>
                <c:pt idx="1">
                  <c:v>0.46153846153846356</c:v>
                </c:pt>
                <c:pt idx="2">
                  <c:v>2.3102564102564127</c:v>
                </c:pt>
                <c:pt idx="3">
                  <c:v>8.0923076923077026</c:v>
                </c:pt>
                <c:pt idx="4">
                  <c:v>15.291025641025641</c:v>
                </c:pt>
                <c:pt idx="5">
                  <c:v>15.837179487179448</c:v>
                </c:pt>
              </c:numCache>
            </c:numRef>
          </c:yVal>
          <c:smooth val="1"/>
          <c:extLst xmlns:c16r2="http://schemas.microsoft.com/office/drawing/2015/06/chart">
            <c:ext xmlns:c16="http://schemas.microsoft.com/office/drawing/2014/chart" uri="{C3380CC4-5D6E-409C-BE32-E72D297353CC}">
              <c16:uniqueId val="{00000003-D9A0-484C-A0B5-91355E38D090}"/>
            </c:ext>
          </c:extLst>
        </c:ser>
        <c:axId val="104858752"/>
        <c:axId val="104861056"/>
      </c:scatterChart>
      <c:valAx>
        <c:axId val="104858752"/>
        <c:scaling>
          <c:orientation val="minMax"/>
          <c:max val="60"/>
        </c:scaling>
        <c:axPos val="b"/>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sz="1200" b="1"/>
                  <a:t>time(min</a:t>
                </a:r>
                <a:r>
                  <a:rPr lang="en-US"/>
                  <a:t>)</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cap="all" spc="120" normalizeH="0" baseline="0">
                <a:solidFill>
                  <a:schemeClr val="tx1">
                    <a:lumMod val="65000"/>
                    <a:lumOff val="35000"/>
                  </a:schemeClr>
                </a:solidFill>
                <a:latin typeface="+mn-lt"/>
                <a:ea typeface="+mn-ea"/>
                <a:cs typeface="+mn-cs"/>
              </a:defRPr>
            </a:pPr>
            <a:endParaRPr lang="en-US"/>
          </a:p>
        </c:txPr>
        <c:crossAx val="104861056"/>
        <c:crosses val="autoZero"/>
        <c:crossBetween val="midCat"/>
        <c:majorUnit val="5"/>
      </c:valAx>
      <c:valAx>
        <c:axId val="104861056"/>
        <c:scaling>
          <c:orientation val="minMax"/>
          <c:max val="100"/>
        </c:scaling>
        <c:axPos val="l"/>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sz="1200" b="1"/>
                  <a:t>%release</a:t>
                </a:r>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04858752"/>
        <c:crosses val="autoZero"/>
        <c:crossBetween val="midCat"/>
      </c:valAx>
      <c:spPr>
        <a:noFill/>
        <a:ln>
          <a:noFill/>
        </a:ln>
        <a:effectLst/>
      </c:spPr>
    </c:plotArea>
    <c:legend>
      <c:legendPos val="r"/>
      <c:layout>
        <c:manualLayout>
          <c:xMode val="edge"/>
          <c:yMode val="edge"/>
          <c:x val="0.72332675965778515"/>
          <c:y val="0.36570061093151651"/>
          <c:w val="0.27667324034221497"/>
          <c:h val="0.29880683058745788"/>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600" b="1" i="0" u="none" strike="noStrike" kern="1200" cap="all" spc="120" normalizeH="0" baseline="0">
                <a:solidFill>
                  <a:schemeClr val="tx1">
                    <a:lumMod val="65000"/>
                    <a:lumOff val="35000"/>
                  </a:schemeClr>
                </a:solidFill>
                <a:latin typeface="+mn-lt"/>
                <a:ea typeface="+mn-ea"/>
                <a:cs typeface="+mn-cs"/>
              </a:defRPr>
            </a:pPr>
            <a:r>
              <a:rPr lang="en-US" sz="1200" b="1">
                <a:latin typeface="Times New Roman" pitchFamily="18" charset="0"/>
                <a:cs typeface="Times New Roman" pitchFamily="18" charset="0"/>
              </a:rPr>
              <a:t>percent</a:t>
            </a:r>
            <a:r>
              <a:rPr lang="en-US" sz="1200" b="1" baseline="0">
                <a:latin typeface="Times New Roman" pitchFamily="18" charset="0"/>
                <a:cs typeface="Times New Roman" pitchFamily="18" charset="0"/>
              </a:rPr>
              <a:t> release from sd glimepiride containing peg 6000 and povidone</a:t>
            </a:r>
            <a:endParaRPr lang="en-US" sz="1200" b="1">
              <a:latin typeface="Times New Roman" pitchFamily="18" charset="0"/>
              <a:cs typeface="Times New Roman" pitchFamily="18" charset="0"/>
            </a:endParaRPr>
          </a:p>
        </c:rich>
      </c:tx>
      <c:spPr>
        <a:noFill/>
        <a:ln>
          <a:noFill/>
        </a:ln>
        <a:effectLst/>
      </c:spPr>
    </c:title>
    <c:plotArea>
      <c:layout>
        <c:manualLayout>
          <c:layoutTarget val="inner"/>
          <c:xMode val="edge"/>
          <c:yMode val="edge"/>
          <c:x val="0.11928189806313742"/>
          <c:y val="0.18730331870054334"/>
          <c:w val="0.55874306225556158"/>
          <c:h val="0.68912697932350664"/>
        </c:manualLayout>
      </c:layout>
      <c:scatterChart>
        <c:scatterStyle val="smoothMarker"/>
        <c:ser>
          <c:idx val="0"/>
          <c:order val="0"/>
          <c:tx>
            <c:strRef>
              <c:f>' Ternary Zero order'!$E$83</c:f>
              <c:strCache>
                <c:ptCount val="1"/>
                <c:pt idx="0">
                  <c:v>Percent release(%)G15</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xVal>
            <c:numRef>
              <c:f>' Ternary Zero order'!$D$84:$D$89</c:f>
              <c:numCache>
                <c:formatCode>General</c:formatCode>
                <c:ptCount val="6"/>
                <c:pt idx="0">
                  <c:v>0</c:v>
                </c:pt>
                <c:pt idx="1">
                  <c:v>5</c:v>
                </c:pt>
                <c:pt idx="2">
                  <c:v>15</c:v>
                </c:pt>
                <c:pt idx="3">
                  <c:v>30</c:v>
                </c:pt>
                <c:pt idx="4">
                  <c:v>45</c:v>
                </c:pt>
                <c:pt idx="5">
                  <c:v>60</c:v>
                </c:pt>
              </c:numCache>
            </c:numRef>
          </c:xVal>
          <c:yVal>
            <c:numRef>
              <c:f>' Ternary Zero order'!$E$84:$E$89</c:f>
              <c:numCache>
                <c:formatCode>General</c:formatCode>
                <c:ptCount val="6"/>
                <c:pt idx="0">
                  <c:v>0</c:v>
                </c:pt>
                <c:pt idx="1">
                  <c:v>63.461538461538446</c:v>
                </c:pt>
                <c:pt idx="2">
                  <c:v>61.737179487179503</c:v>
                </c:pt>
                <c:pt idx="3">
                  <c:v>60.232051282051508</c:v>
                </c:pt>
                <c:pt idx="4">
                  <c:v>73.716666666666697</c:v>
                </c:pt>
                <c:pt idx="5">
                  <c:v>75.50512820512823</c:v>
                </c:pt>
              </c:numCache>
            </c:numRef>
          </c:yVal>
          <c:smooth val="1"/>
          <c:extLst xmlns:c16r2="http://schemas.microsoft.com/office/drawing/2015/06/chart">
            <c:ext xmlns:c16="http://schemas.microsoft.com/office/drawing/2014/chart" uri="{C3380CC4-5D6E-409C-BE32-E72D297353CC}">
              <c16:uniqueId val="{00000000-5909-4C34-9FB5-04F4BAADB445}"/>
            </c:ext>
          </c:extLst>
        </c:ser>
        <c:ser>
          <c:idx val="1"/>
          <c:order val="1"/>
          <c:tx>
            <c:strRef>
              <c:f>' Ternary Zero order'!$F$83</c:f>
              <c:strCache>
                <c:ptCount val="1"/>
                <c:pt idx="0">
                  <c:v>Percent release(%G16)</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xVal>
            <c:numRef>
              <c:f>' Ternary Zero order'!$D$84:$D$89</c:f>
              <c:numCache>
                <c:formatCode>General</c:formatCode>
                <c:ptCount val="6"/>
                <c:pt idx="0">
                  <c:v>0</c:v>
                </c:pt>
                <c:pt idx="1">
                  <c:v>5</c:v>
                </c:pt>
                <c:pt idx="2">
                  <c:v>15</c:v>
                </c:pt>
                <c:pt idx="3">
                  <c:v>30</c:v>
                </c:pt>
                <c:pt idx="4">
                  <c:v>45</c:v>
                </c:pt>
                <c:pt idx="5">
                  <c:v>60</c:v>
                </c:pt>
              </c:numCache>
            </c:numRef>
          </c:xVal>
          <c:yVal>
            <c:numRef>
              <c:f>' Ternary Zero order'!$F$84:$F$89</c:f>
              <c:numCache>
                <c:formatCode>General</c:formatCode>
                <c:ptCount val="6"/>
                <c:pt idx="0">
                  <c:v>0</c:v>
                </c:pt>
                <c:pt idx="1">
                  <c:v>63.923076923076962</c:v>
                </c:pt>
                <c:pt idx="2">
                  <c:v>66.35512820512821</c:v>
                </c:pt>
                <c:pt idx="3">
                  <c:v>63.491025641025651</c:v>
                </c:pt>
                <c:pt idx="4">
                  <c:v>69.1474358974355</c:v>
                </c:pt>
                <c:pt idx="5">
                  <c:v>72.064102564102626</c:v>
                </c:pt>
              </c:numCache>
            </c:numRef>
          </c:yVal>
          <c:smooth val="1"/>
          <c:extLst xmlns:c16r2="http://schemas.microsoft.com/office/drawing/2015/06/chart">
            <c:ext xmlns:c16="http://schemas.microsoft.com/office/drawing/2014/chart" uri="{C3380CC4-5D6E-409C-BE32-E72D297353CC}">
              <c16:uniqueId val="{00000001-5909-4C34-9FB5-04F4BAADB445}"/>
            </c:ext>
          </c:extLst>
        </c:ser>
        <c:ser>
          <c:idx val="2"/>
          <c:order val="2"/>
          <c:tx>
            <c:strRef>
              <c:f>' Ternary Zero order'!$G$83</c:f>
              <c:strCache>
                <c:ptCount val="1"/>
                <c:pt idx="0">
                  <c:v>Percent release(%)G17</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xVal>
            <c:numRef>
              <c:f>' Ternary Zero order'!$D$84:$D$89</c:f>
              <c:numCache>
                <c:formatCode>General</c:formatCode>
                <c:ptCount val="6"/>
                <c:pt idx="0">
                  <c:v>0</c:v>
                </c:pt>
                <c:pt idx="1">
                  <c:v>5</c:v>
                </c:pt>
                <c:pt idx="2">
                  <c:v>15</c:v>
                </c:pt>
                <c:pt idx="3">
                  <c:v>30</c:v>
                </c:pt>
                <c:pt idx="4">
                  <c:v>45</c:v>
                </c:pt>
                <c:pt idx="5">
                  <c:v>60</c:v>
                </c:pt>
              </c:numCache>
            </c:numRef>
          </c:xVal>
          <c:yVal>
            <c:numRef>
              <c:f>' Ternary Zero order'!$G$84:$G$89</c:f>
              <c:numCache>
                <c:formatCode>General</c:formatCode>
                <c:ptCount val="6"/>
                <c:pt idx="0">
                  <c:v>0</c:v>
                </c:pt>
                <c:pt idx="1">
                  <c:v>23.90109890109893</c:v>
                </c:pt>
                <c:pt idx="2">
                  <c:v>38.044871794871803</c:v>
                </c:pt>
                <c:pt idx="3">
                  <c:v>44.024725274725313</c:v>
                </c:pt>
                <c:pt idx="4">
                  <c:v>61.849816849816854</c:v>
                </c:pt>
                <c:pt idx="5">
                  <c:v>69.058302808302415</c:v>
                </c:pt>
              </c:numCache>
            </c:numRef>
          </c:yVal>
          <c:smooth val="1"/>
          <c:extLst xmlns:c16r2="http://schemas.microsoft.com/office/drawing/2015/06/chart">
            <c:ext xmlns:c16="http://schemas.microsoft.com/office/drawing/2014/chart" uri="{C3380CC4-5D6E-409C-BE32-E72D297353CC}">
              <c16:uniqueId val="{00000002-5909-4C34-9FB5-04F4BAADB445}"/>
            </c:ext>
          </c:extLst>
        </c:ser>
        <c:ser>
          <c:idx val="3"/>
          <c:order val="3"/>
          <c:tx>
            <c:strRef>
              <c:f>' Ternary Zero order'!$H$83</c:f>
              <c:strCache>
                <c:ptCount val="1"/>
                <c:pt idx="0">
                  <c:v>Percent release(%)G18</c:v>
                </c:pt>
              </c:strCache>
            </c:strRef>
          </c:tx>
          <c:spPr>
            <a:ln w="22225" cap="rnd">
              <a:solidFill>
                <a:schemeClr val="accent4"/>
              </a:solidFill>
              <a:round/>
            </a:ln>
            <a:effectLst/>
          </c:spPr>
          <c:marker>
            <c:symbol val="x"/>
            <c:size val="6"/>
            <c:spPr>
              <a:noFill/>
              <a:ln w="9525">
                <a:solidFill>
                  <a:schemeClr val="accent4"/>
                </a:solidFill>
                <a:round/>
              </a:ln>
              <a:effectLst/>
            </c:spPr>
          </c:marker>
          <c:xVal>
            <c:numRef>
              <c:f>' Ternary Zero order'!$D$84:$D$89</c:f>
              <c:numCache>
                <c:formatCode>General</c:formatCode>
                <c:ptCount val="6"/>
                <c:pt idx="0">
                  <c:v>0</c:v>
                </c:pt>
                <c:pt idx="1">
                  <c:v>5</c:v>
                </c:pt>
                <c:pt idx="2">
                  <c:v>15</c:v>
                </c:pt>
                <c:pt idx="3">
                  <c:v>30</c:v>
                </c:pt>
                <c:pt idx="4">
                  <c:v>45</c:v>
                </c:pt>
                <c:pt idx="5">
                  <c:v>60</c:v>
                </c:pt>
              </c:numCache>
            </c:numRef>
          </c:xVal>
          <c:yVal>
            <c:numRef>
              <c:f>' Ternary Zero order'!$H$84:$H$89</c:f>
              <c:numCache>
                <c:formatCode>General</c:formatCode>
                <c:ptCount val="6"/>
                <c:pt idx="0">
                  <c:v>0</c:v>
                </c:pt>
                <c:pt idx="1">
                  <c:v>24.46153846153846</c:v>
                </c:pt>
                <c:pt idx="2">
                  <c:v>38.905128205128385</c:v>
                </c:pt>
                <c:pt idx="3">
                  <c:v>44.658974358974362</c:v>
                </c:pt>
                <c:pt idx="4">
                  <c:v>60.366666666666191</c:v>
                </c:pt>
                <c:pt idx="5">
                  <c:v>71.314102564102626</c:v>
                </c:pt>
              </c:numCache>
            </c:numRef>
          </c:yVal>
          <c:smooth val="1"/>
          <c:extLst xmlns:c16r2="http://schemas.microsoft.com/office/drawing/2015/06/chart">
            <c:ext xmlns:c16="http://schemas.microsoft.com/office/drawing/2014/chart" uri="{C3380CC4-5D6E-409C-BE32-E72D297353CC}">
              <c16:uniqueId val="{00000003-5909-4C34-9FB5-04F4BAADB445}"/>
            </c:ext>
          </c:extLst>
        </c:ser>
        <c:ser>
          <c:idx val="4"/>
          <c:order val="4"/>
          <c:tx>
            <c:strRef>
              <c:f>' Ternary Zero order'!$I$83</c:f>
              <c:strCache>
                <c:ptCount val="1"/>
                <c:pt idx="0">
                  <c:v>Percent release(%)API</c:v>
                </c:pt>
              </c:strCache>
            </c:strRef>
          </c:tx>
          <c:spPr>
            <a:ln w="22225" cap="rnd">
              <a:solidFill>
                <a:schemeClr val="accent5"/>
              </a:solidFill>
              <a:round/>
            </a:ln>
            <a:effectLst/>
          </c:spPr>
          <c:marker>
            <c:symbol val="star"/>
            <c:size val="6"/>
            <c:spPr>
              <a:noFill/>
              <a:ln w="9525">
                <a:solidFill>
                  <a:schemeClr val="accent5"/>
                </a:solidFill>
                <a:round/>
              </a:ln>
              <a:effectLst/>
            </c:spPr>
          </c:marker>
          <c:xVal>
            <c:numRef>
              <c:f>' Ternary Zero order'!$D$84:$D$89</c:f>
              <c:numCache>
                <c:formatCode>General</c:formatCode>
                <c:ptCount val="6"/>
                <c:pt idx="0">
                  <c:v>0</c:v>
                </c:pt>
                <c:pt idx="1">
                  <c:v>5</c:v>
                </c:pt>
                <c:pt idx="2">
                  <c:v>15</c:v>
                </c:pt>
                <c:pt idx="3">
                  <c:v>30</c:v>
                </c:pt>
                <c:pt idx="4">
                  <c:v>45</c:v>
                </c:pt>
                <c:pt idx="5">
                  <c:v>60</c:v>
                </c:pt>
              </c:numCache>
            </c:numRef>
          </c:xVal>
          <c:yVal>
            <c:numRef>
              <c:f>' Ternary Zero order'!$I$84:$I$89</c:f>
              <c:numCache>
                <c:formatCode>General</c:formatCode>
                <c:ptCount val="6"/>
                <c:pt idx="0">
                  <c:v>0</c:v>
                </c:pt>
                <c:pt idx="1">
                  <c:v>0.46153846153846356</c:v>
                </c:pt>
                <c:pt idx="2">
                  <c:v>2.3102564102564127</c:v>
                </c:pt>
                <c:pt idx="3">
                  <c:v>8.0923076923077026</c:v>
                </c:pt>
                <c:pt idx="4">
                  <c:v>15.291025641025641</c:v>
                </c:pt>
                <c:pt idx="5">
                  <c:v>15.837179487179448</c:v>
                </c:pt>
              </c:numCache>
            </c:numRef>
          </c:yVal>
          <c:smooth val="1"/>
          <c:extLst xmlns:c16r2="http://schemas.microsoft.com/office/drawing/2015/06/chart">
            <c:ext xmlns:c16="http://schemas.microsoft.com/office/drawing/2014/chart" uri="{C3380CC4-5D6E-409C-BE32-E72D297353CC}">
              <c16:uniqueId val="{00000004-5909-4C34-9FB5-04F4BAADB445}"/>
            </c:ext>
          </c:extLst>
        </c:ser>
        <c:axId val="117120000"/>
        <c:axId val="117704192"/>
      </c:scatterChart>
      <c:valAx>
        <c:axId val="117120000"/>
        <c:scaling>
          <c:orientation val="minMax"/>
          <c:max val="60"/>
        </c:scaling>
        <c:axPos val="b"/>
        <c:title>
          <c:tx>
            <c:rich>
              <a:bodyPr rot="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sz="800" b="1">
                    <a:latin typeface="Times New Roman" pitchFamily="18" charset="0"/>
                    <a:cs typeface="Times New Roman" pitchFamily="18" charset="0"/>
                  </a:rPr>
                  <a:t>time(min</a:t>
                </a:r>
                <a:r>
                  <a:rPr lang="en-US" sz="800">
                    <a:latin typeface="Times New Roman" pitchFamily="18" charset="0"/>
                    <a:cs typeface="Times New Roman" pitchFamily="18" charset="0"/>
                  </a:rPr>
                  <a:t>)</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cap="all" spc="120" normalizeH="0" baseline="0">
                <a:solidFill>
                  <a:schemeClr val="tx1">
                    <a:lumMod val="65000"/>
                    <a:lumOff val="35000"/>
                  </a:schemeClr>
                </a:solidFill>
                <a:latin typeface="+mn-lt"/>
                <a:ea typeface="+mn-ea"/>
                <a:cs typeface="+mn-cs"/>
              </a:defRPr>
            </a:pPr>
            <a:endParaRPr lang="en-US"/>
          </a:p>
        </c:txPr>
        <c:crossAx val="117704192"/>
        <c:crosses val="autoZero"/>
        <c:crossBetween val="midCat"/>
        <c:majorUnit val="5"/>
      </c:valAx>
      <c:valAx>
        <c:axId val="117704192"/>
        <c:scaling>
          <c:orientation val="minMax"/>
          <c:max val="100"/>
        </c:scaling>
        <c:axPos val="l"/>
        <c:title>
          <c:tx>
            <c:rich>
              <a:bodyPr rot="-5400000" spcFirstLastPara="1" vertOverflow="ellipsis" vert="horz" wrap="square" anchor="ctr" anchorCtr="1"/>
              <a:lstStyle/>
              <a:p>
                <a:pPr>
                  <a:defRPr lang="en-US" sz="900" b="0" i="0" u="none" strike="noStrike" kern="1200" cap="all" baseline="0">
                    <a:solidFill>
                      <a:schemeClr val="tx1">
                        <a:lumMod val="65000"/>
                        <a:lumOff val="35000"/>
                      </a:schemeClr>
                    </a:solidFill>
                    <a:latin typeface="+mn-lt"/>
                    <a:ea typeface="+mn-ea"/>
                    <a:cs typeface="+mn-cs"/>
                  </a:defRPr>
                </a:pPr>
                <a:r>
                  <a:rPr lang="en-US" b="1"/>
                  <a:t>%release</a:t>
                </a:r>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117120000"/>
        <c:crosses val="autoZero"/>
        <c:crossBetween val="midCat"/>
      </c:valAx>
      <c:spPr>
        <a:noFill/>
        <a:ln>
          <a:noFill/>
        </a:ln>
        <a:effectLst/>
      </c:spPr>
    </c:plotArea>
    <c:legend>
      <c:legendPos val="r"/>
      <c:layout>
        <c:manualLayout>
          <c:xMode val="edge"/>
          <c:yMode val="edge"/>
          <c:x val="0.68470778652668463"/>
          <c:y val="0.40776465441819587"/>
          <c:w val="0.29909142780077391"/>
          <c:h val="0.36232131524020639"/>
        </c:manualLayout>
      </c:layou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142</TotalTime>
  <Pages>24</Pages>
  <Words>4965</Words>
  <Characters>28302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Dept. Of Pharmacy</dc:creator>
  <cp:keywords/>
  <dc:description/>
  <cp:lastModifiedBy>Kapil Kumar</cp:lastModifiedBy>
  <cp:revision>45</cp:revision>
  <dcterms:created xsi:type="dcterms:W3CDTF">2019-09-12T06:53:00Z</dcterms:created>
  <dcterms:modified xsi:type="dcterms:W3CDTF">2021-05-23T12:39:00Z</dcterms:modified>
</cp:coreProperties>
</file>