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D1" w:rsidRPr="006C1E68" w:rsidRDefault="004126D1" w:rsidP="004126D1">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071FC" w:rsidRDefault="00A071FC" w:rsidP="00FD494A">
      <w:pPr>
        <w:spacing w:after="0"/>
        <w:jc w:val="right"/>
        <w:rPr>
          <w:rFonts w:ascii="Times New Roman" w:eastAsia="Times New Roman" w:hAnsi="Times New Roman" w:cs="Times New Roman"/>
          <w:b/>
          <w:bCs/>
          <w:sz w:val="28"/>
          <w:szCs w:val="28"/>
        </w:rPr>
      </w:pPr>
      <w:commentRangeStart w:id="0"/>
      <w:r>
        <w:rPr>
          <w:rFonts w:ascii="Times New Roman" w:eastAsia="Times New Roman" w:hAnsi="Times New Roman" w:cs="Times New Roman"/>
          <w:b/>
          <w:bCs/>
          <w:noProof/>
          <w:sz w:val="28"/>
          <w:szCs w:val="28"/>
        </w:rPr>
        <w:drawing>
          <wp:inline distT="0" distB="0" distL="0" distR="0">
            <wp:extent cx="5943600" cy="135488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1354885"/>
                    </a:xfrm>
                    <a:prstGeom prst="rect">
                      <a:avLst/>
                    </a:prstGeom>
                    <a:noFill/>
                    <a:ln w="9525">
                      <a:noFill/>
                      <a:miter lim="800000"/>
                      <a:headEnd/>
                      <a:tailEnd/>
                    </a:ln>
                  </pic:spPr>
                </pic:pic>
              </a:graphicData>
            </a:graphic>
          </wp:inline>
        </w:drawing>
      </w:r>
      <w:commentRangeEnd w:id="0"/>
      <w:r>
        <w:rPr>
          <w:rStyle w:val="CommentReference"/>
        </w:rPr>
        <w:commentReference w:id="0"/>
      </w:r>
    </w:p>
    <w:p w:rsidR="00BC0539" w:rsidRPr="006B2B01" w:rsidRDefault="00BC0539" w:rsidP="006B2B01">
      <w:pPr>
        <w:spacing w:after="0"/>
        <w:jc w:val="center"/>
        <w:rPr>
          <w:rFonts w:ascii="Times New Roman" w:eastAsia="Times New Roman" w:hAnsi="Times New Roman" w:cs="Times New Roman"/>
          <w:b/>
          <w:bCs/>
          <w:sz w:val="28"/>
          <w:szCs w:val="28"/>
        </w:rPr>
      </w:pPr>
      <w:commentRangeStart w:id="1"/>
      <w:r w:rsidRPr="006B2B01">
        <w:rPr>
          <w:rFonts w:ascii="Times New Roman" w:eastAsia="Times New Roman" w:hAnsi="Times New Roman" w:cs="Times New Roman"/>
          <w:b/>
          <w:bCs/>
          <w:sz w:val="28"/>
          <w:szCs w:val="28"/>
        </w:rPr>
        <w:t xml:space="preserve">In vitro-In vivo </w:t>
      </w:r>
      <w:commentRangeEnd w:id="1"/>
      <w:r w:rsidR="005F54CA">
        <w:rPr>
          <w:rStyle w:val="CommentReference"/>
        </w:rPr>
        <w:commentReference w:id="1"/>
      </w:r>
      <w:r w:rsidRPr="006B2B01">
        <w:rPr>
          <w:rFonts w:ascii="Times New Roman" w:eastAsia="Times New Roman" w:hAnsi="Times New Roman" w:cs="Times New Roman"/>
          <w:b/>
          <w:bCs/>
          <w:sz w:val="28"/>
          <w:szCs w:val="28"/>
        </w:rPr>
        <w:t>Bio-</w:t>
      </w:r>
      <w:commentRangeStart w:id="2"/>
      <w:r w:rsidRPr="006B2B01">
        <w:rPr>
          <w:rFonts w:ascii="Times New Roman" w:eastAsia="Times New Roman" w:hAnsi="Times New Roman" w:cs="Times New Roman"/>
          <w:b/>
          <w:bCs/>
          <w:sz w:val="28"/>
          <w:szCs w:val="28"/>
        </w:rPr>
        <w:t>equivalence C</w:t>
      </w:r>
      <w:commentRangeEnd w:id="2"/>
      <w:r w:rsidR="00B63C0F">
        <w:rPr>
          <w:rStyle w:val="CommentReference"/>
        </w:rPr>
        <w:commentReference w:id="2"/>
      </w:r>
      <w:r w:rsidRPr="006B2B01">
        <w:rPr>
          <w:rFonts w:ascii="Times New Roman" w:eastAsia="Times New Roman" w:hAnsi="Times New Roman" w:cs="Times New Roman"/>
          <w:b/>
          <w:bCs/>
          <w:sz w:val="28"/>
          <w:szCs w:val="28"/>
        </w:rPr>
        <w:t>orrelation Study of</w:t>
      </w:r>
      <w:r w:rsidR="00FD494A">
        <w:rPr>
          <w:rFonts w:ascii="Times New Roman" w:eastAsia="Times New Roman" w:hAnsi="Times New Roman" w:cs="Times New Roman"/>
          <w:b/>
          <w:bCs/>
          <w:sz w:val="28"/>
          <w:szCs w:val="28"/>
        </w:rPr>
        <w:t xml:space="preserve"> </w:t>
      </w:r>
      <w:r w:rsidRPr="006B2B01">
        <w:rPr>
          <w:rFonts w:ascii="Times New Roman" w:eastAsia="Times New Roman" w:hAnsi="Times New Roman" w:cs="Times New Roman"/>
          <w:b/>
          <w:bCs/>
          <w:sz w:val="28"/>
          <w:szCs w:val="28"/>
        </w:rPr>
        <w:t>Metronidazole,</w:t>
      </w:r>
      <w:r w:rsidR="00975902" w:rsidRPr="006B2B01">
        <w:rPr>
          <w:rFonts w:ascii="Times New Roman" w:eastAsia="Times New Roman" w:hAnsi="Times New Roman" w:cs="Times New Roman"/>
          <w:b/>
          <w:bCs/>
          <w:sz w:val="28"/>
          <w:szCs w:val="28"/>
        </w:rPr>
        <w:t xml:space="preserve"> and</w:t>
      </w:r>
      <w:r w:rsidR="00FD494A">
        <w:rPr>
          <w:rFonts w:ascii="Times New Roman" w:eastAsia="Times New Roman" w:hAnsi="Times New Roman" w:cs="Times New Roman"/>
          <w:b/>
          <w:bCs/>
          <w:sz w:val="28"/>
          <w:szCs w:val="28"/>
        </w:rPr>
        <w:t xml:space="preserve"> </w:t>
      </w:r>
      <w:r w:rsidRPr="006B2B01">
        <w:rPr>
          <w:rFonts w:ascii="Times New Roman" w:eastAsia="Times New Roman" w:hAnsi="Times New Roman" w:cs="Times New Roman"/>
          <w:b/>
          <w:bCs/>
          <w:sz w:val="28"/>
          <w:szCs w:val="28"/>
        </w:rPr>
        <w:t>its Brands of Immediate</w:t>
      </w:r>
      <w:r w:rsidR="00FD494A">
        <w:rPr>
          <w:rFonts w:ascii="Times New Roman" w:eastAsia="Times New Roman" w:hAnsi="Times New Roman" w:cs="Times New Roman"/>
          <w:b/>
          <w:bCs/>
          <w:sz w:val="28"/>
          <w:szCs w:val="28"/>
        </w:rPr>
        <w:t xml:space="preserve"> </w:t>
      </w:r>
      <w:commentRangeStart w:id="3"/>
      <w:r w:rsidRPr="006B2B01">
        <w:rPr>
          <w:rFonts w:ascii="Times New Roman" w:eastAsia="Times New Roman" w:hAnsi="Times New Roman" w:cs="Times New Roman"/>
          <w:b/>
          <w:bCs/>
          <w:sz w:val="28"/>
          <w:szCs w:val="28"/>
        </w:rPr>
        <w:t xml:space="preserve">Release tablet </w:t>
      </w:r>
      <w:commentRangeEnd w:id="3"/>
      <w:r w:rsidR="00761F26">
        <w:rPr>
          <w:rStyle w:val="CommentReference"/>
        </w:rPr>
        <w:commentReference w:id="3"/>
      </w:r>
      <w:r w:rsidRPr="006B2B01">
        <w:rPr>
          <w:rFonts w:ascii="Times New Roman" w:eastAsia="Times New Roman" w:hAnsi="Times New Roman" w:cs="Times New Roman"/>
          <w:b/>
          <w:bCs/>
          <w:sz w:val="28"/>
          <w:szCs w:val="28"/>
        </w:rPr>
        <w:t>under bio-waiver conditions</w:t>
      </w:r>
    </w:p>
    <w:p w:rsidR="006E6CD1" w:rsidRDefault="006E6CD1" w:rsidP="00550C58">
      <w:pPr>
        <w:spacing w:after="0"/>
        <w:jc w:val="both"/>
        <w:rPr>
          <w:rFonts w:ascii="Times New Roman" w:eastAsia="Calibri" w:hAnsi="Times New Roman" w:cs="Times New Roman"/>
          <w:b/>
          <w:sz w:val="24"/>
          <w:szCs w:val="24"/>
        </w:rPr>
      </w:pPr>
    </w:p>
    <w:p w:rsidR="006E6CD1" w:rsidRDefault="006E6CD1" w:rsidP="00550C58">
      <w:pPr>
        <w:spacing w:after="0"/>
        <w:jc w:val="both"/>
        <w:rPr>
          <w:rFonts w:ascii="Times New Roman" w:eastAsia="Calibri" w:hAnsi="Times New Roman" w:cs="Times New Roman"/>
          <w:b/>
          <w:sz w:val="24"/>
          <w:szCs w:val="24"/>
        </w:rPr>
      </w:pPr>
    </w:p>
    <w:p w:rsidR="00BC0539" w:rsidRPr="006E6CD1" w:rsidRDefault="006E0FCE" w:rsidP="006E6CD1">
      <w:pPr>
        <w:spacing w:after="0"/>
        <w:jc w:val="both"/>
        <w:rPr>
          <w:rFonts w:ascii="Times New Roman" w:eastAsia="Calibri" w:hAnsi="Times New Roman" w:cs="Times New Roman"/>
          <w:b/>
          <w:sz w:val="24"/>
          <w:szCs w:val="24"/>
        </w:rPr>
      </w:pPr>
      <w:r w:rsidRPr="006E6CD1">
        <w:rPr>
          <w:rFonts w:ascii="Times New Roman" w:eastAsia="Calibri" w:hAnsi="Times New Roman" w:cs="Times New Roman"/>
          <w:b/>
          <w:sz w:val="24"/>
          <w:szCs w:val="24"/>
        </w:rPr>
        <w:t>ABSTRACT</w:t>
      </w:r>
      <w:r w:rsidR="00BC0539" w:rsidRPr="006E6CD1">
        <w:rPr>
          <w:rFonts w:ascii="Times New Roman" w:eastAsia="Calibri" w:hAnsi="Times New Roman" w:cs="Times New Roman"/>
          <w:b/>
          <w:sz w:val="24"/>
          <w:szCs w:val="24"/>
        </w:rPr>
        <w:t>:</w:t>
      </w:r>
    </w:p>
    <w:p w:rsidR="00BC0539" w:rsidRPr="006E6CD1" w:rsidRDefault="00BC0539" w:rsidP="006E6CD1">
      <w:pPr>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The aim of present </w:t>
      </w:r>
      <w:commentRangeStart w:id="4"/>
      <w:r w:rsidRPr="006E6CD1">
        <w:rPr>
          <w:rFonts w:ascii="Times New Roman" w:hAnsi="Times New Roman" w:cs="Times New Roman"/>
          <w:sz w:val="24"/>
          <w:szCs w:val="24"/>
        </w:rPr>
        <w:t xml:space="preserve">study is to examine the </w:t>
      </w:r>
      <w:commentRangeStart w:id="5"/>
      <w:r w:rsidRPr="006E6CD1">
        <w:rPr>
          <w:rFonts w:ascii="Times New Roman" w:hAnsi="Times New Roman" w:cs="Times New Roman"/>
          <w:sz w:val="24"/>
          <w:szCs w:val="24"/>
        </w:rPr>
        <w:t xml:space="preserve">in-vitro in-vivo </w:t>
      </w:r>
      <w:commentRangeEnd w:id="5"/>
      <w:r w:rsidR="005F54CA">
        <w:rPr>
          <w:rStyle w:val="CommentReference"/>
        </w:rPr>
        <w:commentReference w:id="5"/>
      </w:r>
      <w:r w:rsidRPr="006E6CD1">
        <w:rPr>
          <w:rFonts w:ascii="Times New Roman" w:hAnsi="Times New Roman" w:cs="Times New Roman"/>
          <w:sz w:val="24"/>
          <w:szCs w:val="24"/>
        </w:rPr>
        <w:t xml:space="preserve">correlation (IVIVC) of immediate release </w:t>
      </w:r>
      <w:r w:rsidR="00975902" w:rsidRPr="006E6CD1">
        <w:rPr>
          <w:rFonts w:ascii="Times New Roman" w:hAnsi="Times New Roman" w:cs="Times New Roman"/>
          <w:sz w:val="24"/>
          <w:szCs w:val="24"/>
        </w:rPr>
        <w:t>product</w:t>
      </w:r>
      <w:r w:rsidRPr="006E6CD1">
        <w:rPr>
          <w:rFonts w:ascii="Times New Roman" w:hAnsi="Times New Roman" w:cs="Times New Roman"/>
          <w:sz w:val="24"/>
          <w:szCs w:val="24"/>
        </w:rPr>
        <w:t xml:space="preserve">. Metronidazole 500mg and its brands of immediate release dosage forms. Metronidazole is clearly classified into BCS class I, and could be evaluated under bio waiver conditions. The </w:t>
      </w:r>
      <w:commentRangeStart w:id="6"/>
      <w:r w:rsidRPr="006E6CD1">
        <w:rPr>
          <w:rFonts w:ascii="Times New Roman" w:hAnsi="Times New Roman" w:cs="Times New Roman"/>
          <w:sz w:val="24"/>
          <w:szCs w:val="24"/>
        </w:rPr>
        <w:t xml:space="preserve">in vitro </w:t>
      </w:r>
      <w:commentRangeEnd w:id="6"/>
      <w:r w:rsidR="005F54CA">
        <w:rPr>
          <w:rStyle w:val="CommentReference"/>
        </w:rPr>
        <w:commentReference w:id="6"/>
      </w:r>
      <w:r w:rsidRPr="006E6CD1">
        <w:rPr>
          <w:rFonts w:ascii="Times New Roman" w:hAnsi="Times New Roman" w:cs="Times New Roman"/>
          <w:sz w:val="24"/>
          <w:szCs w:val="24"/>
        </w:rPr>
        <w:t>parameters employed were hardness, weight uniformity, friability, disintegration time, absolute drug content , dissolution rate (in 0.1 N Hydrochloric acid, phosphate buffer and acetate buffer at 37ºC),and dissolution efficiencies were also analyzed.</w:t>
      </w:r>
    </w:p>
    <w:p w:rsidR="00BC0539" w:rsidRPr="006E6CD1" w:rsidRDefault="00BC0539" w:rsidP="006E6CD1">
      <w:pPr>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The </w:t>
      </w:r>
      <w:commentRangeStart w:id="7"/>
      <w:r w:rsidRPr="006E6CD1">
        <w:rPr>
          <w:rFonts w:ascii="Times New Roman" w:hAnsi="Times New Roman" w:cs="Times New Roman"/>
          <w:sz w:val="24"/>
          <w:szCs w:val="24"/>
        </w:rPr>
        <w:t xml:space="preserve">in-vitro </w:t>
      </w:r>
      <w:commentRangeEnd w:id="7"/>
      <w:r w:rsidR="005F54CA">
        <w:rPr>
          <w:rStyle w:val="CommentReference"/>
        </w:rPr>
        <w:commentReference w:id="7"/>
      </w:r>
      <w:r w:rsidRPr="006E6CD1">
        <w:rPr>
          <w:rFonts w:ascii="Times New Roman" w:hAnsi="Times New Roman" w:cs="Times New Roman"/>
          <w:sz w:val="24"/>
          <w:szCs w:val="24"/>
        </w:rPr>
        <w:t xml:space="preserve">dissolution study was performed on the brands, according to FDA,USP  dissolution profile in three different PH (1.2),(4.5), and (6.8) at37ºC ,using the USP apparatus II,  then f1 ,f2 were determined for the time intervals of 10, 15, 30, 45 and 60 minutes, and dissolution efficiencies were calculated.  MINITAB 14 statistical programused for </w:t>
      </w:r>
      <w:commentRangeStart w:id="8"/>
      <w:r w:rsidRPr="006E6CD1">
        <w:rPr>
          <w:rFonts w:ascii="Times New Roman" w:hAnsi="Times New Roman" w:cs="Times New Roman"/>
          <w:sz w:val="24"/>
          <w:szCs w:val="24"/>
        </w:rPr>
        <w:t xml:space="preserve">in vitro in vivo </w:t>
      </w:r>
      <w:commentRangeEnd w:id="8"/>
      <w:r w:rsidR="005F54CA">
        <w:rPr>
          <w:rStyle w:val="CommentReference"/>
        </w:rPr>
        <w:commentReference w:id="8"/>
      </w:r>
      <w:r w:rsidRPr="006E6CD1">
        <w:rPr>
          <w:rFonts w:ascii="Times New Roman" w:hAnsi="Times New Roman" w:cs="Times New Roman"/>
          <w:sz w:val="24"/>
          <w:szCs w:val="24"/>
        </w:rPr>
        <w:t xml:space="preserve">correlation, level A was done for reference </w:t>
      </w:r>
      <w:commentRangeEnd w:id="4"/>
      <w:r w:rsidR="004126D1">
        <w:rPr>
          <w:rStyle w:val="CommentReference"/>
        </w:rPr>
        <w:commentReference w:id="4"/>
      </w:r>
      <w:r w:rsidRPr="006E6CD1">
        <w:rPr>
          <w:rFonts w:ascii="Times New Roman" w:hAnsi="Times New Roman" w:cs="Times New Roman"/>
          <w:sz w:val="24"/>
          <w:szCs w:val="24"/>
        </w:rPr>
        <w:t>product. A non linear relation was established which is typical for immediate release formulation, of class 1.</w:t>
      </w:r>
    </w:p>
    <w:p w:rsidR="006E6CD1" w:rsidRDefault="006E6CD1" w:rsidP="006E6CD1">
      <w:pPr>
        <w:spacing w:after="0"/>
        <w:jc w:val="both"/>
        <w:rPr>
          <w:rFonts w:ascii="Times New Roman" w:hAnsi="Times New Roman" w:cs="Times New Roman"/>
          <w:b/>
          <w:bCs/>
          <w:i/>
          <w:iCs/>
          <w:sz w:val="24"/>
          <w:szCs w:val="24"/>
        </w:rPr>
      </w:pPr>
    </w:p>
    <w:p w:rsidR="00BC0539" w:rsidRPr="006E6CD1" w:rsidRDefault="00BC0539" w:rsidP="006E6CD1">
      <w:pPr>
        <w:spacing w:after="0"/>
        <w:jc w:val="both"/>
        <w:rPr>
          <w:rFonts w:ascii="Times New Roman" w:hAnsi="Times New Roman" w:cs="Times New Roman"/>
          <w:i/>
          <w:iCs/>
          <w:sz w:val="24"/>
          <w:szCs w:val="24"/>
        </w:rPr>
      </w:pPr>
      <w:commentRangeStart w:id="9"/>
      <w:r w:rsidRPr="006E6CD1">
        <w:rPr>
          <w:rFonts w:ascii="Times New Roman" w:hAnsi="Times New Roman" w:cs="Times New Roman"/>
          <w:b/>
          <w:bCs/>
          <w:i/>
          <w:iCs/>
          <w:sz w:val="24"/>
          <w:szCs w:val="24"/>
        </w:rPr>
        <w:t>Key words:</w:t>
      </w:r>
      <w:r w:rsidRPr="006E6CD1">
        <w:rPr>
          <w:rFonts w:ascii="Times New Roman" w:hAnsi="Times New Roman" w:cs="Times New Roman"/>
          <w:i/>
          <w:iCs/>
          <w:sz w:val="24"/>
          <w:szCs w:val="24"/>
        </w:rPr>
        <w:t xml:space="preserve"> bioavailability, bioequivalence, biopharmaceutical classification system,Bio-waiver</w:t>
      </w:r>
      <w:r w:rsidR="006B2B01" w:rsidRPr="006E6CD1">
        <w:rPr>
          <w:rFonts w:ascii="Times New Roman" w:hAnsi="Times New Roman" w:cs="Times New Roman"/>
          <w:i/>
          <w:iCs/>
          <w:sz w:val="24"/>
          <w:szCs w:val="24"/>
        </w:rPr>
        <w:t xml:space="preserve"> correlation</w:t>
      </w:r>
      <w:commentRangeEnd w:id="9"/>
      <w:r w:rsidR="000C75D8">
        <w:rPr>
          <w:rStyle w:val="CommentReference"/>
        </w:rPr>
        <w:commentReference w:id="9"/>
      </w:r>
      <w:r w:rsidR="006B2B01" w:rsidRPr="006E6CD1">
        <w:rPr>
          <w:rFonts w:ascii="Times New Roman" w:hAnsi="Times New Roman" w:cs="Times New Roman"/>
          <w:i/>
          <w:iCs/>
          <w:sz w:val="24"/>
          <w:szCs w:val="24"/>
        </w:rPr>
        <w:t>.</w:t>
      </w:r>
    </w:p>
    <w:p w:rsidR="006E6CD1" w:rsidRDefault="006E6CD1" w:rsidP="006E6CD1">
      <w:pPr>
        <w:spacing w:after="0"/>
        <w:jc w:val="both"/>
        <w:rPr>
          <w:rFonts w:ascii="Times New Roman" w:eastAsia="Calibri" w:hAnsi="Times New Roman" w:cs="Times New Roman"/>
          <w:b/>
          <w:sz w:val="24"/>
          <w:szCs w:val="24"/>
        </w:rPr>
      </w:pPr>
    </w:p>
    <w:p w:rsidR="006E6CD1" w:rsidRDefault="006E6CD1" w:rsidP="006E6CD1">
      <w:pPr>
        <w:spacing w:after="0"/>
        <w:jc w:val="both"/>
        <w:rPr>
          <w:rFonts w:ascii="Times New Roman" w:eastAsia="Calibri" w:hAnsi="Times New Roman" w:cs="Times New Roman"/>
          <w:b/>
          <w:sz w:val="24"/>
          <w:szCs w:val="24"/>
        </w:rPr>
      </w:pPr>
    </w:p>
    <w:p w:rsidR="00BC0539" w:rsidRPr="006E6CD1" w:rsidRDefault="006E0FCE" w:rsidP="006E6CD1">
      <w:pPr>
        <w:spacing w:after="0"/>
        <w:jc w:val="both"/>
        <w:rPr>
          <w:rFonts w:ascii="Times New Roman" w:eastAsia="Calibri" w:hAnsi="Times New Roman" w:cs="Times New Roman"/>
          <w:b/>
          <w:sz w:val="24"/>
          <w:szCs w:val="24"/>
        </w:rPr>
      </w:pPr>
      <w:commentRangeStart w:id="10"/>
      <w:r w:rsidRPr="006E6CD1">
        <w:rPr>
          <w:rFonts w:ascii="Times New Roman" w:eastAsia="Calibri" w:hAnsi="Times New Roman" w:cs="Times New Roman"/>
          <w:b/>
          <w:sz w:val="24"/>
          <w:szCs w:val="24"/>
        </w:rPr>
        <w:t>INTRODUCTUON</w:t>
      </w:r>
      <w:commentRangeEnd w:id="10"/>
      <w:r w:rsidR="00761F26">
        <w:rPr>
          <w:rStyle w:val="CommentReference"/>
        </w:rPr>
        <w:commentReference w:id="10"/>
      </w:r>
    </w:p>
    <w:p w:rsidR="00BC0539" w:rsidRPr="006E6CD1" w:rsidRDefault="00BC0539" w:rsidP="006E6CD1">
      <w:pPr>
        <w:spacing w:after="0"/>
        <w:jc w:val="both"/>
        <w:rPr>
          <w:rFonts w:ascii="Times New Roman" w:eastAsia="Calibri" w:hAnsi="Times New Roman" w:cs="Times New Roman"/>
          <w:b/>
          <w:sz w:val="24"/>
          <w:szCs w:val="24"/>
          <w:rtl/>
        </w:rPr>
      </w:pPr>
      <w:r w:rsidRPr="006E6CD1">
        <w:rPr>
          <w:rFonts w:ascii="Times New Roman" w:eastAsia="Calibri" w:hAnsi="Times New Roman" w:cs="Times New Roman"/>
          <w:b/>
          <w:sz w:val="24"/>
          <w:szCs w:val="24"/>
        </w:rPr>
        <w:t>Bio-equivalence:</w:t>
      </w:r>
    </w:p>
    <w:p w:rsidR="00BC0539" w:rsidRPr="006E6CD1" w:rsidRDefault="00BC0539" w:rsidP="006E6CD1">
      <w:pPr>
        <w:spacing w:after="0"/>
        <w:jc w:val="both"/>
        <w:rPr>
          <w:rFonts w:ascii="Times New Roman" w:hAnsi="Times New Roman" w:cs="Times New Roman"/>
          <w:sz w:val="24"/>
          <w:szCs w:val="24"/>
          <w:rtl/>
        </w:rPr>
      </w:pPr>
      <w:r w:rsidRPr="006E6CD1">
        <w:rPr>
          <w:rFonts w:ascii="Times New Roman" w:hAnsi="Times New Roman" w:cs="Times New Roman"/>
          <w:sz w:val="24"/>
          <w:szCs w:val="24"/>
        </w:rPr>
        <w:t xml:space="preserve">Is </w:t>
      </w:r>
      <w:commentRangeStart w:id="11"/>
      <w:r w:rsidRPr="006E6CD1">
        <w:rPr>
          <w:rFonts w:ascii="Times New Roman" w:hAnsi="Times New Roman" w:cs="Times New Roman"/>
          <w:sz w:val="24"/>
          <w:szCs w:val="24"/>
        </w:rPr>
        <w:t xml:space="preserve">defined as “the </w:t>
      </w:r>
      <w:commentRangeStart w:id="12"/>
      <w:r w:rsidRPr="006E6CD1">
        <w:rPr>
          <w:rFonts w:ascii="Times New Roman" w:hAnsi="Times New Roman" w:cs="Times New Roman"/>
          <w:sz w:val="24"/>
          <w:szCs w:val="24"/>
        </w:rPr>
        <w:t>absence of a significant difference in the rate and extent to which the active ingredient or active moiety in pharmaceutical equivalents or pharmaceutical alternatives becomes available at the site of drug action when administered at the same molar dose under similar conditions in an appropriately designed study”.</w:t>
      </w:r>
    </w:p>
    <w:p w:rsidR="00BC0539" w:rsidRPr="006E6CD1" w:rsidRDefault="00BC0539" w:rsidP="006E6CD1">
      <w:pPr>
        <w:spacing w:after="0"/>
        <w:jc w:val="both"/>
        <w:rPr>
          <w:rFonts w:ascii="Times New Roman" w:hAnsi="Times New Roman" w:cs="Times New Roman"/>
          <w:sz w:val="24"/>
          <w:szCs w:val="24"/>
          <w:rtl/>
        </w:rPr>
      </w:pPr>
      <w:r w:rsidRPr="006E6CD1">
        <w:rPr>
          <w:rFonts w:ascii="Times New Roman" w:hAnsi="Times New Roman" w:cs="Times New Roman"/>
          <w:sz w:val="24"/>
          <w:szCs w:val="24"/>
        </w:rPr>
        <w:t>If two medicines are bioequivalent there is no clinically significant difference in their bioavailability.</w:t>
      </w:r>
    </w:p>
    <w:p w:rsidR="00BC0539" w:rsidRPr="006E6CD1" w:rsidRDefault="00BC0539" w:rsidP="006E6CD1">
      <w:pPr>
        <w:spacing w:after="0"/>
        <w:jc w:val="both"/>
        <w:rPr>
          <w:rFonts w:ascii="Times New Roman" w:hAnsi="Times New Roman" w:cs="Times New Roman"/>
          <w:sz w:val="24"/>
          <w:szCs w:val="24"/>
          <w:rtl/>
        </w:rPr>
      </w:pPr>
      <w:commentRangeStart w:id="13"/>
      <w:r w:rsidRPr="006E6CD1">
        <w:rPr>
          <w:rFonts w:ascii="Times New Roman" w:hAnsi="Times New Roman" w:cs="Times New Roman"/>
          <w:sz w:val="24"/>
          <w:szCs w:val="24"/>
        </w:rPr>
        <w:t xml:space="preserve">In vitro </w:t>
      </w:r>
      <w:commentRangeEnd w:id="13"/>
      <w:r w:rsidR="005F54CA">
        <w:rPr>
          <w:rStyle w:val="CommentReference"/>
        </w:rPr>
        <w:commentReference w:id="13"/>
      </w:r>
      <w:r w:rsidRPr="006E6CD1">
        <w:rPr>
          <w:rFonts w:ascii="Times New Roman" w:hAnsi="Times New Roman" w:cs="Times New Roman"/>
          <w:sz w:val="24"/>
          <w:szCs w:val="24"/>
        </w:rPr>
        <w:t>testing, preferably based on a documented "</w:t>
      </w:r>
      <w:commentRangeStart w:id="14"/>
      <w:r w:rsidRPr="006E6CD1">
        <w:rPr>
          <w:rFonts w:ascii="Times New Roman" w:hAnsi="Times New Roman" w:cs="Times New Roman"/>
          <w:sz w:val="24"/>
          <w:szCs w:val="24"/>
        </w:rPr>
        <w:t xml:space="preserve">in-vitro/in-vivo </w:t>
      </w:r>
      <w:commentRangeEnd w:id="14"/>
      <w:r w:rsidR="005F54CA">
        <w:rPr>
          <w:rStyle w:val="CommentReference"/>
        </w:rPr>
        <w:commentReference w:id="14"/>
      </w:r>
      <w:r w:rsidRPr="006E6CD1">
        <w:rPr>
          <w:rFonts w:ascii="Times New Roman" w:hAnsi="Times New Roman" w:cs="Times New Roman"/>
          <w:sz w:val="24"/>
          <w:szCs w:val="24"/>
        </w:rPr>
        <w:t>correlation". May sometimes provide the same indication of bioequivalence between two pharmaceuticals.</w:t>
      </w:r>
    </w:p>
    <w:p w:rsidR="00BC0539" w:rsidRPr="006E6CD1" w:rsidRDefault="00BC0539" w:rsidP="006E6CD1">
      <w:pPr>
        <w:spacing w:after="0"/>
        <w:jc w:val="both"/>
        <w:rPr>
          <w:rFonts w:ascii="Times New Roman" w:hAnsi="Times New Roman" w:cs="Times New Roman"/>
          <w:sz w:val="24"/>
          <w:szCs w:val="24"/>
          <w:rtl/>
        </w:rPr>
      </w:pPr>
      <w:r w:rsidRPr="006E6CD1">
        <w:rPr>
          <w:rFonts w:ascii="Times New Roman" w:hAnsi="Times New Roman" w:cs="Times New Roman"/>
          <w:sz w:val="24"/>
          <w:szCs w:val="24"/>
        </w:rPr>
        <w:t xml:space="preserve">Bioequivalence is determined based on the relative bioavailability of the innovator medicine versus the generic medicine. It is measured by comparing the ratio of the pharmacokinetic variables for the innovator </w:t>
      </w:r>
      <w:commentRangeEnd w:id="12"/>
      <w:r w:rsidR="004126D1">
        <w:rPr>
          <w:rStyle w:val="CommentReference"/>
        </w:rPr>
        <w:commentReference w:id="12"/>
      </w:r>
      <w:r w:rsidRPr="006E6CD1">
        <w:rPr>
          <w:rFonts w:ascii="Times New Roman" w:hAnsi="Times New Roman" w:cs="Times New Roman"/>
          <w:sz w:val="24"/>
          <w:szCs w:val="24"/>
        </w:rPr>
        <w:t>versus the generic medicine where equality is 1.</w:t>
      </w:r>
    </w:p>
    <w:p w:rsidR="00BC0539" w:rsidRPr="006E6CD1" w:rsidRDefault="00BC0539" w:rsidP="006E6CD1">
      <w:pPr>
        <w:spacing w:after="0"/>
        <w:jc w:val="both"/>
        <w:rPr>
          <w:rFonts w:ascii="Times New Roman" w:hAnsi="Times New Roman" w:cs="Times New Roman"/>
          <w:sz w:val="24"/>
          <w:szCs w:val="24"/>
          <w:rtl/>
        </w:rPr>
      </w:pPr>
      <w:r w:rsidRPr="006E6CD1">
        <w:rPr>
          <w:rFonts w:ascii="Times New Roman" w:hAnsi="Times New Roman" w:cs="Times New Roman"/>
          <w:sz w:val="24"/>
          <w:szCs w:val="24"/>
        </w:rPr>
        <w:lastRenderedPageBreak/>
        <w:t xml:space="preserve">Bioequivalence studies </w:t>
      </w:r>
      <w:commentRangeEnd w:id="11"/>
      <w:r w:rsidR="001B639A">
        <w:rPr>
          <w:rStyle w:val="CommentReference"/>
        </w:rPr>
        <w:commentReference w:id="11"/>
      </w:r>
      <w:r w:rsidRPr="006E6CD1">
        <w:rPr>
          <w:rFonts w:ascii="Times New Roman" w:hAnsi="Times New Roman" w:cs="Times New Roman"/>
          <w:sz w:val="24"/>
          <w:szCs w:val="24"/>
        </w:rPr>
        <w:t xml:space="preserve">focus on the release of drug from dosage form, formulation and subsequent absorption into the systemic circulation. Bio-equivalence studies may involve both </w:t>
      </w:r>
      <w:commentRangeStart w:id="15"/>
      <w:r w:rsidRPr="006E6CD1">
        <w:rPr>
          <w:rFonts w:ascii="Times New Roman" w:hAnsi="Times New Roman" w:cs="Times New Roman"/>
          <w:sz w:val="24"/>
          <w:szCs w:val="24"/>
        </w:rPr>
        <w:t xml:space="preserve">in-vivo </w:t>
      </w:r>
      <w:commentRangeEnd w:id="15"/>
      <w:r w:rsidR="005F54CA">
        <w:rPr>
          <w:rStyle w:val="CommentReference"/>
        </w:rPr>
        <w:commentReference w:id="15"/>
      </w:r>
      <w:r w:rsidRPr="006E6CD1">
        <w:rPr>
          <w:rFonts w:ascii="Times New Roman" w:hAnsi="Times New Roman" w:cs="Times New Roman"/>
          <w:sz w:val="24"/>
          <w:szCs w:val="24"/>
        </w:rPr>
        <w:t xml:space="preserve">and </w:t>
      </w:r>
      <w:commentRangeStart w:id="16"/>
      <w:r w:rsidRPr="006E6CD1">
        <w:rPr>
          <w:rFonts w:ascii="Times New Roman" w:hAnsi="Times New Roman" w:cs="Times New Roman"/>
          <w:sz w:val="24"/>
          <w:szCs w:val="24"/>
        </w:rPr>
        <w:t xml:space="preserve">in-vitro </w:t>
      </w:r>
      <w:commentRangeEnd w:id="16"/>
      <w:r w:rsidR="005F54CA">
        <w:rPr>
          <w:rStyle w:val="CommentReference"/>
        </w:rPr>
        <w:commentReference w:id="16"/>
      </w:r>
      <w:r w:rsidRPr="006E6CD1">
        <w:rPr>
          <w:rFonts w:ascii="Times New Roman" w:hAnsi="Times New Roman" w:cs="Times New Roman"/>
          <w:sz w:val="24"/>
          <w:szCs w:val="24"/>
        </w:rPr>
        <w:t>studies.</w:t>
      </w:r>
    </w:p>
    <w:p w:rsidR="00BC0539" w:rsidRPr="006E6CD1" w:rsidRDefault="00BC0539" w:rsidP="006E6CD1">
      <w:pPr>
        <w:spacing w:after="0"/>
        <w:jc w:val="both"/>
        <w:rPr>
          <w:rFonts w:ascii="Times New Roman" w:hAnsi="Times New Roman" w:cs="Times New Roman"/>
          <w:b/>
          <w:bCs/>
          <w:sz w:val="24"/>
          <w:szCs w:val="24"/>
        </w:rPr>
      </w:pPr>
      <w:commentRangeStart w:id="17"/>
      <w:r w:rsidRPr="006E6CD1">
        <w:rPr>
          <w:rFonts w:ascii="Times New Roman" w:hAnsi="Times New Roman" w:cs="Times New Roman"/>
          <w:b/>
          <w:bCs/>
          <w:sz w:val="24"/>
          <w:szCs w:val="24"/>
        </w:rPr>
        <w:t xml:space="preserve">In </w:t>
      </w:r>
      <w:commentRangeStart w:id="18"/>
      <w:r w:rsidRPr="006E6CD1">
        <w:rPr>
          <w:rFonts w:ascii="Times New Roman" w:hAnsi="Times New Roman" w:cs="Times New Roman"/>
          <w:b/>
          <w:bCs/>
          <w:sz w:val="24"/>
          <w:szCs w:val="24"/>
        </w:rPr>
        <w:t>Vivo in Vitro</w:t>
      </w:r>
      <w:commentRangeEnd w:id="17"/>
      <w:r w:rsidR="00876618">
        <w:rPr>
          <w:rStyle w:val="CommentReference"/>
        </w:rPr>
        <w:commentReference w:id="17"/>
      </w:r>
      <w:r w:rsidRPr="006E6CD1">
        <w:rPr>
          <w:rFonts w:ascii="Times New Roman" w:hAnsi="Times New Roman" w:cs="Times New Roman"/>
          <w:b/>
          <w:bCs/>
          <w:sz w:val="24"/>
          <w:szCs w:val="24"/>
        </w:rPr>
        <w:t xml:space="preserve"> Correlations</w:t>
      </w:r>
    </w:p>
    <w:p w:rsidR="00BC0539" w:rsidRPr="006E6CD1" w:rsidRDefault="00BC0539" w:rsidP="006E6CD1">
      <w:pPr>
        <w:spacing w:after="0"/>
        <w:jc w:val="both"/>
        <w:rPr>
          <w:rFonts w:ascii="Times New Roman" w:hAnsi="Times New Roman" w:cs="Times New Roman"/>
          <w:sz w:val="24"/>
          <w:szCs w:val="24"/>
          <w:rtl/>
        </w:rPr>
      </w:pPr>
      <w:r w:rsidRPr="006E6CD1">
        <w:rPr>
          <w:rFonts w:ascii="Times New Roman" w:hAnsi="Times New Roman" w:cs="Times New Roman"/>
          <w:sz w:val="24"/>
          <w:szCs w:val="24"/>
        </w:rPr>
        <w:t xml:space="preserve">Development and optimization of formulation is an integral part of manufacturing and marketing of any therapeutic agent which is indeed a time consuming and costly process. Optimization process may require alteration in formulation composition, manufacturing process, equipment and batch sizes. If these types of changes are applied to a formulation, studies in human healthy volunteers may be required to prove that the new formulation is bioequivalent with the old one. Certainly, implementation of these requirements not only halts the marketing of the new formulation but also increases the cost of the optimization processes. It would be, desirable, therefore, to develop </w:t>
      </w:r>
      <w:commentRangeStart w:id="19"/>
      <w:r w:rsidRPr="006E6CD1">
        <w:rPr>
          <w:rFonts w:ascii="Times New Roman" w:hAnsi="Times New Roman" w:cs="Times New Roman"/>
          <w:sz w:val="24"/>
          <w:szCs w:val="24"/>
        </w:rPr>
        <w:t xml:space="preserve">in vitro </w:t>
      </w:r>
      <w:commentRangeEnd w:id="19"/>
      <w:r w:rsidR="005F54CA">
        <w:rPr>
          <w:rStyle w:val="CommentReference"/>
        </w:rPr>
        <w:commentReference w:id="19"/>
      </w:r>
      <w:r w:rsidRPr="006E6CD1">
        <w:rPr>
          <w:rFonts w:ascii="Times New Roman" w:hAnsi="Times New Roman" w:cs="Times New Roman"/>
          <w:sz w:val="24"/>
          <w:szCs w:val="24"/>
        </w:rPr>
        <w:t>tests that reflect bioavailability data. A regulatory guidance for both immediate- and modified-release dosage forms has been, therefore, developed by the FDA to minimize the need for bioavailability studies as part of the formulation design and optimization (</w:t>
      </w:r>
      <w:commentRangeStart w:id="20"/>
      <w:r w:rsidRPr="006E6CD1">
        <w:rPr>
          <w:rFonts w:ascii="Times New Roman" w:hAnsi="Times New Roman" w:cs="Times New Roman"/>
          <w:sz w:val="24"/>
          <w:szCs w:val="24"/>
        </w:rPr>
        <w:t>Amidon, et.al, 1995</w:t>
      </w:r>
      <w:commentRangeEnd w:id="20"/>
      <w:r w:rsidR="00F83400">
        <w:rPr>
          <w:rStyle w:val="CommentReference"/>
        </w:rPr>
        <w:commentReference w:id="20"/>
      </w:r>
      <w:r w:rsidRPr="006E6CD1">
        <w:rPr>
          <w:rFonts w:ascii="Times New Roman" w:hAnsi="Times New Roman" w:cs="Times New Roman"/>
          <w:sz w:val="24"/>
          <w:szCs w:val="24"/>
        </w:rPr>
        <w:t>).</w:t>
      </w:r>
    </w:p>
    <w:p w:rsidR="00BC0539" w:rsidRPr="006E6CD1" w:rsidRDefault="00BC0539" w:rsidP="006E6CD1">
      <w:pPr>
        <w:spacing w:after="0"/>
        <w:jc w:val="both"/>
        <w:rPr>
          <w:rFonts w:ascii="Times New Roman" w:hAnsi="Times New Roman" w:cs="Times New Roman"/>
          <w:sz w:val="24"/>
          <w:szCs w:val="24"/>
          <w:rtl/>
        </w:rPr>
      </w:pPr>
      <w:r w:rsidRPr="006E6CD1">
        <w:rPr>
          <w:rFonts w:ascii="Times New Roman" w:hAnsi="Times New Roman" w:cs="Times New Roman"/>
          <w:sz w:val="24"/>
          <w:szCs w:val="24"/>
        </w:rPr>
        <w:t>IVIVC can be used in the development of new pharmaceuticals to reduce the number of human studies during the formulation development.</w:t>
      </w:r>
    </w:p>
    <w:p w:rsidR="00BC0539" w:rsidRPr="006E6CD1" w:rsidRDefault="00BC0539" w:rsidP="006E6CD1">
      <w:pPr>
        <w:spacing w:after="0"/>
        <w:jc w:val="both"/>
        <w:rPr>
          <w:rFonts w:ascii="Times New Roman" w:hAnsi="Times New Roman" w:cs="Times New Roman"/>
          <w:b/>
          <w:bCs/>
          <w:sz w:val="24"/>
          <w:szCs w:val="24"/>
          <w:rtl/>
        </w:rPr>
      </w:pPr>
      <w:r w:rsidRPr="006E6CD1">
        <w:rPr>
          <w:rFonts w:ascii="Times New Roman" w:hAnsi="Times New Roman" w:cs="Times New Roman"/>
          <w:b/>
          <w:bCs/>
          <w:sz w:val="24"/>
          <w:szCs w:val="24"/>
        </w:rPr>
        <w:t xml:space="preserve">Correlation </w:t>
      </w:r>
      <w:r w:rsidR="006E6CD1" w:rsidRPr="006E6CD1">
        <w:rPr>
          <w:rFonts w:ascii="Times New Roman" w:hAnsi="Times New Roman" w:cs="Times New Roman"/>
          <w:b/>
          <w:bCs/>
          <w:sz w:val="24"/>
          <w:szCs w:val="24"/>
        </w:rPr>
        <w:t>D</w:t>
      </w:r>
      <w:r w:rsidRPr="006E6CD1">
        <w:rPr>
          <w:rFonts w:ascii="Times New Roman" w:hAnsi="Times New Roman" w:cs="Times New Roman"/>
          <w:b/>
          <w:bCs/>
          <w:sz w:val="24"/>
          <w:szCs w:val="24"/>
        </w:rPr>
        <w:t>efinitions:</w:t>
      </w:r>
    </w:p>
    <w:p w:rsidR="00BC0539" w:rsidRPr="006E6CD1" w:rsidRDefault="00BC0539" w:rsidP="006E6CD1">
      <w:pPr>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The term correlation is frequently employed within the pharmaceutical and related sciences to describe the relationship that exists between variables. Mathematically, the term correlation means interdependence between quantitative or qualitative data or relationship between measurable variables </w:t>
      </w:r>
      <w:commentRangeEnd w:id="18"/>
      <w:r w:rsidR="004126D1">
        <w:rPr>
          <w:rStyle w:val="CommentReference"/>
        </w:rPr>
        <w:commentReference w:id="18"/>
      </w:r>
      <w:r w:rsidRPr="006E6CD1">
        <w:rPr>
          <w:rFonts w:ascii="Times New Roman" w:hAnsi="Times New Roman" w:cs="Times New Roman"/>
          <w:sz w:val="24"/>
          <w:szCs w:val="24"/>
        </w:rPr>
        <w:t xml:space="preserve">and ranks (Blaskovich, </w:t>
      </w:r>
      <w:commentRangeStart w:id="21"/>
      <w:r w:rsidRPr="006E6CD1">
        <w:rPr>
          <w:rFonts w:ascii="Times New Roman" w:hAnsi="Times New Roman" w:cs="Times New Roman"/>
          <w:sz w:val="24"/>
          <w:szCs w:val="24"/>
        </w:rPr>
        <w:t>et.al</w:t>
      </w:r>
      <w:commentRangeEnd w:id="21"/>
      <w:r w:rsidR="00B63C0F">
        <w:rPr>
          <w:rStyle w:val="CommentReference"/>
        </w:rPr>
        <w:commentReference w:id="21"/>
      </w:r>
      <w:r w:rsidRPr="006E6CD1">
        <w:rPr>
          <w:rFonts w:ascii="Times New Roman" w:hAnsi="Times New Roman" w:cs="Times New Roman"/>
          <w:sz w:val="24"/>
          <w:szCs w:val="24"/>
        </w:rPr>
        <w:t xml:space="preserve">, 2003). From biopharmaceutical standpoint, correlation could be referred to as the relationship between appropriate </w:t>
      </w:r>
      <w:commentRangeStart w:id="22"/>
      <w:r w:rsidRPr="006E6CD1">
        <w:rPr>
          <w:rFonts w:ascii="Times New Roman" w:hAnsi="Times New Roman" w:cs="Times New Roman"/>
          <w:sz w:val="24"/>
          <w:szCs w:val="24"/>
        </w:rPr>
        <w:t xml:space="preserve">in vitro </w:t>
      </w:r>
      <w:commentRangeEnd w:id="22"/>
      <w:r w:rsidR="005F54CA">
        <w:rPr>
          <w:rStyle w:val="CommentReference"/>
        </w:rPr>
        <w:commentReference w:id="22"/>
      </w:r>
      <w:r w:rsidRPr="006E6CD1">
        <w:rPr>
          <w:rFonts w:ascii="Times New Roman" w:hAnsi="Times New Roman" w:cs="Times New Roman"/>
          <w:sz w:val="24"/>
          <w:szCs w:val="24"/>
        </w:rPr>
        <w:t xml:space="preserve">release characteristics and </w:t>
      </w:r>
      <w:commentRangeStart w:id="23"/>
      <w:r w:rsidRPr="006E6CD1">
        <w:rPr>
          <w:rFonts w:ascii="Times New Roman" w:hAnsi="Times New Roman" w:cs="Times New Roman"/>
          <w:sz w:val="24"/>
          <w:szCs w:val="24"/>
        </w:rPr>
        <w:t xml:space="preserve">in vivo </w:t>
      </w:r>
      <w:commentRangeEnd w:id="23"/>
      <w:r w:rsidR="005F54CA">
        <w:rPr>
          <w:rStyle w:val="CommentReference"/>
        </w:rPr>
        <w:commentReference w:id="23"/>
      </w:r>
      <w:r w:rsidRPr="006E6CD1">
        <w:rPr>
          <w:rFonts w:ascii="Times New Roman" w:hAnsi="Times New Roman" w:cs="Times New Roman"/>
          <w:sz w:val="24"/>
          <w:szCs w:val="24"/>
        </w:rPr>
        <w:t>bioavailability parameters, Two definitions of ivivc have been proposed by the USP and by the FDA (</w:t>
      </w:r>
      <w:commentRangeStart w:id="24"/>
      <w:r w:rsidRPr="006E6CD1">
        <w:rPr>
          <w:rFonts w:ascii="Times New Roman" w:hAnsi="Times New Roman" w:cs="Times New Roman"/>
          <w:sz w:val="24"/>
          <w:szCs w:val="24"/>
        </w:rPr>
        <w:t xml:space="preserve">Chen, </w:t>
      </w:r>
      <w:commentRangeStart w:id="25"/>
      <w:r w:rsidRPr="006E6CD1">
        <w:rPr>
          <w:rFonts w:ascii="Times New Roman" w:hAnsi="Times New Roman" w:cs="Times New Roman"/>
          <w:sz w:val="24"/>
          <w:szCs w:val="24"/>
        </w:rPr>
        <w:t>et.al</w:t>
      </w:r>
      <w:commentRangeEnd w:id="25"/>
      <w:r w:rsidR="00B63C0F">
        <w:rPr>
          <w:rStyle w:val="CommentReference"/>
        </w:rPr>
        <w:commentReference w:id="25"/>
      </w:r>
      <w:r w:rsidRPr="006E6CD1">
        <w:rPr>
          <w:rFonts w:ascii="Times New Roman" w:hAnsi="Times New Roman" w:cs="Times New Roman"/>
          <w:sz w:val="24"/>
          <w:szCs w:val="24"/>
        </w:rPr>
        <w:t xml:space="preserve">, 2005),(Jayaprakasam,  </w:t>
      </w:r>
      <w:commentRangeStart w:id="26"/>
      <w:r w:rsidRPr="006E6CD1">
        <w:rPr>
          <w:rFonts w:ascii="Times New Roman" w:hAnsi="Times New Roman" w:cs="Times New Roman"/>
          <w:sz w:val="24"/>
          <w:szCs w:val="24"/>
        </w:rPr>
        <w:t>et.al</w:t>
      </w:r>
      <w:commentRangeEnd w:id="26"/>
      <w:r w:rsidR="00B63C0F">
        <w:rPr>
          <w:rStyle w:val="CommentReference"/>
        </w:rPr>
        <w:commentReference w:id="26"/>
      </w:r>
      <w:r w:rsidRPr="006E6CD1">
        <w:rPr>
          <w:rFonts w:ascii="Times New Roman" w:hAnsi="Times New Roman" w:cs="Times New Roman"/>
          <w:sz w:val="24"/>
          <w:szCs w:val="24"/>
        </w:rPr>
        <w:t>, 2003).</w:t>
      </w:r>
      <w:commentRangeEnd w:id="24"/>
      <w:r w:rsidR="00F83400">
        <w:rPr>
          <w:rStyle w:val="CommentReference"/>
        </w:rPr>
        <w:commentReference w:id="24"/>
      </w:r>
    </w:p>
    <w:p w:rsidR="006E6CD1" w:rsidRDefault="006E6CD1" w:rsidP="006E6CD1">
      <w:pPr>
        <w:spacing w:after="0"/>
        <w:jc w:val="both"/>
        <w:rPr>
          <w:rFonts w:ascii="Times New Roman" w:hAnsi="Times New Roman" w:cs="Times New Roman"/>
          <w:b/>
          <w:bCs/>
          <w:sz w:val="24"/>
          <w:szCs w:val="24"/>
        </w:rPr>
      </w:pPr>
    </w:p>
    <w:p w:rsidR="00654AB0" w:rsidRPr="006E6CD1" w:rsidRDefault="006E0FCE" w:rsidP="006E6CD1">
      <w:pPr>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MATERIALS AND </w:t>
      </w:r>
      <w:commentRangeStart w:id="27"/>
      <w:r w:rsidRPr="006E6CD1">
        <w:rPr>
          <w:rFonts w:ascii="Times New Roman" w:hAnsi="Times New Roman" w:cs="Times New Roman"/>
          <w:b/>
          <w:bCs/>
          <w:sz w:val="24"/>
          <w:szCs w:val="24"/>
        </w:rPr>
        <w:t>METHODS</w:t>
      </w:r>
      <w:r w:rsidR="009B6FAC" w:rsidRPr="006E6CD1">
        <w:rPr>
          <w:rFonts w:ascii="Times New Roman" w:hAnsi="Times New Roman" w:cs="Times New Roman"/>
          <w:b/>
          <w:bCs/>
          <w:sz w:val="24"/>
          <w:szCs w:val="24"/>
        </w:rPr>
        <w:t>:</w:t>
      </w:r>
      <w:commentRangeEnd w:id="27"/>
      <w:r w:rsidR="00761F26">
        <w:rPr>
          <w:rStyle w:val="CommentReference"/>
        </w:rPr>
        <w:commentReference w:id="27"/>
      </w:r>
    </w:p>
    <w:p w:rsidR="004A31C8" w:rsidRPr="006E6CD1" w:rsidRDefault="004A31C8" w:rsidP="006E6CD1">
      <w:pPr>
        <w:autoSpaceDE w:val="0"/>
        <w:autoSpaceDN w:val="0"/>
        <w:adjustRightInd w:val="0"/>
        <w:spacing w:after="0"/>
        <w:jc w:val="both"/>
        <w:rPr>
          <w:rFonts w:ascii="Times New Roman" w:hAnsi="Times New Roman" w:cs="Times New Roman"/>
          <w:b/>
          <w:bCs/>
          <w:sz w:val="24"/>
          <w:szCs w:val="24"/>
        </w:rPr>
      </w:pPr>
      <w:commentRangeStart w:id="28"/>
      <w:r w:rsidRPr="006E6CD1">
        <w:rPr>
          <w:rFonts w:ascii="Times New Roman" w:hAnsi="Times New Roman" w:cs="Times New Roman"/>
          <w:b/>
          <w:bCs/>
          <w:sz w:val="24"/>
          <w:szCs w:val="24"/>
        </w:rPr>
        <w:t xml:space="preserve">Physical </w:t>
      </w:r>
      <w:r w:rsidR="006E6CD1" w:rsidRPr="006E6CD1">
        <w:rPr>
          <w:rFonts w:ascii="Times New Roman" w:hAnsi="Times New Roman" w:cs="Times New Roman"/>
          <w:b/>
          <w:bCs/>
          <w:sz w:val="24"/>
          <w:szCs w:val="24"/>
        </w:rPr>
        <w:t>T</w:t>
      </w:r>
      <w:r w:rsidRPr="006E6CD1">
        <w:rPr>
          <w:rFonts w:ascii="Times New Roman" w:hAnsi="Times New Roman" w:cs="Times New Roman"/>
          <w:b/>
          <w:bCs/>
          <w:sz w:val="24"/>
          <w:szCs w:val="24"/>
        </w:rPr>
        <w:t>est:</w:t>
      </w:r>
      <w:commentRangeEnd w:id="28"/>
      <w:r w:rsidR="00F83400">
        <w:rPr>
          <w:rStyle w:val="CommentReference"/>
        </w:rPr>
        <w:commentReference w:id="28"/>
      </w:r>
    </w:p>
    <w:p w:rsidR="004A31C8" w:rsidRPr="006E6CD1" w:rsidRDefault="004A31C8"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Uniformity of </w:t>
      </w:r>
      <w:r w:rsidR="006E6CD1" w:rsidRPr="006E6CD1">
        <w:rPr>
          <w:rFonts w:ascii="Times New Roman" w:hAnsi="Times New Roman" w:cs="Times New Roman"/>
          <w:b/>
          <w:bCs/>
          <w:sz w:val="24"/>
          <w:szCs w:val="24"/>
        </w:rPr>
        <w:t>W</w:t>
      </w:r>
      <w:r w:rsidRPr="006E6CD1">
        <w:rPr>
          <w:rFonts w:ascii="Times New Roman" w:hAnsi="Times New Roman" w:cs="Times New Roman"/>
          <w:b/>
          <w:bCs/>
          <w:sz w:val="24"/>
          <w:szCs w:val="24"/>
        </w:rPr>
        <w:t xml:space="preserve">eight </w:t>
      </w:r>
      <w:r w:rsidR="006E6CD1" w:rsidRPr="006E6CD1">
        <w:rPr>
          <w:rFonts w:ascii="Times New Roman" w:hAnsi="Times New Roman" w:cs="Times New Roman"/>
          <w:b/>
          <w:bCs/>
          <w:sz w:val="24"/>
          <w:szCs w:val="24"/>
        </w:rPr>
        <w:t>T</w:t>
      </w:r>
      <w:r w:rsidRPr="006E6CD1">
        <w:rPr>
          <w:rFonts w:ascii="Times New Roman" w:hAnsi="Times New Roman" w:cs="Times New Roman"/>
          <w:b/>
          <w:bCs/>
          <w:sz w:val="24"/>
          <w:szCs w:val="24"/>
        </w:rPr>
        <w:t>est.</w:t>
      </w:r>
    </w:p>
    <w:p w:rsidR="004A31C8" w:rsidRPr="006E6CD1" w:rsidRDefault="00550C5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i</w:t>
      </w:r>
      <w:r w:rsidR="004A31C8" w:rsidRPr="006E6CD1">
        <w:rPr>
          <w:rFonts w:ascii="Times New Roman" w:hAnsi="Times New Roman" w:cs="Times New Roman"/>
          <w:sz w:val="24"/>
          <w:szCs w:val="24"/>
        </w:rPr>
        <w:t>. 20 randomly selected tablets were weighed. The average weights were determined.</w:t>
      </w:r>
    </w:p>
    <w:p w:rsidR="004A31C8" w:rsidRPr="006E6CD1" w:rsidRDefault="00550C5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ii</w:t>
      </w:r>
      <w:r w:rsidR="004A31C8" w:rsidRPr="006E6CD1">
        <w:rPr>
          <w:rFonts w:ascii="Times New Roman" w:hAnsi="Times New Roman" w:cs="Times New Roman"/>
          <w:sz w:val="24"/>
          <w:szCs w:val="24"/>
        </w:rPr>
        <w:t xml:space="preserve">. The tablets were weighed individually and the percentage of deviation of its weight from the average weight was determined for each tablet </w:t>
      </w:r>
      <w:r w:rsidR="00654AB0" w:rsidRPr="006E6CD1">
        <w:rPr>
          <w:rFonts w:ascii="Times New Roman" w:hAnsi="Times New Roman" w:cs="Times New Roman"/>
          <w:sz w:val="24"/>
          <w:szCs w:val="24"/>
        </w:rPr>
        <w:t>.</w:t>
      </w:r>
    </w:p>
    <w:p w:rsidR="004A31C8" w:rsidRPr="006E6CD1" w:rsidRDefault="00550C5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iii</w:t>
      </w:r>
      <w:r w:rsidR="004A31C8" w:rsidRPr="006E6CD1">
        <w:rPr>
          <w:rFonts w:ascii="Times New Roman" w:hAnsi="Times New Roman" w:cs="Times New Roman"/>
          <w:sz w:val="24"/>
          <w:szCs w:val="24"/>
        </w:rPr>
        <w:t xml:space="preserve">. The deviation of individual weight from the average weight should not exceed the limit given </w:t>
      </w:r>
      <w:r w:rsidR="006E0FCE" w:rsidRPr="006E6CD1">
        <w:rPr>
          <w:rFonts w:ascii="Times New Roman" w:hAnsi="Times New Roman" w:cs="Times New Roman"/>
          <w:sz w:val="24"/>
          <w:szCs w:val="24"/>
        </w:rPr>
        <w:t>in table 3</w:t>
      </w:r>
      <w:r w:rsidR="004A31C8" w:rsidRPr="006E6CD1">
        <w:rPr>
          <w:rFonts w:ascii="Times New Roman" w:hAnsi="Times New Roman" w:cs="Times New Roman"/>
          <w:sz w:val="24"/>
          <w:szCs w:val="24"/>
        </w:rPr>
        <w:t>:</w:t>
      </w:r>
    </w:p>
    <w:p w:rsidR="004A31C8" w:rsidRPr="006E6CD1" w:rsidRDefault="004A31C8"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Hardness </w:t>
      </w:r>
      <w:r w:rsidR="006E6CD1" w:rsidRPr="006E6CD1">
        <w:rPr>
          <w:rFonts w:ascii="Times New Roman" w:hAnsi="Times New Roman" w:cs="Times New Roman"/>
          <w:b/>
          <w:bCs/>
          <w:sz w:val="24"/>
          <w:szCs w:val="24"/>
        </w:rPr>
        <w:t>T</w:t>
      </w:r>
      <w:r w:rsidRPr="006E6CD1">
        <w:rPr>
          <w:rFonts w:ascii="Times New Roman" w:hAnsi="Times New Roman" w:cs="Times New Roman"/>
          <w:b/>
          <w:bCs/>
          <w:sz w:val="24"/>
          <w:szCs w:val="24"/>
        </w:rPr>
        <w:t>est.</w:t>
      </w:r>
    </w:p>
    <w:p w:rsidR="004A31C8" w:rsidRPr="006E6CD1" w:rsidRDefault="004A31C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The hardness of 10 tablets randomly selected from each batch </w:t>
      </w:r>
      <w:commentRangeStart w:id="29"/>
      <w:r w:rsidRPr="006E6CD1">
        <w:rPr>
          <w:rFonts w:ascii="Times New Roman" w:hAnsi="Times New Roman" w:cs="Times New Roman"/>
          <w:sz w:val="24"/>
          <w:szCs w:val="24"/>
        </w:rPr>
        <w:t>weredetermined</w:t>
      </w:r>
      <w:commentRangeEnd w:id="29"/>
      <w:r w:rsidR="005F54CA">
        <w:rPr>
          <w:rStyle w:val="CommentReference"/>
        </w:rPr>
        <w:commentReference w:id="29"/>
      </w:r>
      <w:r w:rsidRPr="006E6CD1">
        <w:rPr>
          <w:rFonts w:ascii="Times New Roman" w:hAnsi="Times New Roman" w:cs="Times New Roman"/>
          <w:sz w:val="24"/>
          <w:szCs w:val="24"/>
        </w:rPr>
        <w:t xml:space="preserve"> on an automatic tablet hardness tester. The crushing strength of uncoated tablets is accepted </w:t>
      </w:r>
      <w:r w:rsidR="004E34B0" w:rsidRPr="006E6CD1">
        <w:rPr>
          <w:rFonts w:ascii="Times New Roman" w:hAnsi="Times New Roman" w:cs="Times New Roman"/>
          <w:sz w:val="24"/>
          <w:szCs w:val="24"/>
        </w:rPr>
        <w:t>within</w:t>
      </w:r>
      <w:r w:rsidRPr="006E6CD1">
        <w:rPr>
          <w:rFonts w:ascii="Times New Roman" w:hAnsi="Times New Roman" w:cs="Times New Roman"/>
          <w:sz w:val="24"/>
          <w:szCs w:val="24"/>
        </w:rPr>
        <w:t xml:space="preserve"> 4-8 kg/cm2</w:t>
      </w:r>
    </w:p>
    <w:p w:rsidR="004A31C8" w:rsidRPr="006E6CD1" w:rsidRDefault="004A31C8"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Friability </w:t>
      </w:r>
      <w:r w:rsidR="006E6CD1" w:rsidRPr="006E6CD1">
        <w:rPr>
          <w:rFonts w:ascii="Times New Roman" w:hAnsi="Times New Roman" w:cs="Times New Roman"/>
          <w:b/>
          <w:bCs/>
          <w:sz w:val="24"/>
          <w:szCs w:val="24"/>
        </w:rPr>
        <w:t>T</w:t>
      </w:r>
      <w:r w:rsidRPr="006E6CD1">
        <w:rPr>
          <w:rFonts w:ascii="Times New Roman" w:hAnsi="Times New Roman" w:cs="Times New Roman"/>
          <w:b/>
          <w:bCs/>
          <w:sz w:val="24"/>
          <w:szCs w:val="24"/>
        </w:rPr>
        <w:t>est</w:t>
      </w:r>
    </w:p>
    <w:p w:rsidR="004A31C8" w:rsidRPr="006E6CD1" w:rsidRDefault="004A31C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20 tablets previously freed of dust were weighed together </w:t>
      </w:r>
      <w:commentRangeStart w:id="30"/>
      <w:r w:rsidRPr="006E6CD1">
        <w:rPr>
          <w:rFonts w:ascii="Times New Roman" w:hAnsi="Times New Roman" w:cs="Times New Roman"/>
          <w:sz w:val="24"/>
          <w:szCs w:val="24"/>
        </w:rPr>
        <w:t>beforetransferring</w:t>
      </w:r>
      <w:commentRangeEnd w:id="30"/>
      <w:r w:rsidR="005F54CA">
        <w:rPr>
          <w:rStyle w:val="CommentReference"/>
        </w:rPr>
        <w:commentReference w:id="30"/>
      </w:r>
      <w:r w:rsidRPr="006E6CD1">
        <w:rPr>
          <w:rFonts w:ascii="Times New Roman" w:hAnsi="Times New Roman" w:cs="Times New Roman"/>
          <w:sz w:val="24"/>
          <w:szCs w:val="24"/>
        </w:rPr>
        <w:t xml:space="preserve"> to a frabilator set to run for 4 min at 25 r.p.m. Thereafter they were removed, dusted and reweighed:</w:t>
      </w:r>
    </w:p>
    <w:p w:rsidR="00550C58" w:rsidRPr="006E6CD1" w:rsidRDefault="00550C58" w:rsidP="006E6CD1">
      <w:pPr>
        <w:autoSpaceDE w:val="0"/>
        <w:autoSpaceDN w:val="0"/>
        <w:adjustRightInd w:val="0"/>
        <w:spacing w:after="0"/>
        <w:rPr>
          <w:rFonts w:ascii="Times New Roman" w:hAnsi="Times New Roman" w:cs="Times New Roman"/>
          <w:sz w:val="24"/>
          <w:szCs w:val="24"/>
        </w:rPr>
      </w:pPr>
    </w:p>
    <w:p w:rsidR="004A31C8" w:rsidRPr="006E6CD1" w:rsidRDefault="004A31C8" w:rsidP="006E6CD1">
      <w:pPr>
        <w:autoSpaceDE w:val="0"/>
        <w:autoSpaceDN w:val="0"/>
        <w:adjustRightInd w:val="0"/>
        <w:spacing w:after="0"/>
        <w:jc w:val="center"/>
        <w:rPr>
          <w:rFonts w:ascii="Times New Roman" w:hAnsi="Times New Roman" w:cs="Times New Roman"/>
          <w:i/>
          <w:iCs/>
          <w:sz w:val="24"/>
          <w:szCs w:val="24"/>
        </w:rPr>
      </w:pPr>
      <w:commentRangeStart w:id="31"/>
      <w:r w:rsidRPr="006E6CD1">
        <w:rPr>
          <w:rFonts w:ascii="Times New Roman" w:hAnsi="Times New Roman" w:cs="Times New Roman"/>
          <w:i/>
          <w:iCs/>
          <w:sz w:val="24"/>
          <w:szCs w:val="24"/>
        </w:rPr>
        <w:t>% Friability = [(Wi – Wf)/ Wi] x 100, (should be less than 1%)</w:t>
      </w:r>
      <w:commentRangeEnd w:id="31"/>
      <w:r w:rsidR="005F54CA">
        <w:rPr>
          <w:rStyle w:val="CommentReference"/>
        </w:rPr>
        <w:commentReference w:id="31"/>
      </w:r>
    </w:p>
    <w:p w:rsidR="00550C58" w:rsidRPr="006E6CD1" w:rsidRDefault="004A31C8" w:rsidP="006E6CD1">
      <w:pPr>
        <w:autoSpaceDE w:val="0"/>
        <w:autoSpaceDN w:val="0"/>
        <w:adjustRightInd w:val="0"/>
        <w:spacing w:after="0"/>
        <w:rPr>
          <w:rFonts w:ascii="Times New Roman" w:hAnsi="Times New Roman" w:cs="Times New Roman"/>
          <w:i/>
          <w:iCs/>
          <w:sz w:val="24"/>
          <w:szCs w:val="24"/>
        </w:rPr>
      </w:pPr>
      <w:r w:rsidRPr="006E6CD1">
        <w:rPr>
          <w:rFonts w:ascii="Times New Roman" w:hAnsi="Times New Roman" w:cs="Times New Roman"/>
          <w:i/>
          <w:iCs/>
          <w:sz w:val="24"/>
          <w:szCs w:val="24"/>
        </w:rPr>
        <w:t>Where</w:t>
      </w:r>
      <w:r w:rsidR="00550C58" w:rsidRPr="006E6CD1">
        <w:rPr>
          <w:rFonts w:ascii="Times New Roman" w:hAnsi="Times New Roman" w:cs="Times New Roman"/>
          <w:i/>
          <w:iCs/>
          <w:sz w:val="24"/>
          <w:szCs w:val="24"/>
        </w:rPr>
        <w:t xml:space="preserve">; </w:t>
      </w:r>
    </w:p>
    <w:p w:rsidR="004A31C8" w:rsidRPr="006E6CD1" w:rsidRDefault="004A31C8" w:rsidP="006E6CD1">
      <w:pPr>
        <w:autoSpaceDE w:val="0"/>
        <w:autoSpaceDN w:val="0"/>
        <w:adjustRightInd w:val="0"/>
        <w:spacing w:after="0"/>
        <w:rPr>
          <w:rFonts w:ascii="Times New Roman" w:hAnsi="Times New Roman" w:cs="Times New Roman"/>
          <w:i/>
          <w:iCs/>
          <w:sz w:val="24"/>
          <w:szCs w:val="24"/>
        </w:rPr>
      </w:pPr>
      <w:r w:rsidRPr="006E6CD1">
        <w:rPr>
          <w:rFonts w:ascii="Times New Roman" w:hAnsi="Times New Roman" w:cs="Times New Roman"/>
          <w:sz w:val="24"/>
          <w:szCs w:val="24"/>
        </w:rPr>
        <w:t xml:space="preserve"> Wi is the initial weight and Wf the final weight of the tablets.</w:t>
      </w:r>
    </w:p>
    <w:p w:rsidR="004A31C8" w:rsidRPr="006E6CD1" w:rsidRDefault="004A31C8"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Disintegration </w:t>
      </w:r>
      <w:r w:rsidR="006E6CD1" w:rsidRPr="006E6CD1">
        <w:rPr>
          <w:rFonts w:ascii="Times New Roman" w:hAnsi="Times New Roman" w:cs="Times New Roman"/>
          <w:b/>
          <w:bCs/>
          <w:sz w:val="24"/>
          <w:szCs w:val="24"/>
        </w:rPr>
        <w:t>T</w:t>
      </w:r>
      <w:r w:rsidRPr="006E6CD1">
        <w:rPr>
          <w:rFonts w:ascii="Times New Roman" w:hAnsi="Times New Roman" w:cs="Times New Roman"/>
          <w:b/>
          <w:bCs/>
          <w:sz w:val="24"/>
          <w:szCs w:val="24"/>
        </w:rPr>
        <w:t xml:space="preserve">ime </w:t>
      </w:r>
      <w:r w:rsidR="006E6CD1" w:rsidRPr="006E6CD1">
        <w:rPr>
          <w:rFonts w:ascii="Times New Roman" w:hAnsi="Times New Roman" w:cs="Times New Roman"/>
          <w:b/>
          <w:bCs/>
          <w:sz w:val="24"/>
          <w:szCs w:val="24"/>
        </w:rPr>
        <w:t>T</w:t>
      </w:r>
      <w:r w:rsidRPr="006E6CD1">
        <w:rPr>
          <w:rFonts w:ascii="Times New Roman" w:hAnsi="Times New Roman" w:cs="Times New Roman"/>
          <w:b/>
          <w:bCs/>
          <w:sz w:val="24"/>
          <w:szCs w:val="24"/>
        </w:rPr>
        <w:t>est.</w:t>
      </w:r>
    </w:p>
    <w:p w:rsidR="004A31C8" w:rsidRPr="006E6CD1" w:rsidRDefault="004A31C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lastRenderedPageBreak/>
        <w:t>According to official monograph determination of disintegration time for uncoated tablets was adopted using a disintegrating apparatus and the medium was distilled water at 37±1</w:t>
      </w:r>
      <w:r w:rsidRPr="006E6CD1">
        <w:rPr>
          <w:rFonts w:ascii="Times New Roman" w:hAnsi="Times New Roman" w:cs="Times New Roman"/>
          <w:sz w:val="24"/>
          <w:szCs w:val="24"/>
          <w:vertAlign w:val="superscript"/>
        </w:rPr>
        <w:t>o</w:t>
      </w:r>
      <w:r w:rsidRPr="006E6CD1">
        <w:rPr>
          <w:rFonts w:ascii="Times New Roman" w:hAnsi="Times New Roman" w:cs="Times New Roman"/>
          <w:sz w:val="24"/>
          <w:szCs w:val="24"/>
        </w:rPr>
        <w:t>C.six tablets were used for the determination. Accepted range for the uncoated tablet up to 30 mi</w:t>
      </w:r>
    </w:p>
    <w:p w:rsidR="004A31C8" w:rsidRPr="006E6CD1" w:rsidRDefault="004A31C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Absolute drug content</w:t>
      </w:r>
    </w:p>
    <w:p w:rsidR="004A31C8" w:rsidRPr="006E6CD1" w:rsidRDefault="004A31C8"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Five pre-weighed tablets were crushed; the equivalent weight of a tablet was weighed out and dissolved in 500 ml of 0.1M Na</w:t>
      </w:r>
      <w:r w:rsidR="006E6CD1" w:rsidRPr="006E6CD1">
        <w:rPr>
          <w:rFonts w:ascii="Times New Roman" w:hAnsi="Times New Roman" w:cs="Times New Roman"/>
          <w:sz w:val="24"/>
          <w:szCs w:val="24"/>
        </w:rPr>
        <w:t>o</w:t>
      </w:r>
      <w:r w:rsidRPr="006E6CD1">
        <w:rPr>
          <w:rFonts w:ascii="Times New Roman" w:hAnsi="Times New Roman" w:cs="Times New Roman"/>
          <w:sz w:val="24"/>
          <w:szCs w:val="24"/>
        </w:rPr>
        <w:t>H in a volumetric flask, and filtered. The absorbance reading was determined using UV-visible spectrophotometer at 319nm.</w:t>
      </w:r>
    </w:p>
    <w:p w:rsidR="009B6FAC" w:rsidRPr="006E6CD1" w:rsidRDefault="009B6FAC" w:rsidP="006E6CD1">
      <w:pPr>
        <w:autoSpaceDE w:val="0"/>
        <w:autoSpaceDN w:val="0"/>
        <w:adjustRightInd w:val="0"/>
        <w:spacing w:after="0"/>
        <w:jc w:val="both"/>
        <w:rPr>
          <w:rFonts w:ascii="Times New Roman" w:hAnsi="Times New Roman" w:cs="Times New Roman"/>
          <w:b/>
          <w:bCs/>
          <w:sz w:val="24"/>
          <w:szCs w:val="24"/>
        </w:rPr>
      </w:pPr>
      <w:commentRangeStart w:id="32"/>
      <w:r w:rsidRPr="006E6CD1">
        <w:rPr>
          <w:rFonts w:ascii="Times New Roman" w:hAnsi="Times New Roman" w:cs="Times New Roman"/>
          <w:b/>
          <w:bCs/>
          <w:sz w:val="24"/>
          <w:szCs w:val="24"/>
        </w:rPr>
        <w:t xml:space="preserve">In </w:t>
      </w:r>
      <w:r w:rsidR="006E6CD1" w:rsidRPr="006E6CD1">
        <w:rPr>
          <w:rFonts w:ascii="Times New Roman" w:hAnsi="Times New Roman" w:cs="Times New Roman"/>
          <w:b/>
          <w:bCs/>
          <w:sz w:val="24"/>
          <w:szCs w:val="24"/>
        </w:rPr>
        <w:t>V</w:t>
      </w:r>
      <w:r w:rsidRPr="006E6CD1">
        <w:rPr>
          <w:rFonts w:ascii="Times New Roman" w:hAnsi="Times New Roman" w:cs="Times New Roman"/>
          <w:b/>
          <w:bCs/>
          <w:sz w:val="24"/>
          <w:szCs w:val="24"/>
        </w:rPr>
        <w:t xml:space="preserve">itro </w:t>
      </w:r>
      <w:commentRangeEnd w:id="32"/>
      <w:r w:rsidR="005F54CA">
        <w:rPr>
          <w:rStyle w:val="CommentReference"/>
        </w:rPr>
        <w:commentReference w:id="32"/>
      </w:r>
      <w:r w:rsidR="006E6CD1" w:rsidRPr="006E6CD1">
        <w:rPr>
          <w:rFonts w:ascii="Times New Roman" w:hAnsi="Times New Roman" w:cs="Times New Roman"/>
          <w:b/>
          <w:bCs/>
          <w:sz w:val="24"/>
          <w:szCs w:val="24"/>
        </w:rPr>
        <w:t>D</w:t>
      </w:r>
      <w:r w:rsidRPr="006E6CD1">
        <w:rPr>
          <w:rFonts w:ascii="Times New Roman" w:hAnsi="Times New Roman" w:cs="Times New Roman"/>
          <w:b/>
          <w:bCs/>
          <w:sz w:val="24"/>
          <w:szCs w:val="24"/>
        </w:rPr>
        <w:t xml:space="preserve">issolution </w:t>
      </w:r>
      <w:r w:rsidR="006E6CD1" w:rsidRPr="006E6CD1">
        <w:rPr>
          <w:rFonts w:ascii="Times New Roman" w:hAnsi="Times New Roman" w:cs="Times New Roman"/>
          <w:b/>
          <w:bCs/>
          <w:sz w:val="24"/>
          <w:szCs w:val="24"/>
        </w:rPr>
        <w:t>T</w:t>
      </w:r>
      <w:r w:rsidRPr="006E6CD1">
        <w:rPr>
          <w:rFonts w:ascii="Times New Roman" w:hAnsi="Times New Roman" w:cs="Times New Roman"/>
          <w:b/>
          <w:bCs/>
          <w:sz w:val="24"/>
          <w:szCs w:val="24"/>
        </w:rPr>
        <w:t>est</w:t>
      </w:r>
    </w:p>
    <w:p w:rsidR="006E6CD1" w:rsidRPr="00FD494A"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Volume </w:t>
      </w:r>
      <w:commentRangeStart w:id="33"/>
      <w:r w:rsidRPr="006E6CD1">
        <w:rPr>
          <w:rFonts w:ascii="Times New Roman" w:hAnsi="Times New Roman" w:cs="Times New Roman"/>
          <w:sz w:val="24"/>
          <w:szCs w:val="24"/>
        </w:rPr>
        <w:t>of 900 ml of each buffer was employed. Dissolution testing was performed using Tablet Dissolution Tester (USP Apparatus 2) at 75 rpm for class I, test and reference products, temperature will be adjusted to 37</w:t>
      </w:r>
      <w:r w:rsidRPr="006E6CD1">
        <w:rPr>
          <w:rFonts w:ascii="Times New Roman" w:hAnsi="Times New Roman" w:cs="Times New Roman"/>
          <w:sz w:val="24"/>
          <w:szCs w:val="24"/>
          <w:vertAlign w:val="superscript"/>
        </w:rPr>
        <w:t>◦</w:t>
      </w:r>
      <w:r w:rsidRPr="006E6CD1">
        <w:rPr>
          <w:rFonts w:ascii="Times New Roman" w:hAnsi="Times New Roman" w:cs="Times New Roman"/>
          <w:sz w:val="24"/>
          <w:szCs w:val="24"/>
        </w:rPr>
        <w:t xml:space="preserve">C ± 0.5 C .Twelve dosage units of each product test and reference were evaluated in the three media. Sample aliquots of 10 ml were taken manually with syringes. Samples were withdrawn at specified time intervals (10, 15, 30, 45, and 60 min) and replaced with 10 ml </w:t>
      </w:r>
      <w:commentRangeEnd w:id="33"/>
      <w:r w:rsidR="001B639A">
        <w:rPr>
          <w:rStyle w:val="CommentReference"/>
        </w:rPr>
        <w:commentReference w:id="33"/>
      </w:r>
      <w:r w:rsidRPr="006E6CD1">
        <w:rPr>
          <w:rFonts w:ascii="Times New Roman" w:hAnsi="Times New Roman" w:cs="Times New Roman"/>
          <w:sz w:val="24"/>
          <w:szCs w:val="24"/>
        </w:rPr>
        <w:t xml:space="preserve">of appropriate medium. With drawn samples were filtered using 0.45-μm Millipore Filters, then 5 ml taken after filtration by volumetric pipette (3ml taken when use HCL buffer solution, and 1ml taken in case of acetate and phosphate buffer, and diluted to 50 ml). A </w:t>
      </w:r>
      <w:commentRangeStart w:id="34"/>
      <w:r w:rsidRPr="006E6CD1">
        <w:rPr>
          <w:rFonts w:ascii="Times New Roman" w:hAnsi="Times New Roman" w:cs="Times New Roman"/>
          <w:sz w:val="24"/>
          <w:szCs w:val="24"/>
        </w:rPr>
        <w:t>uv</w:t>
      </w:r>
      <w:commentRangeEnd w:id="34"/>
      <w:r w:rsidR="00845E0D">
        <w:rPr>
          <w:rStyle w:val="CommentReference"/>
        </w:rPr>
        <w:commentReference w:id="34"/>
      </w:r>
      <w:r w:rsidRPr="006E6CD1">
        <w:rPr>
          <w:rFonts w:ascii="Times New Roman" w:hAnsi="Times New Roman" w:cs="Times New Roman"/>
          <w:sz w:val="24"/>
          <w:szCs w:val="24"/>
        </w:rPr>
        <w:t>–visible spectrophotometer was used to analyze dissolved drug in dissolution testing. Scanning of wavelength done in each buffer, and spectrum recorded between 200---800nm, and percentage % of drug dissolved calculated.</w:t>
      </w:r>
    </w:p>
    <w:p w:rsidR="009B6FAC" w:rsidRPr="006E6CD1" w:rsidRDefault="009B6FAC" w:rsidP="006E6CD1">
      <w:pPr>
        <w:autoSpaceDE w:val="0"/>
        <w:autoSpaceDN w:val="0"/>
        <w:adjustRightInd w:val="0"/>
        <w:spacing w:after="0"/>
        <w:jc w:val="both"/>
        <w:rPr>
          <w:rFonts w:ascii="Times New Roman" w:hAnsi="Times New Roman" w:cs="Times New Roman"/>
          <w:b/>
          <w:bCs/>
          <w:sz w:val="24"/>
          <w:szCs w:val="24"/>
        </w:rPr>
      </w:pPr>
      <w:commentRangeStart w:id="35"/>
      <w:r w:rsidRPr="006E6CD1">
        <w:rPr>
          <w:rFonts w:ascii="Times New Roman" w:hAnsi="Times New Roman" w:cs="Times New Roman"/>
          <w:b/>
          <w:bCs/>
          <w:sz w:val="24"/>
          <w:szCs w:val="24"/>
        </w:rPr>
        <w:t xml:space="preserve">Buffers </w:t>
      </w:r>
      <w:r w:rsidR="006E6CD1" w:rsidRPr="006E6CD1">
        <w:rPr>
          <w:rFonts w:ascii="Times New Roman" w:hAnsi="Times New Roman" w:cs="Times New Roman"/>
          <w:b/>
          <w:bCs/>
          <w:sz w:val="24"/>
          <w:szCs w:val="24"/>
        </w:rPr>
        <w:t>P</w:t>
      </w:r>
      <w:r w:rsidRPr="006E6CD1">
        <w:rPr>
          <w:rFonts w:ascii="Times New Roman" w:hAnsi="Times New Roman" w:cs="Times New Roman"/>
          <w:b/>
          <w:bCs/>
          <w:sz w:val="24"/>
          <w:szCs w:val="24"/>
        </w:rPr>
        <w:t>reparation:</w:t>
      </w:r>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Simulated gastric fluid (SGF), simulated intestinal fluid (SIF), and acetate buffer </w:t>
      </w:r>
      <w:r w:rsidR="006E6CD1" w:rsidRPr="006E6CD1">
        <w:rPr>
          <w:rFonts w:ascii="Times New Roman" w:hAnsi="Times New Roman" w:cs="Times New Roman"/>
          <w:sz w:val="24"/>
          <w:szCs w:val="24"/>
        </w:rPr>
        <w:t>p</w:t>
      </w:r>
      <w:r w:rsidRPr="006E6CD1">
        <w:rPr>
          <w:rFonts w:ascii="Times New Roman" w:hAnsi="Times New Roman" w:cs="Times New Roman"/>
          <w:sz w:val="24"/>
          <w:szCs w:val="24"/>
        </w:rPr>
        <w:t>H (4.5) were prepared according to instructions in USP test solution. All media were prepared without enzymes, as follow:</w:t>
      </w:r>
    </w:p>
    <w:p w:rsidR="009B6FAC" w:rsidRPr="006E6CD1" w:rsidRDefault="009B6FAC"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a- Simulated </w:t>
      </w:r>
      <w:r w:rsidR="006E6CD1" w:rsidRPr="006E6CD1">
        <w:rPr>
          <w:rFonts w:ascii="Times New Roman" w:hAnsi="Times New Roman" w:cs="Times New Roman"/>
          <w:b/>
          <w:bCs/>
          <w:sz w:val="24"/>
          <w:szCs w:val="24"/>
        </w:rPr>
        <w:t>G</w:t>
      </w:r>
      <w:r w:rsidRPr="006E6CD1">
        <w:rPr>
          <w:rFonts w:ascii="Times New Roman" w:hAnsi="Times New Roman" w:cs="Times New Roman"/>
          <w:b/>
          <w:bCs/>
          <w:sz w:val="24"/>
          <w:szCs w:val="24"/>
        </w:rPr>
        <w:t xml:space="preserve">astric </w:t>
      </w:r>
      <w:r w:rsidR="006E6CD1" w:rsidRPr="006E6CD1">
        <w:rPr>
          <w:rFonts w:ascii="Times New Roman" w:hAnsi="Times New Roman" w:cs="Times New Roman"/>
          <w:b/>
          <w:bCs/>
          <w:sz w:val="24"/>
          <w:szCs w:val="24"/>
        </w:rPr>
        <w:t>F</w:t>
      </w:r>
      <w:r w:rsidRPr="006E6CD1">
        <w:rPr>
          <w:rFonts w:ascii="Times New Roman" w:hAnsi="Times New Roman" w:cs="Times New Roman"/>
          <w:b/>
          <w:bCs/>
          <w:sz w:val="24"/>
          <w:szCs w:val="24"/>
        </w:rPr>
        <w:t xml:space="preserve">luid (SGF) </w:t>
      </w:r>
      <w:r w:rsidR="006E6CD1" w:rsidRPr="006E6CD1">
        <w:rPr>
          <w:rFonts w:ascii="Times New Roman" w:hAnsi="Times New Roman" w:cs="Times New Roman"/>
          <w:b/>
          <w:bCs/>
          <w:sz w:val="24"/>
          <w:szCs w:val="24"/>
        </w:rPr>
        <w:t>p</w:t>
      </w:r>
      <w:r w:rsidRPr="006E6CD1">
        <w:rPr>
          <w:rFonts w:ascii="Times New Roman" w:hAnsi="Times New Roman" w:cs="Times New Roman"/>
          <w:b/>
          <w:bCs/>
          <w:sz w:val="24"/>
          <w:szCs w:val="24"/>
        </w:rPr>
        <w:t>H (1.2):</w:t>
      </w:r>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To prepare hydrochloric acid 0.1N, 8.5 ml was taken from concentrated HCL (37%) and volume completed to 1000 ml by distilled water.</w:t>
      </w:r>
    </w:p>
    <w:p w:rsidR="009B6FAC" w:rsidRPr="006E6CD1" w:rsidRDefault="009B6FAC"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b- Simulated </w:t>
      </w:r>
      <w:r w:rsidR="006E6CD1" w:rsidRPr="006E6CD1">
        <w:rPr>
          <w:rFonts w:ascii="Times New Roman" w:hAnsi="Times New Roman" w:cs="Times New Roman"/>
          <w:b/>
          <w:bCs/>
          <w:sz w:val="24"/>
          <w:szCs w:val="24"/>
        </w:rPr>
        <w:t>I</w:t>
      </w:r>
      <w:r w:rsidRPr="006E6CD1">
        <w:rPr>
          <w:rFonts w:ascii="Times New Roman" w:hAnsi="Times New Roman" w:cs="Times New Roman"/>
          <w:b/>
          <w:bCs/>
          <w:sz w:val="24"/>
          <w:szCs w:val="24"/>
        </w:rPr>
        <w:t xml:space="preserve">ntestinal </w:t>
      </w:r>
      <w:r w:rsidR="006E6CD1" w:rsidRPr="006E6CD1">
        <w:rPr>
          <w:rFonts w:ascii="Times New Roman" w:hAnsi="Times New Roman" w:cs="Times New Roman"/>
          <w:b/>
          <w:bCs/>
          <w:sz w:val="24"/>
          <w:szCs w:val="24"/>
        </w:rPr>
        <w:t>F</w:t>
      </w:r>
      <w:r w:rsidRPr="006E6CD1">
        <w:rPr>
          <w:rFonts w:ascii="Times New Roman" w:hAnsi="Times New Roman" w:cs="Times New Roman"/>
          <w:b/>
          <w:bCs/>
          <w:sz w:val="24"/>
          <w:szCs w:val="24"/>
        </w:rPr>
        <w:t xml:space="preserve">luid (SIF) </w:t>
      </w:r>
      <w:r w:rsidR="006E6CD1" w:rsidRPr="006E6CD1">
        <w:rPr>
          <w:rFonts w:ascii="Times New Roman" w:hAnsi="Times New Roman" w:cs="Times New Roman"/>
          <w:b/>
          <w:bCs/>
          <w:sz w:val="24"/>
          <w:szCs w:val="24"/>
        </w:rPr>
        <w:t>p</w:t>
      </w:r>
      <w:r w:rsidRPr="006E6CD1">
        <w:rPr>
          <w:rFonts w:ascii="Times New Roman" w:hAnsi="Times New Roman" w:cs="Times New Roman"/>
          <w:b/>
          <w:bCs/>
          <w:sz w:val="24"/>
          <w:szCs w:val="24"/>
        </w:rPr>
        <w:t>H (6.8):</w:t>
      </w:r>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Potassium phosphate monobasic KH</w:t>
      </w:r>
      <w:r w:rsidRPr="006E6CD1">
        <w:rPr>
          <w:rFonts w:ascii="Times New Roman" w:hAnsi="Times New Roman" w:cs="Times New Roman"/>
          <w:sz w:val="24"/>
          <w:szCs w:val="24"/>
          <w:vertAlign w:val="subscript"/>
        </w:rPr>
        <w:t>2</w:t>
      </w:r>
      <w:r w:rsidRPr="006E6CD1">
        <w:rPr>
          <w:rFonts w:ascii="Times New Roman" w:hAnsi="Times New Roman" w:cs="Times New Roman"/>
          <w:sz w:val="24"/>
          <w:szCs w:val="24"/>
        </w:rPr>
        <w:t>PO</w:t>
      </w:r>
      <w:r w:rsidRPr="006E6CD1">
        <w:rPr>
          <w:rFonts w:ascii="Times New Roman" w:hAnsi="Times New Roman" w:cs="Times New Roman"/>
          <w:sz w:val="24"/>
          <w:szCs w:val="24"/>
          <w:vertAlign w:val="subscript"/>
        </w:rPr>
        <w:t>4</w:t>
      </w:r>
      <w:r w:rsidRPr="006E6CD1">
        <w:rPr>
          <w:rFonts w:ascii="Times New Roman" w:hAnsi="Times New Roman" w:cs="Times New Roman"/>
          <w:sz w:val="24"/>
          <w:szCs w:val="24"/>
        </w:rPr>
        <w:t xml:space="preserve"> 0.2 M was prepared by dissolving 27.22 g in water, and volume diluted to 1000 ml by distilled water. Then sodium hydroxide 0.2 M prepared by dissolving 8g in water and volume diluted to 1000 ml by distilled water. 250 ml from Potassium phosphate monobasic KH2PO4 0.2 M was placed into 200 ml volumetric flask, also 112 ml taken from sodium hydroxide 0.2M and volume completed to 1000 ml with distilled water.</w:t>
      </w:r>
    </w:p>
    <w:p w:rsidR="009B6FAC" w:rsidRPr="006E6CD1" w:rsidRDefault="009B6FAC"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c- Acetate </w:t>
      </w:r>
      <w:r w:rsidR="006E6CD1" w:rsidRPr="006E6CD1">
        <w:rPr>
          <w:rFonts w:ascii="Times New Roman" w:hAnsi="Times New Roman" w:cs="Times New Roman"/>
          <w:b/>
          <w:bCs/>
          <w:sz w:val="24"/>
          <w:szCs w:val="24"/>
        </w:rPr>
        <w:t>B</w:t>
      </w:r>
      <w:r w:rsidRPr="006E6CD1">
        <w:rPr>
          <w:rFonts w:ascii="Times New Roman" w:hAnsi="Times New Roman" w:cs="Times New Roman"/>
          <w:b/>
          <w:bCs/>
          <w:sz w:val="24"/>
          <w:szCs w:val="24"/>
        </w:rPr>
        <w:t xml:space="preserve">uffer </w:t>
      </w:r>
      <w:r w:rsidR="006E6CD1" w:rsidRPr="006E6CD1">
        <w:rPr>
          <w:rFonts w:ascii="Times New Roman" w:hAnsi="Times New Roman" w:cs="Times New Roman"/>
          <w:b/>
          <w:bCs/>
          <w:sz w:val="24"/>
          <w:szCs w:val="24"/>
        </w:rPr>
        <w:t>p</w:t>
      </w:r>
      <w:r w:rsidRPr="006E6CD1">
        <w:rPr>
          <w:rFonts w:ascii="Times New Roman" w:hAnsi="Times New Roman" w:cs="Times New Roman"/>
          <w:b/>
          <w:bCs/>
          <w:sz w:val="24"/>
          <w:szCs w:val="24"/>
        </w:rPr>
        <w:t>H (4.5):</w:t>
      </w:r>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Firstly acetic acid 0.2N was prepared from concentrated acetic acid 99.93%. 116 ml was taken and diluted with distilled water. Then 2.99 g of sodium acetate (NaC</w:t>
      </w:r>
      <w:r w:rsidRPr="006E6CD1">
        <w:rPr>
          <w:rFonts w:ascii="Times New Roman" w:hAnsi="Times New Roman" w:cs="Times New Roman"/>
          <w:sz w:val="24"/>
          <w:szCs w:val="24"/>
          <w:vertAlign w:val="subscript"/>
        </w:rPr>
        <w:t>2</w:t>
      </w:r>
      <w:r w:rsidRPr="006E6CD1">
        <w:rPr>
          <w:rFonts w:ascii="Times New Roman" w:hAnsi="Times New Roman" w:cs="Times New Roman"/>
          <w:sz w:val="24"/>
          <w:szCs w:val="24"/>
        </w:rPr>
        <w:t>H</w:t>
      </w:r>
      <w:r w:rsidRPr="006E6CD1">
        <w:rPr>
          <w:rFonts w:ascii="Times New Roman" w:hAnsi="Times New Roman" w:cs="Times New Roman"/>
          <w:sz w:val="24"/>
          <w:szCs w:val="24"/>
          <w:vertAlign w:val="subscript"/>
        </w:rPr>
        <w:t>3</w:t>
      </w:r>
      <w:r w:rsidRPr="006E6CD1">
        <w:rPr>
          <w:rFonts w:ascii="Times New Roman" w:hAnsi="Times New Roman" w:cs="Times New Roman"/>
          <w:sz w:val="24"/>
          <w:szCs w:val="24"/>
        </w:rPr>
        <w:t>O</w:t>
      </w:r>
      <w:r w:rsidRPr="006E6CD1">
        <w:rPr>
          <w:rFonts w:ascii="Times New Roman" w:hAnsi="Times New Roman" w:cs="Times New Roman"/>
          <w:sz w:val="24"/>
          <w:szCs w:val="24"/>
          <w:vertAlign w:val="subscript"/>
        </w:rPr>
        <w:t>2</w:t>
      </w:r>
      <w:r w:rsidRPr="006E6CD1">
        <w:rPr>
          <w:rFonts w:ascii="Times New Roman" w:hAnsi="Times New Roman" w:cs="Times New Roman"/>
          <w:sz w:val="24"/>
          <w:szCs w:val="24"/>
        </w:rPr>
        <w:t>) taken, and placed in 1000 ml volumetric flask,14ml from acetic acid was added and volume completed to 1000 ml by distilled water.</w:t>
      </w:r>
    </w:p>
    <w:p w:rsidR="009B6FAC" w:rsidRPr="006E6CD1" w:rsidRDefault="009B6FAC" w:rsidP="006E6CD1">
      <w:pPr>
        <w:autoSpaceDE w:val="0"/>
        <w:autoSpaceDN w:val="0"/>
        <w:adjustRightInd w:val="0"/>
        <w:spacing w:after="0"/>
        <w:jc w:val="both"/>
        <w:rPr>
          <w:rFonts w:ascii="Times New Roman" w:hAnsi="Times New Roman" w:cs="Times New Roman"/>
          <w:b/>
          <w:bCs/>
          <w:sz w:val="24"/>
          <w:szCs w:val="24"/>
        </w:rPr>
      </w:pPr>
      <w:r w:rsidRPr="006E6CD1">
        <w:rPr>
          <w:rFonts w:ascii="Times New Roman" w:hAnsi="Times New Roman" w:cs="Times New Roman"/>
          <w:b/>
          <w:bCs/>
          <w:sz w:val="24"/>
          <w:szCs w:val="24"/>
        </w:rPr>
        <w:t xml:space="preserve">Preparation of </w:t>
      </w:r>
      <w:r w:rsidR="006E6CD1" w:rsidRPr="006E6CD1">
        <w:rPr>
          <w:rFonts w:ascii="Times New Roman" w:hAnsi="Times New Roman" w:cs="Times New Roman"/>
          <w:b/>
          <w:bCs/>
          <w:sz w:val="24"/>
          <w:szCs w:val="24"/>
        </w:rPr>
        <w:t>S</w:t>
      </w:r>
      <w:r w:rsidRPr="006E6CD1">
        <w:rPr>
          <w:rFonts w:ascii="Times New Roman" w:hAnsi="Times New Roman" w:cs="Times New Roman"/>
          <w:b/>
          <w:bCs/>
          <w:sz w:val="24"/>
          <w:szCs w:val="24"/>
        </w:rPr>
        <w:t xml:space="preserve">tandard </w:t>
      </w:r>
      <w:r w:rsidR="006E6CD1" w:rsidRPr="006E6CD1">
        <w:rPr>
          <w:rFonts w:ascii="Times New Roman" w:hAnsi="Times New Roman" w:cs="Times New Roman"/>
          <w:b/>
          <w:bCs/>
          <w:sz w:val="24"/>
          <w:szCs w:val="24"/>
        </w:rPr>
        <w:t>S</w:t>
      </w:r>
      <w:r w:rsidRPr="006E6CD1">
        <w:rPr>
          <w:rFonts w:ascii="Times New Roman" w:hAnsi="Times New Roman" w:cs="Times New Roman"/>
          <w:b/>
          <w:bCs/>
          <w:sz w:val="24"/>
          <w:szCs w:val="24"/>
        </w:rPr>
        <w:t xml:space="preserve">tock </w:t>
      </w:r>
      <w:r w:rsidR="006E6CD1" w:rsidRPr="006E6CD1">
        <w:rPr>
          <w:rFonts w:ascii="Times New Roman" w:hAnsi="Times New Roman" w:cs="Times New Roman"/>
          <w:b/>
          <w:bCs/>
          <w:sz w:val="24"/>
          <w:szCs w:val="24"/>
        </w:rPr>
        <w:t>S</w:t>
      </w:r>
      <w:r w:rsidRPr="006E6CD1">
        <w:rPr>
          <w:rFonts w:ascii="Times New Roman" w:hAnsi="Times New Roman" w:cs="Times New Roman"/>
          <w:b/>
          <w:bCs/>
          <w:sz w:val="24"/>
          <w:szCs w:val="24"/>
        </w:rPr>
        <w:t>olutions:</w:t>
      </w:r>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Standard stock solutions of Metronidazole in HCL, phosphate and acetate buffers were prepared by dissolving 500 mg of standard in 100 ml volumetric flask using HCL, acetate and phosphate buffers as solvents to give concentration of 5 mg/ml, one ml taken by volumetric pipette in 100 ml volumetric flask to give concentration of 50μg /ml, using 50 ml volumetric flask to give serial concentration of standard curve.</w:t>
      </w:r>
    </w:p>
    <w:commentRangeEnd w:id="35"/>
    <w:p w:rsidR="009B6FAC" w:rsidRPr="006E6CD1" w:rsidRDefault="001B639A" w:rsidP="006E6CD1">
      <w:pPr>
        <w:autoSpaceDE w:val="0"/>
        <w:autoSpaceDN w:val="0"/>
        <w:adjustRightInd w:val="0"/>
        <w:spacing w:after="0"/>
        <w:jc w:val="both"/>
        <w:rPr>
          <w:rFonts w:ascii="Times New Roman" w:hAnsi="Times New Roman" w:cs="Times New Roman"/>
          <w:b/>
          <w:bCs/>
          <w:sz w:val="24"/>
          <w:szCs w:val="24"/>
        </w:rPr>
      </w:pPr>
      <w:r>
        <w:rPr>
          <w:rStyle w:val="CommentReference"/>
        </w:rPr>
        <w:commentReference w:id="35"/>
      </w:r>
      <w:r w:rsidR="009B6FAC" w:rsidRPr="006E6CD1">
        <w:rPr>
          <w:rFonts w:ascii="Times New Roman" w:hAnsi="Times New Roman" w:cs="Times New Roman"/>
          <w:b/>
          <w:bCs/>
          <w:sz w:val="24"/>
          <w:szCs w:val="24"/>
        </w:rPr>
        <w:t xml:space="preserve">Data </w:t>
      </w:r>
      <w:r w:rsidR="006E6CD1" w:rsidRPr="006E6CD1">
        <w:rPr>
          <w:rFonts w:ascii="Times New Roman" w:hAnsi="Times New Roman" w:cs="Times New Roman"/>
          <w:b/>
          <w:bCs/>
          <w:sz w:val="24"/>
          <w:szCs w:val="24"/>
        </w:rPr>
        <w:t>A</w:t>
      </w:r>
      <w:r w:rsidR="009B6FAC" w:rsidRPr="006E6CD1">
        <w:rPr>
          <w:rFonts w:ascii="Times New Roman" w:hAnsi="Times New Roman" w:cs="Times New Roman"/>
          <w:b/>
          <w:bCs/>
          <w:sz w:val="24"/>
          <w:szCs w:val="24"/>
        </w:rPr>
        <w:t>nalysis:</w:t>
      </w:r>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All dissolution data evaluated using Excel spread sheet, andthe results will be plotted for each brand. (Raimar, </w:t>
      </w:r>
      <w:commentRangeStart w:id="36"/>
      <w:r w:rsidRPr="006E6CD1">
        <w:rPr>
          <w:rFonts w:ascii="Times New Roman" w:hAnsi="Times New Roman" w:cs="Times New Roman"/>
          <w:sz w:val="24"/>
          <w:szCs w:val="24"/>
        </w:rPr>
        <w:t>et.al</w:t>
      </w:r>
      <w:commentRangeEnd w:id="36"/>
      <w:r w:rsidR="00876618">
        <w:rPr>
          <w:rStyle w:val="CommentReference"/>
        </w:rPr>
        <w:commentReference w:id="36"/>
      </w:r>
      <w:r w:rsidRPr="006E6CD1">
        <w:rPr>
          <w:rFonts w:ascii="Times New Roman" w:hAnsi="Times New Roman" w:cs="Times New Roman"/>
          <w:sz w:val="24"/>
          <w:szCs w:val="24"/>
        </w:rPr>
        <w:t xml:space="preserve">, 2012).Average of % content of active pharmaceutical ingredient (API) </w:t>
      </w:r>
      <w:r w:rsidRPr="006E6CD1">
        <w:rPr>
          <w:rFonts w:ascii="Times New Roman" w:hAnsi="Times New Roman" w:cs="Times New Roman"/>
          <w:sz w:val="24"/>
          <w:szCs w:val="24"/>
        </w:rPr>
        <w:lastRenderedPageBreak/>
        <w:t>dissolved in each media of 12 tablets will be taken and a plot of % of ( API) dissolved against time will be drawn to represent the dissolution profile .The dissolution profile for local brand will be compared to that of the reference drug.</w:t>
      </w:r>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If they are similar the similarity factor, f2 equal to or more than 50.This means that they are equivalent, if it’s less than 50 they are not</w:t>
      </w:r>
      <w:r w:rsidR="00550C58" w:rsidRPr="006E6CD1">
        <w:rPr>
          <w:rFonts w:ascii="Times New Roman" w:hAnsi="Times New Roman" w:cs="Times New Roman"/>
          <w:sz w:val="24"/>
          <w:szCs w:val="24"/>
        </w:rPr>
        <w:t xml:space="preserve"> equivalent</w:t>
      </w:r>
      <w:r w:rsidRPr="006E6CD1">
        <w:rPr>
          <w:rFonts w:ascii="Times New Roman" w:hAnsi="Times New Roman" w:cs="Times New Roman"/>
          <w:sz w:val="24"/>
          <w:szCs w:val="24"/>
        </w:rPr>
        <w:t>.</w:t>
      </w:r>
    </w:p>
    <w:p w:rsidR="00855EE8" w:rsidRPr="006E6CD1" w:rsidRDefault="00855EE8" w:rsidP="006E6CD1">
      <w:pPr>
        <w:autoSpaceDE w:val="0"/>
        <w:autoSpaceDN w:val="0"/>
        <w:adjustRightInd w:val="0"/>
        <w:spacing w:after="0"/>
        <w:rPr>
          <w:rFonts w:ascii="Times New Roman" w:hAnsi="Times New Roman" w:cs="Times New Roman"/>
          <w:sz w:val="24"/>
          <w:szCs w:val="24"/>
        </w:rPr>
      </w:pPr>
    </w:p>
    <w:p w:rsidR="009B6FAC" w:rsidRPr="006E6CD1" w:rsidRDefault="009B6FAC" w:rsidP="006E6CD1">
      <w:pPr>
        <w:autoSpaceDE w:val="0"/>
        <w:autoSpaceDN w:val="0"/>
        <w:adjustRightInd w:val="0"/>
        <w:spacing w:after="0"/>
        <w:jc w:val="center"/>
        <w:rPr>
          <w:rFonts w:ascii="Times New Roman" w:hAnsi="Times New Roman" w:cs="Times New Roman"/>
          <w:i/>
          <w:iCs/>
          <w:sz w:val="24"/>
          <w:szCs w:val="24"/>
        </w:rPr>
      </w:pPr>
      <w:commentRangeStart w:id="37"/>
      <w:r w:rsidRPr="006E6CD1">
        <w:rPr>
          <w:rFonts w:ascii="Times New Roman" w:hAnsi="Times New Roman" w:cs="Times New Roman"/>
          <w:i/>
          <w:iCs/>
          <w:sz w:val="24"/>
          <w:szCs w:val="24"/>
        </w:rPr>
        <w:t>f1 = {[3t=1n | Rt - Tt| ]/[3t=1n Rt ]}C……… (</w:t>
      </w:r>
      <w:r w:rsidR="00FC5884" w:rsidRPr="006E6CD1">
        <w:rPr>
          <w:rFonts w:ascii="Times New Roman" w:hAnsi="Times New Roman" w:cs="Times New Roman"/>
          <w:i/>
          <w:iCs/>
          <w:sz w:val="24"/>
          <w:szCs w:val="24"/>
        </w:rPr>
        <w:t>1</w:t>
      </w:r>
      <w:r w:rsidRPr="006E6CD1">
        <w:rPr>
          <w:rFonts w:ascii="Times New Roman" w:hAnsi="Times New Roman" w:cs="Times New Roman"/>
          <w:i/>
          <w:iCs/>
          <w:sz w:val="24"/>
          <w:szCs w:val="24"/>
        </w:rPr>
        <w:t>)</w:t>
      </w:r>
    </w:p>
    <w:p w:rsidR="00855EE8" w:rsidRPr="006E6CD1" w:rsidRDefault="00855EE8" w:rsidP="006E6CD1">
      <w:pPr>
        <w:autoSpaceDE w:val="0"/>
        <w:autoSpaceDN w:val="0"/>
        <w:adjustRightInd w:val="0"/>
        <w:spacing w:after="0"/>
        <w:jc w:val="center"/>
        <w:rPr>
          <w:rFonts w:ascii="Times New Roman" w:hAnsi="Times New Roman" w:cs="Times New Roman"/>
          <w:i/>
          <w:iCs/>
          <w:sz w:val="24"/>
          <w:szCs w:val="24"/>
        </w:rPr>
      </w:pPr>
    </w:p>
    <w:p w:rsidR="009B6FAC" w:rsidRPr="006E6CD1" w:rsidRDefault="009B6FAC" w:rsidP="006E6CD1">
      <w:pPr>
        <w:autoSpaceDE w:val="0"/>
        <w:autoSpaceDN w:val="0"/>
        <w:adjustRightInd w:val="0"/>
        <w:spacing w:after="0"/>
        <w:jc w:val="center"/>
        <w:rPr>
          <w:rFonts w:ascii="Times New Roman" w:hAnsi="Times New Roman" w:cs="Times New Roman"/>
          <w:i/>
          <w:iCs/>
          <w:sz w:val="24"/>
          <w:szCs w:val="24"/>
        </w:rPr>
      </w:pPr>
      <w:r w:rsidRPr="006E6CD1">
        <w:rPr>
          <w:rFonts w:ascii="Times New Roman" w:hAnsi="Times New Roman" w:cs="Times New Roman"/>
          <w:i/>
          <w:iCs/>
          <w:sz w:val="24"/>
          <w:szCs w:val="24"/>
        </w:rPr>
        <w:t>f2 = 50 C log {[1+(1/n)3t=1n ( Rt - Tt )2 ] -0.5C 100}……… (</w:t>
      </w:r>
      <w:r w:rsidR="00FC5884" w:rsidRPr="006E6CD1">
        <w:rPr>
          <w:rFonts w:ascii="Times New Roman" w:hAnsi="Times New Roman" w:cs="Times New Roman"/>
          <w:i/>
          <w:iCs/>
          <w:sz w:val="24"/>
          <w:szCs w:val="24"/>
        </w:rPr>
        <w:t>2</w:t>
      </w:r>
      <w:r w:rsidRPr="006E6CD1">
        <w:rPr>
          <w:rFonts w:ascii="Times New Roman" w:hAnsi="Times New Roman" w:cs="Times New Roman"/>
          <w:i/>
          <w:iCs/>
          <w:sz w:val="24"/>
          <w:szCs w:val="24"/>
        </w:rPr>
        <w:t>)</w:t>
      </w:r>
    </w:p>
    <w:commentRangeEnd w:id="37"/>
    <w:p w:rsidR="00855EE8" w:rsidRPr="006E6CD1" w:rsidRDefault="002209EE" w:rsidP="006E6CD1">
      <w:pPr>
        <w:autoSpaceDE w:val="0"/>
        <w:autoSpaceDN w:val="0"/>
        <w:adjustRightInd w:val="0"/>
        <w:spacing w:after="0"/>
        <w:jc w:val="center"/>
        <w:rPr>
          <w:rFonts w:ascii="Times New Roman" w:hAnsi="Times New Roman" w:cs="Times New Roman"/>
          <w:sz w:val="24"/>
          <w:szCs w:val="24"/>
        </w:rPr>
      </w:pPr>
      <w:r>
        <w:rPr>
          <w:rStyle w:val="CommentReference"/>
        </w:rPr>
        <w:commentReference w:id="37"/>
      </w:r>
      <w:commentRangeStart w:id="38"/>
    </w:p>
    <w:p w:rsidR="009B6FAC" w:rsidRPr="006E6CD1" w:rsidRDefault="009B6FAC" w:rsidP="006E6CD1">
      <w:pPr>
        <w:autoSpaceDE w:val="0"/>
        <w:autoSpaceDN w:val="0"/>
        <w:adjustRightInd w:val="0"/>
        <w:spacing w:after="0"/>
        <w:jc w:val="both"/>
        <w:rPr>
          <w:rFonts w:ascii="Times New Roman" w:hAnsi="Times New Roman" w:cs="Times New Roman"/>
          <w:sz w:val="24"/>
          <w:szCs w:val="24"/>
        </w:rPr>
      </w:pPr>
      <w:r w:rsidRPr="006E6CD1">
        <w:rPr>
          <w:rFonts w:ascii="Times New Roman" w:hAnsi="Times New Roman" w:cs="Times New Roman"/>
          <w:sz w:val="24"/>
          <w:szCs w:val="24"/>
        </w:rPr>
        <w:t xml:space="preserve">Similarity factor f2 has been adopted by FDA and the European Agency for the Evaluation of Medicinal Products (EMEA) by the Committee for Proprietary Medicinal Products (CPMP) as a criterion to compare the similarity of two or more dissolution profiles. Similarity factor f2 is included by the Centre for Drug Evaluation and Research (CDER) intheir guidelines such as guidance on dissolution testing of immediate release solid oral dosage forms (FDA, 1997) and guidance on Waiver of </w:t>
      </w:r>
      <w:commentRangeStart w:id="39"/>
      <w:r w:rsidRPr="006E6CD1">
        <w:rPr>
          <w:rFonts w:ascii="Times New Roman" w:hAnsi="Times New Roman" w:cs="Times New Roman"/>
          <w:sz w:val="24"/>
          <w:szCs w:val="24"/>
        </w:rPr>
        <w:t xml:space="preserve">In-Vivo </w:t>
      </w:r>
      <w:commentRangeEnd w:id="39"/>
      <w:r w:rsidR="005F54CA">
        <w:rPr>
          <w:rStyle w:val="CommentReference"/>
        </w:rPr>
        <w:commentReference w:id="39"/>
      </w:r>
      <w:r w:rsidRPr="006E6CD1">
        <w:rPr>
          <w:rFonts w:ascii="Times New Roman" w:hAnsi="Times New Roman" w:cs="Times New Roman"/>
          <w:sz w:val="24"/>
          <w:szCs w:val="24"/>
        </w:rPr>
        <w:t xml:space="preserve">Bioavailability and Bioequivalence Studies for Immediate Release Solid Oral Dosage Forms Based on a Biopharmaceutics Classification System (FDA, 2000).The area under the dissolution-time curve method was used in calculating the dissolution efficiency (DE), and this was calculated at 30 min .The higher the dissolution efficiency (DE) is, the better the release efficiency of </w:t>
      </w:r>
      <w:commentRangeEnd w:id="38"/>
      <w:r w:rsidR="001B639A">
        <w:rPr>
          <w:rStyle w:val="CommentReference"/>
        </w:rPr>
        <w:commentReference w:id="38"/>
      </w:r>
      <w:r w:rsidRPr="006E6CD1">
        <w:rPr>
          <w:rFonts w:ascii="Times New Roman" w:hAnsi="Times New Roman" w:cs="Times New Roman"/>
          <w:sz w:val="24"/>
          <w:szCs w:val="24"/>
        </w:rPr>
        <w:t>the tablets’ active ingredient, according to equation (</w:t>
      </w:r>
      <w:r w:rsidR="00550C58" w:rsidRPr="006E6CD1">
        <w:rPr>
          <w:rFonts w:ascii="Times New Roman" w:hAnsi="Times New Roman" w:cs="Times New Roman"/>
          <w:sz w:val="24"/>
          <w:szCs w:val="24"/>
        </w:rPr>
        <w:t>3</w:t>
      </w:r>
      <w:r w:rsidRPr="006E6CD1">
        <w:rPr>
          <w:rFonts w:ascii="Times New Roman" w:hAnsi="Times New Roman" w:cs="Times New Roman"/>
          <w:sz w:val="24"/>
          <w:szCs w:val="24"/>
        </w:rPr>
        <w:t>):</w:t>
      </w:r>
    </w:p>
    <w:p w:rsidR="006E0FCE" w:rsidRPr="006B2B01" w:rsidRDefault="006E0FCE" w:rsidP="00550C58">
      <w:pPr>
        <w:autoSpaceDE w:val="0"/>
        <w:autoSpaceDN w:val="0"/>
        <w:adjustRightInd w:val="0"/>
        <w:spacing w:after="0"/>
        <w:jc w:val="both"/>
        <w:rPr>
          <w:rFonts w:ascii="Times New Roman" w:hAnsi="Times New Roman" w:cs="Times New Roman"/>
          <w:sz w:val="24"/>
          <w:szCs w:val="24"/>
        </w:rPr>
      </w:pPr>
    </w:p>
    <w:p w:rsidR="009B6FAC" w:rsidRPr="006B2B01" w:rsidRDefault="009B6FAC" w:rsidP="006B2B01">
      <w:pPr>
        <w:autoSpaceDE w:val="0"/>
        <w:autoSpaceDN w:val="0"/>
        <w:adjustRightInd w:val="0"/>
        <w:spacing w:after="0"/>
        <w:jc w:val="center"/>
        <w:rPr>
          <w:rFonts w:ascii="Times New Roman" w:hAnsi="Times New Roman" w:cs="Times New Roman"/>
          <w:sz w:val="24"/>
          <w:szCs w:val="24"/>
        </w:rPr>
      </w:pPr>
      <w:commentRangeStart w:id="40"/>
      <w:r w:rsidRPr="006B2B01">
        <w:rPr>
          <w:rFonts w:ascii="Times New Roman" w:hAnsi="Times New Roman" w:cs="Times New Roman"/>
          <w:noProof/>
          <w:sz w:val="24"/>
          <w:szCs w:val="24"/>
        </w:rPr>
        <w:drawing>
          <wp:inline distT="0" distB="0" distL="0" distR="0">
            <wp:extent cx="3238500" cy="1392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38500" cy="1392555"/>
                    </a:xfrm>
                    <a:prstGeom prst="rect">
                      <a:avLst/>
                    </a:prstGeom>
                    <a:noFill/>
                    <a:ln w="9525">
                      <a:noFill/>
                      <a:miter lim="800000"/>
                      <a:headEnd/>
                      <a:tailEnd/>
                    </a:ln>
                  </pic:spPr>
                </pic:pic>
              </a:graphicData>
            </a:graphic>
          </wp:inline>
        </w:drawing>
      </w:r>
      <w:commentRangeEnd w:id="40"/>
      <w:r w:rsidR="002209EE">
        <w:rPr>
          <w:rStyle w:val="CommentReference"/>
        </w:rPr>
        <w:commentReference w:id="40"/>
      </w:r>
    </w:p>
    <w:p w:rsidR="009B6FAC" w:rsidRPr="006B2B01" w:rsidRDefault="009B6FAC" w:rsidP="006B2B01">
      <w:pPr>
        <w:autoSpaceDE w:val="0"/>
        <w:autoSpaceDN w:val="0"/>
        <w:adjustRightInd w:val="0"/>
        <w:spacing w:after="0"/>
        <w:jc w:val="right"/>
        <w:rPr>
          <w:rFonts w:ascii="Times New Roman" w:hAnsi="Times New Roman" w:cs="Times New Roman"/>
          <w:sz w:val="24"/>
          <w:szCs w:val="24"/>
        </w:rPr>
      </w:pPr>
      <w:r w:rsidRPr="006B2B01">
        <w:rPr>
          <w:rFonts w:ascii="Times New Roman" w:hAnsi="Times New Roman" w:cs="Times New Roman"/>
          <w:sz w:val="24"/>
          <w:szCs w:val="24"/>
        </w:rPr>
        <w:t>………. (</w:t>
      </w:r>
      <w:r w:rsidR="00FC5884" w:rsidRPr="006B2B01">
        <w:rPr>
          <w:rFonts w:ascii="Times New Roman" w:hAnsi="Times New Roman" w:cs="Times New Roman"/>
          <w:sz w:val="24"/>
          <w:szCs w:val="24"/>
        </w:rPr>
        <w:t>3</w:t>
      </w:r>
      <w:r w:rsidRPr="006B2B01">
        <w:rPr>
          <w:rFonts w:ascii="Times New Roman" w:hAnsi="Times New Roman" w:cs="Times New Roman"/>
          <w:sz w:val="24"/>
          <w:szCs w:val="24"/>
        </w:rPr>
        <w:t>)</w:t>
      </w:r>
    </w:p>
    <w:p w:rsidR="006E6CD1" w:rsidRDefault="009B6FAC" w:rsidP="00550C58">
      <w:pPr>
        <w:autoSpaceDE w:val="0"/>
        <w:autoSpaceDN w:val="0"/>
        <w:adjustRightInd w:val="0"/>
        <w:spacing w:after="0"/>
        <w:jc w:val="both"/>
        <w:rPr>
          <w:rFonts w:ascii="Times New Roman" w:hAnsi="Times New Roman" w:cs="Times New Roman"/>
          <w:sz w:val="24"/>
          <w:szCs w:val="24"/>
        </w:rPr>
      </w:pPr>
      <w:r w:rsidRPr="006B2B01">
        <w:rPr>
          <w:rFonts w:ascii="Times New Roman" w:hAnsi="Times New Roman" w:cs="Times New Roman"/>
          <w:sz w:val="24"/>
          <w:szCs w:val="24"/>
        </w:rPr>
        <w:t xml:space="preserve">Where %D is the percentage dissolved at time t, % D (max) is the maximum dissolved at the final time T, and AUC(0-T )is the area under the curve from zero to time T( Anderson, </w:t>
      </w:r>
      <w:commentRangeStart w:id="41"/>
      <w:r w:rsidRPr="006B2B01">
        <w:rPr>
          <w:rFonts w:ascii="Times New Roman" w:hAnsi="Times New Roman" w:cs="Times New Roman"/>
          <w:sz w:val="24"/>
          <w:szCs w:val="24"/>
        </w:rPr>
        <w:t>et.al</w:t>
      </w:r>
      <w:commentRangeEnd w:id="41"/>
      <w:r w:rsidR="005F54CA">
        <w:rPr>
          <w:rStyle w:val="CommentReference"/>
        </w:rPr>
        <w:commentReference w:id="41"/>
      </w:r>
      <w:r w:rsidRPr="006B2B01">
        <w:rPr>
          <w:rFonts w:ascii="Times New Roman" w:hAnsi="Times New Roman" w:cs="Times New Roman"/>
          <w:sz w:val="24"/>
          <w:szCs w:val="24"/>
        </w:rPr>
        <w:t>, 1998).</w:t>
      </w:r>
    </w:p>
    <w:p w:rsidR="009B6FAC" w:rsidRPr="006B2B01" w:rsidRDefault="009B6FAC" w:rsidP="00550C58">
      <w:pPr>
        <w:autoSpaceDE w:val="0"/>
        <w:autoSpaceDN w:val="0"/>
        <w:adjustRightInd w:val="0"/>
        <w:spacing w:after="0"/>
        <w:jc w:val="both"/>
        <w:rPr>
          <w:rFonts w:ascii="Times New Roman" w:hAnsi="Times New Roman" w:cs="Times New Roman"/>
          <w:sz w:val="24"/>
          <w:szCs w:val="24"/>
        </w:rPr>
      </w:pPr>
      <w:r w:rsidRPr="006B2B01">
        <w:rPr>
          <w:rFonts w:ascii="Times New Roman" w:hAnsi="Times New Roman" w:cs="Times New Roman"/>
          <w:sz w:val="24"/>
          <w:szCs w:val="24"/>
        </w:rPr>
        <w:t>Correlation calculation will carried on using MINITAB14 specific statistical program</w:t>
      </w:r>
      <w:r w:rsidR="00550C58">
        <w:rPr>
          <w:rFonts w:ascii="Times New Roman" w:hAnsi="Times New Roman" w:cs="Times New Roman"/>
          <w:sz w:val="24"/>
          <w:szCs w:val="24"/>
        </w:rPr>
        <w:t>.</w:t>
      </w:r>
    </w:p>
    <w:p w:rsidR="004E34B0" w:rsidRPr="006B2B01" w:rsidRDefault="006E0FCE" w:rsidP="006B2B01">
      <w:pPr>
        <w:spacing w:after="0"/>
        <w:jc w:val="lowKashida"/>
        <w:rPr>
          <w:rFonts w:ascii="Times New Roman" w:eastAsia="TimesNewRomanPSMT" w:hAnsi="Times New Roman" w:cs="Times New Roman"/>
          <w:b/>
          <w:bCs/>
          <w:sz w:val="24"/>
          <w:szCs w:val="24"/>
        </w:rPr>
      </w:pPr>
      <w:commentRangeStart w:id="42"/>
      <w:r>
        <w:rPr>
          <w:rFonts w:ascii="Times New Roman" w:eastAsia="TimesNewRomanPSMT" w:hAnsi="Times New Roman" w:cs="Times New Roman"/>
          <w:b/>
          <w:bCs/>
          <w:sz w:val="24"/>
          <w:szCs w:val="24"/>
        </w:rPr>
        <w:t>RESULTS</w:t>
      </w:r>
      <w:r w:rsidR="00BC0539" w:rsidRPr="006B2B01">
        <w:rPr>
          <w:rFonts w:ascii="Times New Roman" w:eastAsia="TimesNewRomanPSMT" w:hAnsi="Times New Roman" w:cs="Times New Roman"/>
          <w:b/>
          <w:bCs/>
          <w:sz w:val="24"/>
          <w:szCs w:val="24"/>
        </w:rPr>
        <w:t>:</w:t>
      </w:r>
      <w:commentRangeEnd w:id="42"/>
      <w:r w:rsidR="00761F26">
        <w:rPr>
          <w:rStyle w:val="CommentReference"/>
        </w:rPr>
        <w:commentReference w:id="42"/>
      </w:r>
    </w:p>
    <w:p w:rsidR="00BC0539" w:rsidRPr="006B2B01" w:rsidRDefault="006E0FCE" w:rsidP="006E0FCE">
      <w:pPr>
        <w:spacing w:after="0"/>
        <w:jc w:val="lowKashida"/>
        <w:rPr>
          <w:rFonts w:ascii="Times New Roman" w:hAnsi="Times New Roman" w:cs="Times New Roman"/>
          <w:b/>
          <w:bCs/>
          <w:sz w:val="24"/>
          <w:szCs w:val="24"/>
        </w:rPr>
      </w:pPr>
      <w:r>
        <w:rPr>
          <w:rFonts w:ascii="Times New Roman" w:hAnsi="Times New Roman" w:cs="Times New Roman"/>
          <w:b/>
          <w:bCs/>
          <w:sz w:val="24"/>
          <w:szCs w:val="24"/>
        </w:rPr>
        <w:t>C</w:t>
      </w:r>
      <w:r w:rsidR="00BC0539" w:rsidRPr="006B2B01">
        <w:rPr>
          <w:rFonts w:ascii="Times New Roman" w:hAnsi="Times New Roman" w:cs="Times New Roman"/>
          <w:b/>
          <w:bCs/>
          <w:sz w:val="24"/>
          <w:szCs w:val="24"/>
        </w:rPr>
        <w:t xml:space="preserve">orrelation </w:t>
      </w:r>
      <w:r>
        <w:rPr>
          <w:rFonts w:ascii="Times New Roman" w:hAnsi="Times New Roman" w:cs="Times New Roman"/>
          <w:b/>
          <w:bCs/>
          <w:sz w:val="24"/>
          <w:szCs w:val="24"/>
        </w:rPr>
        <w:t>R</w:t>
      </w:r>
      <w:r w:rsidR="00BC0539" w:rsidRPr="006B2B01">
        <w:rPr>
          <w:rFonts w:ascii="Times New Roman" w:hAnsi="Times New Roman" w:cs="Times New Roman"/>
          <w:b/>
          <w:bCs/>
          <w:sz w:val="24"/>
          <w:szCs w:val="24"/>
        </w:rPr>
        <w:t>esults:</w:t>
      </w:r>
    </w:p>
    <w:p w:rsidR="00BC0539" w:rsidRPr="006B2B01" w:rsidRDefault="00BC0539" w:rsidP="00006908">
      <w:pPr>
        <w:spacing w:after="0"/>
        <w:jc w:val="both"/>
        <w:rPr>
          <w:rFonts w:ascii="Times New Roman" w:hAnsi="Times New Roman" w:cs="Times New Roman"/>
          <w:sz w:val="24"/>
          <w:szCs w:val="24"/>
        </w:rPr>
      </w:pPr>
      <w:commentRangeStart w:id="43"/>
      <w:r w:rsidRPr="006B2B01">
        <w:rPr>
          <w:rFonts w:ascii="Times New Roman" w:hAnsi="Times New Roman" w:cs="Times New Roman"/>
          <w:sz w:val="24"/>
          <w:szCs w:val="24"/>
        </w:rPr>
        <w:t xml:space="preserve">In vitro - In vivo </w:t>
      </w:r>
      <w:commentRangeEnd w:id="43"/>
      <w:r w:rsidR="005F54CA">
        <w:rPr>
          <w:rStyle w:val="CommentReference"/>
        </w:rPr>
        <w:commentReference w:id="43"/>
      </w:r>
      <w:r w:rsidRPr="006B2B01">
        <w:rPr>
          <w:rFonts w:ascii="Times New Roman" w:hAnsi="Times New Roman" w:cs="Times New Roman"/>
          <w:sz w:val="24"/>
          <w:szCs w:val="24"/>
        </w:rPr>
        <w:t>relationship Determination of Level A correlation.</w:t>
      </w:r>
    </w:p>
    <w:p w:rsidR="00BC0539" w:rsidRDefault="00BC0539" w:rsidP="00006908">
      <w:pPr>
        <w:spacing w:after="0"/>
        <w:jc w:val="both"/>
        <w:rPr>
          <w:rFonts w:ascii="Times New Roman" w:eastAsia="Calibri" w:hAnsi="Times New Roman" w:cs="Times New Roman"/>
          <w:sz w:val="24"/>
          <w:szCs w:val="24"/>
        </w:rPr>
      </w:pPr>
      <w:commentRangeStart w:id="44"/>
      <w:r w:rsidRPr="00006908">
        <w:rPr>
          <w:rFonts w:ascii="Times New Roman" w:eastAsia="Calibri" w:hAnsi="Times New Roman" w:cs="Times New Roman"/>
          <w:sz w:val="24"/>
          <w:szCs w:val="24"/>
        </w:rPr>
        <w:t xml:space="preserve">In vivo </w:t>
      </w:r>
      <w:commentRangeEnd w:id="44"/>
      <w:r w:rsidR="005F54CA">
        <w:rPr>
          <w:rStyle w:val="CommentReference"/>
        </w:rPr>
        <w:commentReference w:id="44"/>
      </w:r>
      <w:r w:rsidRPr="00006908">
        <w:rPr>
          <w:rFonts w:ascii="Times New Roman" w:eastAsia="Calibri" w:hAnsi="Times New Roman" w:cs="Times New Roman"/>
          <w:sz w:val="24"/>
          <w:szCs w:val="24"/>
        </w:rPr>
        <w:t>percent absorbed</w:t>
      </w:r>
      <w:r w:rsidRPr="006B2B01">
        <w:rPr>
          <w:rFonts w:ascii="Times New Roman" w:eastAsia="Calibri" w:hAnsi="Times New Roman" w:cs="Times New Roman"/>
          <w:sz w:val="24"/>
          <w:szCs w:val="24"/>
        </w:rPr>
        <w:t xml:space="preserve"> of reference product was calculated from equation (</w:t>
      </w:r>
      <w:r w:rsidR="00FC5884" w:rsidRPr="006B2B01">
        <w:rPr>
          <w:rFonts w:ascii="Times New Roman" w:eastAsia="Calibri" w:hAnsi="Times New Roman" w:cs="Times New Roman"/>
          <w:sz w:val="24"/>
          <w:szCs w:val="24"/>
        </w:rPr>
        <w:t>4</w:t>
      </w:r>
      <w:r w:rsidRPr="006B2B01">
        <w:rPr>
          <w:rFonts w:ascii="Times New Roman" w:eastAsia="Calibri" w:hAnsi="Times New Roman" w:cs="Times New Roman"/>
          <w:sz w:val="24"/>
          <w:szCs w:val="24"/>
        </w:rPr>
        <w:t>):</w:t>
      </w:r>
    </w:p>
    <w:p w:rsidR="00006908" w:rsidRPr="006B2B01" w:rsidRDefault="00006908" w:rsidP="00006908">
      <w:pPr>
        <w:spacing w:after="0"/>
        <w:jc w:val="both"/>
        <w:rPr>
          <w:rFonts w:ascii="Times New Roman" w:eastAsia="Calibri" w:hAnsi="Times New Roman" w:cs="Times New Roman"/>
          <w:sz w:val="24"/>
          <w:szCs w:val="24"/>
        </w:rPr>
      </w:pPr>
    </w:p>
    <w:p w:rsidR="00BC0539" w:rsidRPr="006B2B01" w:rsidRDefault="00BC0539" w:rsidP="006B2B01">
      <w:pPr>
        <w:spacing w:after="0"/>
        <w:jc w:val="center"/>
        <w:rPr>
          <w:rFonts w:ascii="Times New Roman" w:eastAsia="Calibri" w:hAnsi="Times New Roman" w:cs="Times New Roman"/>
          <w:sz w:val="24"/>
          <w:szCs w:val="24"/>
        </w:rPr>
      </w:pPr>
      <w:commentRangeStart w:id="45"/>
      <w:r w:rsidRPr="006B2B01">
        <w:rPr>
          <w:rFonts w:ascii="Times New Roman" w:eastAsia="Times New Roman" w:hAnsi="Times New Roman" w:cs="Times New Roman"/>
          <w:noProof/>
          <w:sz w:val="24"/>
          <w:szCs w:val="24"/>
        </w:rPr>
        <w:drawing>
          <wp:inline distT="0" distB="0" distL="0" distR="0">
            <wp:extent cx="1781175" cy="532765"/>
            <wp:effectExtent l="0" t="0" r="0" b="0"/>
            <wp:docPr id="21" name="Picture 21" descr="C:\Users\home\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me\Pictures\Capture.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1175" cy="532765"/>
                    </a:xfrm>
                    <a:prstGeom prst="rect">
                      <a:avLst/>
                    </a:prstGeom>
                    <a:noFill/>
                    <a:ln>
                      <a:noFill/>
                    </a:ln>
                  </pic:spPr>
                </pic:pic>
              </a:graphicData>
            </a:graphic>
          </wp:inline>
        </w:drawing>
      </w:r>
      <w:commentRangeEnd w:id="45"/>
      <w:r w:rsidR="002209EE">
        <w:rPr>
          <w:rStyle w:val="CommentReference"/>
        </w:rPr>
        <w:commentReference w:id="45"/>
      </w:r>
      <w:r w:rsidRPr="006B2B01">
        <w:rPr>
          <w:rFonts w:ascii="Times New Roman" w:eastAsia="Calibri" w:hAnsi="Times New Roman" w:cs="Times New Roman"/>
          <w:sz w:val="24"/>
          <w:szCs w:val="24"/>
        </w:rPr>
        <w:t>……………. (</w:t>
      </w:r>
      <w:r w:rsidR="00FC5884" w:rsidRPr="006B2B01">
        <w:rPr>
          <w:rFonts w:ascii="Times New Roman" w:eastAsia="Calibri" w:hAnsi="Times New Roman" w:cs="Times New Roman"/>
          <w:sz w:val="24"/>
          <w:szCs w:val="24"/>
        </w:rPr>
        <w:t>4</w:t>
      </w:r>
      <w:r w:rsidRPr="006B2B01">
        <w:rPr>
          <w:rFonts w:ascii="Times New Roman" w:eastAsia="Calibri" w:hAnsi="Times New Roman" w:cs="Times New Roman"/>
          <w:sz w:val="24"/>
          <w:szCs w:val="24"/>
        </w:rPr>
        <w:t>)</w:t>
      </w:r>
    </w:p>
    <w:p w:rsidR="00BC0539" w:rsidRPr="006B2B01" w:rsidRDefault="00BC0539" w:rsidP="006B2B01">
      <w:pPr>
        <w:spacing w:after="0"/>
        <w:jc w:val="center"/>
        <w:rPr>
          <w:rFonts w:ascii="Times New Roman" w:eastAsia="Calibri" w:hAnsi="Times New Roman" w:cs="Times New Roman"/>
          <w:sz w:val="24"/>
          <w:szCs w:val="24"/>
        </w:rPr>
      </w:pPr>
    </w:p>
    <w:p w:rsidR="00BC0539" w:rsidRPr="006626AF" w:rsidRDefault="00BC0539" w:rsidP="006626AF">
      <w:pPr>
        <w:spacing w:after="0"/>
        <w:jc w:val="both"/>
        <w:rPr>
          <w:rFonts w:ascii="Times New Roman" w:eastAsia="Times New Roman" w:hAnsi="Times New Roman" w:cs="Times New Roman"/>
          <w:sz w:val="24"/>
          <w:szCs w:val="24"/>
        </w:rPr>
      </w:pPr>
      <w:r w:rsidRPr="006626AF">
        <w:rPr>
          <w:rFonts w:ascii="Times New Roman" w:eastAsia="Times New Roman" w:hAnsi="Times New Roman" w:cs="Times New Roman"/>
          <w:sz w:val="24"/>
          <w:szCs w:val="24"/>
        </w:rPr>
        <w:t xml:space="preserve">where,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At</m:t>
            </m:r>
          </m:num>
          <m:den>
            <m:r>
              <w:rPr>
                <w:rFonts w:ascii="Cambria Math" w:eastAsia="Times New Roman" w:hAnsi="Cambria Math" w:cs="Times New Roman"/>
                <w:sz w:val="24"/>
                <w:szCs w:val="24"/>
              </w:rPr>
              <m:t>A0</m:t>
            </m:r>
          </m:den>
        </m:f>
      </m:oMath>
      <w:r w:rsidRPr="006626AF">
        <w:rPr>
          <w:rFonts w:ascii="Times New Roman" w:eastAsia="Times New Roman" w:hAnsi="Times New Roman" w:cs="Times New Roman"/>
          <w:sz w:val="24"/>
          <w:szCs w:val="24"/>
        </w:rPr>
        <w:t>denotes the fraction of drug absorbed at time t, Ct is the plasma drug concentration at time t, Kel is elimination rate constant, AUC0-t and AUC0-∞ are the area under the plasma concentration– time profile curve at time t and ∞ respectively.</w:t>
      </w:r>
    </w:p>
    <w:p w:rsidR="00BC0539" w:rsidRPr="006626AF" w:rsidRDefault="00BC0539" w:rsidP="006626AF">
      <w:pPr>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lastRenderedPageBreak/>
        <w:t xml:space="preserve">Then the values of percent of drug released were plotted against the percent of drug absorbed for reference products of Metronidazole using </w:t>
      </w:r>
      <w:r w:rsidRPr="006626AF">
        <w:rPr>
          <w:rFonts w:ascii="Times New Roman" w:eastAsia="Calibri" w:hAnsi="Times New Roman" w:cs="Times New Roman"/>
          <w:b/>
          <w:bCs/>
          <w:sz w:val="24"/>
          <w:szCs w:val="24"/>
        </w:rPr>
        <w:t xml:space="preserve">MINITAB14 analysis </w:t>
      </w:r>
      <w:commentRangeStart w:id="46"/>
      <w:r w:rsidRPr="006626AF">
        <w:rPr>
          <w:rFonts w:ascii="Times New Roman" w:eastAsia="Calibri" w:hAnsi="Times New Roman" w:cs="Times New Roman"/>
          <w:b/>
          <w:bCs/>
          <w:sz w:val="24"/>
          <w:szCs w:val="24"/>
        </w:rPr>
        <w:t>program</w:t>
      </w:r>
      <w:r w:rsidRPr="006626AF">
        <w:rPr>
          <w:rFonts w:ascii="Times New Roman" w:eastAsia="Calibri" w:hAnsi="Times New Roman" w:cs="Times New Roman"/>
          <w:sz w:val="24"/>
          <w:szCs w:val="24"/>
        </w:rPr>
        <w:t>to</w:t>
      </w:r>
      <w:commentRangeEnd w:id="46"/>
      <w:r w:rsidR="005F54CA">
        <w:rPr>
          <w:rStyle w:val="CommentReference"/>
        </w:rPr>
        <w:commentReference w:id="46"/>
      </w:r>
      <w:r w:rsidRPr="006626AF">
        <w:rPr>
          <w:rFonts w:ascii="Times New Roman" w:eastAsia="Calibri" w:hAnsi="Times New Roman" w:cs="Times New Roman"/>
          <w:sz w:val="24"/>
          <w:szCs w:val="24"/>
        </w:rPr>
        <w:t xml:space="preserve"> find out the relationship between data (correlation)</w:t>
      </w:r>
      <w:r w:rsidR="00006908" w:rsidRPr="006626AF">
        <w:rPr>
          <w:rFonts w:ascii="Times New Roman" w:eastAsia="Calibri" w:hAnsi="Times New Roman" w:cs="Times New Roman"/>
          <w:sz w:val="24"/>
          <w:szCs w:val="24"/>
        </w:rPr>
        <w:t>.</w:t>
      </w:r>
    </w:p>
    <w:p w:rsidR="00BC0539" w:rsidRPr="006626AF" w:rsidRDefault="00BC0539" w:rsidP="006626AF">
      <w:pPr>
        <w:spacing w:after="0"/>
        <w:jc w:val="both"/>
        <w:rPr>
          <w:rFonts w:ascii="Times New Roman" w:hAnsi="Times New Roman" w:cs="Times New Roman"/>
          <w:sz w:val="24"/>
          <w:szCs w:val="24"/>
        </w:rPr>
      </w:pPr>
      <w:r w:rsidRPr="006626AF">
        <w:rPr>
          <w:rFonts w:ascii="Times New Roman" w:hAnsi="Times New Roman" w:cs="Times New Roman"/>
          <w:sz w:val="24"/>
          <w:szCs w:val="24"/>
        </w:rPr>
        <w:t xml:space="preserve">Amount of drug </w:t>
      </w:r>
      <w:r w:rsidR="00A97BF3" w:rsidRPr="006626AF">
        <w:rPr>
          <w:rFonts w:ascii="Times New Roman" w:hAnsi="Times New Roman" w:cs="Times New Roman"/>
          <w:sz w:val="24"/>
          <w:szCs w:val="24"/>
        </w:rPr>
        <w:t>released in</w:t>
      </w:r>
      <w:r w:rsidRPr="006626AF">
        <w:rPr>
          <w:rFonts w:ascii="Times New Roman" w:hAnsi="Times New Roman" w:cs="Times New Roman"/>
          <w:sz w:val="24"/>
          <w:szCs w:val="24"/>
        </w:rPr>
        <w:t xml:space="preserve"> the three different pH was plotted against amount of drug absorbed.</w:t>
      </w:r>
    </w:p>
    <w:p w:rsidR="00BC0539" w:rsidRPr="006626AF" w:rsidRDefault="00BC0539" w:rsidP="006626AF">
      <w:pPr>
        <w:spacing w:after="0"/>
        <w:jc w:val="both"/>
        <w:rPr>
          <w:rFonts w:ascii="Times New Roman" w:hAnsi="Times New Roman" w:cs="Times New Roman"/>
          <w:b/>
          <w:bCs/>
          <w:sz w:val="24"/>
          <w:szCs w:val="24"/>
        </w:rPr>
      </w:pPr>
      <w:r w:rsidRPr="006626AF">
        <w:rPr>
          <w:rFonts w:ascii="Times New Roman" w:hAnsi="Times New Roman" w:cs="Times New Roman"/>
          <w:b/>
          <w:bCs/>
          <w:sz w:val="24"/>
          <w:szCs w:val="24"/>
        </w:rPr>
        <w:t>D</w:t>
      </w:r>
      <w:r w:rsidR="006E0FCE" w:rsidRPr="006626AF">
        <w:rPr>
          <w:rFonts w:ascii="Times New Roman" w:hAnsi="Times New Roman" w:cs="Times New Roman"/>
          <w:b/>
          <w:bCs/>
          <w:sz w:val="24"/>
          <w:szCs w:val="24"/>
        </w:rPr>
        <w:t>ISCUSSION</w:t>
      </w:r>
      <w:r w:rsidRPr="006626AF">
        <w:rPr>
          <w:rFonts w:ascii="Times New Roman" w:hAnsi="Times New Roman" w:cs="Times New Roman"/>
          <w:b/>
          <w:bCs/>
          <w:sz w:val="24"/>
          <w:szCs w:val="24"/>
        </w:rPr>
        <w:t>:</w:t>
      </w:r>
    </w:p>
    <w:p w:rsidR="00006908" w:rsidRPr="006626AF" w:rsidRDefault="00BC0539" w:rsidP="006626AF">
      <w:pPr>
        <w:spacing w:after="0"/>
        <w:jc w:val="both"/>
        <w:rPr>
          <w:rFonts w:ascii="Times New Roman" w:hAnsi="Times New Roman" w:cs="Times New Roman"/>
          <w:sz w:val="24"/>
          <w:szCs w:val="24"/>
        </w:rPr>
      </w:pPr>
      <w:commentRangeStart w:id="47"/>
      <w:r w:rsidRPr="006626AF">
        <w:rPr>
          <w:rFonts w:ascii="Times New Roman" w:hAnsi="Times New Roman" w:cs="Times New Roman"/>
          <w:sz w:val="24"/>
          <w:szCs w:val="24"/>
        </w:rPr>
        <w:t xml:space="preserve">A summary of the results of weight uniformity, hardness, friability, disintegration and assay are shown in Table </w:t>
      </w:r>
      <w:r w:rsidR="004E34B0" w:rsidRPr="006626AF">
        <w:rPr>
          <w:rFonts w:ascii="Times New Roman" w:hAnsi="Times New Roman" w:cs="Times New Roman"/>
          <w:sz w:val="24"/>
          <w:szCs w:val="24"/>
        </w:rPr>
        <w:t>4</w:t>
      </w:r>
      <w:r w:rsidRPr="006626AF">
        <w:rPr>
          <w:rFonts w:ascii="Times New Roman" w:hAnsi="Times New Roman" w:cs="Times New Roman"/>
          <w:sz w:val="24"/>
          <w:szCs w:val="24"/>
        </w:rPr>
        <w:t xml:space="preserve">. Weight uniformity may serve as a pointer to amount of the active pharmaceutical ingredient (API) contained in the formulation. All the brands complied with the compendial specification for weight uniformity. </w:t>
      </w:r>
    </w:p>
    <w:p w:rsidR="00006908" w:rsidRPr="006626AF" w:rsidRDefault="00BC0539" w:rsidP="006626AF">
      <w:pPr>
        <w:spacing w:after="0"/>
        <w:jc w:val="both"/>
        <w:rPr>
          <w:rFonts w:ascii="Times New Roman" w:hAnsi="Times New Roman" w:cs="Times New Roman"/>
          <w:sz w:val="24"/>
          <w:szCs w:val="24"/>
        </w:rPr>
      </w:pPr>
      <w:r w:rsidRPr="006626AF">
        <w:rPr>
          <w:rFonts w:ascii="Times New Roman" w:hAnsi="Times New Roman" w:cs="Times New Roman"/>
          <w:sz w:val="24"/>
          <w:szCs w:val="24"/>
        </w:rPr>
        <w:t xml:space="preserve">Hardness is referred to as non-compendial test. The hardness or crushing strength assesses the ability of dosage form to withstand handling without fracturing or chipping , It can also influence other parameters such as friability and disintegration. Hence, the dosage </w:t>
      </w:r>
      <w:commentRangeStart w:id="48"/>
      <w:r w:rsidRPr="006626AF">
        <w:rPr>
          <w:rFonts w:ascii="Times New Roman" w:hAnsi="Times New Roman" w:cs="Times New Roman"/>
          <w:sz w:val="24"/>
          <w:szCs w:val="24"/>
        </w:rPr>
        <w:t xml:space="preserve">formsof </w:t>
      </w:r>
      <w:commentRangeEnd w:id="48"/>
      <w:r w:rsidR="005F54CA">
        <w:rPr>
          <w:rStyle w:val="CommentReference"/>
        </w:rPr>
        <w:commentReference w:id="48"/>
      </w:r>
      <w:r w:rsidRPr="006626AF">
        <w:rPr>
          <w:rFonts w:ascii="Times New Roman" w:hAnsi="Times New Roman" w:cs="Times New Roman"/>
          <w:sz w:val="24"/>
          <w:szCs w:val="24"/>
        </w:rPr>
        <w:t>all brands were satisfactory for hardness</w:t>
      </w:r>
      <w:commentRangeEnd w:id="47"/>
      <w:r w:rsidR="00821DE7">
        <w:rPr>
          <w:rStyle w:val="CommentReference"/>
        </w:rPr>
        <w:commentReference w:id="47"/>
      </w:r>
      <w:r w:rsidRPr="006626AF">
        <w:rPr>
          <w:rFonts w:ascii="Times New Roman" w:hAnsi="Times New Roman" w:cs="Times New Roman"/>
          <w:sz w:val="24"/>
          <w:szCs w:val="24"/>
        </w:rPr>
        <w:t xml:space="preserve">. </w:t>
      </w:r>
    </w:p>
    <w:p w:rsidR="00006908" w:rsidRPr="006626AF" w:rsidRDefault="00BC0539" w:rsidP="006626AF">
      <w:pPr>
        <w:spacing w:after="0"/>
        <w:jc w:val="both"/>
        <w:rPr>
          <w:rFonts w:ascii="Times New Roman" w:hAnsi="Times New Roman" w:cs="Times New Roman"/>
          <w:sz w:val="24"/>
          <w:szCs w:val="24"/>
        </w:rPr>
      </w:pPr>
      <w:commentRangeStart w:id="49"/>
      <w:r w:rsidRPr="006626AF">
        <w:rPr>
          <w:rFonts w:ascii="Times New Roman" w:hAnsi="Times New Roman" w:cs="Times New Roman"/>
          <w:sz w:val="24"/>
          <w:szCs w:val="24"/>
        </w:rPr>
        <w:t>Friability</w:t>
      </w:r>
      <w:r w:rsidRPr="006626AF">
        <w:rPr>
          <w:rFonts w:ascii="Times New Roman" w:hAnsi="Times New Roman" w:cs="Times New Roman"/>
          <w:b/>
          <w:bCs/>
          <w:sz w:val="24"/>
          <w:szCs w:val="24"/>
        </w:rPr>
        <w:t xml:space="preserve"> test</w:t>
      </w:r>
      <w:r w:rsidRPr="006626AF">
        <w:rPr>
          <w:rFonts w:ascii="Times New Roman" w:hAnsi="Times New Roman" w:cs="Times New Roman"/>
          <w:sz w:val="24"/>
          <w:szCs w:val="24"/>
        </w:rPr>
        <w:t xml:space="preserve"> is used to evaluate the tablets resistance to abrasion. Friability is now included in the United States Pharmacopeia (USP, 1995) as a compendia test. The compendial specification for friability is less or equal to 1%. Friability for all brands of Metronidazole </w:t>
      </w:r>
      <w:r w:rsidR="004E34B0" w:rsidRPr="006626AF">
        <w:rPr>
          <w:rFonts w:ascii="Times New Roman" w:hAnsi="Times New Roman" w:cs="Times New Roman"/>
          <w:sz w:val="24"/>
          <w:szCs w:val="24"/>
        </w:rPr>
        <w:t xml:space="preserve">were </w:t>
      </w:r>
      <w:r w:rsidRPr="006626AF">
        <w:rPr>
          <w:rFonts w:ascii="Times New Roman" w:hAnsi="Times New Roman" w:cs="Times New Roman"/>
          <w:sz w:val="24"/>
          <w:szCs w:val="24"/>
        </w:rPr>
        <w:t xml:space="preserve"> below 1%. Disintegration is the process of breaking of tablets in the liquid. Disintegration is a crucial step for immediate release dosage forms because the rate of disintegration affects the dissolution and subsequently the therapeutic efficacy of the medicine. A drug will be released rapidly as the dosage forms disintegrate. British Pharmacopeia specifies that uncoated tablets should disintegrate within 15 min and film coated tablet disintegrate within 30 min while USP specification for disintegration is 30 min </w:t>
      </w:r>
      <w:commentRangeStart w:id="50"/>
      <w:r w:rsidRPr="006626AF">
        <w:rPr>
          <w:rFonts w:ascii="Times New Roman" w:hAnsi="Times New Roman" w:cs="Times New Roman"/>
          <w:sz w:val="24"/>
          <w:szCs w:val="24"/>
        </w:rPr>
        <w:t>forbothuncoated</w:t>
      </w:r>
      <w:commentRangeEnd w:id="50"/>
      <w:r w:rsidR="005F54CA">
        <w:rPr>
          <w:rStyle w:val="CommentReference"/>
        </w:rPr>
        <w:commentReference w:id="50"/>
      </w:r>
      <w:r w:rsidRPr="006626AF">
        <w:rPr>
          <w:rFonts w:ascii="Times New Roman" w:hAnsi="Times New Roman" w:cs="Times New Roman"/>
          <w:sz w:val="24"/>
          <w:szCs w:val="24"/>
        </w:rPr>
        <w:t xml:space="preserve"> and film coated tablets. All the brands were complied with both BP and USP specifications for disintegration as maximum disintegration time. </w:t>
      </w:r>
      <w:commentRangeEnd w:id="49"/>
      <w:r w:rsidR="001B639A">
        <w:rPr>
          <w:rStyle w:val="CommentReference"/>
        </w:rPr>
        <w:commentReference w:id="49"/>
      </w:r>
    </w:p>
    <w:p w:rsidR="00006908" w:rsidRPr="006626AF" w:rsidRDefault="00BC0539" w:rsidP="006626AF">
      <w:pPr>
        <w:spacing w:after="0"/>
        <w:jc w:val="both"/>
        <w:rPr>
          <w:rFonts w:ascii="Times New Roman" w:hAnsi="Times New Roman" w:cs="Times New Roman"/>
          <w:sz w:val="24"/>
          <w:szCs w:val="24"/>
        </w:rPr>
      </w:pPr>
      <w:r w:rsidRPr="006626AF">
        <w:rPr>
          <w:rFonts w:ascii="Times New Roman" w:hAnsi="Times New Roman" w:cs="Times New Roman"/>
          <w:sz w:val="24"/>
          <w:szCs w:val="24"/>
        </w:rPr>
        <w:t xml:space="preserve">Potency is the </w:t>
      </w:r>
      <w:commentRangeStart w:id="51"/>
      <w:r w:rsidRPr="006626AF">
        <w:rPr>
          <w:rFonts w:ascii="Times New Roman" w:hAnsi="Times New Roman" w:cs="Times New Roman"/>
          <w:sz w:val="24"/>
          <w:szCs w:val="24"/>
        </w:rPr>
        <w:t xml:space="preserve">average amount of the active ingredient present per tablet. All the brands complied both </w:t>
      </w:r>
      <w:commentRangeStart w:id="52"/>
      <w:r w:rsidRPr="006626AF">
        <w:rPr>
          <w:rFonts w:ascii="Times New Roman" w:hAnsi="Times New Roman" w:cs="Times New Roman"/>
          <w:sz w:val="24"/>
          <w:szCs w:val="24"/>
        </w:rPr>
        <w:t>BP and USP specification, as USP specification is that the content of active ingredient should not be less than 90% and not more than 110% while BP specifies that the content should not be less than 95% and not more than 105%.</w:t>
      </w:r>
    </w:p>
    <w:p w:rsidR="00BC0539" w:rsidRPr="006626AF" w:rsidRDefault="00BC0539" w:rsidP="006626AF">
      <w:pPr>
        <w:spacing w:after="0"/>
        <w:jc w:val="both"/>
        <w:rPr>
          <w:rFonts w:ascii="Times New Roman" w:hAnsi="Times New Roman" w:cs="Times New Roman"/>
          <w:sz w:val="24"/>
          <w:szCs w:val="24"/>
        </w:rPr>
      </w:pPr>
      <w:r w:rsidRPr="006626AF">
        <w:rPr>
          <w:rFonts w:ascii="Times New Roman" w:hAnsi="Times New Roman" w:cs="Times New Roman"/>
          <w:sz w:val="24"/>
          <w:szCs w:val="24"/>
        </w:rPr>
        <w:t xml:space="preserve">The results of dissolution studies are graphically represented in the dissolution profile figures. All dissolution data are based on the actual drug content of the test dosage form as calculated from the assay results. All the Metronidazole brands released </w:t>
      </w:r>
      <w:r w:rsidRPr="006626AF">
        <w:rPr>
          <w:rFonts w:ascii="Times New Roman" w:hAnsi="Times New Roman" w:cs="Times New Roman"/>
          <w:sz w:val="24"/>
          <w:szCs w:val="24"/>
          <w:rtl/>
        </w:rPr>
        <w:t>&lt;</w:t>
      </w:r>
      <w:r w:rsidRPr="006626AF">
        <w:rPr>
          <w:rFonts w:ascii="Times New Roman" w:hAnsi="Times New Roman" w:cs="Times New Roman"/>
          <w:sz w:val="24"/>
          <w:szCs w:val="24"/>
        </w:rPr>
        <w:t xml:space="preserve"> 90% drug in acidic media (pH 1.2) within 30 min, and PH (4.5). Amount released in phosphate buffer PH (6.8) were about 84% for reference drug and 91.4%,86.5% for test brands, This may be due to the pH depended solubility of metronidazole.</w:t>
      </w:r>
    </w:p>
    <w:p w:rsidR="00BC0539" w:rsidRPr="006626AF" w:rsidRDefault="00BC0539" w:rsidP="006626AF">
      <w:pPr>
        <w:spacing w:after="0"/>
        <w:jc w:val="both"/>
        <w:rPr>
          <w:rFonts w:ascii="Times New Roman" w:hAnsi="Times New Roman" w:cs="Times New Roman"/>
          <w:sz w:val="24"/>
          <w:szCs w:val="24"/>
        </w:rPr>
      </w:pPr>
      <w:r w:rsidRPr="006626AF">
        <w:rPr>
          <w:rFonts w:ascii="Times New Roman" w:hAnsi="Times New Roman" w:cs="Times New Roman"/>
          <w:b/>
          <w:bCs/>
          <w:sz w:val="24"/>
          <w:szCs w:val="24"/>
        </w:rPr>
        <w:t xml:space="preserve">Analysis of Dissolution </w:t>
      </w:r>
      <w:r w:rsidR="006E0FCE" w:rsidRPr="006626AF">
        <w:rPr>
          <w:rFonts w:ascii="Times New Roman" w:hAnsi="Times New Roman" w:cs="Times New Roman"/>
          <w:b/>
          <w:bCs/>
          <w:sz w:val="24"/>
          <w:szCs w:val="24"/>
        </w:rPr>
        <w:t>D</w:t>
      </w:r>
      <w:r w:rsidRPr="006626AF">
        <w:rPr>
          <w:rFonts w:ascii="Times New Roman" w:hAnsi="Times New Roman" w:cs="Times New Roman"/>
          <w:b/>
          <w:bCs/>
          <w:sz w:val="24"/>
          <w:szCs w:val="24"/>
        </w:rPr>
        <w:t xml:space="preserve">ata: </w:t>
      </w:r>
      <w:r w:rsidRPr="006626AF">
        <w:rPr>
          <w:rFonts w:ascii="Times New Roman" w:hAnsi="Times New Roman" w:cs="Times New Roman"/>
          <w:sz w:val="24"/>
          <w:szCs w:val="24"/>
        </w:rPr>
        <w:t xml:space="preserve">To compare the dissolution profiles of the brands, a model independent approach of difference factor f1 and similarity factor f2 were employed. Difference factor f1 is the percentage difference between two curves at each point and is a measurement of the relative error between the two curves. The similarity factor (f2) is a logarithmic reciprocal square root transformation of the sum of squared error and is a measurement of the similarity in the percent (%) dissolution between two curves. Two dissolution profiles to be considered </w:t>
      </w:r>
      <w:commentRangeEnd w:id="52"/>
      <w:r w:rsidR="001B639A">
        <w:rPr>
          <w:rStyle w:val="CommentReference"/>
        </w:rPr>
        <w:commentReference w:id="52"/>
      </w:r>
      <w:r w:rsidRPr="006626AF">
        <w:rPr>
          <w:rFonts w:ascii="Times New Roman" w:hAnsi="Times New Roman" w:cs="Times New Roman"/>
          <w:sz w:val="24"/>
          <w:szCs w:val="24"/>
        </w:rPr>
        <w:t xml:space="preserve">similar and bioequivalent, f1 should be between 0 and 15 while f2 should be between 50 and 100 (FDA, 1997). All the values for f2 and f1shown in </w:t>
      </w:r>
      <w:commentRangeStart w:id="53"/>
      <w:r w:rsidRPr="006626AF">
        <w:rPr>
          <w:rFonts w:ascii="Times New Roman" w:hAnsi="Times New Roman" w:cs="Times New Roman"/>
          <w:sz w:val="24"/>
          <w:szCs w:val="24"/>
        </w:rPr>
        <w:t xml:space="preserve">tables 29 </w:t>
      </w:r>
      <w:commentRangeEnd w:id="53"/>
      <w:r w:rsidR="00876618">
        <w:rPr>
          <w:rStyle w:val="CommentReference"/>
        </w:rPr>
        <w:commentReference w:id="53"/>
      </w:r>
      <w:r w:rsidRPr="006626AF">
        <w:rPr>
          <w:rFonts w:ascii="Times New Roman" w:hAnsi="Times New Roman" w:cs="Times New Roman"/>
          <w:sz w:val="24"/>
          <w:szCs w:val="24"/>
        </w:rPr>
        <w:t xml:space="preserve">for metronidazole, as mentioned in previous tables, all brands f2 values were more than 50 and f1 values were less than 15. Which mean that all brands are equivalent </w:t>
      </w:r>
      <w:commentRangeEnd w:id="51"/>
      <w:r w:rsidR="00821DE7">
        <w:rPr>
          <w:rStyle w:val="CommentReference"/>
        </w:rPr>
        <w:commentReference w:id="51"/>
      </w:r>
      <w:r w:rsidRPr="006626AF">
        <w:rPr>
          <w:rFonts w:ascii="Times New Roman" w:hAnsi="Times New Roman" w:cs="Times New Roman"/>
          <w:sz w:val="24"/>
          <w:szCs w:val="24"/>
        </w:rPr>
        <w:t>with the innovator brand.</w:t>
      </w:r>
    </w:p>
    <w:p w:rsidR="00BC0539" w:rsidRPr="006626AF" w:rsidRDefault="00BC0539" w:rsidP="006626AF">
      <w:pPr>
        <w:spacing w:after="0"/>
        <w:jc w:val="both"/>
        <w:rPr>
          <w:rFonts w:ascii="Times New Roman" w:hAnsi="Times New Roman" w:cs="Times New Roman"/>
          <w:sz w:val="24"/>
          <w:szCs w:val="24"/>
        </w:rPr>
      </w:pPr>
      <w:commentRangeStart w:id="54"/>
      <w:r w:rsidRPr="006626AF">
        <w:rPr>
          <w:rFonts w:ascii="Times New Roman" w:hAnsi="Times New Roman" w:cs="Times New Roman"/>
          <w:sz w:val="24"/>
          <w:szCs w:val="24"/>
        </w:rPr>
        <w:t xml:space="preserve">In-vitro </w:t>
      </w:r>
      <w:commentRangeEnd w:id="54"/>
      <w:r w:rsidR="005F54CA">
        <w:rPr>
          <w:rStyle w:val="CommentReference"/>
        </w:rPr>
        <w:commentReference w:id="54"/>
      </w:r>
      <w:r w:rsidRPr="006626AF">
        <w:rPr>
          <w:rFonts w:ascii="Times New Roman" w:hAnsi="Times New Roman" w:cs="Times New Roman"/>
          <w:sz w:val="24"/>
          <w:szCs w:val="24"/>
        </w:rPr>
        <w:t xml:space="preserve">AUC in three PH (1.2),(4.5),(6.8)  for class I product were found three times </w:t>
      </w:r>
      <w:commentRangeStart w:id="55"/>
      <w:r w:rsidRPr="006626AF">
        <w:rPr>
          <w:rFonts w:ascii="Times New Roman" w:hAnsi="Times New Roman" w:cs="Times New Roman"/>
          <w:sz w:val="24"/>
          <w:szCs w:val="24"/>
        </w:rPr>
        <w:t xml:space="preserve">in vivo  </w:t>
      </w:r>
      <w:commentRangeEnd w:id="55"/>
      <w:r w:rsidR="005F54CA">
        <w:rPr>
          <w:rStyle w:val="CommentReference"/>
        </w:rPr>
        <w:commentReference w:id="55"/>
      </w:r>
      <w:r w:rsidRPr="006626AF">
        <w:rPr>
          <w:rFonts w:ascii="Times New Roman" w:hAnsi="Times New Roman" w:cs="Times New Roman"/>
          <w:sz w:val="24"/>
          <w:szCs w:val="24"/>
        </w:rPr>
        <w:t xml:space="preserve">bioequivalence AUC calculated before, which is acceptable result because the in-vitro </w:t>
      </w:r>
      <w:commentRangeStart w:id="56"/>
      <w:r w:rsidRPr="006626AF">
        <w:rPr>
          <w:rFonts w:ascii="Times New Roman" w:hAnsi="Times New Roman" w:cs="Times New Roman"/>
          <w:sz w:val="24"/>
          <w:szCs w:val="24"/>
        </w:rPr>
        <w:lastRenderedPageBreak/>
        <w:t>dissolution studies were carried out in ideal conditions without any factors that could affect their performance, such as volunteers internal biological inconsistency.</w:t>
      </w:r>
    </w:p>
    <w:p w:rsidR="00BC0539" w:rsidRPr="006626AF" w:rsidRDefault="00BC0539" w:rsidP="006626AF">
      <w:pPr>
        <w:spacing w:after="0"/>
        <w:jc w:val="both"/>
        <w:rPr>
          <w:rFonts w:ascii="Times New Roman" w:hAnsi="Times New Roman" w:cs="Times New Roman"/>
          <w:sz w:val="24"/>
          <w:szCs w:val="24"/>
        </w:rPr>
      </w:pPr>
      <w:r w:rsidRPr="006626AF">
        <w:rPr>
          <w:rFonts w:ascii="Times New Roman" w:hAnsi="Times New Roman" w:cs="Times New Roman"/>
          <w:sz w:val="24"/>
          <w:szCs w:val="24"/>
        </w:rPr>
        <w:t xml:space="preserve">Dissolution efficiency (DE) was also employed to compare the drugrelease from various brands. The reference and the test product can said to beequivalent if the difference between their dissolutionefficiencies is within appropriate limits (± 10%, which isoften used) (Anderson NH, </w:t>
      </w:r>
      <w:commentRangeStart w:id="57"/>
      <w:r w:rsidRPr="006626AF">
        <w:rPr>
          <w:rFonts w:ascii="Times New Roman" w:hAnsi="Times New Roman" w:cs="Times New Roman"/>
          <w:sz w:val="24"/>
          <w:szCs w:val="24"/>
        </w:rPr>
        <w:t xml:space="preserve">et, al </w:t>
      </w:r>
      <w:commentRangeEnd w:id="57"/>
      <w:r w:rsidR="005F54CA">
        <w:rPr>
          <w:rStyle w:val="CommentReference"/>
        </w:rPr>
        <w:commentReference w:id="57"/>
      </w:r>
      <w:r w:rsidRPr="006626AF">
        <w:rPr>
          <w:rFonts w:ascii="Times New Roman" w:hAnsi="Times New Roman" w:cs="Times New Roman"/>
          <w:sz w:val="24"/>
          <w:szCs w:val="24"/>
        </w:rPr>
        <w:t xml:space="preserve">1998). Dissolution </w:t>
      </w:r>
      <w:commentRangeEnd w:id="56"/>
      <w:r w:rsidR="001B639A">
        <w:rPr>
          <w:rStyle w:val="CommentReference"/>
        </w:rPr>
        <w:commentReference w:id="56"/>
      </w:r>
      <w:r w:rsidRPr="006626AF">
        <w:rPr>
          <w:rFonts w:ascii="Times New Roman" w:hAnsi="Times New Roman" w:cs="Times New Roman"/>
          <w:sz w:val="24"/>
          <w:szCs w:val="24"/>
        </w:rPr>
        <w:t>efficiency of all the brands (class I) differed by less than 10% from the innovator brand. So, we can say that all the brands are pharmaceutically equivalent with the innovator brand.</w:t>
      </w:r>
      <w:r w:rsidR="005F54CA">
        <w:rPr>
          <w:rFonts w:ascii="Times New Roman" w:hAnsi="Times New Roman" w:cs="Times New Roman"/>
          <w:sz w:val="24"/>
          <w:szCs w:val="24"/>
        </w:rPr>
        <w:t xml:space="preserve"> </w:t>
      </w:r>
      <w:r w:rsidR="005F54CA" w:rsidRPr="005F54CA">
        <w:rPr>
          <w:rFonts w:ascii="Times New Roman" w:hAnsi="Times New Roman" w:cs="Times New Roman"/>
          <w:i/>
          <w:sz w:val="24"/>
          <w:szCs w:val="24"/>
        </w:rPr>
        <w:t>et al.</w:t>
      </w:r>
    </w:p>
    <w:p w:rsidR="00BC0539" w:rsidRPr="006626AF" w:rsidRDefault="00BC0539" w:rsidP="006626AF">
      <w:pPr>
        <w:spacing w:after="0"/>
        <w:jc w:val="both"/>
        <w:rPr>
          <w:rFonts w:ascii="Times New Roman" w:hAnsi="Times New Roman" w:cs="Times New Roman"/>
          <w:b/>
          <w:bCs/>
          <w:sz w:val="24"/>
          <w:szCs w:val="24"/>
        </w:rPr>
      </w:pPr>
      <w:commentRangeStart w:id="58"/>
      <w:r w:rsidRPr="006626AF">
        <w:rPr>
          <w:rFonts w:ascii="Times New Roman" w:hAnsi="Times New Roman" w:cs="Times New Roman"/>
          <w:b/>
          <w:bCs/>
          <w:sz w:val="24"/>
          <w:szCs w:val="24"/>
        </w:rPr>
        <w:t xml:space="preserve">In </w:t>
      </w:r>
      <w:r w:rsidR="006E0FCE" w:rsidRPr="006626AF">
        <w:rPr>
          <w:rFonts w:ascii="Times New Roman" w:hAnsi="Times New Roman" w:cs="Times New Roman"/>
          <w:b/>
          <w:bCs/>
          <w:sz w:val="24"/>
          <w:szCs w:val="24"/>
        </w:rPr>
        <w:t>V</w:t>
      </w:r>
      <w:r w:rsidRPr="006626AF">
        <w:rPr>
          <w:rFonts w:ascii="Times New Roman" w:hAnsi="Times New Roman" w:cs="Times New Roman"/>
          <w:b/>
          <w:bCs/>
          <w:sz w:val="24"/>
          <w:szCs w:val="24"/>
        </w:rPr>
        <w:t xml:space="preserve">ivo in </w:t>
      </w:r>
      <w:commentRangeStart w:id="59"/>
      <w:r w:rsidR="006E0FCE" w:rsidRPr="006626AF">
        <w:rPr>
          <w:rFonts w:ascii="Times New Roman" w:hAnsi="Times New Roman" w:cs="Times New Roman"/>
          <w:b/>
          <w:bCs/>
          <w:sz w:val="24"/>
          <w:szCs w:val="24"/>
        </w:rPr>
        <w:t>V</w:t>
      </w:r>
      <w:r w:rsidRPr="006626AF">
        <w:rPr>
          <w:rFonts w:ascii="Times New Roman" w:hAnsi="Times New Roman" w:cs="Times New Roman"/>
          <w:b/>
          <w:bCs/>
          <w:sz w:val="24"/>
          <w:szCs w:val="24"/>
        </w:rPr>
        <w:t xml:space="preserve">itro </w:t>
      </w:r>
      <w:commentRangeEnd w:id="58"/>
      <w:r w:rsidR="005F54CA">
        <w:rPr>
          <w:rStyle w:val="CommentReference"/>
        </w:rPr>
        <w:commentReference w:id="58"/>
      </w:r>
      <w:r w:rsidR="006E0FCE" w:rsidRPr="006626AF">
        <w:rPr>
          <w:rFonts w:ascii="Times New Roman" w:hAnsi="Times New Roman" w:cs="Times New Roman"/>
          <w:b/>
          <w:bCs/>
          <w:sz w:val="24"/>
          <w:szCs w:val="24"/>
        </w:rPr>
        <w:t>C</w:t>
      </w:r>
      <w:r w:rsidRPr="006626AF">
        <w:rPr>
          <w:rFonts w:ascii="Times New Roman" w:hAnsi="Times New Roman" w:cs="Times New Roman"/>
          <w:b/>
          <w:bCs/>
          <w:sz w:val="24"/>
          <w:szCs w:val="24"/>
        </w:rPr>
        <w:t xml:space="preserve">orrelation </w:t>
      </w:r>
      <w:r w:rsidR="006E0FCE" w:rsidRPr="006626AF">
        <w:rPr>
          <w:rFonts w:ascii="Times New Roman" w:hAnsi="Times New Roman" w:cs="Times New Roman"/>
          <w:b/>
          <w:bCs/>
          <w:sz w:val="24"/>
          <w:szCs w:val="24"/>
        </w:rPr>
        <w:t>D</w:t>
      </w:r>
      <w:r w:rsidRPr="006626AF">
        <w:rPr>
          <w:rFonts w:ascii="Times New Roman" w:hAnsi="Times New Roman" w:cs="Times New Roman"/>
          <w:b/>
          <w:bCs/>
          <w:sz w:val="24"/>
          <w:szCs w:val="24"/>
        </w:rPr>
        <w:t xml:space="preserve">ata </w:t>
      </w:r>
      <w:r w:rsidR="006E0FCE" w:rsidRPr="006626AF">
        <w:rPr>
          <w:rFonts w:ascii="Times New Roman" w:hAnsi="Times New Roman" w:cs="Times New Roman"/>
          <w:b/>
          <w:bCs/>
          <w:sz w:val="24"/>
          <w:szCs w:val="24"/>
        </w:rPr>
        <w:t>A</w:t>
      </w:r>
      <w:r w:rsidRPr="006626AF">
        <w:rPr>
          <w:rFonts w:ascii="Times New Roman" w:hAnsi="Times New Roman" w:cs="Times New Roman"/>
          <w:b/>
          <w:bCs/>
          <w:sz w:val="24"/>
          <w:szCs w:val="24"/>
        </w:rPr>
        <w:t>nalysis:</w:t>
      </w:r>
    </w:p>
    <w:p w:rsidR="00BC0539" w:rsidRPr="006626AF" w:rsidRDefault="00BC0539" w:rsidP="006626AF">
      <w:pPr>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t xml:space="preserve"> As ivivc is a </w:t>
      </w:r>
      <w:commentRangeStart w:id="60"/>
      <w:r w:rsidRPr="006626AF">
        <w:rPr>
          <w:rFonts w:ascii="Times New Roman" w:eastAsia="Calibri" w:hAnsi="Times New Roman" w:cs="Times New Roman"/>
          <w:sz w:val="24"/>
          <w:szCs w:val="24"/>
        </w:rPr>
        <w:t xml:space="preserve">predictive mathematical model describing the relationship between variables (an in </w:t>
      </w:r>
      <w:commentRangeStart w:id="61"/>
      <w:r w:rsidRPr="006626AF">
        <w:rPr>
          <w:rFonts w:ascii="Times New Roman" w:eastAsia="Calibri" w:hAnsi="Times New Roman" w:cs="Times New Roman"/>
          <w:sz w:val="24"/>
          <w:szCs w:val="24"/>
        </w:rPr>
        <w:t>vitro</w:t>
      </w:r>
      <w:commentRangeEnd w:id="61"/>
      <w:r w:rsidR="005F54CA">
        <w:rPr>
          <w:rStyle w:val="CommentReference"/>
        </w:rPr>
        <w:commentReference w:id="61"/>
      </w:r>
      <w:r w:rsidRPr="006626AF">
        <w:rPr>
          <w:rFonts w:ascii="Times New Roman" w:eastAsia="Calibri" w:hAnsi="Times New Roman" w:cs="Times New Roman"/>
          <w:sz w:val="24"/>
          <w:szCs w:val="24"/>
        </w:rPr>
        <w:t xml:space="preserve"> property of a dosage form and a relevant </w:t>
      </w:r>
      <w:commentRangeStart w:id="62"/>
      <w:r w:rsidRPr="006626AF">
        <w:rPr>
          <w:rFonts w:ascii="Times New Roman" w:eastAsia="Calibri" w:hAnsi="Times New Roman" w:cs="Times New Roman"/>
          <w:sz w:val="24"/>
          <w:szCs w:val="24"/>
        </w:rPr>
        <w:t xml:space="preserve">in vivo </w:t>
      </w:r>
      <w:commentRangeEnd w:id="62"/>
      <w:r w:rsidR="005F54CA">
        <w:rPr>
          <w:rStyle w:val="CommentReference"/>
        </w:rPr>
        <w:commentReference w:id="62"/>
      </w:r>
      <w:r w:rsidRPr="006626AF">
        <w:rPr>
          <w:rFonts w:ascii="Times New Roman" w:eastAsia="Calibri" w:hAnsi="Times New Roman" w:cs="Times New Roman"/>
          <w:sz w:val="24"/>
          <w:szCs w:val="24"/>
        </w:rPr>
        <w:t>response).</w:t>
      </w:r>
    </w:p>
    <w:p w:rsidR="00BC0539" w:rsidRPr="006626AF" w:rsidRDefault="00BC0539" w:rsidP="006626AF">
      <w:pPr>
        <w:autoSpaceDE w:val="0"/>
        <w:autoSpaceDN w:val="0"/>
        <w:adjustRightInd w:val="0"/>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t xml:space="preserve">According to MINITAM 14 statistical program, there was significant relationship between in </w:t>
      </w:r>
      <w:commentRangeStart w:id="63"/>
      <w:r w:rsidRPr="006626AF">
        <w:rPr>
          <w:rFonts w:ascii="Times New Roman" w:eastAsia="Calibri" w:hAnsi="Times New Roman" w:cs="Times New Roman"/>
          <w:sz w:val="24"/>
          <w:szCs w:val="24"/>
        </w:rPr>
        <w:t>vitro</w:t>
      </w:r>
      <w:commentRangeEnd w:id="63"/>
      <w:r w:rsidR="005F54CA">
        <w:rPr>
          <w:rStyle w:val="CommentReference"/>
        </w:rPr>
        <w:commentReference w:id="63"/>
      </w:r>
      <w:r w:rsidRPr="006626AF">
        <w:rPr>
          <w:rFonts w:ascii="Times New Roman" w:eastAsia="Calibri" w:hAnsi="Times New Roman" w:cs="Times New Roman"/>
          <w:sz w:val="24"/>
          <w:szCs w:val="24"/>
        </w:rPr>
        <w:t xml:space="preserve"> and in </w:t>
      </w:r>
      <w:commentRangeStart w:id="64"/>
      <w:r w:rsidRPr="006626AF">
        <w:rPr>
          <w:rFonts w:ascii="Times New Roman" w:eastAsia="Calibri" w:hAnsi="Times New Roman" w:cs="Times New Roman"/>
          <w:sz w:val="24"/>
          <w:szCs w:val="24"/>
        </w:rPr>
        <w:t>vivo</w:t>
      </w:r>
      <w:commentRangeEnd w:id="64"/>
      <w:r w:rsidR="005F54CA">
        <w:rPr>
          <w:rStyle w:val="CommentReference"/>
        </w:rPr>
        <w:commentReference w:id="64"/>
      </w:r>
      <w:r w:rsidRPr="006626AF">
        <w:rPr>
          <w:rFonts w:ascii="Times New Roman" w:eastAsia="Calibri" w:hAnsi="Times New Roman" w:cs="Times New Roman"/>
          <w:sz w:val="24"/>
          <w:szCs w:val="24"/>
        </w:rPr>
        <w:t xml:space="preserve"> data of reference metronidazole product, Correlation and distribution of data with correlation coefficient (r= 0.724, 0.837, 0.707), non linear relationship with p-value (&gt;0.05)= (0.167, 0.098 , 0.182), there is no out lines, no lake of fits at P-Values = 0.0040, 006, 0.026. By analysis </w:t>
      </w:r>
      <w:commentRangeEnd w:id="60"/>
      <w:r w:rsidR="00D47EE8">
        <w:rPr>
          <w:rStyle w:val="CommentReference"/>
        </w:rPr>
        <w:commentReference w:id="60"/>
      </w:r>
      <w:r w:rsidRPr="006626AF">
        <w:rPr>
          <w:rFonts w:ascii="Times New Roman" w:eastAsia="Calibri" w:hAnsi="Times New Roman" w:cs="Times New Roman"/>
          <w:sz w:val="24"/>
          <w:szCs w:val="24"/>
        </w:rPr>
        <w:t>of variance (ANOVA) the data points have significant relationship with p-value (&gt; 0.05) for the three pH (1.2), (4.5), (6.8) respectively.</w:t>
      </w:r>
    </w:p>
    <w:p w:rsidR="00BC0539" w:rsidRPr="006626AF" w:rsidRDefault="00BC0539" w:rsidP="006626AF">
      <w:pPr>
        <w:autoSpaceDE w:val="0"/>
        <w:autoSpaceDN w:val="0"/>
        <w:adjustRightInd w:val="0"/>
        <w:spacing w:after="0"/>
        <w:jc w:val="both"/>
        <w:rPr>
          <w:rFonts w:ascii="Times New Roman" w:eastAsia="Calibri" w:hAnsi="Times New Roman" w:cs="Times New Roman"/>
          <w:sz w:val="24"/>
          <w:szCs w:val="24"/>
        </w:rPr>
      </w:pPr>
      <w:r w:rsidRPr="006626AF">
        <w:rPr>
          <w:rFonts w:ascii="Times New Roman" w:eastAsia="Calibri" w:hAnsi="Times New Roman" w:cs="Times New Roman"/>
          <w:color w:val="000000" w:themeColor="text1"/>
          <w:sz w:val="24"/>
          <w:szCs w:val="24"/>
        </w:rPr>
        <w:t xml:space="preserve">Estimating the uncertainty in predicted correlation between </w:t>
      </w:r>
      <w:commentRangeStart w:id="65"/>
      <w:r w:rsidRPr="006626AF">
        <w:rPr>
          <w:rFonts w:ascii="Times New Roman" w:eastAsia="Calibri" w:hAnsi="Times New Roman" w:cs="Times New Roman"/>
          <w:color w:val="000000" w:themeColor="text1"/>
          <w:sz w:val="24"/>
          <w:szCs w:val="24"/>
        </w:rPr>
        <w:t xml:space="preserve">in vitro </w:t>
      </w:r>
      <w:commentRangeEnd w:id="65"/>
      <w:r w:rsidR="005F54CA">
        <w:rPr>
          <w:rStyle w:val="CommentReference"/>
        </w:rPr>
        <w:commentReference w:id="65"/>
      </w:r>
      <w:r w:rsidRPr="006626AF">
        <w:rPr>
          <w:rFonts w:ascii="Times New Roman" w:eastAsia="Calibri" w:hAnsi="Times New Roman" w:cs="Times New Roman"/>
          <w:color w:val="000000" w:themeColor="text1"/>
          <w:sz w:val="24"/>
          <w:szCs w:val="24"/>
        </w:rPr>
        <w:t xml:space="preserve">and </w:t>
      </w:r>
      <w:commentRangeStart w:id="66"/>
      <w:r w:rsidRPr="006626AF">
        <w:rPr>
          <w:rFonts w:ascii="Times New Roman" w:eastAsia="Calibri" w:hAnsi="Times New Roman" w:cs="Times New Roman"/>
          <w:color w:val="000000" w:themeColor="text1"/>
          <w:sz w:val="24"/>
          <w:szCs w:val="24"/>
        </w:rPr>
        <w:t>in vivo</w:t>
      </w:r>
      <w:r w:rsidRPr="006626AF">
        <w:rPr>
          <w:rFonts w:ascii="Times New Roman" w:eastAsia="Calibri" w:hAnsi="Times New Roman" w:cs="Times New Roman"/>
          <w:sz w:val="24"/>
          <w:szCs w:val="24"/>
        </w:rPr>
        <w:t xml:space="preserve"> </w:t>
      </w:r>
      <w:commentRangeEnd w:id="66"/>
      <w:r w:rsidR="005F54CA">
        <w:rPr>
          <w:rStyle w:val="CommentReference"/>
        </w:rPr>
        <w:commentReference w:id="66"/>
      </w:r>
      <w:r w:rsidRPr="006626AF">
        <w:rPr>
          <w:rFonts w:ascii="Times New Roman" w:eastAsia="Calibri" w:hAnsi="Times New Roman" w:cs="Times New Roman"/>
          <w:sz w:val="24"/>
          <w:szCs w:val="24"/>
        </w:rPr>
        <w:t>data was also performed. The interval is represented by the curved lines on either side of the regression line and gives an indication of the range within which the ‘true’ line might lie. Note that the confidence interval is narrowest near the center (the point x, y) and less certain near the extremes.</w:t>
      </w:r>
    </w:p>
    <w:p w:rsidR="00BC0539" w:rsidRPr="006626AF" w:rsidRDefault="00BC0539" w:rsidP="006626AF">
      <w:pPr>
        <w:autoSpaceDE w:val="0"/>
        <w:autoSpaceDN w:val="0"/>
        <w:adjustRightInd w:val="0"/>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t xml:space="preserve">Using </w:t>
      </w:r>
      <w:commentRangeStart w:id="67"/>
      <w:r w:rsidRPr="006626AF">
        <w:rPr>
          <w:rFonts w:ascii="Times New Roman" w:eastAsia="Calibri" w:hAnsi="Times New Roman" w:cs="Times New Roman"/>
          <w:sz w:val="24"/>
          <w:szCs w:val="24"/>
        </w:rPr>
        <w:t xml:space="preserve">MINITAM 14 statistical program, there was significant relationship between </w:t>
      </w:r>
      <w:commentRangeStart w:id="68"/>
      <w:r w:rsidRPr="006626AF">
        <w:rPr>
          <w:rFonts w:ascii="Times New Roman" w:eastAsia="Calibri" w:hAnsi="Times New Roman" w:cs="Times New Roman"/>
          <w:sz w:val="24"/>
          <w:szCs w:val="24"/>
        </w:rPr>
        <w:t xml:space="preserve">in vitro </w:t>
      </w:r>
      <w:commentRangeEnd w:id="68"/>
      <w:r w:rsidR="005F54CA">
        <w:rPr>
          <w:rStyle w:val="CommentReference"/>
        </w:rPr>
        <w:commentReference w:id="68"/>
      </w:r>
      <w:r w:rsidRPr="006626AF">
        <w:rPr>
          <w:rFonts w:ascii="Times New Roman" w:eastAsia="Calibri" w:hAnsi="Times New Roman" w:cs="Times New Roman"/>
          <w:sz w:val="24"/>
          <w:szCs w:val="24"/>
        </w:rPr>
        <w:t xml:space="preserve">and </w:t>
      </w:r>
      <w:commentRangeStart w:id="69"/>
      <w:r w:rsidRPr="006626AF">
        <w:rPr>
          <w:rFonts w:ascii="Times New Roman" w:eastAsia="Calibri" w:hAnsi="Times New Roman" w:cs="Times New Roman"/>
          <w:sz w:val="24"/>
          <w:szCs w:val="24"/>
        </w:rPr>
        <w:t xml:space="preserve">in vivo </w:t>
      </w:r>
      <w:commentRangeEnd w:id="69"/>
      <w:r w:rsidR="005F54CA">
        <w:rPr>
          <w:rStyle w:val="CommentReference"/>
        </w:rPr>
        <w:commentReference w:id="69"/>
      </w:r>
      <w:r w:rsidRPr="006626AF">
        <w:rPr>
          <w:rFonts w:ascii="Times New Roman" w:eastAsia="Calibri" w:hAnsi="Times New Roman" w:cs="Times New Roman"/>
          <w:sz w:val="24"/>
          <w:szCs w:val="24"/>
        </w:rPr>
        <w:t>data of reference Atenolol product, Correlation and distribution of data with correlation coefficient (r= 0.798, 0.815, 0.967), non linear relationship with p-value (&gt;0.05) = (0.106 , 0.93 , 0.009), there is no out lines, no lake of fits at P-Values = 0.106, 0.040, 0.056 (&gt;0.05) for the three pH (1.2,4.5,6.8) respectively.</w:t>
      </w:r>
    </w:p>
    <w:p w:rsidR="00BC0539" w:rsidRPr="006626AF" w:rsidRDefault="00BC0539" w:rsidP="006626AF">
      <w:pPr>
        <w:autoSpaceDE w:val="0"/>
        <w:autoSpaceDN w:val="0"/>
        <w:adjustRightInd w:val="0"/>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t xml:space="preserve">Estimating the uncertainty in predicted correlation between </w:t>
      </w:r>
      <w:commentRangeStart w:id="70"/>
      <w:r w:rsidRPr="006626AF">
        <w:rPr>
          <w:rFonts w:ascii="Times New Roman" w:eastAsia="Calibri" w:hAnsi="Times New Roman" w:cs="Times New Roman"/>
          <w:sz w:val="24"/>
          <w:szCs w:val="24"/>
        </w:rPr>
        <w:t xml:space="preserve">vitro </w:t>
      </w:r>
      <w:commentRangeEnd w:id="70"/>
      <w:r w:rsidR="005F54CA">
        <w:rPr>
          <w:rStyle w:val="CommentReference"/>
        </w:rPr>
        <w:commentReference w:id="70"/>
      </w:r>
      <w:r w:rsidRPr="006626AF">
        <w:rPr>
          <w:rFonts w:ascii="Times New Roman" w:eastAsia="Calibri" w:hAnsi="Times New Roman" w:cs="Times New Roman"/>
          <w:sz w:val="24"/>
          <w:szCs w:val="24"/>
        </w:rPr>
        <w:t xml:space="preserve">and </w:t>
      </w:r>
      <w:commentRangeStart w:id="71"/>
      <w:r w:rsidRPr="006626AF">
        <w:rPr>
          <w:rFonts w:ascii="Times New Roman" w:eastAsia="Calibri" w:hAnsi="Times New Roman" w:cs="Times New Roman"/>
          <w:sz w:val="24"/>
          <w:szCs w:val="24"/>
        </w:rPr>
        <w:t>vivo</w:t>
      </w:r>
      <w:commentRangeEnd w:id="71"/>
      <w:r w:rsidR="005F54CA">
        <w:rPr>
          <w:rStyle w:val="CommentReference"/>
        </w:rPr>
        <w:commentReference w:id="71"/>
      </w:r>
      <w:r w:rsidRPr="006626AF">
        <w:rPr>
          <w:rFonts w:ascii="Times New Roman" w:eastAsia="Calibri" w:hAnsi="Times New Roman" w:cs="Times New Roman"/>
          <w:sz w:val="24"/>
          <w:szCs w:val="24"/>
        </w:rPr>
        <w:t xml:space="preserve"> data. The interval is represented by the curved lines on either side of the regression line and gives an indication of the range within which </w:t>
      </w:r>
      <w:commentRangeEnd w:id="59"/>
      <w:r w:rsidR="00821DE7">
        <w:rPr>
          <w:rStyle w:val="CommentReference"/>
        </w:rPr>
        <w:commentReference w:id="59"/>
      </w:r>
      <w:r w:rsidRPr="006626AF">
        <w:rPr>
          <w:rFonts w:ascii="Times New Roman" w:eastAsia="Calibri" w:hAnsi="Times New Roman" w:cs="Times New Roman"/>
          <w:sz w:val="24"/>
          <w:szCs w:val="24"/>
        </w:rPr>
        <w:t xml:space="preserve">the ‘true’ line might lie. Note that the confidence interval is narrowest near the center (the </w:t>
      </w:r>
      <w:commentRangeEnd w:id="67"/>
      <w:r w:rsidR="00D47EE8">
        <w:rPr>
          <w:rStyle w:val="CommentReference"/>
        </w:rPr>
        <w:commentReference w:id="67"/>
      </w:r>
      <w:r w:rsidRPr="006626AF">
        <w:rPr>
          <w:rFonts w:ascii="Times New Roman" w:eastAsia="Calibri" w:hAnsi="Times New Roman" w:cs="Times New Roman"/>
          <w:sz w:val="24"/>
          <w:szCs w:val="24"/>
        </w:rPr>
        <w:t>point x, y) and less certain near the extremes.</w:t>
      </w:r>
    </w:p>
    <w:p w:rsidR="00BC0539" w:rsidRPr="006626AF" w:rsidRDefault="00BC0539" w:rsidP="006626AF">
      <w:pPr>
        <w:autoSpaceDE w:val="0"/>
        <w:autoSpaceDN w:val="0"/>
        <w:adjustRightInd w:val="0"/>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t xml:space="preserve">By applying analysis of variance (ANOVA) for </w:t>
      </w:r>
      <w:commentRangeStart w:id="72"/>
      <w:r w:rsidRPr="006626AF">
        <w:rPr>
          <w:rFonts w:ascii="Times New Roman" w:eastAsia="Calibri" w:hAnsi="Times New Roman" w:cs="Times New Roman"/>
          <w:sz w:val="24"/>
          <w:szCs w:val="24"/>
        </w:rPr>
        <w:t xml:space="preserve">thedissolutiondata </w:t>
      </w:r>
      <w:commentRangeEnd w:id="72"/>
      <w:r w:rsidR="005F54CA">
        <w:rPr>
          <w:rStyle w:val="CommentReference"/>
        </w:rPr>
        <w:commentReference w:id="72"/>
      </w:r>
      <w:r w:rsidRPr="006626AF">
        <w:rPr>
          <w:rFonts w:ascii="Times New Roman" w:eastAsia="Calibri" w:hAnsi="Times New Roman" w:cs="Times New Roman"/>
          <w:sz w:val="24"/>
          <w:szCs w:val="24"/>
        </w:rPr>
        <w:t xml:space="preserve">using MINITAB 14 we concluded that the test products are bioequivalent to reference products of metronidazole and atenolol and could be interchangeable. </w:t>
      </w:r>
    </w:p>
    <w:p w:rsidR="00BC0539" w:rsidRPr="006626AF" w:rsidRDefault="00BC0539" w:rsidP="006626AF">
      <w:pPr>
        <w:spacing w:after="0"/>
        <w:jc w:val="both"/>
        <w:rPr>
          <w:rFonts w:ascii="Times New Roman" w:hAnsi="Times New Roman" w:cs="Times New Roman"/>
          <w:b/>
          <w:bCs/>
          <w:sz w:val="24"/>
          <w:szCs w:val="24"/>
        </w:rPr>
      </w:pPr>
      <w:commentRangeStart w:id="73"/>
      <w:r w:rsidRPr="006626AF">
        <w:rPr>
          <w:rFonts w:ascii="Times New Roman" w:hAnsi="Times New Roman" w:cs="Times New Roman"/>
          <w:b/>
          <w:bCs/>
          <w:sz w:val="24"/>
          <w:szCs w:val="24"/>
        </w:rPr>
        <w:t>C</w:t>
      </w:r>
      <w:r w:rsidR="00006908" w:rsidRPr="006626AF">
        <w:rPr>
          <w:rFonts w:ascii="Times New Roman" w:hAnsi="Times New Roman" w:cs="Times New Roman"/>
          <w:b/>
          <w:bCs/>
          <w:sz w:val="24"/>
          <w:szCs w:val="24"/>
        </w:rPr>
        <w:t>ONCLUSION</w:t>
      </w:r>
      <w:r w:rsidRPr="006626AF">
        <w:rPr>
          <w:rFonts w:ascii="Times New Roman" w:hAnsi="Times New Roman" w:cs="Times New Roman"/>
          <w:b/>
          <w:bCs/>
          <w:sz w:val="24"/>
          <w:szCs w:val="24"/>
        </w:rPr>
        <w:t>:</w:t>
      </w:r>
    </w:p>
    <w:p w:rsidR="00BC0539" w:rsidRPr="006626AF" w:rsidRDefault="00BC0539" w:rsidP="006626AF">
      <w:pPr>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t xml:space="preserve">The bio waiver study has emphasized that pharmaceutical equivalence indicate that product have same drug molecule with approximately same pattern of dissolution release profile. By making fine turning in bioequivalent study we can reduce the time, cost, avoid Ethical, Ethnical consideration by unnecessary exposure of healthy subjects to medicines and finally to market the quality generic drug product. By applying level A </w:t>
      </w:r>
      <w:commentRangeStart w:id="74"/>
      <w:r w:rsidRPr="006626AF">
        <w:rPr>
          <w:rFonts w:ascii="Times New Roman" w:eastAsia="Calibri" w:hAnsi="Times New Roman" w:cs="Times New Roman"/>
          <w:sz w:val="24"/>
          <w:szCs w:val="24"/>
        </w:rPr>
        <w:t xml:space="preserve">in-vivo </w:t>
      </w:r>
      <w:commentRangeEnd w:id="74"/>
      <w:r w:rsidR="005F54CA">
        <w:rPr>
          <w:rStyle w:val="CommentReference"/>
        </w:rPr>
        <w:commentReference w:id="74"/>
      </w:r>
      <w:commentRangeStart w:id="75"/>
      <w:r w:rsidRPr="006626AF">
        <w:rPr>
          <w:rFonts w:ascii="Times New Roman" w:eastAsia="Calibri" w:hAnsi="Times New Roman" w:cs="Times New Roman"/>
          <w:sz w:val="24"/>
          <w:szCs w:val="24"/>
        </w:rPr>
        <w:t xml:space="preserve">in-vitro </w:t>
      </w:r>
      <w:commentRangeEnd w:id="75"/>
      <w:r w:rsidR="005F54CA">
        <w:rPr>
          <w:rStyle w:val="CommentReference"/>
        </w:rPr>
        <w:commentReference w:id="75"/>
      </w:r>
      <w:r w:rsidRPr="006626AF">
        <w:rPr>
          <w:rFonts w:ascii="Times New Roman" w:eastAsia="Calibri" w:hAnsi="Times New Roman" w:cs="Times New Roman"/>
          <w:sz w:val="24"/>
          <w:szCs w:val="24"/>
        </w:rPr>
        <w:t>correlation, we might concluded that there is no linear correlation between percent of drug released and percent of drug absorbed ,this may be due to uncontrollable gastric emptying rate for class one Metronidazole.</w:t>
      </w:r>
    </w:p>
    <w:p w:rsidR="00BC0539" w:rsidRPr="006626AF" w:rsidRDefault="00BC0539" w:rsidP="006626AF">
      <w:pPr>
        <w:spacing w:after="0"/>
        <w:jc w:val="both"/>
        <w:rPr>
          <w:rFonts w:ascii="Times New Roman" w:eastAsia="Calibri" w:hAnsi="Times New Roman" w:cs="Times New Roman"/>
          <w:sz w:val="24"/>
          <w:szCs w:val="24"/>
        </w:rPr>
      </w:pPr>
      <w:r w:rsidRPr="006626AF">
        <w:rPr>
          <w:rFonts w:ascii="Times New Roman" w:eastAsia="Calibri" w:hAnsi="Times New Roman" w:cs="Times New Roman"/>
          <w:sz w:val="24"/>
          <w:szCs w:val="24"/>
        </w:rPr>
        <w:t xml:space="preserve">Metronidazole </w:t>
      </w:r>
      <w:r w:rsidR="00A97BF3" w:rsidRPr="006626AF">
        <w:rPr>
          <w:rFonts w:ascii="Times New Roman" w:eastAsia="Calibri" w:hAnsi="Times New Roman" w:cs="Times New Roman"/>
          <w:sz w:val="24"/>
          <w:szCs w:val="24"/>
        </w:rPr>
        <w:t xml:space="preserve">is an </w:t>
      </w:r>
      <w:r w:rsidRPr="006626AF">
        <w:rPr>
          <w:rFonts w:ascii="Times New Roman" w:eastAsia="Calibri" w:hAnsi="Times New Roman" w:cs="Times New Roman"/>
          <w:sz w:val="24"/>
          <w:szCs w:val="24"/>
        </w:rPr>
        <w:t xml:space="preserve">immediate release formulations. As dissolution is not a rate-limiting step in IR products, the fraction of drug absorbed against the fraction of drug released profile would be non-linear type </w:t>
      </w:r>
      <w:commentRangeEnd w:id="73"/>
      <w:r w:rsidR="002D2CCD">
        <w:rPr>
          <w:rStyle w:val="CommentReference"/>
        </w:rPr>
        <w:commentReference w:id="73"/>
      </w:r>
      <w:r w:rsidRPr="006626AF">
        <w:rPr>
          <w:rFonts w:ascii="Times New Roman" w:eastAsia="Calibri" w:hAnsi="Times New Roman" w:cs="Times New Roman"/>
          <w:sz w:val="24"/>
          <w:szCs w:val="24"/>
        </w:rPr>
        <w:t xml:space="preserve">which was obtained in </w:t>
      </w:r>
      <w:commentRangeStart w:id="76"/>
      <w:r w:rsidRPr="006626AF">
        <w:rPr>
          <w:rFonts w:ascii="Times New Roman" w:eastAsia="Calibri" w:hAnsi="Times New Roman" w:cs="Times New Roman"/>
          <w:sz w:val="24"/>
          <w:szCs w:val="24"/>
        </w:rPr>
        <w:t xml:space="preserve">our present </w:t>
      </w:r>
      <w:commentRangeEnd w:id="76"/>
      <w:r w:rsidR="003B39F1">
        <w:rPr>
          <w:rStyle w:val="CommentReference"/>
        </w:rPr>
        <w:commentReference w:id="76"/>
      </w:r>
      <w:r w:rsidRPr="006626AF">
        <w:rPr>
          <w:rFonts w:ascii="Times New Roman" w:eastAsia="Calibri" w:hAnsi="Times New Roman" w:cs="Times New Roman"/>
          <w:sz w:val="24"/>
          <w:szCs w:val="24"/>
        </w:rPr>
        <w:t xml:space="preserve">study. So it may be concluded that theIn vitro </w:t>
      </w:r>
      <w:r w:rsidRPr="006626AF">
        <w:rPr>
          <w:rFonts w:ascii="Times New Roman" w:eastAsia="Calibri" w:hAnsi="Times New Roman" w:cs="Times New Roman"/>
          <w:sz w:val="24"/>
          <w:szCs w:val="24"/>
        </w:rPr>
        <w:lastRenderedPageBreak/>
        <w:t xml:space="preserve">- </w:t>
      </w:r>
      <w:commentRangeStart w:id="77"/>
      <w:r w:rsidRPr="006626AF">
        <w:rPr>
          <w:rFonts w:ascii="Times New Roman" w:eastAsia="Calibri" w:hAnsi="Times New Roman" w:cs="Times New Roman"/>
          <w:sz w:val="24"/>
          <w:szCs w:val="24"/>
        </w:rPr>
        <w:t xml:space="preserve">In vivo </w:t>
      </w:r>
      <w:commentRangeEnd w:id="77"/>
      <w:r w:rsidR="00845E0D">
        <w:rPr>
          <w:rStyle w:val="CommentReference"/>
        </w:rPr>
        <w:commentReference w:id="77"/>
      </w:r>
      <w:r w:rsidRPr="006626AF">
        <w:rPr>
          <w:rFonts w:ascii="Times New Roman" w:eastAsia="Calibri" w:hAnsi="Times New Roman" w:cs="Times New Roman"/>
          <w:sz w:val="24"/>
          <w:szCs w:val="24"/>
        </w:rPr>
        <w:t>correlation is well established and justified for reference formu</w:t>
      </w:r>
      <w:r w:rsidR="00A97BF3" w:rsidRPr="006626AF">
        <w:rPr>
          <w:rFonts w:ascii="Times New Roman" w:eastAsia="Calibri" w:hAnsi="Times New Roman" w:cs="Times New Roman"/>
          <w:sz w:val="24"/>
          <w:szCs w:val="24"/>
        </w:rPr>
        <w:t>lation</w:t>
      </w:r>
      <w:r w:rsidRPr="006626AF">
        <w:rPr>
          <w:rFonts w:ascii="Times New Roman" w:eastAsia="Calibri" w:hAnsi="Times New Roman" w:cs="Times New Roman"/>
          <w:sz w:val="24"/>
          <w:szCs w:val="24"/>
        </w:rPr>
        <w:t xml:space="preserve"> by level A correlation.</w:t>
      </w:r>
    </w:p>
    <w:p w:rsidR="00BC0539" w:rsidRPr="006626AF" w:rsidRDefault="00BC0539" w:rsidP="006626AF">
      <w:pPr>
        <w:autoSpaceDE w:val="0"/>
        <w:autoSpaceDN w:val="0"/>
        <w:adjustRightInd w:val="0"/>
        <w:spacing w:after="0"/>
        <w:jc w:val="both"/>
        <w:rPr>
          <w:rFonts w:ascii="Times New Roman" w:eastAsia="Calibri" w:hAnsi="Times New Roman" w:cs="Times New Roman"/>
          <w:sz w:val="24"/>
          <w:szCs w:val="24"/>
          <w:highlight w:val="red"/>
        </w:rPr>
      </w:pPr>
      <w:r w:rsidRPr="006626AF">
        <w:rPr>
          <w:rFonts w:ascii="Times New Roman" w:eastAsia="Calibri" w:hAnsi="Times New Roman" w:cs="Times New Roman"/>
          <w:sz w:val="24"/>
          <w:szCs w:val="24"/>
        </w:rPr>
        <w:t xml:space="preserve">By applying analysis of variance (ANOVA) for </w:t>
      </w:r>
      <w:commentRangeStart w:id="78"/>
      <w:r w:rsidRPr="006626AF">
        <w:rPr>
          <w:rFonts w:ascii="Times New Roman" w:eastAsia="Calibri" w:hAnsi="Times New Roman" w:cs="Times New Roman"/>
          <w:sz w:val="24"/>
          <w:szCs w:val="24"/>
        </w:rPr>
        <w:t>thedissolution</w:t>
      </w:r>
      <w:commentRangeEnd w:id="78"/>
      <w:r w:rsidR="005F54CA">
        <w:rPr>
          <w:rStyle w:val="CommentReference"/>
        </w:rPr>
        <w:commentReference w:id="78"/>
      </w:r>
      <w:r w:rsidRPr="006626AF">
        <w:rPr>
          <w:rFonts w:ascii="Times New Roman" w:eastAsia="Calibri" w:hAnsi="Times New Roman" w:cs="Times New Roman"/>
          <w:sz w:val="24"/>
          <w:szCs w:val="24"/>
        </w:rPr>
        <w:t xml:space="preserve"> data using MINITAB 14 we concluded that the test products are bioequivalent to reference products of metronidazole and could be interchangeable. </w:t>
      </w:r>
    </w:p>
    <w:p w:rsidR="00006908" w:rsidRPr="006626AF" w:rsidRDefault="00006908" w:rsidP="006626AF">
      <w:pPr>
        <w:autoSpaceDE w:val="0"/>
        <w:autoSpaceDN w:val="0"/>
        <w:adjustRightInd w:val="0"/>
        <w:spacing w:after="0"/>
        <w:jc w:val="both"/>
        <w:rPr>
          <w:rFonts w:ascii="Times New Roman" w:hAnsi="Times New Roman" w:cs="Times New Roman"/>
          <w:b/>
          <w:bCs/>
          <w:sz w:val="24"/>
          <w:szCs w:val="24"/>
        </w:rPr>
      </w:pPr>
      <w:r w:rsidRPr="006626AF">
        <w:rPr>
          <w:rFonts w:ascii="Times New Roman" w:hAnsi="Times New Roman" w:cs="Times New Roman"/>
          <w:b/>
          <w:bCs/>
          <w:sz w:val="24"/>
          <w:szCs w:val="24"/>
        </w:rPr>
        <w:t xml:space="preserve">ACKNOWLEDGEMENT </w:t>
      </w:r>
    </w:p>
    <w:p w:rsidR="00006908" w:rsidRPr="006626AF" w:rsidRDefault="00006908" w:rsidP="006626AF">
      <w:pPr>
        <w:autoSpaceDE w:val="0"/>
        <w:autoSpaceDN w:val="0"/>
        <w:adjustRightInd w:val="0"/>
        <w:spacing w:after="0"/>
        <w:jc w:val="both"/>
        <w:rPr>
          <w:rFonts w:ascii="Times New Roman" w:hAnsi="Times New Roman" w:cs="Times New Roman"/>
          <w:sz w:val="24"/>
          <w:szCs w:val="24"/>
        </w:rPr>
      </w:pPr>
      <w:r w:rsidRPr="006626AF">
        <w:rPr>
          <w:rFonts w:ascii="Times New Roman" w:hAnsi="Times New Roman" w:cs="Times New Roman"/>
          <w:sz w:val="24"/>
          <w:szCs w:val="24"/>
        </w:rPr>
        <w:t xml:space="preserve">The authors are thankful to wish to Azal Industries, Khartoum, Sudan, for providing the gift sample of </w:t>
      </w:r>
      <w:r w:rsidR="006E6CD1" w:rsidRPr="006626AF">
        <w:rPr>
          <w:rFonts w:ascii="Times New Roman" w:eastAsia="Calibri" w:hAnsi="Times New Roman" w:cs="Times New Roman"/>
          <w:sz w:val="24"/>
          <w:szCs w:val="24"/>
        </w:rPr>
        <w:t>Metronidazole</w:t>
      </w:r>
      <w:r w:rsidRPr="006626AF">
        <w:rPr>
          <w:rFonts w:ascii="Times New Roman" w:eastAsia="Calibri" w:hAnsi="Times New Roman" w:cs="Times New Roman"/>
          <w:sz w:val="24"/>
          <w:szCs w:val="24"/>
        </w:rPr>
        <w:t xml:space="preserve"> (standard)</w:t>
      </w:r>
      <w:r w:rsidRPr="006626AF">
        <w:rPr>
          <w:rFonts w:ascii="Times New Roman" w:hAnsi="Times New Roman" w:cs="Times New Roman"/>
          <w:sz w:val="24"/>
          <w:szCs w:val="24"/>
        </w:rPr>
        <w:t xml:space="preserve">. </w:t>
      </w:r>
    </w:p>
    <w:p w:rsidR="00006908" w:rsidRPr="006626AF" w:rsidRDefault="00006908" w:rsidP="006626AF">
      <w:pPr>
        <w:autoSpaceDE w:val="0"/>
        <w:autoSpaceDN w:val="0"/>
        <w:adjustRightInd w:val="0"/>
        <w:spacing w:after="0"/>
        <w:jc w:val="both"/>
        <w:rPr>
          <w:rFonts w:ascii="Times New Roman" w:hAnsi="Times New Roman" w:cs="Times New Roman"/>
          <w:b/>
          <w:bCs/>
          <w:sz w:val="24"/>
          <w:szCs w:val="24"/>
        </w:rPr>
      </w:pPr>
      <w:r w:rsidRPr="006626AF">
        <w:rPr>
          <w:rFonts w:ascii="Times New Roman" w:hAnsi="Times New Roman" w:cs="Times New Roman"/>
          <w:b/>
          <w:bCs/>
          <w:sz w:val="24"/>
          <w:szCs w:val="24"/>
        </w:rPr>
        <w:t xml:space="preserve">COMPETING INTERESTS </w:t>
      </w:r>
    </w:p>
    <w:p w:rsidR="00006908" w:rsidRPr="006626AF" w:rsidRDefault="00006908" w:rsidP="006626AF">
      <w:pPr>
        <w:autoSpaceDE w:val="0"/>
        <w:autoSpaceDN w:val="0"/>
        <w:adjustRightInd w:val="0"/>
        <w:spacing w:after="0"/>
        <w:jc w:val="both"/>
        <w:rPr>
          <w:rFonts w:ascii="Times New Roman" w:eastAsia="Calibri" w:hAnsi="Times New Roman" w:cs="Times New Roman"/>
          <w:sz w:val="24"/>
          <w:szCs w:val="24"/>
          <w:highlight w:val="red"/>
        </w:rPr>
      </w:pPr>
      <w:r w:rsidRPr="006626AF">
        <w:rPr>
          <w:rFonts w:ascii="Times New Roman" w:hAnsi="Times New Roman" w:cs="Times New Roman"/>
          <w:sz w:val="24"/>
          <w:szCs w:val="24"/>
        </w:rPr>
        <w:t>The authors declare that they have no competing interests.</w:t>
      </w:r>
    </w:p>
    <w:p w:rsidR="00A97BF3" w:rsidRPr="006B2B01" w:rsidRDefault="00A97BF3" w:rsidP="006B2B01">
      <w:pPr>
        <w:autoSpaceDE w:val="0"/>
        <w:autoSpaceDN w:val="0"/>
        <w:adjustRightInd w:val="0"/>
        <w:spacing w:after="0"/>
        <w:jc w:val="both"/>
        <w:rPr>
          <w:rFonts w:ascii="Times New Roman" w:eastAsia="Calibri" w:hAnsi="Times New Roman" w:cs="Times New Roman"/>
          <w:sz w:val="24"/>
          <w:szCs w:val="24"/>
          <w:highlight w:val="red"/>
        </w:rPr>
      </w:pPr>
    </w:p>
    <w:p w:rsidR="00BC0539" w:rsidRPr="006B2B01" w:rsidRDefault="00006908" w:rsidP="006B2B01">
      <w:pPr>
        <w:spacing w:after="0"/>
        <w:rPr>
          <w:rFonts w:ascii="Times New Roman" w:eastAsia="Calibri" w:hAnsi="Times New Roman" w:cs="Times New Roman"/>
          <w:b/>
          <w:bCs/>
          <w:sz w:val="24"/>
          <w:szCs w:val="24"/>
        </w:rPr>
      </w:pPr>
      <w:commentRangeStart w:id="79"/>
      <w:commentRangeStart w:id="80"/>
      <w:commentRangeStart w:id="81"/>
      <w:r>
        <w:rPr>
          <w:rFonts w:ascii="Times New Roman" w:eastAsia="Calibri" w:hAnsi="Times New Roman" w:cs="Times New Roman"/>
          <w:b/>
          <w:bCs/>
          <w:sz w:val="24"/>
          <w:szCs w:val="24"/>
        </w:rPr>
        <w:t>REFER</w:t>
      </w:r>
      <w:commentRangeEnd w:id="79"/>
      <w:commentRangeEnd w:id="80"/>
      <w:r w:rsidR="002209EE">
        <w:rPr>
          <w:rStyle w:val="CommentReference"/>
        </w:rPr>
        <w:commentReference w:id="79"/>
      </w:r>
      <w:r w:rsidR="00761F26">
        <w:rPr>
          <w:rStyle w:val="CommentReference"/>
        </w:rPr>
        <w:commentReference w:id="80"/>
      </w:r>
      <w:r>
        <w:rPr>
          <w:rFonts w:ascii="Times New Roman" w:eastAsia="Calibri" w:hAnsi="Times New Roman" w:cs="Times New Roman"/>
          <w:b/>
          <w:bCs/>
          <w:sz w:val="24"/>
          <w:szCs w:val="24"/>
        </w:rPr>
        <w:t>ENCES</w:t>
      </w:r>
      <w:r w:rsidR="00C77863" w:rsidRPr="006B2B01">
        <w:rPr>
          <w:rFonts w:ascii="Times New Roman" w:eastAsia="Calibri" w:hAnsi="Times New Roman" w:cs="Times New Roman"/>
          <w:b/>
          <w:bCs/>
          <w:sz w:val="24"/>
          <w:szCs w:val="24"/>
        </w:rPr>
        <w:t>:</w:t>
      </w:r>
      <w:commentRangeEnd w:id="81"/>
      <w:r w:rsidR="00F83400">
        <w:rPr>
          <w:rStyle w:val="CommentReference"/>
        </w:rPr>
        <w:commentReference w:id="81"/>
      </w:r>
    </w:p>
    <w:p w:rsidR="00C77863" w:rsidRPr="006B2B01" w:rsidRDefault="00C77863" w:rsidP="006E0FCE">
      <w:pPr>
        <w:spacing w:after="0"/>
        <w:jc w:val="both"/>
        <w:rPr>
          <w:rFonts w:ascii="Times New Roman" w:eastAsia="Calibri" w:hAnsi="Times New Roman" w:cs="Times New Roman"/>
          <w:sz w:val="24"/>
          <w:szCs w:val="24"/>
        </w:rPr>
      </w:pPr>
      <w:r w:rsidRPr="006B2B01">
        <w:rPr>
          <w:rFonts w:ascii="Times New Roman" w:eastAsia="Calibri" w:hAnsi="Times New Roman" w:cs="Times New Roman"/>
          <w:b/>
          <w:bCs/>
          <w:sz w:val="24"/>
          <w:szCs w:val="24"/>
        </w:rPr>
        <w:t>Amidon,  G. L</w:t>
      </w:r>
      <w:r w:rsidRPr="006B2B01">
        <w:rPr>
          <w:rFonts w:ascii="Times New Roman" w:eastAsia="Calibri" w:hAnsi="Times New Roman" w:cs="Times New Roman"/>
          <w:sz w:val="24"/>
          <w:szCs w:val="24"/>
        </w:rPr>
        <w:t xml:space="preserve">., Lennernas. H., V. P. Shah, V. P., and  Crison J. R., "A Theoretical Basis For a Biopharmaceutic Drug Classification: The Correlation of </w:t>
      </w:r>
      <w:commentRangeStart w:id="82"/>
      <w:r w:rsidRPr="006B2B01">
        <w:rPr>
          <w:rFonts w:ascii="Times New Roman" w:eastAsia="Calibri" w:hAnsi="Times New Roman" w:cs="Times New Roman"/>
          <w:sz w:val="24"/>
          <w:szCs w:val="24"/>
        </w:rPr>
        <w:t xml:space="preserve">In Vitro </w:t>
      </w:r>
      <w:commentRangeEnd w:id="82"/>
      <w:r w:rsidR="005F54CA">
        <w:rPr>
          <w:rStyle w:val="CommentReference"/>
        </w:rPr>
        <w:commentReference w:id="82"/>
      </w:r>
      <w:r w:rsidRPr="006B2B01">
        <w:rPr>
          <w:rFonts w:ascii="Times New Roman" w:eastAsia="Calibri" w:hAnsi="Times New Roman" w:cs="Times New Roman"/>
          <w:sz w:val="24"/>
          <w:szCs w:val="24"/>
        </w:rPr>
        <w:t>Drug Product Dissolution and In Vivo Bioavailability," Pharmaceutical Research,(1995 );12:413-420.</w:t>
      </w:r>
    </w:p>
    <w:p w:rsidR="00C77863" w:rsidRPr="006B2B01" w:rsidRDefault="00C77863" w:rsidP="006E0FCE">
      <w:pPr>
        <w:spacing w:after="0"/>
        <w:jc w:val="both"/>
        <w:rPr>
          <w:rFonts w:ascii="Times New Roman" w:eastAsia="Calibri" w:hAnsi="Times New Roman" w:cs="Times New Roman"/>
          <w:sz w:val="24"/>
          <w:szCs w:val="24"/>
        </w:rPr>
      </w:pPr>
      <w:r w:rsidRPr="006B2B01">
        <w:rPr>
          <w:rFonts w:ascii="Times New Roman" w:eastAsia="Calibri" w:hAnsi="Times New Roman" w:cs="Times New Roman"/>
          <w:b/>
          <w:bCs/>
          <w:sz w:val="24"/>
          <w:szCs w:val="24"/>
        </w:rPr>
        <w:t>Anderson N.H.</w:t>
      </w:r>
      <w:r w:rsidRPr="006B2B01">
        <w:rPr>
          <w:rFonts w:ascii="Times New Roman" w:eastAsia="Calibri" w:hAnsi="Times New Roman" w:cs="Times New Roman"/>
          <w:sz w:val="24"/>
          <w:szCs w:val="24"/>
        </w:rPr>
        <w:t>, Bauer M., Boussac N., Khan-Malek R., MundenPandSardaro M., " An evaluation of fit factors and dissolution efficiency for the comparison of in vitro dissolution profiles. Journal of Pharmaceutical and Biomedical Analysis, (1998); 17 (4-5): 811-822.</w:t>
      </w:r>
    </w:p>
    <w:p w:rsidR="00C77863" w:rsidRPr="006B2B01" w:rsidRDefault="00C77863" w:rsidP="006E0FCE">
      <w:pPr>
        <w:spacing w:after="0"/>
        <w:jc w:val="both"/>
        <w:rPr>
          <w:rFonts w:ascii="Times New Roman" w:eastAsia="Calibri" w:hAnsi="Times New Roman" w:cs="Times New Roman"/>
          <w:sz w:val="24"/>
          <w:szCs w:val="24"/>
        </w:rPr>
      </w:pPr>
      <w:r w:rsidRPr="006B2B01">
        <w:rPr>
          <w:rFonts w:ascii="Times New Roman" w:eastAsia="Calibri" w:hAnsi="Times New Roman" w:cs="Times New Roman"/>
          <w:b/>
          <w:bCs/>
          <w:sz w:val="24"/>
          <w:szCs w:val="24"/>
        </w:rPr>
        <w:t>Chen,J.C.</w:t>
      </w:r>
      <w:r w:rsidRPr="006B2B01">
        <w:rPr>
          <w:rFonts w:ascii="Times New Roman" w:eastAsia="Calibri" w:hAnsi="Times New Roman" w:cs="Times New Roman"/>
          <w:sz w:val="24"/>
          <w:szCs w:val="24"/>
        </w:rPr>
        <w:t>, Chiu, M.H., Nie, R.L. Cordell, G.A. and Qius, S.X., Cucurbitacine and cucurbitane glycosides: structure and biological activities. Nat Prod Rep, (2005); 22(3): 386-99.</w:t>
      </w:r>
    </w:p>
    <w:p w:rsidR="00C77863" w:rsidRPr="006B2B01" w:rsidRDefault="00C77863" w:rsidP="006E0FCE">
      <w:pPr>
        <w:spacing w:after="0"/>
        <w:jc w:val="both"/>
        <w:rPr>
          <w:rFonts w:ascii="Times New Roman" w:eastAsia="Calibri" w:hAnsi="Times New Roman" w:cs="Times New Roman"/>
          <w:sz w:val="24"/>
          <w:szCs w:val="24"/>
        </w:rPr>
      </w:pPr>
      <w:r w:rsidRPr="006B2B01">
        <w:rPr>
          <w:rFonts w:ascii="Times New Roman" w:eastAsia="Calibri" w:hAnsi="Times New Roman" w:cs="Times New Roman"/>
          <w:b/>
          <w:bCs/>
          <w:sz w:val="24"/>
          <w:szCs w:val="24"/>
        </w:rPr>
        <w:t>FDA</w:t>
      </w:r>
      <w:r w:rsidRPr="006B2B01">
        <w:rPr>
          <w:rFonts w:ascii="Times New Roman" w:eastAsia="Calibri" w:hAnsi="Times New Roman" w:cs="Times New Roman"/>
          <w:sz w:val="24"/>
          <w:szCs w:val="24"/>
        </w:rPr>
        <w:t xml:space="preserve">, Center for Drug Evaluation and Research, Guidance for Industry: Immediate Release Solid Oral Dosage Forms. </w:t>
      </w:r>
      <w:commentRangeStart w:id="83"/>
      <w:r w:rsidRPr="006B2B01">
        <w:rPr>
          <w:rFonts w:ascii="Times New Roman" w:eastAsia="Calibri" w:hAnsi="Times New Roman" w:cs="Times New Roman"/>
          <w:sz w:val="24"/>
          <w:szCs w:val="24"/>
        </w:rPr>
        <w:t xml:space="preserve">In Vitro </w:t>
      </w:r>
      <w:commentRangeEnd w:id="83"/>
      <w:r w:rsidR="005F54CA">
        <w:rPr>
          <w:rStyle w:val="CommentReference"/>
        </w:rPr>
        <w:commentReference w:id="83"/>
      </w:r>
      <w:r w:rsidRPr="006B2B01">
        <w:rPr>
          <w:rFonts w:ascii="Times New Roman" w:eastAsia="Calibri" w:hAnsi="Times New Roman" w:cs="Times New Roman"/>
          <w:sz w:val="24"/>
          <w:szCs w:val="24"/>
        </w:rPr>
        <w:t>Dissolution Testing, and In Vivo Bioequivalence Documentation [SUPAC-IR], (1995).</w:t>
      </w:r>
    </w:p>
    <w:p w:rsidR="00C77863" w:rsidRPr="006B2B01" w:rsidRDefault="00C77863" w:rsidP="006E0FCE">
      <w:pPr>
        <w:spacing w:after="0"/>
        <w:jc w:val="both"/>
        <w:rPr>
          <w:rFonts w:ascii="Times New Roman" w:eastAsia="Calibri" w:hAnsi="Times New Roman" w:cs="Times New Roman"/>
          <w:sz w:val="24"/>
          <w:szCs w:val="24"/>
        </w:rPr>
      </w:pPr>
      <w:r w:rsidRPr="006B2B01">
        <w:rPr>
          <w:rFonts w:ascii="Times New Roman" w:eastAsia="Calibri" w:hAnsi="Times New Roman" w:cs="Times New Roman"/>
          <w:b/>
          <w:bCs/>
          <w:sz w:val="24"/>
          <w:szCs w:val="24"/>
        </w:rPr>
        <w:t>Jayaprakasam,B.</w:t>
      </w:r>
      <w:r w:rsidRPr="006B2B01">
        <w:rPr>
          <w:rFonts w:ascii="Times New Roman" w:eastAsia="Calibri" w:hAnsi="Times New Roman" w:cs="Times New Roman"/>
          <w:sz w:val="24"/>
          <w:szCs w:val="24"/>
        </w:rPr>
        <w:t>, Seeram, N.P. and Nairs M.G., Anticancer and anti-inflammatory activities of cucurbitacins from cucurbitaandreana. Cancer Lett,(2003); 189(1): 6-11.</w:t>
      </w:r>
    </w:p>
    <w:p w:rsidR="00BC0539" w:rsidRPr="006B2B01" w:rsidRDefault="00A97BF3" w:rsidP="006E0FCE">
      <w:pPr>
        <w:tabs>
          <w:tab w:val="left" w:pos="-1440"/>
        </w:tabs>
        <w:bidi/>
        <w:spacing w:after="0"/>
        <w:ind w:left="2160" w:hanging="1440"/>
        <w:jc w:val="both"/>
        <w:rPr>
          <w:rFonts w:ascii="Times New Roman" w:eastAsia="Calibri" w:hAnsi="Times New Roman" w:cs="Times New Roman"/>
          <w:sz w:val="24"/>
          <w:szCs w:val="24"/>
        </w:rPr>
      </w:pPr>
      <w:r w:rsidRPr="006B2B01">
        <w:rPr>
          <w:rFonts w:ascii="Times New Roman" w:hAnsi="Times New Roman" w:cs="Times New Roman"/>
          <w:b/>
          <w:bCs/>
          <w:sz w:val="24"/>
          <w:szCs w:val="24"/>
        </w:rPr>
        <w:t xml:space="preserve">Raimar,L., </w:t>
      </w:r>
      <w:r w:rsidRPr="006B2B01">
        <w:rPr>
          <w:rFonts w:ascii="Times New Roman" w:hAnsi="Times New Roman" w:cs="Times New Roman"/>
          <w:sz w:val="24"/>
          <w:szCs w:val="24"/>
        </w:rPr>
        <w:t>Nadia, B. C., Erika S., Stippler, V. P., Shah, A.J. , Destefano, W. W. H., and Roger L. W." To ward Global Standards for Comparator Pharmaceutical Products: Case Studies of  moxicillin, Metronidazole, and Zidovudine in the America" Journal of American Association PharmaceuticalScientiest.Volume: 2012; (14) : 462–472 .</w:t>
      </w:r>
    </w:p>
    <w:p w:rsidR="006626AF" w:rsidRDefault="006626AF" w:rsidP="006E0FCE">
      <w:pPr>
        <w:spacing w:after="0"/>
        <w:jc w:val="both"/>
        <w:rPr>
          <w:rFonts w:ascii="Times New Roman" w:hAnsi="Times New Roman" w:cs="Times New Roman"/>
          <w:b/>
          <w:bCs/>
          <w:sz w:val="24"/>
          <w:szCs w:val="24"/>
        </w:rPr>
      </w:pPr>
    </w:p>
    <w:p w:rsidR="006E0FCE" w:rsidRPr="006B2B01" w:rsidRDefault="006E0FCE" w:rsidP="006E0FCE">
      <w:pPr>
        <w:spacing w:after="0"/>
        <w:jc w:val="both"/>
        <w:rPr>
          <w:rFonts w:ascii="Times New Roman" w:hAnsi="Times New Roman" w:cs="Times New Roman"/>
          <w:b/>
          <w:bCs/>
          <w:sz w:val="24"/>
          <w:szCs w:val="24"/>
        </w:rPr>
      </w:pPr>
      <w:commentRangeStart w:id="84"/>
      <w:r w:rsidRPr="006B2B01">
        <w:rPr>
          <w:rFonts w:ascii="Times New Roman" w:hAnsi="Times New Roman" w:cs="Times New Roman"/>
          <w:b/>
          <w:bCs/>
          <w:sz w:val="24"/>
          <w:szCs w:val="24"/>
        </w:rPr>
        <w:t xml:space="preserve">Table (1): </w:t>
      </w:r>
      <w:commentRangeStart w:id="85"/>
      <w:r w:rsidRPr="006B2B01">
        <w:rPr>
          <w:rFonts w:ascii="Times New Roman" w:hAnsi="Times New Roman" w:cs="Times New Roman"/>
          <w:b/>
          <w:bCs/>
          <w:sz w:val="24"/>
          <w:szCs w:val="24"/>
        </w:rPr>
        <w:t xml:space="preserve">Materials </w:t>
      </w:r>
    </w:p>
    <w:tbl>
      <w:tblPr>
        <w:tblStyle w:val="LightGrid-Accent2"/>
        <w:bidiVisual/>
        <w:tblW w:w="0" w:type="auto"/>
        <w:tblLayout w:type="fixed"/>
        <w:tblLook w:val="0000"/>
      </w:tblPr>
      <w:tblGrid>
        <w:gridCol w:w="1276"/>
        <w:gridCol w:w="1447"/>
        <w:gridCol w:w="1440"/>
        <w:gridCol w:w="3420"/>
        <w:gridCol w:w="1890"/>
      </w:tblGrid>
      <w:tr w:rsidR="006E0FCE" w:rsidRPr="006B2B01" w:rsidTr="00B63C0F">
        <w:trPr>
          <w:cnfStyle w:val="000000100000"/>
        </w:trPr>
        <w:tc>
          <w:tcPr>
            <w:cnfStyle w:val="000010000000"/>
            <w:tcW w:w="1276"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b/>
                <w:sz w:val="24"/>
                <w:szCs w:val="24"/>
              </w:rPr>
              <w:t>Expiry date</w:t>
            </w:r>
          </w:p>
        </w:tc>
        <w:tc>
          <w:tcPr>
            <w:tcW w:w="1447"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b/>
                <w:sz w:val="24"/>
                <w:szCs w:val="24"/>
              </w:rPr>
              <w:t>Production date</w:t>
            </w:r>
          </w:p>
        </w:tc>
        <w:tc>
          <w:tcPr>
            <w:cnfStyle w:val="000010000000"/>
            <w:tcW w:w="144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b/>
                <w:sz w:val="24"/>
                <w:szCs w:val="24"/>
              </w:rPr>
              <w:t>Batch number</w:t>
            </w:r>
          </w:p>
        </w:tc>
        <w:tc>
          <w:tcPr>
            <w:tcW w:w="3420"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b/>
                <w:sz w:val="24"/>
                <w:szCs w:val="24"/>
              </w:rPr>
              <w:t>Manufacture</w:t>
            </w:r>
          </w:p>
        </w:tc>
        <w:tc>
          <w:tcPr>
            <w:cnfStyle w:val="000010000000"/>
            <w:tcW w:w="189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b/>
                <w:sz w:val="24"/>
                <w:szCs w:val="24"/>
              </w:rPr>
              <w:t>Name</w:t>
            </w:r>
          </w:p>
        </w:tc>
      </w:tr>
      <w:tr w:rsidR="006E0FCE" w:rsidRPr="006B2B01" w:rsidTr="00B63C0F">
        <w:trPr>
          <w:cnfStyle w:val="000000010000"/>
        </w:trPr>
        <w:tc>
          <w:tcPr>
            <w:cnfStyle w:val="000010000000"/>
            <w:tcW w:w="1276" w:type="dxa"/>
          </w:tcPr>
          <w:p w:rsidR="006E0FCE" w:rsidRPr="006B2B01" w:rsidRDefault="006E0FCE" w:rsidP="00B63C0F">
            <w:pPr>
              <w:jc w:val="center"/>
              <w:rPr>
                <w:rFonts w:ascii="Times New Roman" w:eastAsia="Calibri" w:hAnsi="Times New Roman" w:cs="Times New Roman"/>
                <w:color w:val="FF0000"/>
                <w:sz w:val="24"/>
                <w:szCs w:val="24"/>
              </w:rPr>
            </w:pPr>
            <w:r w:rsidRPr="006B2B01">
              <w:rPr>
                <w:rFonts w:ascii="Times New Roman" w:eastAsia="Calibri" w:hAnsi="Times New Roman" w:cs="Times New Roman"/>
                <w:color w:val="FF0000"/>
                <w:sz w:val="24"/>
                <w:szCs w:val="24"/>
              </w:rPr>
              <w:t>2/2018</w:t>
            </w:r>
          </w:p>
        </w:tc>
        <w:tc>
          <w:tcPr>
            <w:tcW w:w="1447"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2/2013</w:t>
            </w:r>
          </w:p>
        </w:tc>
        <w:tc>
          <w:tcPr>
            <w:cnfStyle w:val="000010000000"/>
            <w:tcW w:w="1440" w:type="dxa"/>
          </w:tcPr>
          <w:p w:rsidR="006E0FCE" w:rsidRPr="006B2B01" w:rsidRDefault="006E0FCE" w:rsidP="00B63C0F">
            <w:pPr>
              <w:tabs>
                <w:tab w:val="left" w:pos="1064"/>
              </w:tabs>
              <w:jc w:val="center"/>
              <w:rPr>
                <w:rFonts w:ascii="Times New Roman" w:eastAsia="Calibri" w:hAnsi="Times New Roman" w:cs="Times New Roman"/>
                <w:sz w:val="24"/>
                <w:szCs w:val="24"/>
                <w:rtl/>
              </w:rPr>
            </w:pPr>
            <w:r w:rsidRPr="006B2B01">
              <w:rPr>
                <w:rFonts w:ascii="Times New Roman" w:eastAsia="Calibri" w:hAnsi="Times New Roman" w:cs="Times New Roman"/>
                <w:sz w:val="24"/>
                <w:szCs w:val="24"/>
              </w:rPr>
              <w:t>3020142</w:t>
            </w:r>
          </w:p>
        </w:tc>
        <w:tc>
          <w:tcPr>
            <w:tcW w:w="3420" w:type="dxa"/>
          </w:tcPr>
          <w:p w:rsidR="006E0FCE" w:rsidRPr="006B2B01" w:rsidRDefault="006E0FCE" w:rsidP="00B63C0F">
            <w:pPr>
              <w:jc w:val="center"/>
              <w:cnfStyle w:val="00000001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AzalPharma Industries CO.LTD-Sudan</w:t>
            </w:r>
          </w:p>
        </w:tc>
        <w:tc>
          <w:tcPr>
            <w:cnfStyle w:val="000010000000"/>
            <w:tcW w:w="189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Metronidazole</w:t>
            </w:r>
          </w:p>
          <w:p w:rsidR="006E0FCE" w:rsidRPr="006B2B01" w:rsidRDefault="006E0FCE" w:rsidP="00B63C0F">
            <w:pPr>
              <w:jc w:val="center"/>
              <w:rPr>
                <w:rFonts w:ascii="Times New Roman" w:eastAsia="Calibri" w:hAnsi="Times New Roman" w:cs="Times New Roman"/>
                <w:sz w:val="24"/>
                <w:szCs w:val="24"/>
                <w:rtl/>
              </w:rPr>
            </w:pPr>
            <w:r w:rsidRPr="006B2B01">
              <w:rPr>
                <w:rFonts w:ascii="Times New Roman" w:eastAsia="Calibri" w:hAnsi="Times New Roman" w:cs="Times New Roman"/>
                <w:sz w:val="24"/>
                <w:szCs w:val="24"/>
              </w:rPr>
              <w:t>(standard)</w:t>
            </w:r>
          </w:p>
        </w:tc>
      </w:tr>
      <w:tr w:rsidR="006E0FCE" w:rsidRPr="006B2B01" w:rsidTr="00B63C0F">
        <w:trPr>
          <w:cnfStyle w:val="000000100000"/>
        </w:trPr>
        <w:tc>
          <w:tcPr>
            <w:cnfStyle w:val="000010000000"/>
            <w:tcW w:w="1276"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1/ 2019</w:t>
            </w:r>
          </w:p>
        </w:tc>
        <w:tc>
          <w:tcPr>
            <w:tcW w:w="1447"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4/ 2017</w:t>
            </w:r>
          </w:p>
        </w:tc>
        <w:tc>
          <w:tcPr>
            <w:cnfStyle w:val="000010000000"/>
            <w:tcW w:w="144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0155</w:t>
            </w:r>
          </w:p>
        </w:tc>
        <w:tc>
          <w:tcPr>
            <w:tcW w:w="3420"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Julphar-</w:t>
            </w:r>
          </w:p>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Gulf pharmaceutical industries,</w:t>
            </w:r>
          </w:p>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Ras Al Khaima,U.S.E</w:t>
            </w:r>
          </w:p>
        </w:tc>
        <w:tc>
          <w:tcPr>
            <w:cnfStyle w:val="000010000000"/>
            <w:tcW w:w="189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Negazole500 mg</w:t>
            </w:r>
          </w:p>
          <w:p w:rsidR="006E0FCE" w:rsidRPr="006B2B01" w:rsidRDefault="006E0FCE" w:rsidP="00B63C0F">
            <w:pPr>
              <w:jc w:val="center"/>
              <w:rPr>
                <w:rFonts w:ascii="Times New Roman" w:eastAsia="Calibri" w:hAnsi="Times New Roman" w:cs="Times New Roman"/>
                <w:sz w:val="24"/>
                <w:szCs w:val="24"/>
              </w:rPr>
            </w:pPr>
          </w:p>
        </w:tc>
      </w:tr>
      <w:tr w:rsidR="006E0FCE" w:rsidRPr="006B2B01" w:rsidTr="00B63C0F">
        <w:trPr>
          <w:cnfStyle w:val="000000010000"/>
        </w:trPr>
        <w:tc>
          <w:tcPr>
            <w:cnfStyle w:val="000010000000"/>
            <w:tcW w:w="1276"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8/2019</w:t>
            </w:r>
          </w:p>
        </w:tc>
        <w:tc>
          <w:tcPr>
            <w:tcW w:w="1447"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8/2017</w:t>
            </w:r>
          </w:p>
        </w:tc>
        <w:tc>
          <w:tcPr>
            <w:cnfStyle w:val="000010000000"/>
            <w:tcW w:w="144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170103</w:t>
            </w:r>
          </w:p>
        </w:tc>
        <w:tc>
          <w:tcPr>
            <w:tcW w:w="3420"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Blue Nile Pharmaceutical industries –Khartoum</w:t>
            </w:r>
          </w:p>
        </w:tc>
        <w:tc>
          <w:tcPr>
            <w:cnfStyle w:val="000010000000"/>
            <w:tcW w:w="189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Nilozol 500 mg</w:t>
            </w:r>
          </w:p>
        </w:tc>
      </w:tr>
      <w:tr w:rsidR="006E0FCE" w:rsidRPr="006B2B01" w:rsidTr="00B63C0F">
        <w:trPr>
          <w:cnfStyle w:val="000000100000"/>
        </w:trPr>
        <w:tc>
          <w:tcPr>
            <w:cnfStyle w:val="000010000000"/>
            <w:tcW w:w="1276"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5/2018</w:t>
            </w:r>
          </w:p>
        </w:tc>
        <w:tc>
          <w:tcPr>
            <w:tcW w:w="1447"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5/2016</w:t>
            </w:r>
          </w:p>
        </w:tc>
        <w:tc>
          <w:tcPr>
            <w:cnfStyle w:val="000010000000"/>
            <w:tcW w:w="144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TMF076</w:t>
            </w:r>
          </w:p>
        </w:tc>
        <w:tc>
          <w:tcPr>
            <w:tcW w:w="3420"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Consolidated pharmaceutical industries</w:t>
            </w:r>
          </w:p>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Khartoum-sudan</w:t>
            </w:r>
          </w:p>
        </w:tc>
        <w:tc>
          <w:tcPr>
            <w:cnfStyle w:val="000010000000"/>
            <w:tcW w:w="189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Metrodex 500mg</w:t>
            </w:r>
          </w:p>
        </w:tc>
      </w:tr>
    </w:tbl>
    <w:p w:rsidR="006E0FCE" w:rsidRDefault="006E0FCE" w:rsidP="006E0FCE">
      <w:pPr>
        <w:autoSpaceDE w:val="0"/>
        <w:autoSpaceDN w:val="0"/>
        <w:adjustRightInd w:val="0"/>
        <w:spacing w:after="0"/>
        <w:rPr>
          <w:rFonts w:ascii="Times New Roman" w:eastAsia="TimesNewRomanPSMT" w:hAnsi="Times New Roman" w:cs="Times New Roman"/>
          <w:b/>
          <w:bCs/>
          <w:sz w:val="24"/>
          <w:szCs w:val="24"/>
        </w:rPr>
      </w:pPr>
    </w:p>
    <w:p w:rsidR="006E0FCE" w:rsidRPr="006B2B01" w:rsidRDefault="006E0FCE" w:rsidP="006E0FCE">
      <w:pPr>
        <w:autoSpaceDE w:val="0"/>
        <w:autoSpaceDN w:val="0"/>
        <w:adjustRightInd w:val="0"/>
        <w:spacing w:after="0"/>
        <w:rPr>
          <w:rFonts w:ascii="Times New Roman" w:eastAsia="TimesNewRomanPSMT" w:hAnsi="Times New Roman" w:cs="Times New Roman"/>
          <w:b/>
          <w:bCs/>
          <w:sz w:val="24"/>
          <w:szCs w:val="24"/>
        </w:rPr>
      </w:pPr>
      <w:r w:rsidRPr="006B2B01">
        <w:rPr>
          <w:rFonts w:ascii="Times New Roman" w:eastAsia="TimesNewRomanPSMT" w:hAnsi="Times New Roman" w:cs="Times New Roman"/>
          <w:b/>
          <w:bCs/>
          <w:sz w:val="24"/>
          <w:szCs w:val="24"/>
        </w:rPr>
        <w:t>Table (2) : Instruments</w:t>
      </w:r>
    </w:p>
    <w:tbl>
      <w:tblPr>
        <w:tblStyle w:val="LightGrid-Accent2"/>
        <w:bidiVisual/>
        <w:tblW w:w="0" w:type="auto"/>
        <w:tblLook w:val="0000"/>
      </w:tblPr>
      <w:tblGrid>
        <w:gridCol w:w="1702"/>
        <w:gridCol w:w="2911"/>
        <w:gridCol w:w="2430"/>
        <w:gridCol w:w="2430"/>
      </w:tblGrid>
      <w:tr w:rsidR="006E0FCE" w:rsidRPr="006B2B01" w:rsidTr="00B63C0F">
        <w:trPr>
          <w:cnfStyle w:val="000000100000"/>
        </w:trPr>
        <w:tc>
          <w:tcPr>
            <w:cnfStyle w:val="000010000000"/>
            <w:tcW w:w="1702" w:type="dxa"/>
          </w:tcPr>
          <w:commentRangeEnd w:id="85"/>
          <w:p w:rsidR="006E0FCE" w:rsidRPr="006B2B01" w:rsidRDefault="002D2CCD" w:rsidP="00B63C0F">
            <w:pPr>
              <w:jc w:val="center"/>
              <w:rPr>
                <w:rFonts w:ascii="Times New Roman" w:eastAsia="Calibri" w:hAnsi="Times New Roman" w:cs="Times New Roman"/>
                <w:sz w:val="24"/>
                <w:szCs w:val="24"/>
              </w:rPr>
            </w:pPr>
            <w:r>
              <w:rPr>
                <w:rStyle w:val="CommentReference"/>
              </w:rPr>
              <w:commentReference w:id="85"/>
            </w:r>
            <w:r w:rsidR="006E0FCE" w:rsidRPr="006B2B01">
              <w:rPr>
                <w:rFonts w:ascii="Times New Roman" w:eastAsia="Calibri" w:hAnsi="Times New Roman" w:cs="Times New Roman"/>
                <w:b/>
                <w:sz w:val="24"/>
                <w:szCs w:val="24"/>
              </w:rPr>
              <w:t xml:space="preserve">Serial </w:t>
            </w:r>
            <w:r w:rsidR="006E0FCE" w:rsidRPr="006B2B01">
              <w:rPr>
                <w:rFonts w:ascii="Times New Roman" w:eastAsia="Calibri" w:hAnsi="Times New Roman" w:cs="Times New Roman"/>
                <w:b/>
                <w:sz w:val="24"/>
                <w:szCs w:val="24"/>
              </w:rPr>
              <w:lastRenderedPageBreak/>
              <w:t>Number</w:t>
            </w:r>
          </w:p>
        </w:tc>
        <w:tc>
          <w:tcPr>
            <w:tcW w:w="2911"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b/>
                <w:sz w:val="24"/>
                <w:szCs w:val="24"/>
              </w:rPr>
              <w:lastRenderedPageBreak/>
              <w:t>Name</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b/>
                <w:sz w:val="24"/>
                <w:szCs w:val="24"/>
              </w:rPr>
              <w:t>Production Country</w:t>
            </w:r>
          </w:p>
        </w:tc>
        <w:tc>
          <w:tcPr>
            <w:tcW w:w="2430"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b/>
                <w:sz w:val="24"/>
                <w:szCs w:val="24"/>
              </w:rPr>
              <w:t>Instrument</w:t>
            </w:r>
          </w:p>
        </w:tc>
      </w:tr>
      <w:tr w:rsidR="006E0FCE" w:rsidRPr="006B2B01" w:rsidTr="00B63C0F">
        <w:trPr>
          <w:cnfStyle w:val="000000010000"/>
        </w:trPr>
        <w:tc>
          <w:tcPr>
            <w:cnfStyle w:val="000010000000"/>
            <w:tcW w:w="1702"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lastRenderedPageBreak/>
              <w:t>AE 260-5 SNR K 3L1360</w:t>
            </w:r>
          </w:p>
        </w:tc>
        <w:tc>
          <w:tcPr>
            <w:tcW w:w="2911"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Metter instrument  AG</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Switzerland</w:t>
            </w:r>
          </w:p>
        </w:tc>
        <w:tc>
          <w:tcPr>
            <w:tcW w:w="2430"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Sensitive balance</w:t>
            </w:r>
          </w:p>
        </w:tc>
      </w:tr>
      <w:tr w:rsidR="006E0FCE" w:rsidRPr="006B2B01" w:rsidTr="00B63C0F">
        <w:trPr>
          <w:cnfStyle w:val="000000100000"/>
        </w:trPr>
        <w:tc>
          <w:tcPr>
            <w:cnfStyle w:val="000010000000"/>
            <w:tcW w:w="1702"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0415021320</w:t>
            </w:r>
          </w:p>
        </w:tc>
        <w:tc>
          <w:tcPr>
            <w:tcW w:w="2911"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Tianjin guoming medical equipment</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Pr>
            </w:pPr>
          </w:p>
        </w:tc>
        <w:tc>
          <w:tcPr>
            <w:tcW w:w="2430"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Automatic Tablet hardness tester</w:t>
            </w:r>
          </w:p>
        </w:tc>
      </w:tr>
      <w:tr w:rsidR="006E0FCE" w:rsidRPr="006B2B01" w:rsidTr="00B63C0F">
        <w:trPr>
          <w:cnfStyle w:val="000000010000"/>
        </w:trPr>
        <w:tc>
          <w:tcPr>
            <w:cnfStyle w:val="000010000000"/>
            <w:tcW w:w="1702"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123320.06  ad</w:t>
            </w:r>
          </w:p>
          <w:p w:rsidR="006E0FCE" w:rsidRPr="006B2B01" w:rsidRDefault="006E0FCE" w:rsidP="00B63C0F">
            <w:pPr>
              <w:jc w:val="center"/>
              <w:rPr>
                <w:rFonts w:ascii="Times New Roman" w:eastAsia="Calibri" w:hAnsi="Times New Roman" w:cs="Times New Roman"/>
                <w:sz w:val="24"/>
                <w:szCs w:val="24"/>
              </w:rPr>
            </w:pPr>
          </w:p>
        </w:tc>
        <w:tc>
          <w:tcPr>
            <w:tcW w:w="2911"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D-63150  Heusentamm</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Germany</w:t>
            </w:r>
          </w:p>
        </w:tc>
        <w:tc>
          <w:tcPr>
            <w:tcW w:w="2430"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Friability tester</w:t>
            </w:r>
          </w:p>
        </w:tc>
      </w:tr>
      <w:tr w:rsidR="006E0FCE" w:rsidRPr="006B2B01" w:rsidTr="00B63C0F">
        <w:trPr>
          <w:cnfStyle w:val="000000100000"/>
        </w:trPr>
        <w:tc>
          <w:tcPr>
            <w:cnfStyle w:val="000010000000"/>
            <w:tcW w:w="1702" w:type="dxa"/>
          </w:tcPr>
          <w:p w:rsidR="006E0FCE" w:rsidRPr="006B2B01" w:rsidRDefault="006E0FCE" w:rsidP="00B63C0F">
            <w:pPr>
              <w:jc w:val="center"/>
              <w:rPr>
                <w:rFonts w:ascii="Times New Roman" w:eastAsia="Calibri" w:hAnsi="Times New Roman" w:cs="Times New Roman"/>
                <w:sz w:val="24"/>
                <w:szCs w:val="24"/>
              </w:rPr>
            </w:pPr>
          </w:p>
        </w:tc>
        <w:tc>
          <w:tcPr>
            <w:tcW w:w="2911"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Erweka type DT 800 low head Heusrstarmm</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tl/>
              </w:rPr>
            </w:pPr>
          </w:p>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Germany</w:t>
            </w:r>
          </w:p>
        </w:tc>
        <w:tc>
          <w:tcPr>
            <w:tcW w:w="2430"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Dissolution tester</w:t>
            </w:r>
          </w:p>
        </w:tc>
      </w:tr>
      <w:tr w:rsidR="006E0FCE" w:rsidRPr="006B2B01" w:rsidTr="00B63C0F">
        <w:trPr>
          <w:cnfStyle w:val="000000010000"/>
        </w:trPr>
        <w:tc>
          <w:tcPr>
            <w:cnfStyle w:val="000010000000"/>
            <w:tcW w:w="1702" w:type="dxa"/>
          </w:tcPr>
          <w:p w:rsidR="006E0FCE" w:rsidRPr="006B2B01" w:rsidRDefault="006E0FCE" w:rsidP="00B63C0F">
            <w:pPr>
              <w:jc w:val="center"/>
              <w:rPr>
                <w:rFonts w:ascii="Times New Roman" w:eastAsia="Calibri" w:hAnsi="Times New Roman" w:cs="Times New Roman"/>
                <w:sz w:val="24"/>
                <w:szCs w:val="24"/>
              </w:rPr>
            </w:pPr>
          </w:p>
        </w:tc>
        <w:tc>
          <w:tcPr>
            <w:tcW w:w="2911"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erweka, TA120, ,Heusrstarmm</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Pr>
            </w:pPr>
            <w:commentRangeStart w:id="86"/>
            <w:r w:rsidRPr="006B2B01">
              <w:rPr>
                <w:rFonts w:ascii="Times New Roman" w:eastAsia="Calibri" w:hAnsi="Times New Roman" w:cs="Times New Roman"/>
                <w:sz w:val="24"/>
                <w:szCs w:val="24"/>
              </w:rPr>
              <w:t>germany</w:t>
            </w:r>
            <w:commentRangeEnd w:id="86"/>
            <w:r w:rsidR="002D2CCD">
              <w:rPr>
                <w:rStyle w:val="CommentReference"/>
              </w:rPr>
              <w:commentReference w:id="86"/>
            </w:r>
          </w:p>
        </w:tc>
        <w:tc>
          <w:tcPr>
            <w:tcW w:w="2430"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Disintegration tester</w:t>
            </w:r>
          </w:p>
          <w:p w:rsidR="006E0FCE" w:rsidRPr="006B2B01" w:rsidRDefault="006E0FCE" w:rsidP="00B63C0F">
            <w:pPr>
              <w:jc w:val="center"/>
              <w:cnfStyle w:val="000000010000"/>
              <w:rPr>
                <w:rFonts w:ascii="Times New Roman" w:eastAsia="Calibri" w:hAnsi="Times New Roman" w:cs="Times New Roman"/>
                <w:sz w:val="24"/>
                <w:szCs w:val="24"/>
              </w:rPr>
            </w:pPr>
          </w:p>
        </w:tc>
      </w:tr>
      <w:tr w:rsidR="006E0FCE" w:rsidRPr="006B2B01" w:rsidTr="00B63C0F">
        <w:trPr>
          <w:cnfStyle w:val="000000100000"/>
        </w:trPr>
        <w:tc>
          <w:tcPr>
            <w:cnfStyle w:val="000010000000"/>
            <w:tcW w:w="1702" w:type="dxa"/>
          </w:tcPr>
          <w:p w:rsidR="006E0FCE" w:rsidRPr="006B2B01" w:rsidRDefault="006E0FCE" w:rsidP="00B63C0F">
            <w:pPr>
              <w:jc w:val="center"/>
              <w:rPr>
                <w:rFonts w:ascii="Times New Roman" w:eastAsia="Calibri" w:hAnsi="Times New Roman" w:cs="Times New Roman"/>
                <w:sz w:val="24"/>
                <w:szCs w:val="24"/>
              </w:rPr>
            </w:pPr>
          </w:p>
        </w:tc>
        <w:tc>
          <w:tcPr>
            <w:tcW w:w="2911"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PH lab , 827, metrohm</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Switzerland</w:t>
            </w:r>
          </w:p>
        </w:tc>
        <w:tc>
          <w:tcPr>
            <w:tcW w:w="2430" w:type="dxa"/>
          </w:tcPr>
          <w:p w:rsidR="006E0FCE" w:rsidRPr="006B2B01" w:rsidRDefault="006E0FCE" w:rsidP="00B63C0F">
            <w:pPr>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PH Metter</w:t>
            </w:r>
          </w:p>
          <w:p w:rsidR="006E0FCE" w:rsidRPr="006B2B01" w:rsidRDefault="006E0FCE" w:rsidP="00B63C0F">
            <w:pPr>
              <w:jc w:val="center"/>
              <w:cnfStyle w:val="000000100000"/>
              <w:rPr>
                <w:rFonts w:ascii="Times New Roman" w:eastAsia="Calibri" w:hAnsi="Times New Roman" w:cs="Times New Roman"/>
                <w:sz w:val="24"/>
                <w:szCs w:val="24"/>
              </w:rPr>
            </w:pPr>
          </w:p>
        </w:tc>
      </w:tr>
      <w:tr w:rsidR="006E0FCE" w:rsidRPr="006B2B01" w:rsidTr="00B63C0F">
        <w:trPr>
          <w:cnfStyle w:val="000000010000"/>
        </w:trPr>
        <w:tc>
          <w:tcPr>
            <w:cnfStyle w:val="000010000000"/>
            <w:tcW w:w="1702" w:type="dxa"/>
          </w:tcPr>
          <w:p w:rsidR="006E0FCE" w:rsidRPr="006B2B01" w:rsidRDefault="006E0FCE" w:rsidP="00B63C0F">
            <w:pPr>
              <w:jc w:val="center"/>
              <w:rPr>
                <w:rFonts w:ascii="Times New Roman" w:eastAsia="Calibri" w:hAnsi="Times New Roman" w:cs="Times New Roman"/>
                <w:sz w:val="24"/>
                <w:szCs w:val="24"/>
              </w:rPr>
            </w:pPr>
          </w:p>
        </w:tc>
        <w:tc>
          <w:tcPr>
            <w:tcW w:w="2911"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UV min 1240,</w:t>
            </w:r>
          </w:p>
        </w:tc>
        <w:tc>
          <w:tcPr>
            <w:cnfStyle w:val="000010000000"/>
            <w:tcW w:w="2430" w:type="dxa"/>
          </w:tcPr>
          <w:p w:rsidR="006E0FCE" w:rsidRPr="006B2B01" w:rsidRDefault="006E0FCE" w:rsidP="00B63C0F">
            <w:pPr>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Shimadzu, Japan</w:t>
            </w:r>
          </w:p>
        </w:tc>
        <w:tc>
          <w:tcPr>
            <w:tcW w:w="2430" w:type="dxa"/>
          </w:tcPr>
          <w:p w:rsidR="006E0FCE" w:rsidRPr="006B2B01" w:rsidRDefault="006E0FCE" w:rsidP="00B63C0F">
            <w:pPr>
              <w:jc w:val="center"/>
              <w:cnfStyle w:val="000000010000"/>
              <w:rPr>
                <w:rFonts w:ascii="Times New Roman" w:eastAsia="Calibri" w:hAnsi="Times New Roman" w:cs="Times New Roman"/>
                <w:sz w:val="24"/>
                <w:szCs w:val="24"/>
              </w:rPr>
            </w:pPr>
            <w:r w:rsidRPr="006B2B01">
              <w:rPr>
                <w:rFonts w:ascii="Times New Roman" w:eastAsia="Calibri" w:hAnsi="Times New Roman" w:cs="Times New Roman"/>
                <w:sz w:val="24"/>
                <w:szCs w:val="24"/>
              </w:rPr>
              <w:t>UV spectrophotometer</w:t>
            </w:r>
          </w:p>
          <w:p w:rsidR="006E0FCE" w:rsidRPr="006B2B01" w:rsidRDefault="006E0FCE" w:rsidP="00B63C0F">
            <w:pPr>
              <w:jc w:val="center"/>
              <w:cnfStyle w:val="000000010000"/>
              <w:rPr>
                <w:rFonts w:ascii="Times New Roman" w:eastAsia="Calibri" w:hAnsi="Times New Roman" w:cs="Times New Roman"/>
                <w:sz w:val="24"/>
                <w:szCs w:val="24"/>
              </w:rPr>
            </w:pPr>
          </w:p>
        </w:tc>
      </w:tr>
    </w:tbl>
    <w:commentRangeEnd w:id="84"/>
    <w:p w:rsidR="006E0FCE" w:rsidRDefault="00761F26" w:rsidP="006E0FCE">
      <w:pPr>
        <w:autoSpaceDE w:val="0"/>
        <w:autoSpaceDN w:val="0"/>
        <w:adjustRightInd w:val="0"/>
        <w:spacing w:after="0"/>
        <w:rPr>
          <w:rFonts w:ascii="Times New Roman" w:hAnsi="Times New Roman" w:cs="Times New Roman"/>
          <w:b/>
          <w:bCs/>
          <w:sz w:val="24"/>
          <w:szCs w:val="24"/>
        </w:rPr>
      </w:pPr>
      <w:r>
        <w:rPr>
          <w:rStyle w:val="CommentReference"/>
        </w:rPr>
        <w:commentReference w:id="84"/>
      </w:r>
    </w:p>
    <w:p w:rsidR="00BC0539" w:rsidRDefault="00BC0539" w:rsidP="006B2B01">
      <w:pPr>
        <w:spacing w:after="0"/>
        <w:ind w:left="720"/>
        <w:jc w:val="both"/>
        <w:rPr>
          <w:rFonts w:ascii="Times New Roman" w:hAnsi="Times New Roman" w:cs="Times New Roman"/>
          <w:sz w:val="24"/>
          <w:szCs w:val="24"/>
          <w:lang w:val="en-GB"/>
        </w:rPr>
      </w:pPr>
    </w:p>
    <w:p w:rsidR="00FD494A" w:rsidRPr="006B2B01" w:rsidRDefault="00FD494A" w:rsidP="006B2B01">
      <w:pPr>
        <w:spacing w:after="0"/>
        <w:ind w:left="720"/>
        <w:jc w:val="both"/>
        <w:rPr>
          <w:rFonts w:ascii="Times New Roman" w:hAnsi="Times New Roman" w:cs="Times New Roman"/>
          <w:sz w:val="24"/>
          <w:szCs w:val="24"/>
          <w:lang w:val="en-GB"/>
        </w:rPr>
      </w:pPr>
    </w:p>
    <w:p w:rsidR="006E0FCE" w:rsidRPr="008452B8" w:rsidRDefault="006E0FCE" w:rsidP="006E0FCE">
      <w:pPr>
        <w:shd w:val="clear" w:color="auto" w:fill="FFFFFF" w:themeFill="background1"/>
        <w:autoSpaceDE w:val="0"/>
        <w:autoSpaceDN w:val="0"/>
        <w:adjustRightInd w:val="0"/>
        <w:spacing w:after="0" w:line="360" w:lineRule="auto"/>
        <w:jc w:val="both"/>
        <w:rPr>
          <w:rFonts w:ascii="Times New Roman" w:hAnsi="Times New Roman" w:cs="Times New Roman"/>
          <w:color w:val="000000"/>
          <w:sz w:val="24"/>
          <w:szCs w:val="24"/>
        </w:rPr>
      </w:pPr>
      <w:r w:rsidRPr="008452B8">
        <w:rPr>
          <w:rFonts w:ascii="Times New Roman" w:hAnsi="Times New Roman" w:cs="Times New Roman"/>
          <w:b/>
          <w:bCs/>
          <w:color w:val="000000"/>
          <w:sz w:val="24"/>
          <w:szCs w:val="24"/>
        </w:rPr>
        <w:t xml:space="preserve">Table (3):Weight </w:t>
      </w:r>
      <w:commentRangeStart w:id="87"/>
      <w:r>
        <w:rPr>
          <w:rFonts w:ascii="Times New Roman" w:hAnsi="Times New Roman" w:cs="Times New Roman"/>
          <w:b/>
          <w:bCs/>
          <w:color w:val="000000"/>
          <w:sz w:val="24"/>
          <w:szCs w:val="24"/>
        </w:rPr>
        <w:t>u</w:t>
      </w:r>
      <w:r w:rsidRPr="008452B8">
        <w:rPr>
          <w:rFonts w:ascii="Times New Roman" w:hAnsi="Times New Roman" w:cs="Times New Roman"/>
          <w:b/>
          <w:bCs/>
          <w:color w:val="000000"/>
          <w:sz w:val="24"/>
          <w:szCs w:val="24"/>
        </w:rPr>
        <w:t xml:space="preserve">niformity of </w:t>
      </w:r>
      <w:r>
        <w:rPr>
          <w:rFonts w:ascii="Times New Roman" w:hAnsi="Times New Roman" w:cs="Times New Roman"/>
          <w:b/>
          <w:bCs/>
          <w:color w:val="000000"/>
          <w:sz w:val="24"/>
          <w:szCs w:val="24"/>
        </w:rPr>
        <w:t>a</w:t>
      </w:r>
      <w:r w:rsidRPr="008452B8">
        <w:rPr>
          <w:rFonts w:ascii="Times New Roman" w:hAnsi="Times New Roman" w:cs="Times New Roman"/>
          <w:b/>
          <w:bCs/>
          <w:color w:val="000000"/>
          <w:sz w:val="24"/>
          <w:szCs w:val="24"/>
        </w:rPr>
        <w:t xml:space="preserve">tenolol </w:t>
      </w:r>
      <w:r>
        <w:rPr>
          <w:rFonts w:ascii="Times New Roman" w:hAnsi="Times New Roman" w:cs="Times New Roman"/>
          <w:b/>
          <w:bCs/>
          <w:color w:val="000000"/>
          <w:sz w:val="24"/>
          <w:szCs w:val="24"/>
        </w:rPr>
        <w:t>t</w:t>
      </w:r>
      <w:r w:rsidRPr="008452B8">
        <w:rPr>
          <w:rFonts w:ascii="Times New Roman" w:hAnsi="Times New Roman" w:cs="Times New Roman"/>
          <w:b/>
          <w:bCs/>
          <w:color w:val="000000"/>
          <w:sz w:val="24"/>
          <w:szCs w:val="24"/>
        </w:rPr>
        <w:t>ablets</w:t>
      </w:r>
    </w:p>
    <w:tbl>
      <w:tblPr>
        <w:tblStyle w:val="MediumGrid1-Accent2"/>
        <w:bidiVisual/>
        <w:tblW w:w="0" w:type="auto"/>
        <w:tblLook w:val="04A0"/>
      </w:tblPr>
      <w:tblGrid>
        <w:gridCol w:w="2840"/>
        <w:gridCol w:w="2841"/>
        <w:gridCol w:w="3702"/>
      </w:tblGrid>
      <w:tr w:rsidR="006E0FCE" w:rsidRPr="006B2B01" w:rsidTr="00B63C0F">
        <w:trPr>
          <w:cnfStyle w:val="100000000000"/>
        </w:trPr>
        <w:tc>
          <w:tcPr>
            <w:cnfStyle w:val="001000000000"/>
            <w:tcW w:w="2840" w:type="dxa"/>
          </w:tcPr>
          <w:p w:rsidR="006E0FCE" w:rsidRPr="006B2B01" w:rsidRDefault="006E0FCE" w:rsidP="00B63C0F">
            <w:pPr>
              <w:spacing w:line="276" w:lineRule="auto"/>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Number of tablets</w:t>
            </w:r>
          </w:p>
          <w:p w:rsidR="006E0FCE" w:rsidRPr="006B2B01" w:rsidRDefault="006E0FCE" w:rsidP="00B63C0F">
            <w:pPr>
              <w:spacing w:line="276" w:lineRule="auto"/>
              <w:jc w:val="center"/>
              <w:rPr>
                <w:rFonts w:ascii="Times New Roman" w:eastAsia="Calibri" w:hAnsi="Times New Roman" w:cs="Times New Roman"/>
                <w:sz w:val="24"/>
                <w:szCs w:val="24"/>
                <w:rtl/>
              </w:rPr>
            </w:pPr>
          </w:p>
        </w:tc>
        <w:tc>
          <w:tcPr>
            <w:tcW w:w="2841" w:type="dxa"/>
          </w:tcPr>
          <w:p w:rsidR="006E0FCE" w:rsidRPr="006B2B01" w:rsidRDefault="006E0FCE" w:rsidP="00B63C0F">
            <w:pPr>
              <w:spacing w:line="276" w:lineRule="auto"/>
              <w:jc w:val="center"/>
              <w:cnfStyle w:val="1000000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Deviation (%)</w:t>
            </w:r>
          </w:p>
        </w:tc>
        <w:tc>
          <w:tcPr>
            <w:tcW w:w="3702" w:type="dxa"/>
          </w:tcPr>
          <w:p w:rsidR="006E0FCE" w:rsidRPr="006B2B01" w:rsidRDefault="006E0FCE" w:rsidP="00B63C0F">
            <w:pPr>
              <w:spacing w:line="276" w:lineRule="auto"/>
              <w:jc w:val="center"/>
              <w:cnfStyle w:val="1000000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Average weight of tablets</w:t>
            </w:r>
          </w:p>
        </w:tc>
      </w:tr>
      <w:tr w:rsidR="006E0FCE" w:rsidRPr="006B2B01" w:rsidTr="00B63C0F">
        <w:trPr>
          <w:cnfStyle w:val="000000100000"/>
        </w:trPr>
        <w:tc>
          <w:tcPr>
            <w:cnfStyle w:val="001000000000"/>
            <w:tcW w:w="2840" w:type="dxa"/>
          </w:tcPr>
          <w:p w:rsidR="006E0FCE" w:rsidRPr="006B2B01" w:rsidRDefault="006E0FCE" w:rsidP="00B63C0F">
            <w:pPr>
              <w:spacing w:line="276" w:lineRule="auto"/>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Minimum 18</w:t>
            </w:r>
          </w:p>
          <w:p w:rsidR="006E0FCE" w:rsidRPr="006B2B01" w:rsidRDefault="006E0FCE" w:rsidP="00B63C0F">
            <w:pPr>
              <w:spacing w:line="276" w:lineRule="auto"/>
              <w:jc w:val="center"/>
              <w:rPr>
                <w:rFonts w:ascii="Times New Roman" w:eastAsia="Calibri" w:hAnsi="Times New Roman" w:cs="Times New Roman"/>
                <w:sz w:val="24"/>
                <w:szCs w:val="24"/>
                <w:rtl/>
              </w:rPr>
            </w:pPr>
            <w:r w:rsidRPr="006B2B01">
              <w:rPr>
                <w:rFonts w:ascii="Times New Roman" w:eastAsia="Calibri" w:hAnsi="Times New Roman" w:cs="Times New Roman"/>
                <w:sz w:val="24"/>
                <w:szCs w:val="24"/>
              </w:rPr>
              <w:t>Maximum 20</w:t>
            </w:r>
          </w:p>
        </w:tc>
        <w:tc>
          <w:tcPr>
            <w:tcW w:w="2841" w:type="dxa"/>
          </w:tcPr>
          <w:p w:rsidR="006E0FCE" w:rsidRPr="006B2B01" w:rsidRDefault="006E0FCE" w:rsidP="00B63C0F">
            <w:pPr>
              <w:spacing w:line="276" w:lineRule="auto"/>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 10.0</w:t>
            </w:r>
          </w:p>
          <w:p w:rsidR="006E0FCE" w:rsidRPr="006B2B01" w:rsidRDefault="006E0FCE" w:rsidP="00B63C0F">
            <w:pPr>
              <w:spacing w:line="276" w:lineRule="auto"/>
              <w:jc w:val="center"/>
              <w:cnfStyle w:val="0000001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 20.0</w:t>
            </w:r>
          </w:p>
        </w:tc>
        <w:tc>
          <w:tcPr>
            <w:tcW w:w="3702" w:type="dxa"/>
          </w:tcPr>
          <w:p w:rsidR="006E0FCE" w:rsidRPr="006B2B01" w:rsidRDefault="006E0FCE" w:rsidP="00B63C0F">
            <w:pPr>
              <w:spacing w:line="276" w:lineRule="auto"/>
              <w:jc w:val="center"/>
              <w:cnfStyle w:val="0000001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Less than 80 mg</w:t>
            </w:r>
          </w:p>
        </w:tc>
      </w:tr>
      <w:tr w:rsidR="006E0FCE" w:rsidRPr="006B2B01" w:rsidTr="00B63C0F">
        <w:tc>
          <w:tcPr>
            <w:cnfStyle w:val="001000000000"/>
            <w:tcW w:w="2840" w:type="dxa"/>
          </w:tcPr>
          <w:p w:rsidR="006E0FCE" w:rsidRPr="006B2B01" w:rsidRDefault="006E0FCE" w:rsidP="00B63C0F">
            <w:pPr>
              <w:spacing w:line="276" w:lineRule="auto"/>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Minimum 18</w:t>
            </w:r>
          </w:p>
          <w:p w:rsidR="006E0FCE" w:rsidRPr="006B2B01" w:rsidRDefault="006E0FCE" w:rsidP="00B63C0F">
            <w:pPr>
              <w:spacing w:line="276" w:lineRule="auto"/>
              <w:jc w:val="center"/>
              <w:rPr>
                <w:rFonts w:ascii="Times New Roman" w:eastAsia="Calibri" w:hAnsi="Times New Roman" w:cs="Times New Roman"/>
                <w:sz w:val="24"/>
                <w:szCs w:val="24"/>
                <w:rtl/>
              </w:rPr>
            </w:pPr>
            <w:r w:rsidRPr="006B2B01">
              <w:rPr>
                <w:rFonts w:ascii="Times New Roman" w:eastAsia="Calibri" w:hAnsi="Times New Roman" w:cs="Times New Roman"/>
                <w:sz w:val="24"/>
                <w:szCs w:val="24"/>
              </w:rPr>
              <w:t>Maximum 20</w:t>
            </w:r>
          </w:p>
        </w:tc>
        <w:tc>
          <w:tcPr>
            <w:tcW w:w="2841" w:type="dxa"/>
          </w:tcPr>
          <w:p w:rsidR="006E0FCE" w:rsidRPr="006B2B01" w:rsidRDefault="006E0FCE" w:rsidP="00B63C0F">
            <w:pPr>
              <w:spacing w:line="276" w:lineRule="auto"/>
              <w:jc w:val="center"/>
              <w:cnfStyle w:val="000000000000"/>
              <w:rPr>
                <w:rFonts w:ascii="Times New Roman" w:eastAsia="Calibri" w:hAnsi="Times New Roman" w:cs="Times New Roman"/>
                <w:sz w:val="24"/>
                <w:szCs w:val="24"/>
              </w:rPr>
            </w:pPr>
            <w:r w:rsidRPr="006B2B01">
              <w:rPr>
                <w:rFonts w:ascii="Times New Roman" w:eastAsia="Calibri" w:hAnsi="Times New Roman" w:cs="Times New Roman"/>
                <w:sz w:val="24"/>
                <w:szCs w:val="24"/>
              </w:rPr>
              <w:t>± 7.5</w:t>
            </w:r>
          </w:p>
          <w:p w:rsidR="006E0FCE" w:rsidRPr="006B2B01" w:rsidRDefault="006E0FCE" w:rsidP="00B63C0F">
            <w:pPr>
              <w:spacing w:line="276" w:lineRule="auto"/>
              <w:jc w:val="center"/>
              <w:cnfStyle w:val="0000000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 15.0</w:t>
            </w:r>
          </w:p>
        </w:tc>
        <w:tc>
          <w:tcPr>
            <w:tcW w:w="3702" w:type="dxa"/>
          </w:tcPr>
          <w:p w:rsidR="006E0FCE" w:rsidRPr="006B2B01" w:rsidRDefault="006E0FCE" w:rsidP="00B63C0F">
            <w:pPr>
              <w:spacing w:line="276" w:lineRule="auto"/>
              <w:jc w:val="center"/>
              <w:cnfStyle w:val="0000000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80mg to 250mg</w:t>
            </w:r>
          </w:p>
        </w:tc>
      </w:tr>
      <w:tr w:rsidR="006E0FCE" w:rsidRPr="006B2B01" w:rsidTr="00B63C0F">
        <w:trPr>
          <w:cnfStyle w:val="000000100000"/>
        </w:trPr>
        <w:tc>
          <w:tcPr>
            <w:cnfStyle w:val="001000000000"/>
            <w:tcW w:w="2840" w:type="dxa"/>
          </w:tcPr>
          <w:p w:rsidR="006E0FCE" w:rsidRPr="006B2B01" w:rsidRDefault="006E0FCE" w:rsidP="00B63C0F">
            <w:pPr>
              <w:spacing w:line="276" w:lineRule="auto"/>
              <w:jc w:val="center"/>
              <w:rPr>
                <w:rFonts w:ascii="Times New Roman" w:eastAsia="Calibri" w:hAnsi="Times New Roman" w:cs="Times New Roman"/>
                <w:sz w:val="24"/>
                <w:szCs w:val="24"/>
              </w:rPr>
            </w:pPr>
            <w:r w:rsidRPr="006B2B01">
              <w:rPr>
                <w:rFonts w:ascii="Times New Roman" w:eastAsia="Calibri" w:hAnsi="Times New Roman" w:cs="Times New Roman"/>
                <w:sz w:val="24"/>
                <w:szCs w:val="24"/>
              </w:rPr>
              <w:t>Minimum 18</w:t>
            </w:r>
          </w:p>
          <w:p w:rsidR="006E0FCE" w:rsidRPr="006B2B01" w:rsidRDefault="006E0FCE" w:rsidP="00B63C0F">
            <w:pPr>
              <w:spacing w:line="276" w:lineRule="auto"/>
              <w:jc w:val="center"/>
              <w:rPr>
                <w:rFonts w:ascii="Times New Roman" w:eastAsia="Calibri" w:hAnsi="Times New Roman" w:cs="Times New Roman"/>
                <w:sz w:val="24"/>
                <w:szCs w:val="24"/>
                <w:rtl/>
              </w:rPr>
            </w:pPr>
            <w:r w:rsidRPr="006B2B01">
              <w:rPr>
                <w:rFonts w:ascii="Times New Roman" w:eastAsia="Calibri" w:hAnsi="Times New Roman" w:cs="Times New Roman"/>
                <w:sz w:val="24"/>
                <w:szCs w:val="24"/>
              </w:rPr>
              <w:t>Maximum 20</w:t>
            </w:r>
          </w:p>
        </w:tc>
        <w:tc>
          <w:tcPr>
            <w:tcW w:w="2841" w:type="dxa"/>
          </w:tcPr>
          <w:p w:rsidR="006E0FCE" w:rsidRPr="006B2B01" w:rsidRDefault="006E0FCE" w:rsidP="00B63C0F">
            <w:pPr>
              <w:spacing w:line="276" w:lineRule="auto"/>
              <w:jc w:val="center"/>
              <w:cnfStyle w:val="000000100000"/>
              <w:rPr>
                <w:rFonts w:ascii="Times New Roman" w:eastAsia="Calibri" w:hAnsi="Times New Roman" w:cs="Times New Roman"/>
                <w:sz w:val="24"/>
                <w:szCs w:val="24"/>
              </w:rPr>
            </w:pPr>
            <w:r w:rsidRPr="006B2B01">
              <w:rPr>
                <w:rFonts w:ascii="Times New Roman" w:eastAsia="Calibri" w:hAnsi="Times New Roman" w:cs="Times New Roman"/>
                <w:sz w:val="24"/>
                <w:szCs w:val="24"/>
              </w:rPr>
              <w:t>± 5.0</w:t>
            </w:r>
          </w:p>
          <w:p w:rsidR="006E0FCE" w:rsidRPr="006B2B01" w:rsidRDefault="006E0FCE" w:rsidP="00B63C0F">
            <w:pPr>
              <w:spacing w:line="276" w:lineRule="auto"/>
              <w:jc w:val="center"/>
              <w:cnfStyle w:val="0000001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 10.0</w:t>
            </w:r>
          </w:p>
        </w:tc>
        <w:tc>
          <w:tcPr>
            <w:tcW w:w="3702" w:type="dxa"/>
          </w:tcPr>
          <w:p w:rsidR="006E0FCE" w:rsidRPr="006B2B01" w:rsidRDefault="006E0FCE" w:rsidP="00B63C0F">
            <w:pPr>
              <w:spacing w:line="276" w:lineRule="auto"/>
              <w:jc w:val="center"/>
              <w:cnfStyle w:val="000000100000"/>
              <w:rPr>
                <w:rFonts w:ascii="Times New Roman" w:eastAsia="Calibri" w:hAnsi="Times New Roman" w:cs="Times New Roman"/>
                <w:sz w:val="24"/>
                <w:szCs w:val="24"/>
                <w:rtl/>
              </w:rPr>
            </w:pPr>
            <w:r w:rsidRPr="006B2B01">
              <w:rPr>
                <w:rFonts w:ascii="Times New Roman" w:eastAsia="Calibri" w:hAnsi="Times New Roman" w:cs="Times New Roman"/>
                <w:sz w:val="24"/>
                <w:szCs w:val="24"/>
              </w:rPr>
              <w:t>More than 250mg</w:t>
            </w:r>
          </w:p>
        </w:tc>
      </w:tr>
    </w:tbl>
    <w:p w:rsidR="006E0FCE" w:rsidRPr="006B2B01" w:rsidRDefault="006E0FCE" w:rsidP="006E0FCE">
      <w:pPr>
        <w:autoSpaceDE w:val="0"/>
        <w:autoSpaceDN w:val="0"/>
        <w:adjustRightInd w:val="0"/>
        <w:spacing w:after="0"/>
        <w:rPr>
          <w:rFonts w:ascii="Times New Roman" w:hAnsi="Times New Roman" w:cs="Times New Roman"/>
          <w:sz w:val="24"/>
          <w:szCs w:val="24"/>
        </w:rPr>
      </w:pPr>
    </w:p>
    <w:p w:rsidR="006E0FCE" w:rsidRPr="006B2B01" w:rsidRDefault="006E0FCE" w:rsidP="006E0FCE">
      <w:pPr>
        <w:spacing w:after="0"/>
        <w:jc w:val="lowKashida"/>
        <w:rPr>
          <w:rFonts w:ascii="Times New Roman" w:eastAsia="TimesNewRomanPSMT" w:hAnsi="Times New Roman" w:cs="Times New Roman"/>
          <w:b/>
          <w:bCs/>
          <w:sz w:val="24"/>
          <w:szCs w:val="24"/>
        </w:rPr>
      </w:pPr>
      <w:r w:rsidRPr="006B2B01">
        <w:rPr>
          <w:rFonts w:ascii="Times New Roman" w:eastAsia="Calibri" w:hAnsi="Times New Roman" w:cs="Times New Roman"/>
          <w:b/>
          <w:sz w:val="24"/>
          <w:szCs w:val="24"/>
        </w:rPr>
        <w:t xml:space="preserve">Table (4): Quality control results </w:t>
      </w:r>
      <w:r w:rsidRPr="006B2B01">
        <w:rPr>
          <w:rFonts w:ascii="Times New Roman" w:eastAsia="Calibri" w:hAnsi="Times New Roman" w:cs="Times New Roman"/>
          <w:b/>
          <w:bCs/>
          <w:sz w:val="24"/>
          <w:szCs w:val="24"/>
        </w:rPr>
        <w:t>of Metronidazole</w:t>
      </w:r>
    </w:p>
    <w:tbl>
      <w:tblPr>
        <w:tblStyle w:val="MediumGrid1-Accent2"/>
        <w:bidiVisual/>
        <w:tblW w:w="9383" w:type="dxa"/>
        <w:tblLayout w:type="fixed"/>
        <w:tblLook w:val="0000"/>
      </w:tblPr>
      <w:tblGrid>
        <w:gridCol w:w="1333"/>
        <w:gridCol w:w="1480"/>
        <w:gridCol w:w="1800"/>
        <w:gridCol w:w="2070"/>
        <w:gridCol w:w="1260"/>
        <w:gridCol w:w="1440"/>
      </w:tblGrid>
      <w:tr w:rsidR="006E0FCE" w:rsidRPr="006B2B01" w:rsidTr="00B63C0F">
        <w:trPr>
          <w:cnfStyle w:val="000000100000"/>
          <w:trHeight w:val="915"/>
        </w:trPr>
        <w:tc>
          <w:tcPr>
            <w:cnfStyle w:val="000010000000"/>
            <w:tcW w:w="1333" w:type="dxa"/>
          </w:tcPr>
          <w:p w:rsidR="006E0FCE" w:rsidRPr="006B2B01" w:rsidRDefault="006E0FCE" w:rsidP="00B63C0F">
            <w:pPr>
              <w:jc w:val="center"/>
              <w:rPr>
                <w:rFonts w:ascii="Times New Roman" w:eastAsia="Calibri" w:hAnsi="Times New Roman" w:cs="Times New Roman"/>
                <w:b/>
                <w:sz w:val="24"/>
                <w:szCs w:val="24"/>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Assay</w:t>
            </w: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w:t>
            </w:r>
          </w:p>
        </w:tc>
        <w:tc>
          <w:tcPr>
            <w:tcW w:w="1480" w:type="dxa"/>
          </w:tcPr>
          <w:p w:rsidR="006E0FCE" w:rsidRPr="006B2B01" w:rsidRDefault="006E0FCE" w:rsidP="00B63C0F">
            <w:pPr>
              <w:jc w:val="center"/>
              <w:cnfStyle w:val="000000100000"/>
              <w:rPr>
                <w:rFonts w:ascii="Times New Roman" w:eastAsia="Calibri" w:hAnsi="Times New Roman" w:cs="Times New Roman"/>
                <w:b/>
                <w:sz w:val="24"/>
                <w:szCs w:val="24"/>
              </w:rPr>
            </w:pPr>
          </w:p>
          <w:p w:rsidR="006E0FCE" w:rsidRPr="006B2B01" w:rsidRDefault="006E0FCE" w:rsidP="00B63C0F">
            <w:pPr>
              <w:jc w:val="center"/>
              <w:cnfStyle w:val="000000100000"/>
              <w:rPr>
                <w:rFonts w:ascii="Times New Roman" w:eastAsia="Calibri" w:hAnsi="Times New Roman" w:cs="Times New Roman"/>
                <w:b/>
                <w:sz w:val="24"/>
                <w:szCs w:val="24"/>
              </w:rPr>
            </w:pPr>
            <w:r w:rsidRPr="006B2B01">
              <w:rPr>
                <w:rFonts w:ascii="Times New Roman" w:eastAsia="Calibri" w:hAnsi="Times New Roman" w:cs="Times New Roman"/>
                <w:b/>
                <w:sz w:val="24"/>
                <w:szCs w:val="24"/>
              </w:rPr>
              <w:t>friability</w:t>
            </w:r>
          </w:p>
          <w:p w:rsidR="006E0FCE" w:rsidRPr="006B2B01" w:rsidRDefault="006E0FCE" w:rsidP="00B63C0F">
            <w:pPr>
              <w:jc w:val="center"/>
              <w:cnfStyle w:val="000000100000"/>
              <w:rPr>
                <w:rFonts w:ascii="Times New Roman" w:eastAsia="Calibri" w:hAnsi="Times New Roman" w:cs="Times New Roman"/>
                <w:b/>
                <w:sz w:val="24"/>
                <w:szCs w:val="24"/>
                <w:rtl/>
              </w:rPr>
            </w:pPr>
            <w:r w:rsidRPr="006B2B01">
              <w:rPr>
                <w:rFonts w:ascii="Times New Roman" w:eastAsia="Calibri" w:hAnsi="Times New Roman" w:cs="Times New Roman"/>
                <w:b/>
                <w:sz w:val="24"/>
                <w:szCs w:val="24"/>
              </w:rPr>
              <w:t>%</w:t>
            </w:r>
          </w:p>
        </w:tc>
        <w:tc>
          <w:tcPr>
            <w:cnfStyle w:val="000010000000"/>
            <w:tcW w:w="180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Disintegration</w:t>
            </w:r>
          </w:p>
          <w:p w:rsidR="006E0FCE" w:rsidRPr="006B2B01" w:rsidRDefault="006E0FCE" w:rsidP="00B63C0F">
            <w:pPr>
              <w:jc w:val="center"/>
              <w:rPr>
                <w:rFonts w:ascii="Times New Roman" w:eastAsia="Calibri" w:hAnsi="Times New Roman" w:cs="Times New Roman"/>
                <w:b/>
                <w:sz w:val="24"/>
                <w:szCs w:val="24"/>
                <w:rtl/>
              </w:rPr>
            </w:pPr>
            <w:r w:rsidRPr="006B2B01">
              <w:rPr>
                <w:rFonts w:ascii="Times New Roman" w:eastAsia="Calibri" w:hAnsi="Times New Roman" w:cs="Times New Roman"/>
                <w:b/>
                <w:sz w:val="24"/>
                <w:szCs w:val="24"/>
              </w:rPr>
              <w:t>Time(min)</w:t>
            </w:r>
          </w:p>
        </w:tc>
        <w:tc>
          <w:tcPr>
            <w:tcW w:w="2070" w:type="dxa"/>
          </w:tcPr>
          <w:p w:rsidR="006E0FCE" w:rsidRPr="006B2B01" w:rsidRDefault="006E0FCE" w:rsidP="00B63C0F">
            <w:pPr>
              <w:jc w:val="center"/>
              <w:cnfStyle w:val="000000100000"/>
              <w:rPr>
                <w:rFonts w:ascii="Times New Roman" w:eastAsia="Calibri" w:hAnsi="Times New Roman" w:cs="Times New Roman"/>
                <w:b/>
                <w:sz w:val="24"/>
                <w:szCs w:val="24"/>
                <w:highlight w:val="red"/>
                <w:rtl/>
              </w:rPr>
            </w:pPr>
          </w:p>
          <w:p w:rsidR="006E0FCE" w:rsidRPr="006B2B01" w:rsidRDefault="006E0FCE" w:rsidP="00B63C0F">
            <w:pPr>
              <w:jc w:val="center"/>
              <w:cnfStyle w:val="000000100000"/>
              <w:rPr>
                <w:rFonts w:ascii="Times New Roman" w:eastAsia="Calibri" w:hAnsi="Times New Roman" w:cs="Times New Roman"/>
                <w:b/>
                <w:sz w:val="24"/>
                <w:szCs w:val="24"/>
              </w:rPr>
            </w:pPr>
            <w:r w:rsidRPr="006B2B01">
              <w:rPr>
                <w:rFonts w:ascii="Times New Roman" w:eastAsia="Calibri" w:hAnsi="Times New Roman" w:cs="Times New Roman"/>
                <w:b/>
                <w:sz w:val="24"/>
                <w:szCs w:val="24"/>
              </w:rPr>
              <w:t>Weight variation</w:t>
            </w:r>
          </w:p>
          <w:p w:rsidR="006E0FCE" w:rsidRPr="006B2B01" w:rsidRDefault="006E0FCE" w:rsidP="00B63C0F">
            <w:pPr>
              <w:jc w:val="center"/>
              <w:cnfStyle w:val="000000100000"/>
              <w:rPr>
                <w:rFonts w:ascii="Times New Roman" w:eastAsia="Calibri" w:hAnsi="Times New Roman" w:cs="Times New Roman"/>
                <w:b/>
                <w:sz w:val="24"/>
                <w:szCs w:val="24"/>
                <w:highlight w:val="red"/>
                <w:rtl/>
              </w:rPr>
            </w:pPr>
            <w:r w:rsidRPr="006B2B01">
              <w:rPr>
                <w:rFonts w:ascii="Times New Roman" w:eastAsia="Calibri" w:hAnsi="Times New Roman" w:cs="Times New Roman"/>
                <w:b/>
                <w:sz w:val="24"/>
                <w:szCs w:val="24"/>
              </w:rPr>
              <w:t>(RSD)</w:t>
            </w:r>
          </w:p>
        </w:tc>
        <w:tc>
          <w:tcPr>
            <w:cnfStyle w:val="000010000000"/>
            <w:tcW w:w="126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Hardness</w:t>
            </w:r>
          </w:p>
          <w:p w:rsidR="006E0FCE" w:rsidRPr="006B2B01" w:rsidRDefault="006E0FCE" w:rsidP="00B63C0F">
            <w:pPr>
              <w:jc w:val="center"/>
              <w:rPr>
                <w:rFonts w:ascii="Times New Roman" w:eastAsia="Calibri" w:hAnsi="Times New Roman" w:cs="Times New Roman"/>
                <w:b/>
                <w:sz w:val="24"/>
                <w:szCs w:val="24"/>
                <w:rtl/>
              </w:rPr>
            </w:pPr>
            <w:r w:rsidRPr="006B2B01">
              <w:rPr>
                <w:rFonts w:ascii="Times New Roman" w:eastAsia="Calibri" w:hAnsi="Times New Roman" w:cs="Times New Roman"/>
                <w:b/>
                <w:sz w:val="24"/>
                <w:szCs w:val="24"/>
              </w:rPr>
              <w:t>(Kg/cm)</w:t>
            </w:r>
          </w:p>
        </w:tc>
        <w:tc>
          <w:tcPr>
            <w:tcW w:w="1440" w:type="dxa"/>
          </w:tcPr>
          <w:p w:rsidR="006E0FCE" w:rsidRPr="006B2B01" w:rsidRDefault="006E0FCE" w:rsidP="00B63C0F">
            <w:pPr>
              <w:jc w:val="center"/>
              <w:cnfStyle w:val="000000100000"/>
              <w:rPr>
                <w:rFonts w:ascii="Times New Roman" w:eastAsia="Calibri" w:hAnsi="Times New Roman" w:cs="Times New Roman"/>
                <w:b/>
                <w:sz w:val="24"/>
                <w:szCs w:val="24"/>
                <w:rtl/>
              </w:rPr>
            </w:pPr>
          </w:p>
          <w:p w:rsidR="006E0FCE" w:rsidRPr="006B2B01" w:rsidRDefault="006E0FCE" w:rsidP="00B63C0F">
            <w:pPr>
              <w:jc w:val="center"/>
              <w:cnfStyle w:val="000000100000"/>
              <w:rPr>
                <w:rFonts w:ascii="Times New Roman" w:eastAsia="Calibri" w:hAnsi="Times New Roman" w:cs="Times New Roman"/>
                <w:b/>
                <w:sz w:val="24"/>
                <w:szCs w:val="24"/>
                <w:rtl/>
              </w:rPr>
            </w:pPr>
            <w:r w:rsidRPr="006B2B01">
              <w:rPr>
                <w:rFonts w:ascii="Times New Roman" w:eastAsia="Calibri" w:hAnsi="Times New Roman" w:cs="Times New Roman"/>
                <w:b/>
                <w:sz w:val="24"/>
                <w:szCs w:val="24"/>
              </w:rPr>
              <w:t>Brands</w:t>
            </w:r>
          </w:p>
        </w:tc>
      </w:tr>
      <w:commentRangeEnd w:id="87"/>
      <w:tr w:rsidR="006E0FCE" w:rsidRPr="006B2B01" w:rsidTr="00B63C0F">
        <w:trPr>
          <w:trHeight w:val="808"/>
        </w:trPr>
        <w:tc>
          <w:tcPr>
            <w:cnfStyle w:val="000010000000"/>
            <w:tcW w:w="1333" w:type="dxa"/>
          </w:tcPr>
          <w:p w:rsidR="006E0FCE" w:rsidRPr="006B2B01" w:rsidRDefault="002D2CCD" w:rsidP="00B63C0F">
            <w:pPr>
              <w:jc w:val="center"/>
              <w:rPr>
                <w:rFonts w:ascii="Times New Roman" w:eastAsia="Calibri" w:hAnsi="Times New Roman" w:cs="Times New Roman"/>
                <w:b/>
                <w:sz w:val="24"/>
                <w:szCs w:val="24"/>
              </w:rPr>
            </w:pPr>
            <w:r>
              <w:rPr>
                <w:rStyle w:val="CommentReference"/>
                <w:rFonts w:eastAsiaTheme="minorHAnsi"/>
              </w:rPr>
              <w:commentReference w:id="87"/>
            </w: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hAnsi="Times New Roman" w:cs="Times New Roman"/>
                <w:b/>
                <w:bCs/>
                <w:sz w:val="24"/>
                <w:szCs w:val="24"/>
              </w:rPr>
              <w:t>99.88</w:t>
            </w:r>
          </w:p>
        </w:tc>
        <w:tc>
          <w:tcPr>
            <w:tcW w:w="1480" w:type="dxa"/>
          </w:tcPr>
          <w:p w:rsidR="006E0FCE" w:rsidRPr="006B2B01" w:rsidRDefault="006E0FCE" w:rsidP="00B63C0F">
            <w:pPr>
              <w:jc w:val="center"/>
              <w:cnfStyle w:val="000000000000"/>
              <w:rPr>
                <w:rFonts w:ascii="Times New Roman" w:eastAsia="Calibri" w:hAnsi="Times New Roman" w:cs="Times New Roman"/>
                <w:b/>
                <w:sz w:val="24"/>
                <w:szCs w:val="24"/>
              </w:rPr>
            </w:pPr>
          </w:p>
          <w:p w:rsidR="006E0FCE" w:rsidRPr="006B2B01" w:rsidRDefault="006E0FCE" w:rsidP="00B63C0F">
            <w:pPr>
              <w:jc w:val="center"/>
              <w:cnfStyle w:val="000000000000"/>
              <w:rPr>
                <w:rFonts w:ascii="Times New Roman" w:eastAsia="Calibri" w:hAnsi="Times New Roman" w:cs="Times New Roman"/>
                <w:b/>
                <w:sz w:val="24"/>
                <w:szCs w:val="24"/>
              </w:rPr>
            </w:pPr>
            <w:r w:rsidRPr="006B2B01">
              <w:rPr>
                <w:rFonts w:ascii="Times New Roman" w:hAnsi="Times New Roman" w:cs="Times New Roman"/>
                <w:b/>
                <w:bCs/>
                <w:sz w:val="24"/>
                <w:szCs w:val="24"/>
              </w:rPr>
              <w:t>0.01158</w:t>
            </w:r>
          </w:p>
        </w:tc>
        <w:tc>
          <w:tcPr>
            <w:cnfStyle w:val="000010000000"/>
            <w:tcW w:w="180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8:27</w:t>
            </w:r>
          </w:p>
        </w:tc>
        <w:tc>
          <w:tcPr>
            <w:tcW w:w="2070" w:type="dxa"/>
          </w:tcPr>
          <w:p w:rsidR="006E0FCE" w:rsidRPr="006B2B01" w:rsidRDefault="006E0FCE" w:rsidP="00B63C0F">
            <w:pPr>
              <w:jc w:val="center"/>
              <w:cnfStyle w:val="000000000000"/>
              <w:rPr>
                <w:rFonts w:ascii="Times New Roman" w:eastAsia="Calibri" w:hAnsi="Times New Roman" w:cs="Times New Roman"/>
                <w:b/>
                <w:sz w:val="24"/>
                <w:szCs w:val="24"/>
                <w:highlight w:val="red"/>
                <w:rtl/>
              </w:rPr>
            </w:pPr>
          </w:p>
          <w:p w:rsidR="006E0FCE" w:rsidRPr="006B2B01" w:rsidRDefault="006E0FCE" w:rsidP="00B63C0F">
            <w:pPr>
              <w:jc w:val="center"/>
              <w:cnfStyle w:val="000000000000"/>
              <w:rPr>
                <w:rFonts w:ascii="Times New Roman" w:eastAsia="Calibri" w:hAnsi="Times New Roman" w:cs="Times New Roman"/>
                <w:b/>
                <w:sz w:val="24"/>
                <w:szCs w:val="24"/>
                <w:highlight w:val="red"/>
              </w:rPr>
            </w:pPr>
            <w:r w:rsidRPr="006B2B01">
              <w:rPr>
                <w:rFonts w:ascii="Times New Roman" w:hAnsi="Times New Roman" w:cs="Times New Roman"/>
                <w:b/>
                <w:bCs/>
                <w:sz w:val="24"/>
                <w:szCs w:val="24"/>
              </w:rPr>
              <w:t>0.00386</w:t>
            </w:r>
          </w:p>
        </w:tc>
        <w:tc>
          <w:tcPr>
            <w:cnfStyle w:val="000010000000"/>
            <w:tcW w:w="126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12.0</w:t>
            </w:r>
          </w:p>
        </w:tc>
        <w:tc>
          <w:tcPr>
            <w:tcW w:w="1440" w:type="dxa"/>
          </w:tcPr>
          <w:p w:rsidR="006E0FCE" w:rsidRPr="006B2B01" w:rsidRDefault="006E0FCE" w:rsidP="00B63C0F">
            <w:pPr>
              <w:jc w:val="center"/>
              <w:cnfStyle w:val="000000000000"/>
              <w:rPr>
                <w:rFonts w:ascii="Times New Roman" w:eastAsia="Calibri" w:hAnsi="Times New Roman" w:cs="Times New Roman"/>
                <w:b/>
                <w:sz w:val="24"/>
                <w:szCs w:val="24"/>
                <w:rtl/>
              </w:rPr>
            </w:pPr>
          </w:p>
          <w:p w:rsidR="006E0FCE" w:rsidRPr="006B2B01" w:rsidRDefault="006E0FCE" w:rsidP="00B63C0F">
            <w:pPr>
              <w:jc w:val="center"/>
              <w:cnfStyle w:val="000000000000"/>
              <w:rPr>
                <w:rFonts w:ascii="Times New Roman" w:eastAsia="Calibri" w:hAnsi="Times New Roman" w:cs="Times New Roman"/>
                <w:b/>
                <w:sz w:val="24"/>
                <w:szCs w:val="24"/>
              </w:rPr>
            </w:pPr>
            <w:r w:rsidRPr="006B2B01">
              <w:rPr>
                <w:rFonts w:ascii="Times New Roman" w:eastAsia="Calibri" w:hAnsi="Times New Roman" w:cs="Times New Roman"/>
                <w:b/>
                <w:sz w:val="24"/>
                <w:szCs w:val="24"/>
              </w:rPr>
              <w:t>Sample (A)</w:t>
            </w:r>
          </w:p>
        </w:tc>
      </w:tr>
      <w:tr w:rsidR="006E0FCE" w:rsidRPr="006B2B01" w:rsidTr="00B63C0F">
        <w:trPr>
          <w:cnfStyle w:val="000000100000"/>
          <w:trHeight w:val="682"/>
        </w:trPr>
        <w:tc>
          <w:tcPr>
            <w:cnfStyle w:val="000010000000"/>
            <w:tcW w:w="1333" w:type="dxa"/>
          </w:tcPr>
          <w:p w:rsidR="006E0FCE" w:rsidRPr="006B2B01" w:rsidRDefault="006E0FCE" w:rsidP="00B63C0F">
            <w:pPr>
              <w:jc w:val="center"/>
              <w:rPr>
                <w:rFonts w:ascii="Times New Roman" w:eastAsia="Calibri" w:hAnsi="Times New Roman" w:cs="Times New Roman"/>
                <w:b/>
                <w:sz w:val="24"/>
                <w:szCs w:val="24"/>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hAnsi="Times New Roman" w:cs="Times New Roman"/>
                <w:b/>
                <w:bCs/>
                <w:sz w:val="24"/>
                <w:szCs w:val="24"/>
              </w:rPr>
              <w:t>98.75</w:t>
            </w:r>
          </w:p>
        </w:tc>
        <w:tc>
          <w:tcPr>
            <w:tcW w:w="1480" w:type="dxa"/>
          </w:tcPr>
          <w:p w:rsidR="006E0FCE" w:rsidRPr="006B2B01" w:rsidRDefault="006E0FCE" w:rsidP="00B63C0F">
            <w:pPr>
              <w:jc w:val="center"/>
              <w:cnfStyle w:val="000000100000"/>
              <w:rPr>
                <w:rFonts w:ascii="Times New Roman" w:eastAsia="Calibri" w:hAnsi="Times New Roman" w:cs="Times New Roman"/>
                <w:b/>
                <w:sz w:val="24"/>
                <w:szCs w:val="24"/>
              </w:rPr>
            </w:pPr>
          </w:p>
          <w:p w:rsidR="006E0FCE" w:rsidRPr="006B2B01" w:rsidRDefault="006E0FCE" w:rsidP="00B63C0F">
            <w:pPr>
              <w:jc w:val="center"/>
              <w:cnfStyle w:val="000000100000"/>
              <w:rPr>
                <w:rFonts w:ascii="Times New Roman" w:eastAsia="Calibri" w:hAnsi="Times New Roman" w:cs="Times New Roman"/>
                <w:b/>
                <w:sz w:val="24"/>
                <w:szCs w:val="24"/>
              </w:rPr>
            </w:pPr>
            <w:r w:rsidRPr="006B2B01">
              <w:rPr>
                <w:rFonts w:ascii="Times New Roman" w:hAnsi="Times New Roman" w:cs="Times New Roman"/>
                <w:b/>
                <w:bCs/>
                <w:sz w:val="24"/>
                <w:szCs w:val="24"/>
              </w:rPr>
              <w:t>0.1843</w:t>
            </w:r>
          </w:p>
        </w:tc>
        <w:tc>
          <w:tcPr>
            <w:cnfStyle w:val="000010000000"/>
            <w:tcW w:w="180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2:22</w:t>
            </w:r>
          </w:p>
        </w:tc>
        <w:tc>
          <w:tcPr>
            <w:tcW w:w="2070" w:type="dxa"/>
          </w:tcPr>
          <w:p w:rsidR="006E0FCE" w:rsidRPr="006B2B01" w:rsidRDefault="006E0FCE" w:rsidP="00B63C0F">
            <w:pPr>
              <w:jc w:val="center"/>
              <w:cnfStyle w:val="000000100000"/>
              <w:rPr>
                <w:rFonts w:ascii="Times New Roman" w:eastAsia="Calibri" w:hAnsi="Times New Roman" w:cs="Times New Roman"/>
                <w:b/>
                <w:sz w:val="24"/>
                <w:szCs w:val="24"/>
                <w:highlight w:val="red"/>
                <w:rtl/>
              </w:rPr>
            </w:pPr>
          </w:p>
          <w:p w:rsidR="006E0FCE" w:rsidRPr="006B2B01" w:rsidRDefault="006E0FCE" w:rsidP="00B63C0F">
            <w:pPr>
              <w:jc w:val="center"/>
              <w:cnfStyle w:val="000000100000"/>
              <w:rPr>
                <w:rFonts w:ascii="Times New Roman" w:eastAsia="Calibri" w:hAnsi="Times New Roman" w:cs="Times New Roman"/>
                <w:b/>
                <w:sz w:val="24"/>
                <w:szCs w:val="24"/>
                <w:highlight w:val="red"/>
              </w:rPr>
            </w:pPr>
            <w:r w:rsidRPr="006B2B01">
              <w:rPr>
                <w:rFonts w:ascii="Times New Roman" w:hAnsi="Times New Roman" w:cs="Times New Roman"/>
                <w:b/>
                <w:bCs/>
                <w:sz w:val="24"/>
                <w:szCs w:val="24"/>
              </w:rPr>
              <w:t>0.0419</w:t>
            </w:r>
          </w:p>
        </w:tc>
        <w:tc>
          <w:tcPr>
            <w:cnfStyle w:val="000010000000"/>
            <w:tcW w:w="126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12.5</w:t>
            </w:r>
          </w:p>
        </w:tc>
        <w:tc>
          <w:tcPr>
            <w:tcW w:w="1440" w:type="dxa"/>
          </w:tcPr>
          <w:p w:rsidR="006E0FCE" w:rsidRPr="006B2B01" w:rsidRDefault="006E0FCE" w:rsidP="00B63C0F">
            <w:pPr>
              <w:jc w:val="center"/>
              <w:cnfStyle w:val="000000100000"/>
              <w:rPr>
                <w:rFonts w:ascii="Times New Roman" w:eastAsia="Calibri" w:hAnsi="Times New Roman" w:cs="Times New Roman"/>
                <w:b/>
                <w:sz w:val="24"/>
                <w:szCs w:val="24"/>
              </w:rPr>
            </w:pPr>
          </w:p>
          <w:p w:rsidR="006E0FCE" w:rsidRPr="006B2B01" w:rsidRDefault="006E0FCE" w:rsidP="00B63C0F">
            <w:pPr>
              <w:jc w:val="center"/>
              <w:cnfStyle w:val="000000100000"/>
              <w:rPr>
                <w:rFonts w:ascii="Times New Roman" w:eastAsia="Calibri" w:hAnsi="Times New Roman" w:cs="Times New Roman"/>
                <w:b/>
                <w:sz w:val="24"/>
                <w:szCs w:val="24"/>
                <w:rtl/>
              </w:rPr>
            </w:pPr>
            <w:r w:rsidRPr="006B2B01">
              <w:rPr>
                <w:rFonts w:ascii="Times New Roman" w:eastAsia="Calibri" w:hAnsi="Times New Roman" w:cs="Times New Roman"/>
                <w:b/>
                <w:sz w:val="24"/>
                <w:szCs w:val="24"/>
              </w:rPr>
              <w:t>Sample (B)</w:t>
            </w:r>
          </w:p>
          <w:p w:rsidR="006E0FCE" w:rsidRPr="006B2B01" w:rsidRDefault="006E0FCE" w:rsidP="00B63C0F">
            <w:pPr>
              <w:jc w:val="center"/>
              <w:cnfStyle w:val="000000100000"/>
              <w:rPr>
                <w:rFonts w:ascii="Times New Roman" w:eastAsia="Calibri" w:hAnsi="Times New Roman" w:cs="Times New Roman"/>
                <w:b/>
                <w:sz w:val="24"/>
                <w:szCs w:val="24"/>
              </w:rPr>
            </w:pPr>
          </w:p>
        </w:tc>
      </w:tr>
      <w:tr w:rsidR="006E0FCE" w:rsidRPr="006B2B01" w:rsidTr="00B63C0F">
        <w:trPr>
          <w:trHeight w:val="745"/>
        </w:trPr>
        <w:tc>
          <w:tcPr>
            <w:cnfStyle w:val="000010000000"/>
            <w:tcW w:w="1333" w:type="dxa"/>
          </w:tcPr>
          <w:p w:rsidR="006E0FCE" w:rsidRPr="006B2B01" w:rsidRDefault="006E0FCE" w:rsidP="00B63C0F">
            <w:pPr>
              <w:jc w:val="center"/>
              <w:rPr>
                <w:rFonts w:ascii="Times New Roman" w:eastAsia="Calibri" w:hAnsi="Times New Roman" w:cs="Times New Roman"/>
                <w:b/>
                <w:sz w:val="24"/>
                <w:szCs w:val="24"/>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hAnsi="Times New Roman" w:cs="Times New Roman"/>
                <w:b/>
                <w:bCs/>
                <w:sz w:val="24"/>
                <w:szCs w:val="24"/>
              </w:rPr>
              <w:t>99.97</w:t>
            </w:r>
          </w:p>
        </w:tc>
        <w:tc>
          <w:tcPr>
            <w:tcW w:w="1480" w:type="dxa"/>
          </w:tcPr>
          <w:p w:rsidR="006E0FCE" w:rsidRPr="006B2B01" w:rsidRDefault="006E0FCE" w:rsidP="00B63C0F">
            <w:pPr>
              <w:jc w:val="center"/>
              <w:cnfStyle w:val="000000000000"/>
              <w:rPr>
                <w:rFonts w:ascii="Times New Roman" w:eastAsia="Calibri" w:hAnsi="Times New Roman" w:cs="Times New Roman"/>
                <w:b/>
                <w:sz w:val="24"/>
                <w:szCs w:val="24"/>
              </w:rPr>
            </w:pPr>
          </w:p>
          <w:p w:rsidR="006E0FCE" w:rsidRPr="006B2B01" w:rsidRDefault="006E0FCE" w:rsidP="00B63C0F">
            <w:pPr>
              <w:jc w:val="center"/>
              <w:cnfStyle w:val="000000000000"/>
              <w:rPr>
                <w:rFonts w:ascii="Times New Roman" w:eastAsia="Calibri" w:hAnsi="Times New Roman" w:cs="Times New Roman"/>
                <w:b/>
                <w:sz w:val="24"/>
                <w:szCs w:val="24"/>
              </w:rPr>
            </w:pPr>
            <w:r w:rsidRPr="006B2B01">
              <w:rPr>
                <w:rFonts w:ascii="Times New Roman" w:hAnsi="Times New Roman" w:cs="Times New Roman"/>
                <w:b/>
                <w:bCs/>
                <w:sz w:val="24"/>
                <w:szCs w:val="24"/>
              </w:rPr>
              <w:t>0.0184</w:t>
            </w:r>
          </w:p>
        </w:tc>
        <w:tc>
          <w:tcPr>
            <w:cnfStyle w:val="000010000000"/>
            <w:tcW w:w="180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3:20</w:t>
            </w:r>
          </w:p>
        </w:tc>
        <w:tc>
          <w:tcPr>
            <w:tcW w:w="2070" w:type="dxa"/>
          </w:tcPr>
          <w:p w:rsidR="006E0FCE" w:rsidRPr="006B2B01" w:rsidRDefault="006E0FCE" w:rsidP="00B63C0F">
            <w:pPr>
              <w:jc w:val="center"/>
              <w:cnfStyle w:val="000000000000"/>
              <w:rPr>
                <w:rFonts w:ascii="Times New Roman" w:eastAsia="Calibri" w:hAnsi="Times New Roman" w:cs="Times New Roman"/>
                <w:b/>
                <w:sz w:val="24"/>
                <w:szCs w:val="24"/>
                <w:highlight w:val="red"/>
                <w:rtl/>
              </w:rPr>
            </w:pPr>
          </w:p>
          <w:p w:rsidR="006E0FCE" w:rsidRPr="006B2B01" w:rsidRDefault="006E0FCE" w:rsidP="00B63C0F">
            <w:pPr>
              <w:jc w:val="center"/>
              <w:cnfStyle w:val="000000000000"/>
              <w:rPr>
                <w:rFonts w:ascii="Times New Roman" w:eastAsia="Calibri" w:hAnsi="Times New Roman" w:cs="Times New Roman"/>
                <w:b/>
                <w:sz w:val="24"/>
                <w:szCs w:val="24"/>
                <w:highlight w:val="red"/>
              </w:rPr>
            </w:pPr>
            <w:r w:rsidRPr="006B2B01">
              <w:rPr>
                <w:rFonts w:ascii="Times New Roman" w:hAnsi="Times New Roman" w:cs="Times New Roman"/>
                <w:b/>
                <w:bCs/>
                <w:sz w:val="24"/>
                <w:szCs w:val="24"/>
              </w:rPr>
              <w:t>0.0243</w:t>
            </w:r>
          </w:p>
        </w:tc>
        <w:tc>
          <w:tcPr>
            <w:cnfStyle w:val="000010000000"/>
            <w:tcW w:w="1260" w:type="dxa"/>
          </w:tcPr>
          <w:p w:rsidR="006E0FCE" w:rsidRPr="006B2B01" w:rsidRDefault="006E0FCE" w:rsidP="00B63C0F">
            <w:pPr>
              <w:jc w:val="center"/>
              <w:rPr>
                <w:rFonts w:ascii="Times New Roman" w:eastAsia="Calibri" w:hAnsi="Times New Roman" w:cs="Times New Roman"/>
                <w:b/>
                <w:sz w:val="24"/>
                <w:szCs w:val="24"/>
                <w:rtl/>
              </w:rPr>
            </w:pPr>
          </w:p>
          <w:p w:rsidR="006E0FCE" w:rsidRPr="006B2B01" w:rsidRDefault="006E0FCE" w:rsidP="00B63C0F">
            <w:pPr>
              <w:jc w:val="center"/>
              <w:rPr>
                <w:rFonts w:ascii="Times New Roman" w:eastAsia="Calibri" w:hAnsi="Times New Roman" w:cs="Times New Roman"/>
                <w:b/>
                <w:sz w:val="24"/>
                <w:szCs w:val="24"/>
              </w:rPr>
            </w:pPr>
            <w:r w:rsidRPr="006B2B01">
              <w:rPr>
                <w:rFonts w:ascii="Times New Roman" w:eastAsia="Calibri" w:hAnsi="Times New Roman" w:cs="Times New Roman"/>
                <w:b/>
                <w:sz w:val="24"/>
                <w:szCs w:val="24"/>
              </w:rPr>
              <w:t>10.7</w:t>
            </w:r>
          </w:p>
        </w:tc>
        <w:tc>
          <w:tcPr>
            <w:tcW w:w="1440" w:type="dxa"/>
          </w:tcPr>
          <w:p w:rsidR="006E0FCE" w:rsidRPr="006B2B01" w:rsidRDefault="006E0FCE" w:rsidP="00B63C0F">
            <w:pPr>
              <w:jc w:val="center"/>
              <w:cnfStyle w:val="000000000000"/>
              <w:rPr>
                <w:rFonts w:ascii="Times New Roman" w:eastAsia="Calibri" w:hAnsi="Times New Roman" w:cs="Times New Roman"/>
                <w:b/>
                <w:sz w:val="24"/>
                <w:szCs w:val="24"/>
                <w:rtl/>
              </w:rPr>
            </w:pPr>
          </w:p>
          <w:p w:rsidR="006E0FCE" w:rsidRPr="006B2B01" w:rsidRDefault="006E0FCE" w:rsidP="00B63C0F">
            <w:pPr>
              <w:jc w:val="center"/>
              <w:cnfStyle w:val="000000000000"/>
              <w:rPr>
                <w:rFonts w:ascii="Times New Roman" w:eastAsia="Calibri" w:hAnsi="Times New Roman" w:cs="Times New Roman"/>
                <w:b/>
                <w:sz w:val="24"/>
                <w:szCs w:val="24"/>
              </w:rPr>
            </w:pPr>
            <w:r w:rsidRPr="006B2B01">
              <w:rPr>
                <w:rFonts w:ascii="Times New Roman" w:eastAsia="Calibri" w:hAnsi="Times New Roman" w:cs="Times New Roman"/>
                <w:b/>
                <w:sz w:val="24"/>
                <w:szCs w:val="24"/>
              </w:rPr>
              <w:t>Sample (C)</w:t>
            </w:r>
          </w:p>
        </w:tc>
      </w:tr>
    </w:tbl>
    <w:p w:rsidR="006626AF" w:rsidRDefault="006626AF" w:rsidP="006E0FCE">
      <w:pPr>
        <w:spacing w:after="0"/>
        <w:jc w:val="center"/>
        <w:rPr>
          <w:rFonts w:ascii="Times New Roman" w:hAnsi="Times New Roman" w:cs="Times New Roman"/>
          <w:sz w:val="24"/>
          <w:szCs w:val="24"/>
        </w:rPr>
      </w:pPr>
    </w:p>
    <w:p w:rsidR="006626AF" w:rsidRDefault="006626AF" w:rsidP="006E0FCE">
      <w:pPr>
        <w:spacing w:after="0"/>
        <w:jc w:val="center"/>
        <w:rPr>
          <w:rFonts w:ascii="Times New Roman" w:hAnsi="Times New Roman" w:cs="Times New Roman"/>
          <w:sz w:val="24"/>
          <w:szCs w:val="24"/>
        </w:rPr>
      </w:pPr>
    </w:p>
    <w:p w:rsidR="006626AF" w:rsidRDefault="006626AF" w:rsidP="006E0FCE">
      <w:pPr>
        <w:spacing w:after="0"/>
        <w:jc w:val="center"/>
        <w:rPr>
          <w:rFonts w:ascii="Times New Roman" w:hAnsi="Times New Roman" w:cs="Times New Roman"/>
          <w:sz w:val="24"/>
          <w:szCs w:val="24"/>
        </w:rPr>
      </w:pPr>
    </w:p>
    <w:p w:rsidR="006626AF" w:rsidRDefault="006626AF" w:rsidP="006E0FCE">
      <w:pPr>
        <w:spacing w:after="0"/>
        <w:jc w:val="center"/>
        <w:rPr>
          <w:rFonts w:ascii="Times New Roman" w:hAnsi="Times New Roman" w:cs="Times New Roman"/>
          <w:sz w:val="24"/>
          <w:szCs w:val="24"/>
        </w:rPr>
      </w:pPr>
    </w:p>
    <w:p w:rsidR="006E0FCE" w:rsidRPr="006B2B01" w:rsidRDefault="006E0FCE" w:rsidP="006E0FCE">
      <w:pPr>
        <w:spacing w:after="0"/>
        <w:jc w:val="center"/>
        <w:rPr>
          <w:rFonts w:ascii="Times New Roman" w:hAnsi="Times New Roman" w:cs="Times New Roman"/>
          <w:sz w:val="24"/>
          <w:szCs w:val="24"/>
        </w:rPr>
      </w:pPr>
      <w:commentRangeStart w:id="88"/>
      <w:r w:rsidRPr="006B2B01">
        <w:rPr>
          <w:rFonts w:ascii="Times New Roman" w:eastAsia="Calibri" w:hAnsi="Times New Roman" w:cs="Times New Roman"/>
          <w:noProof/>
          <w:sz w:val="24"/>
          <w:szCs w:val="24"/>
          <w:rtl/>
        </w:rPr>
        <w:lastRenderedPageBreak/>
        <w:drawing>
          <wp:inline distT="0" distB="0" distL="114300" distR="114300">
            <wp:extent cx="4540885" cy="2428875"/>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0FCE" w:rsidRDefault="006E0FCE" w:rsidP="006E0FCE">
      <w:pPr>
        <w:spacing w:after="0"/>
        <w:jc w:val="center"/>
        <w:rPr>
          <w:rFonts w:ascii="Times New Roman" w:hAnsi="Times New Roman" w:cs="Times New Roman"/>
          <w:b/>
          <w:bCs/>
          <w:sz w:val="24"/>
          <w:szCs w:val="24"/>
        </w:rPr>
      </w:pPr>
      <w:r w:rsidRPr="006B2B01">
        <w:rPr>
          <w:rFonts w:ascii="Times New Roman" w:hAnsi="Times New Roman" w:cs="Times New Roman"/>
          <w:b/>
          <w:bCs/>
          <w:sz w:val="24"/>
          <w:szCs w:val="24"/>
        </w:rPr>
        <w:t xml:space="preserve">Dissolution profile </w:t>
      </w:r>
      <w:commentRangeEnd w:id="88"/>
      <w:r w:rsidR="002D2CCD">
        <w:rPr>
          <w:rStyle w:val="CommentReference"/>
        </w:rPr>
        <w:commentReference w:id="88"/>
      </w:r>
      <w:r w:rsidRPr="006B2B01">
        <w:rPr>
          <w:rFonts w:ascii="Times New Roman" w:hAnsi="Times New Roman" w:cs="Times New Roman"/>
          <w:b/>
          <w:bCs/>
          <w:sz w:val="24"/>
          <w:szCs w:val="24"/>
        </w:rPr>
        <w:t>of Metronidazole in pH (1.2)</w:t>
      </w:r>
    </w:p>
    <w:p w:rsidR="006E6CD1" w:rsidRDefault="006E6CD1" w:rsidP="006E0FCE">
      <w:pPr>
        <w:spacing w:after="0"/>
        <w:jc w:val="center"/>
        <w:rPr>
          <w:rFonts w:ascii="Times New Roman" w:hAnsi="Times New Roman" w:cs="Times New Roman"/>
          <w:b/>
          <w:bCs/>
          <w:sz w:val="24"/>
          <w:szCs w:val="24"/>
        </w:rPr>
      </w:pPr>
    </w:p>
    <w:p w:rsidR="006E6CD1" w:rsidRDefault="006E6CD1" w:rsidP="006E0FCE">
      <w:pPr>
        <w:spacing w:after="0"/>
        <w:jc w:val="center"/>
        <w:rPr>
          <w:rFonts w:ascii="Times New Roman" w:hAnsi="Times New Roman" w:cs="Times New Roman"/>
          <w:b/>
          <w:bCs/>
          <w:sz w:val="24"/>
          <w:szCs w:val="24"/>
        </w:rPr>
      </w:pPr>
    </w:p>
    <w:p w:rsidR="006E6CD1" w:rsidRPr="006B2B01" w:rsidRDefault="006E6CD1" w:rsidP="006E0FCE">
      <w:pPr>
        <w:spacing w:after="0"/>
        <w:jc w:val="center"/>
        <w:rPr>
          <w:rFonts w:ascii="Times New Roman" w:hAnsi="Times New Roman" w:cs="Times New Roman"/>
          <w:b/>
          <w:bCs/>
          <w:sz w:val="24"/>
          <w:szCs w:val="24"/>
        </w:rPr>
      </w:pPr>
    </w:p>
    <w:p w:rsidR="006E0FCE" w:rsidRPr="006B2B01" w:rsidRDefault="006E0FCE" w:rsidP="006E0FCE">
      <w:pPr>
        <w:spacing w:after="0"/>
        <w:jc w:val="lowKashida"/>
        <w:rPr>
          <w:rFonts w:ascii="Times New Roman" w:hAnsi="Times New Roman" w:cs="Times New Roman"/>
          <w:sz w:val="24"/>
          <w:szCs w:val="24"/>
        </w:rPr>
      </w:pPr>
    </w:p>
    <w:p w:rsidR="006E0FCE" w:rsidRPr="006B2B01" w:rsidRDefault="006E0FCE" w:rsidP="006E0FCE">
      <w:pPr>
        <w:spacing w:after="0"/>
        <w:jc w:val="center"/>
        <w:rPr>
          <w:rFonts w:ascii="Times New Roman" w:hAnsi="Times New Roman" w:cs="Times New Roman"/>
          <w:sz w:val="24"/>
          <w:szCs w:val="24"/>
        </w:rPr>
      </w:pPr>
      <w:r w:rsidRPr="006B2B01">
        <w:rPr>
          <w:rFonts w:ascii="Times New Roman" w:eastAsia="Calibri" w:hAnsi="Times New Roman" w:cs="Times New Roman"/>
          <w:noProof/>
          <w:sz w:val="24"/>
          <w:szCs w:val="24"/>
          <w:rtl/>
        </w:rPr>
        <w:drawing>
          <wp:inline distT="0" distB="0" distL="114300" distR="114300">
            <wp:extent cx="4569460" cy="2466975"/>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0FCE" w:rsidRDefault="006E0FCE" w:rsidP="006E0FCE">
      <w:pPr>
        <w:spacing w:after="0"/>
        <w:jc w:val="center"/>
        <w:rPr>
          <w:rFonts w:ascii="Times New Roman" w:eastAsia="Calibri" w:hAnsi="Times New Roman" w:cs="Times New Roman"/>
          <w:b/>
          <w:bCs/>
          <w:sz w:val="24"/>
          <w:szCs w:val="24"/>
        </w:rPr>
      </w:pPr>
      <w:r w:rsidRPr="006B2B01">
        <w:rPr>
          <w:rFonts w:ascii="Times New Roman" w:eastAsia="Calibri" w:hAnsi="Times New Roman" w:cs="Times New Roman"/>
          <w:b/>
          <w:bCs/>
          <w:sz w:val="24"/>
          <w:szCs w:val="24"/>
        </w:rPr>
        <w:t xml:space="preserve">Dissolution profile </w:t>
      </w:r>
      <w:commentRangeStart w:id="89"/>
      <w:r w:rsidRPr="006B2B01">
        <w:rPr>
          <w:rFonts w:ascii="Times New Roman" w:eastAsia="Calibri" w:hAnsi="Times New Roman" w:cs="Times New Roman"/>
          <w:b/>
          <w:bCs/>
          <w:sz w:val="24"/>
          <w:szCs w:val="24"/>
        </w:rPr>
        <w:t>of</w:t>
      </w:r>
      <w:commentRangeEnd w:id="89"/>
      <w:r w:rsidR="002D2CCD">
        <w:rPr>
          <w:rStyle w:val="CommentReference"/>
        </w:rPr>
        <w:commentReference w:id="89"/>
      </w:r>
      <w:r w:rsidRPr="006B2B01">
        <w:rPr>
          <w:rFonts w:ascii="Times New Roman" w:eastAsia="Calibri" w:hAnsi="Times New Roman" w:cs="Times New Roman"/>
          <w:b/>
          <w:bCs/>
          <w:sz w:val="24"/>
          <w:szCs w:val="24"/>
        </w:rPr>
        <w:t xml:space="preserve"> met</w:t>
      </w:r>
      <w:commentRangeStart w:id="90"/>
      <w:r w:rsidRPr="006B2B01">
        <w:rPr>
          <w:rFonts w:ascii="Times New Roman" w:eastAsia="Calibri" w:hAnsi="Times New Roman" w:cs="Times New Roman"/>
          <w:b/>
          <w:bCs/>
          <w:sz w:val="24"/>
          <w:szCs w:val="24"/>
        </w:rPr>
        <w:t>ronidazole in pH (4.5)</w:t>
      </w:r>
    </w:p>
    <w:p w:rsidR="006E0FCE" w:rsidRPr="006B2B01" w:rsidRDefault="006E0FCE" w:rsidP="006E0FCE">
      <w:pPr>
        <w:spacing w:after="0"/>
        <w:jc w:val="center"/>
        <w:rPr>
          <w:rFonts w:ascii="Times New Roman" w:eastAsia="Calibri" w:hAnsi="Times New Roman" w:cs="Times New Roman"/>
          <w:b/>
          <w:bCs/>
          <w:sz w:val="24"/>
          <w:szCs w:val="24"/>
        </w:rPr>
      </w:pPr>
    </w:p>
    <w:p w:rsidR="006E0FCE" w:rsidRPr="006B2B01" w:rsidRDefault="006E0FCE" w:rsidP="006E0FCE">
      <w:pPr>
        <w:spacing w:after="0"/>
        <w:jc w:val="center"/>
        <w:rPr>
          <w:rFonts w:ascii="Times New Roman" w:eastAsia="Calibri" w:hAnsi="Times New Roman" w:cs="Times New Roman"/>
          <w:b/>
          <w:bCs/>
          <w:sz w:val="24"/>
          <w:szCs w:val="24"/>
        </w:rPr>
      </w:pPr>
    </w:p>
    <w:p w:rsidR="006E0FCE" w:rsidRPr="006B2B01" w:rsidRDefault="006E0FCE" w:rsidP="006E0FCE">
      <w:pPr>
        <w:spacing w:after="0"/>
        <w:jc w:val="center"/>
        <w:rPr>
          <w:rFonts w:ascii="Times New Roman" w:eastAsia="Calibri" w:hAnsi="Times New Roman" w:cs="Times New Roman"/>
          <w:b/>
          <w:bCs/>
          <w:sz w:val="24"/>
          <w:szCs w:val="24"/>
        </w:rPr>
      </w:pPr>
      <w:r w:rsidRPr="006B2B01">
        <w:rPr>
          <w:rFonts w:ascii="Times New Roman" w:eastAsia="Calibri" w:hAnsi="Times New Roman" w:cs="Times New Roman"/>
          <w:noProof/>
          <w:sz w:val="24"/>
          <w:szCs w:val="24"/>
          <w:rtl/>
        </w:rPr>
        <w:drawing>
          <wp:inline distT="0" distB="0" distL="114300" distR="114300">
            <wp:extent cx="4683760" cy="2495550"/>
            <wp:effectExtent l="0" t="0" r="0" b="0"/>
            <wp:docPr id="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0FCE" w:rsidRDefault="006E0FCE" w:rsidP="006E0FCE">
      <w:pPr>
        <w:spacing w:after="0"/>
        <w:jc w:val="center"/>
        <w:rPr>
          <w:rFonts w:ascii="Times New Roman" w:eastAsia="Calibri" w:hAnsi="Times New Roman" w:cs="Times New Roman"/>
          <w:b/>
          <w:bCs/>
          <w:sz w:val="24"/>
          <w:szCs w:val="24"/>
        </w:rPr>
      </w:pPr>
      <w:r w:rsidRPr="006B2B01">
        <w:rPr>
          <w:rFonts w:ascii="Times New Roman" w:eastAsia="Calibri" w:hAnsi="Times New Roman" w:cs="Times New Roman"/>
          <w:b/>
          <w:bCs/>
          <w:sz w:val="24"/>
          <w:szCs w:val="24"/>
        </w:rPr>
        <w:t xml:space="preserve">Dissolution profile of </w:t>
      </w:r>
      <w:commentRangeStart w:id="91"/>
      <w:r w:rsidRPr="006B2B01">
        <w:rPr>
          <w:rFonts w:ascii="Times New Roman" w:eastAsia="Calibri" w:hAnsi="Times New Roman" w:cs="Times New Roman"/>
          <w:b/>
          <w:bCs/>
          <w:sz w:val="24"/>
          <w:szCs w:val="24"/>
        </w:rPr>
        <w:t>metronidazole</w:t>
      </w:r>
      <w:commentRangeEnd w:id="91"/>
      <w:r w:rsidR="002D2CCD">
        <w:rPr>
          <w:rStyle w:val="CommentReference"/>
        </w:rPr>
        <w:commentReference w:id="91"/>
      </w:r>
      <w:r w:rsidRPr="006B2B01">
        <w:rPr>
          <w:rFonts w:ascii="Times New Roman" w:eastAsia="Calibri" w:hAnsi="Times New Roman" w:cs="Times New Roman"/>
          <w:b/>
          <w:bCs/>
          <w:sz w:val="24"/>
          <w:szCs w:val="24"/>
        </w:rPr>
        <w:t xml:space="preserve"> in pH (</w:t>
      </w:r>
      <w:commentRangeEnd w:id="90"/>
      <w:r w:rsidR="002D2CCD">
        <w:rPr>
          <w:rStyle w:val="CommentReference"/>
        </w:rPr>
        <w:commentReference w:id="90"/>
      </w:r>
      <w:r w:rsidRPr="006B2B01">
        <w:rPr>
          <w:rFonts w:ascii="Times New Roman" w:eastAsia="Calibri" w:hAnsi="Times New Roman" w:cs="Times New Roman"/>
          <w:b/>
          <w:bCs/>
          <w:sz w:val="24"/>
          <w:szCs w:val="24"/>
        </w:rPr>
        <w:t>6.8)</w:t>
      </w:r>
    </w:p>
    <w:p w:rsidR="006E6CD1" w:rsidRDefault="006E6CD1" w:rsidP="006E0FCE">
      <w:pPr>
        <w:spacing w:after="0"/>
        <w:jc w:val="center"/>
        <w:rPr>
          <w:rFonts w:ascii="Times New Roman" w:eastAsia="Calibri" w:hAnsi="Times New Roman" w:cs="Times New Roman"/>
          <w:b/>
          <w:bCs/>
          <w:sz w:val="24"/>
          <w:szCs w:val="24"/>
        </w:rPr>
      </w:pPr>
    </w:p>
    <w:p w:rsidR="006E6CD1" w:rsidRDefault="006E6CD1" w:rsidP="006E0FCE">
      <w:pPr>
        <w:spacing w:after="0"/>
        <w:jc w:val="center"/>
        <w:rPr>
          <w:rFonts w:ascii="Times New Roman" w:eastAsia="Calibri" w:hAnsi="Times New Roman" w:cs="Times New Roman"/>
          <w:b/>
          <w:bCs/>
          <w:sz w:val="24"/>
          <w:szCs w:val="24"/>
        </w:rPr>
      </w:pPr>
    </w:p>
    <w:p w:rsidR="006E0FCE" w:rsidRPr="006B2B01" w:rsidRDefault="006E0FCE" w:rsidP="006E0FCE">
      <w:pPr>
        <w:spacing w:after="0"/>
        <w:jc w:val="center"/>
        <w:rPr>
          <w:rFonts w:ascii="Times New Roman" w:hAnsi="Times New Roman" w:cs="Times New Roman"/>
          <w:b/>
          <w:bCs/>
          <w:sz w:val="24"/>
          <w:szCs w:val="24"/>
        </w:rPr>
      </w:pPr>
    </w:p>
    <w:p w:rsidR="006E0FCE" w:rsidRPr="006B2B01" w:rsidRDefault="006E0FCE" w:rsidP="006E0FCE">
      <w:pPr>
        <w:spacing w:after="0"/>
        <w:rPr>
          <w:rFonts w:ascii="Times New Roman" w:eastAsia="Calibri" w:hAnsi="Times New Roman" w:cs="Times New Roman"/>
          <w:b/>
          <w:bCs/>
          <w:sz w:val="24"/>
          <w:szCs w:val="24"/>
        </w:rPr>
      </w:pPr>
      <w:r w:rsidRPr="006B2B01">
        <w:rPr>
          <w:rFonts w:ascii="Times New Roman" w:eastAsia="Calibri" w:hAnsi="Times New Roman" w:cs="Times New Roman"/>
          <w:b/>
          <w:bCs/>
          <w:sz w:val="24"/>
          <w:szCs w:val="24"/>
        </w:rPr>
        <w:t xml:space="preserve">Table (5) : F1 and </w:t>
      </w:r>
      <w:commentRangeStart w:id="92"/>
      <w:r w:rsidRPr="006B2B01">
        <w:rPr>
          <w:rFonts w:ascii="Times New Roman" w:eastAsia="Calibri" w:hAnsi="Times New Roman" w:cs="Times New Roman"/>
          <w:b/>
          <w:bCs/>
          <w:sz w:val="24"/>
          <w:szCs w:val="24"/>
        </w:rPr>
        <w:t>f2 Values:</w:t>
      </w:r>
    </w:p>
    <w:tbl>
      <w:tblPr>
        <w:tblStyle w:val="MediumGrid1-Accent2"/>
        <w:bidiVisual/>
        <w:tblW w:w="0" w:type="auto"/>
        <w:tblInd w:w="1831" w:type="dxa"/>
        <w:tblLook w:val="0000"/>
      </w:tblPr>
      <w:tblGrid>
        <w:gridCol w:w="990"/>
        <w:gridCol w:w="990"/>
        <w:gridCol w:w="1080"/>
        <w:gridCol w:w="990"/>
        <w:gridCol w:w="990"/>
        <w:gridCol w:w="990"/>
        <w:gridCol w:w="1522"/>
      </w:tblGrid>
      <w:tr w:rsidR="006E0FCE" w:rsidRPr="006B2B01" w:rsidTr="00B63C0F">
        <w:trPr>
          <w:cnfStyle w:val="000000100000"/>
          <w:trHeight w:val="240"/>
        </w:trPr>
        <w:tc>
          <w:tcPr>
            <w:cnfStyle w:val="000010000000"/>
            <w:tcW w:w="1980" w:type="dxa"/>
            <w:gridSpan w:val="2"/>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6.8</w:t>
            </w:r>
          </w:p>
        </w:tc>
        <w:tc>
          <w:tcPr>
            <w:tcW w:w="2070" w:type="dxa"/>
            <w:gridSpan w:val="2"/>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4.5</w:t>
            </w:r>
          </w:p>
        </w:tc>
        <w:tc>
          <w:tcPr>
            <w:cnfStyle w:val="000010000000"/>
            <w:tcW w:w="1980" w:type="dxa"/>
            <w:gridSpan w:val="2"/>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1.2</w:t>
            </w:r>
          </w:p>
        </w:tc>
        <w:tc>
          <w:tcPr>
            <w:tcW w:w="1522" w:type="dxa"/>
            <w:vMerge w:val="restart"/>
          </w:tcPr>
          <w:p w:rsidR="006E0FCE" w:rsidRPr="006B2B01" w:rsidRDefault="006E0FCE" w:rsidP="00B63C0F">
            <w:pPr>
              <w:tabs>
                <w:tab w:val="left" w:pos="279"/>
                <w:tab w:val="center" w:pos="747"/>
              </w:tabs>
              <w:spacing w:line="276" w:lineRule="auto"/>
              <w:cnfStyle w:val="000000100000"/>
              <w:rPr>
                <w:rFonts w:ascii="Times New Roman" w:hAnsi="Times New Roman" w:cs="Times New Roman"/>
                <w:b/>
                <w:bCs/>
                <w:sz w:val="24"/>
                <w:szCs w:val="24"/>
              </w:rPr>
            </w:pPr>
            <w:r w:rsidRPr="006B2B01">
              <w:rPr>
                <w:rFonts w:ascii="Times New Roman" w:hAnsi="Times New Roman" w:cs="Times New Roman"/>
                <w:b/>
                <w:bCs/>
                <w:sz w:val="24"/>
                <w:szCs w:val="24"/>
              </w:rPr>
              <w:tab/>
              <w:t>Samples</w:t>
            </w:r>
          </w:p>
          <w:p w:rsidR="006E0FCE" w:rsidRPr="006B2B01" w:rsidRDefault="006E0FCE" w:rsidP="00B63C0F">
            <w:pPr>
              <w:spacing w:line="276" w:lineRule="auto"/>
              <w:jc w:val="center"/>
              <w:cnfStyle w:val="000000100000"/>
              <w:rPr>
                <w:rFonts w:ascii="Times New Roman" w:hAnsi="Times New Roman" w:cs="Times New Roman"/>
                <w:b/>
                <w:bCs/>
                <w:sz w:val="24"/>
                <w:szCs w:val="24"/>
                <w:rtl/>
              </w:rPr>
            </w:pPr>
          </w:p>
        </w:tc>
      </w:tr>
      <w:tr w:rsidR="006E0FCE" w:rsidRPr="006B2B01" w:rsidTr="00B63C0F">
        <w:trPr>
          <w:trHeight w:val="300"/>
        </w:trPr>
        <w:tc>
          <w:tcPr>
            <w:cnfStyle w:val="000010000000"/>
            <w:tcW w:w="99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F2</w:t>
            </w:r>
          </w:p>
        </w:tc>
        <w:tc>
          <w:tcPr>
            <w:tcW w:w="99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F1</w:t>
            </w:r>
          </w:p>
        </w:tc>
        <w:tc>
          <w:tcPr>
            <w:cnfStyle w:val="000010000000"/>
            <w:tcW w:w="108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F2</w:t>
            </w:r>
          </w:p>
        </w:tc>
        <w:tc>
          <w:tcPr>
            <w:tcW w:w="99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F1</w:t>
            </w:r>
          </w:p>
        </w:tc>
        <w:tc>
          <w:tcPr>
            <w:cnfStyle w:val="000010000000"/>
            <w:tcW w:w="99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F2</w:t>
            </w:r>
          </w:p>
        </w:tc>
        <w:tc>
          <w:tcPr>
            <w:tcW w:w="99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F1</w:t>
            </w:r>
          </w:p>
        </w:tc>
        <w:tc>
          <w:tcPr>
            <w:cnfStyle w:val="000010000000"/>
            <w:tcW w:w="1522" w:type="dxa"/>
            <w:vMerge/>
          </w:tcPr>
          <w:p w:rsidR="006E0FCE" w:rsidRPr="006B2B01" w:rsidRDefault="006E0FCE" w:rsidP="00B63C0F">
            <w:pPr>
              <w:spacing w:line="276" w:lineRule="auto"/>
              <w:jc w:val="center"/>
              <w:rPr>
                <w:rFonts w:ascii="Times New Roman" w:hAnsi="Times New Roman" w:cs="Times New Roman"/>
                <w:b/>
                <w:bCs/>
                <w:sz w:val="24"/>
                <w:szCs w:val="24"/>
                <w:rtl/>
              </w:rPr>
            </w:pPr>
          </w:p>
        </w:tc>
      </w:tr>
      <w:tr w:rsidR="006E0FCE" w:rsidRPr="006B2B01" w:rsidTr="00B63C0F">
        <w:trPr>
          <w:cnfStyle w:val="000000100000"/>
          <w:trHeight w:val="430"/>
        </w:trPr>
        <w:tc>
          <w:tcPr>
            <w:cnfStyle w:val="000010000000"/>
            <w:tcW w:w="99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63</w:t>
            </w:r>
          </w:p>
        </w:tc>
        <w:tc>
          <w:tcPr>
            <w:tcW w:w="990"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6</w:t>
            </w:r>
          </w:p>
        </w:tc>
        <w:tc>
          <w:tcPr>
            <w:cnfStyle w:val="000010000000"/>
            <w:tcW w:w="1080"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66</w:t>
            </w:r>
          </w:p>
        </w:tc>
        <w:tc>
          <w:tcPr>
            <w:tcW w:w="990"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5</w:t>
            </w:r>
          </w:p>
        </w:tc>
        <w:tc>
          <w:tcPr>
            <w:cnfStyle w:val="000010000000"/>
            <w:tcW w:w="990"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eastAsia="Calibri" w:hAnsi="Times New Roman" w:cs="Times New Roman"/>
                <w:b/>
                <w:bCs/>
                <w:sz w:val="24"/>
                <w:szCs w:val="24"/>
              </w:rPr>
              <w:t>64</w:t>
            </w:r>
          </w:p>
        </w:tc>
        <w:tc>
          <w:tcPr>
            <w:tcW w:w="990"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4</w:t>
            </w:r>
          </w:p>
        </w:tc>
        <w:tc>
          <w:tcPr>
            <w:cnfStyle w:val="000010000000"/>
            <w:tcW w:w="1522"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sample (B)</w:t>
            </w:r>
          </w:p>
        </w:tc>
      </w:tr>
      <w:commentRangeEnd w:id="92"/>
      <w:tr w:rsidR="006E0FCE" w:rsidRPr="006B2B01" w:rsidTr="00B63C0F">
        <w:trPr>
          <w:trHeight w:val="430"/>
        </w:trPr>
        <w:tc>
          <w:tcPr>
            <w:cnfStyle w:val="000010000000"/>
            <w:tcW w:w="990" w:type="dxa"/>
          </w:tcPr>
          <w:p w:rsidR="006E0FCE" w:rsidRPr="006B2B01" w:rsidRDefault="002D2CCD" w:rsidP="00B63C0F">
            <w:pPr>
              <w:spacing w:line="276" w:lineRule="auto"/>
              <w:jc w:val="center"/>
              <w:rPr>
                <w:rFonts w:ascii="Times New Roman" w:hAnsi="Times New Roman" w:cs="Times New Roman"/>
                <w:b/>
                <w:bCs/>
                <w:sz w:val="24"/>
                <w:szCs w:val="24"/>
                <w:rtl/>
              </w:rPr>
            </w:pPr>
            <w:r>
              <w:rPr>
                <w:rStyle w:val="CommentReference"/>
                <w:rFonts w:eastAsiaTheme="minorHAnsi"/>
              </w:rPr>
              <w:commentReference w:id="92"/>
            </w:r>
            <w:r w:rsidR="006E0FCE" w:rsidRPr="006B2B01">
              <w:rPr>
                <w:rFonts w:ascii="Times New Roman" w:hAnsi="Times New Roman" w:cs="Times New Roman"/>
                <w:b/>
                <w:bCs/>
                <w:sz w:val="24"/>
                <w:szCs w:val="24"/>
              </w:rPr>
              <w:t>66</w:t>
            </w:r>
          </w:p>
        </w:tc>
        <w:tc>
          <w:tcPr>
            <w:tcW w:w="99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4</w:t>
            </w:r>
          </w:p>
        </w:tc>
        <w:tc>
          <w:tcPr>
            <w:cnfStyle w:val="000010000000"/>
            <w:tcW w:w="1080"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58</w:t>
            </w:r>
          </w:p>
        </w:tc>
        <w:tc>
          <w:tcPr>
            <w:tcW w:w="99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7</w:t>
            </w:r>
          </w:p>
        </w:tc>
        <w:tc>
          <w:tcPr>
            <w:cnfStyle w:val="000010000000"/>
            <w:tcW w:w="990"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63</w:t>
            </w:r>
          </w:p>
        </w:tc>
        <w:tc>
          <w:tcPr>
            <w:tcW w:w="99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5</w:t>
            </w:r>
          </w:p>
        </w:tc>
        <w:tc>
          <w:tcPr>
            <w:cnfStyle w:val="000010000000"/>
            <w:tcW w:w="1522"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sample (C )</w:t>
            </w:r>
          </w:p>
        </w:tc>
      </w:tr>
    </w:tbl>
    <w:p w:rsidR="006E0FCE" w:rsidRPr="006B2B01" w:rsidRDefault="006E0FCE" w:rsidP="006E0FCE">
      <w:pPr>
        <w:spacing w:after="0"/>
        <w:rPr>
          <w:rFonts w:ascii="Times New Roman" w:hAnsi="Times New Roman" w:cs="Times New Roman"/>
          <w:sz w:val="24"/>
          <w:szCs w:val="24"/>
        </w:rPr>
      </w:pPr>
    </w:p>
    <w:p w:rsidR="006E0FCE" w:rsidRDefault="006E0FCE" w:rsidP="006E0FCE">
      <w:pPr>
        <w:spacing w:after="0"/>
        <w:rPr>
          <w:rFonts w:ascii="Times New Roman" w:hAnsi="Times New Roman" w:cs="Times New Roman"/>
          <w:b/>
          <w:bCs/>
          <w:sz w:val="24"/>
          <w:szCs w:val="24"/>
        </w:rPr>
      </w:pPr>
    </w:p>
    <w:p w:rsidR="006E0FCE" w:rsidRDefault="006E0FCE" w:rsidP="006E0FCE">
      <w:pPr>
        <w:spacing w:after="0"/>
        <w:rPr>
          <w:rFonts w:ascii="Times New Roman" w:hAnsi="Times New Roman" w:cs="Times New Roman"/>
          <w:b/>
          <w:bCs/>
          <w:sz w:val="24"/>
          <w:szCs w:val="24"/>
        </w:rPr>
      </w:pPr>
    </w:p>
    <w:p w:rsidR="00FD494A" w:rsidRDefault="00FD494A" w:rsidP="006E0FCE">
      <w:pPr>
        <w:spacing w:after="0"/>
        <w:rPr>
          <w:rFonts w:ascii="Times New Roman" w:hAnsi="Times New Roman" w:cs="Times New Roman"/>
          <w:b/>
          <w:bCs/>
          <w:sz w:val="24"/>
          <w:szCs w:val="24"/>
        </w:rPr>
      </w:pPr>
    </w:p>
    <w:p w:rsidR="00FD494A" w:rsidRDefault="00FD494A" w:rsidP="006E0FCE">
      <w:pPr>
        <w:spacing w:after="0"/>
        <w:rPr>
          <w:rFonts w:ascii="Times New Roman" w:hAnsi="Times New Roman" w:cs="Times New Roman"/>
          <w:b/>
          <w:bCs/>
          <w:sz w:val="24"/>
          <w:szCs w:val="24"/>
        </w:rPr>
      </w:pPr>
    </w:p>
    <w:p w:rsidR="00FD494A" w:rsidRDefault="00FD494A" w:rsidP="006E0FCE">
      <w:pPr>
        <w:spacing w:after="0"/>
        <w:rPr>
          <w:rFonts w:ascii="Times New Roman" w:hAnsi="Times New Roman" w:cs="Times New Roman"/>
          <w:b/>
          <w:bCs/>
          <w:sz w:val="24"/>
          <w:szCs w:val="24"/>
        </w:rPr>
      </w:pPr>
    </w:p>
    <w:p w:rsidR="00FD494A" w:rsidRDefault="00FD494A" w:rsidP="006E0FCE">
      <w:pPr>
        <w:spacing w:after="0"/>
        <w:rPr>
          <w:rFonts w:ascii="Times New Roman" w:hAnsi="Times New Roman" w:cs="Times New Roman"/>
          <w:b/>
          <w:bCs/>
          <w:sz w:val="24"/>
          <w:szCs w:val="24"/>
        </w:rPr>
      </w:pPr>
    </w:p>
    <w:p w:rsidR="00FD494A" w:rsidRDefault="00FD494A" w:rsidP="006E0FCE">
      <w:pPr>
        <w:spacing w:after="0"/>
        <w:rPr>
          <w:rFonts w:ascii="Times New Roman" w:hAnsi="Times New Roman" w:cs="Times New Roman"/>
          <w:b/>
          <w:bCs/>
          <w:sz w:val="24"/>
          <w:szCs w:val="24"/>
        </w:rPr>
      </w:pPr>
    </w:p>
    <w:p w:rsidR="006E0FCE" w:rsidRDefault="006E0FCE" w:rsidP="006E0FCE">
      <w:pPr>
        <w:spacing w:after="0"/>
        <w:rPr>
          <w:rFonts w:ascii="Times New Roman" w:hAnsi="Times New Roman" w:cs="Times New Roman"/>
          <w:b/>
          <w:bCs/>
          <w:sz w:val="24"/>
          <w:szCs w:val="24"/>
        </w:rPr>
      </w:pPr>
    </w:p>
    <w:p w:rsidR="006E0FCE" w:rsidRPr="006B2B01" w:rsidRDefault="006E0FCE" w:rsidP="006E0FCE">
      <w:pPr>
        <w:spacing w:after="0"/>
        <w:rPr>
          <w:rFonts w:ascii="Times New Roman" w:hAnsi="Times New Roman" w:cs="Times New Roman"/>
          <w:b/>
          <w:bCs/>
          <w:sz w:val="24"/>
          <w:szCs w:val="24"/>
        </w:rPr>
      </w:pPr>
      <w:r w:rsidRPr="006B2B01">
        <w:rPr>
          <w:rFonts w:ascii="Times New Roman" w:hAnsi="Times New Roman" w:cs="Times New Roman"/>
          <w:b/>
          <w:bCs/>
          <w:sz w:val="24"/>
          <w:szCs w:val="24"/>
        </w:rPr>
        <w:t xml:space="preserve">Table (6): Dissolution </w:t>
      </w:r>
      <w:commentRangeStart w:id="93"/>
      <w:r w:rsidRPr="006B2B01">
        <w:rPr>
          <w:rFonts w:ascii="Times New Roman" w:hAnsi="Times New Roman" w:cs="Times New Roman"/>
          <w:b/>
          <w:bCs/>
          <w:sz w:val="24"/>
          <w:szCs w:val="24"/>
        </w:rPr>
        <w:t>efficiency for Metronidazole brands:</w:t>
      </w:r>
    </w:p>
    <w:tbl>
      <w:tblPr>
        <w:tblStyle w:val="MediumGrid1-Accent2"/>
        <w:bidiVisual/>
        <w:tblW w:w="0" w:type="auto"/>
        <w:tblInd w:w="923" w:type="dxa"/>
        <w:tblLook w:val="0000"/>
      </w:tblPr>
      <w:tblGrid>
        <w:gridCol w:w="1282"/>
        <w:gridCol w:w="1080"/>
        <w:gridCol w:w="1350"/>
        <w:gridCol w:w="1051"/>
        <w:gridCol w:w="1289"/>
        <w:gridCol w:w="1080"/>
        <w:gridCol w:w="1440"/>
      </w:tblGrid>
      <w:tr w:rsidR="006E0FCE" w:rsidRPr="006B2B01" w:rsidTr="00B63C0F">
        <w:trPr>
          <w:cnfStyle w:val="000000100000"/>
          <w:trHeight w:val="240"/>
        </w:trPr>
        <w:tc>
          <w:tcPr>
            <w:cnfStyle w:val="000010000000"/>
            <w:tcW w:w="2340" w:type="dxa"/>
            <w:gridSpan w:val="2"/>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6.8</w:t>
            </w:r>
          </w:p>
        </w:tc>
        <w:tc>
          <w:tcPr>
            <w:tcW w:w="2401" w:type="dxa"/>
            <w:gridSpan w:val="2"/>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4.5</w:t>
            </w:r>
          </w:p>
        </w:tc>
        <w:tc>
          <w:tcPr>
            <w:cnfStyle w:val="000010000000"/>
            <w:tcW w:w="2369" w:type="dxa"/>
            <w:gridSpan w:val="2"/>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1.2</w:t>
            </w:r>
          </w:p>
        </w:tc>
        <w:tc>
          <w:tcPr>
            <w:tcW w:w="1440" w:type="dxa"/>
            <w:vMerge w:val="restart"/>
          </w:tcPr>
          <w:p w:rsidR="006E0FCE" w:rsidRPr="006B2B01" w:rsidRDefault="006E0FCE" w:rsidP="00B63C0F">
            <w:pPr>
              <w:spacing w:line="276" w:lineRule="auto"/>
              <w:jc w:val="center"/>
              <w:cnfStyle w:val="000000100000"/>
              <w:rPr>
                <w:rFonts w:ascii="Times New Roman" w:hAnsi="Times New Roman" w:cs="Times New Roman"/>
                <w:b/>
                <w:bCs/>
                <w:sz w:val="24"/>
                <w:szCs w:val="24"/>
              </w:rPr>
            </w:pPr>
            <w:r w:rsidRPr="006B2B01">
              <w:rPr>
                <w:rFonts w:ascii="Times New Roman" w:hAnsi="Times New Roman" w:cs="Times New Roman"/>
                <w:b/>
                <w:bCs/>
                <w:sz w:val="24"/>
                <w:szCs w:val="24"/>
              </w:rPr>
              <w:t xml:space="preserve">Samples </w:t>
            </w:r>
          </w:p>
          <w:p w:rsidR="006E0FCE" w:rsidRPr="006B2B01" w:rsidRDefault="006E0FCE" w:rsidP="00B63C0F">
            <w:pPr>
              <w:spacing w:line="276" w:lineRule="auto"/>
              <w:jc w:val="center"/>
              <w:cnfStyle w:val="000000100000"/>
              <w:rPr>
                <w:rFonts w:ascii="Times New Roman" w:hAnsi="Times New Roman" w:cs="Times New Roman"/>
                <w:b/>
                <w:bCs/>
                <w:sz w:val="24"/>
                <w:szCs w:val="24"/>
                <w:rtl/>
              </w:rPr>
            </w:pPr>
          </w:p>
        </w:tc>
      </w:tr>
      <w:tr w:rsidR="006E0FCE" w:rsidRPr="006B2B01" w:rsidTr="00B63C0F">
        <w:trPr>
          <w:trHeight w:val="300"/>
        </w:trPr>
        <w:tc>
          <w:tcPr>
            <w:cnfStyle w:val="000010000000"/>
            <w:tcW w:w="126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Difference with reference</w:t>
            </w:r>
          </w:p>
        </w:tc>
        <w:tc>
          <w:tcPr>
            <w:tcW w:w="108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AUC</w:t>
            </w:r>
          </w:p>
        </w:tc>
        <w:tc>
          <w:tcPr>
            <w:cnfStyle w:val="000010000000"/>
            <w:tcW w:w="135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Difference with reference</w:t>
            </w:r>
          </w:p>
        </w:tc>
        <w:tc>
          <w:tcPr>
            <w:tcW w:w="1051"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AUC</w:t>
            </w:r>
          </w:p>
        </w:tc>
        <w:tc>
          <w:tcPr>
            <w:cnfStyle w:val="000010000000"/>
            <w:tcW w:w="1289"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Difference with reference</w:t>
            </w:r>
          </w:p>
        </w:tc>
        <w:tc>
          <w:tcPr>
            <w:tcW w:w="108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AUC</w:t>
            </w:r>
          </w:p>
        </w:tc>
        <w:tc>
          <w:tcPr>
            <w:cnfStyle w:val="000010000000"/>
            <w:tcW w:w="1440" w:type="dxa"/>
            <w:vMerge/>
          </w:tcPr>
          <w:p w:rsidR="006E0FCE" w:rsidRPr="006B2B01" w:rsidRDefault="006E0FCE" w:rsidP="00B63C0F">
            <w:pPr>
              <w:spacing w:line="276" w:lineRule="auto"/>
              <w:jc w:val="center"/>
              <w:rPr>
                <w:rFonts w:ascii="Times New Roman" w:hAnsi="Times New Roman" w:cs="Times New Roman"/>
                <w:b/>
                <w:bCs/>
                <w:sz w:val="24"/>
                <w:szCs w:val="24"/>
                <w:rtl/>
              </w:rPr>
            </w:pPr>
          </w:p>
        </w:tc>
      </w:tr>
      <w:tr w:rsidR="006E0FCE" w:rsidRPr="006B2B01" w:rsidTr="00B63C0F">
        <w:trPr>
          <w:cnfStyle w:val="000000100000"/>
          <w:trHeight w:val="494"/>
        </w:trPr>
        <w:tc>
          <w:tcPr>
            <w:cnfStyle w:val="000010000000"/>
            <w:tcW w:w="126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w:t>
            </w:r>
          </w:p>
        </w:tc>
        <w:tc>
          <w:tcPr>
            <w:tcW w:w="1080"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357.84</w:t>
            </w:r>
          </w:p>
        </w:tc>
        <w:tc>
          <w:tcPr>
            <w:cnfStyle w:val="000010000000"/>
            <w:tcW w:w="1350"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w:t>
            </w:r>
          </w:p>
        </w:tc>
        <w:tc>
          <w:tcPr>
            <w:tcW w:w="1051"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361.96</w:t>
            </w:r>
          </w:p>
        </w:tc>
        <w:tc>
          <w:tcPr>
            <w:cnfStyle w:val="000010000000"/>
            <w:tcW w:w="1289"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w:t>
            </w:r>
          </w:p>
        </w:tc>
        <w:tc>
          <w:tcPr>
            <w:tcW w:w="1080"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356.37</w:t>
            </w:r>
          </w:p>
        </w:tc>
        <w:tc>
          <w:tcPr>
            <w:cnfStyle w:val="000010000000"/>
            <w:tcW w:w="144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Sample (A)</w:t>
            </w:r>
          </w:p>
        </w:tc>
      </w:tr>
      <w:tr w:rsidR="006E0FCE" w:rsidRPr="006B2B01" w:rsidTr="00B63C0F">
        <w:trPr>
          <w:trHeight w:val="521"/>
        </w:trPr>
        <w:tc>
          <w:tcPr>
            <w:cnfStyle w:val="000010000000"/>
            <w:tcW w:w="126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-3.19</w:t>
            </w:r>
          </w:p>
        </w:tc>
        <w:tc>
          <w:tcPr>
            <w:tcW w:w="108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355.03</w:t>
            </w:r>
          </w:p>
        </w:tc>
        <w:tc>
          <w:tcPr>
            <w:cnfStyle w:val="000010000000"/>
            <w:tcW w:w="1350"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11.82</w:t>
            </w:r>
          </w:p>
        </w:tc>
        <w:tc>
          <w:tcPr>
            <w:tcW w:w="1051"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350.14</w:t>
            </w:r>
          </w:p>
        </w:tc>
        <w:tc>
          <w:tcPr>
            <w:cnfStyle w:val="000010000000"/>
            <w:tcW w:w="1289"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-7.77</w:t>
            </w:r>
          </w:p>
        </w:tc>
        <w:tc>
          <w:tcPr>
            <w:tcW w:w="1080" w:type="dxa"/>
          </w:tcPr>
          <w:p w:rsidR="006E0FCE" w:rsidRPr="006B2B01" w:rsidRDefault="006E0FCE" w:rsidP="00B63C0F">
            <w:pPr>
              <w:spacing w:line="276" w:lineRule="auto"/>
              <w:jc w:val="center"/>
              <w:cnfStyle w:val="000000000000"/>
              <w:rPr>
                <w:rFonts w:ascii="Times New Roman" w:hAnsi="Times New Roman" w:cs="Times New Roman"/>
                <w:b/>
                <w:bCs/>
                <w:sz w:val="24"/>
                <w:szCs w:val="24"/>
                <w:rtl/>
              </w:rPr>
            </w:pPr>
            <w:r w:rsidRPr="006B2B01">
              <w:rPr>
                <w:rFonts w:ascii="Times New Roman" w:hAnsi="Times New Roman" w:cs="Times New Roman"/>
                <w:b/>
                <w:bCs/>
                <w:sz w:val="24"/>
                <w:szCs w:val="24"/>
              </w:rPr>
              <w:t>364.14</w:t>
            </w:r>
          </w:p>
        </w:tc>
        <w:tc>
          <w:tcPr>
            <w:cnfStyle w:val="000010000000"/>
            <w:tcW w:w="144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Sample (B)</w:t>
            </w:r>
          </w:p>
        </w:tc>
      </w:tr>
      <w:tr w:rsidR="006E0FCE" w:rsidRPr="006B2B01" w:rsidTr="00B63C0F">
        <w:trPr>
          <w:cnfStyle w:val="000000100000"/>
          <w:trHeight w:val="719"/>
        </w:trPr>
        <w:tc>
          <w:tcPr>
            <w:cnfStyle w:val="000010000000"/>
            <w:tcW w:w="126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-12.73</w:t>
            </w:r>
          </w:p>
        </w:tc>
        <w:tc>
          <w:tcPr>
            <w:tcW w:w="1080"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364.51</w:t>
            </w:r>
          </w:p>
        </w:tc>
        <w:tc>
          <w:tcPr>
            <w:cnfStyle w:val="000010000000"/>
            <w:tcW w:w="1350" w:type="dxa"/>
          </w:tcPr>
          <w:p w:rsidR="006E0FCE" w:rsidRPr="006B2B01" w:rsidRDefault="006E0FCE" w:rsidP="00B63C0F">
            <w:pPr>
              <w:tabs>
                <w:tab w:val="left" w:pos="215"/>
                <w:tab w:val="center" w:pos="520"/>
              </w:tabs>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16.11</w:t>
            </w:r>
          </w:p>
        </w:tc>
        <w:tc>
          <w:tcPr>
            <w:tcW w:w="1051"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345.85</w:t>
            </w:r>
          </w:p>
        </w:tc>
        <w:tc>
          <w:tcPr>
            <w:cnfStyle w:val="000010000000"/>
            <w:tcW w:w="1289" w:type="dxa"/>
          </w:tcPr>
          <w:p w:rsidR="006E0FCE" w:rsidRPr="006B2B01" w:rsidRDefault="006E0FCE" w:rsidP="00B63C0F">
            <w:pPr>
              <w:spacing w:line="276" w:lineRule="auto"/>
              <w:jc w:val="center"/>
              <w:rPr>
                <w:rFonts w:ascii="Times New Roman" w:hAnsi="Times New Roman" w:cs="Times New Roman"/>
                <w:b/>
                <w:bCs/>
                <w:sz w:val="24"/>
                <w:szCs w:val="24"/>
              </w:rPr>
            </w:pPr>
            <w:r w:rsidRPr="006B2B01">
              <w:rPr>
                <w:rFonts w:ascii="Times New Roman" w:hAnsi="Times New Roman" w:cs="Times New Roman"/>
                <w:b/>
                <w:bCs/>
                <w:sz w:val="24"/>
                <w:szCs w:val="24"/>
              </w:rPr>
              <w:t>-4.65</w:t>
            </w:r>
          </w:p>
        </w:tc>
        <w:tc>
          <w:tcPr>
            <w:tcW w:w="1080" w:type="dxa"/>
          </w:tcPr>
          <w:p w:rsidR="006E0FCE" w:rsidRPr="006B2B01" w:rsidRDefault="006E0FCE" w:rsidP="00B63C0F">
            <w:pPr>
              <w:spacing w:line="276" w:lineRule="auto"/>
              <w:jc w:val="center"/>
              <w:cnfStyle w:val="000000100000"/>
              <w:rPr>
                <w:rFonts w:ascii="Times New Roman" w:hAnsi="Times New Roman" w:cs="Times New Roman"/>
                <w:b/>
                <w:bCs/>
                <w:sz w:val="24"/>
                <w:szCs w:val="24"/>
                <w:rtl/>
              </w:rPr>
            </w:pPr>
            <w:r w:rsidRPr="006B2B01">
              <w:rPr>
                <w:rFonts w:ascii="Times New Roman" w:hAnsi="Times New Roman" w:cs="Times New Roman"/>
                <w:b/>
                <w:bCs/>
                <w:sz w:val="24"/>
                <w:szCs w:val="24"/>
              </w:rPr>
              <w:t>361.02</w:t>
            </w:r>
          </w:p>
        </w:tc>
        <w:tc>
          <w:tcPr>
            <w:cnfStyle w:val="000010000000"/>
            <w:tcW w:w="1440" w:type="dxa"/>
          </w:tcPr>
          <w:p w:rsidR="006E0FCE" w:rsidRPr="006B2B01" w:rsidRDefault="006E0FCE" w:rsidP="00B63C0F">
            <w:pPr>
              <w:spacing w:line="276" w:lineRule="auto"/>
              <w:jc w:val="center"/>
              <w:rPr>
                <w:rFonts w:ascii="Times New Roman" w:hAnsi="Times New Roman" w:cs="Times New Roman"/>
                <w:b/>
                <w:bCs/>
                <w:sz w:val="24"/>
                <w:szCs w:val="24"/>
                <w:rtl/>
              </w:rPr>
            </w:pPr>
            <w:r w:rsidRPr="006B2B01">
              <w:rPr>
                <w:rFonts w:ascii="Times New Roman" w:hAnsi="Times New Roman" w:cs="Times New Roman"/>
                <w:b/>
                <w:bCs/>
                <w:sz w:val="24"/>
                <w:szCs w:val="24"/>
              </w:rPr>
              <w:t>Sample (C )</w:t>
            </w:r>
          </w:p>
        </w:tc>
      </w:tr>
    </w:tbl>
    <w:p w:rsidR="006E0FCE" w:rsidRPr="006B2B01" w:rsidRDefault="006E0FCE" w:rsidP="006E0FCE">
      <w:pPr>
        <w:spacing w:after="0"/>
        <w:rPr>
          <w:rFonts w:ascii="Times New Roman" w:hAnsi="Times New Roman" w:cs="Times New Roman"/>
          <w:sz w:val="24"/>
          <w:szCs w:val="24"/>
        </w:rPr>
      </w:pPr>
    </w:p>
    <w:p w:rsidR="006E6CD1" w:rsidRDefault="006E6CD1" w:rsidP="006E0FCE">
      <w:pPr>
        <w:spacing w:after="0"/>
        <w:rPr>
          <w:rFonts w:ascii="Times New Roman" w:hAnsi="Times New Roman" w:cs="Times New Roman"/>
          <w:b/>
          <w:bCs/>
          <w:sz w:val="24"/>
          <w:szCs w:val="24"/>
        </w:rPr>
      </w:pPr>
    </w:p>
    <w:p w:rsidR="006E6CD1" w:rsidRDefault="006E6CD1" w:rsidP="006E0FCE">
      <w:pPr>
        <w:spacing w:after="0"/>
        <w:rPr>
          <w:rFonts w:ascii="Times New Roman" w:hAnsi="Times New Roman" w:cs="Times New Roman"/>
          <w:b/>
          <w:bCs/>
          <w:sz w:val="24"/>
          <w:szCs w:val="24"/>
        </w:rPr>
      </w:pPr>
    </w:p>
    <w:p w:rsidR="006E0FCE" w:rsidRPr="006B2B01" w:rsidRDefault="006E0FCE" w:rsidP="006E0FCE">
      <w:pPr>
        <w:spacing w:after="0"/>
        <w:rPr>
          <w:rFonts w:ascii="Times New Roman" w:hAnsi="Times New Roman" w:cs="Times New Roman"/>
          <w:b/>
          <w:bCs/>
          <w:sz w:val="24"/>
          <w:szCs w:val="24"/>
        </w:rPr>
      </w:pPr>
      <w:r w:rsidRPr="006B2B01">
        <w:rPr>
          <w:rFonts w:ascii="Times New Roman" w:hAnsi="Times New Roman" w:cs="Times New Roman"/>
          <w:b/>
          <w:bCs/>
          <w:sz w:val="24"/>
          <w:szCs w:val="24"/>
        </w:rPr>
        <w:t>Table (7): Relative dissolution efficiency of Metronidazole brands:</w:t>
      </w:r>
    </w:p>
    <w:tbl>
      <w:tblPr>
        <w:tblStyle w:val="MediumGrid1-Accent2"/>
        <w:bidiVisual/>
        <w:tblW w:w="0" w:type="auto"/>
        <w:tblInd w:w="2821" w:type="dxa"/>
        <w:tblLook w:val="04A0"/>
      </w:tblPr>
      <w:tblGrid>
        <w:gridCol w:w="2062"/>
        <w:gridCol w:w="1530"/>
        <w:gridCol w:w="1440"/>
        <w:gridCol w:w="1620"/>
      </w:tblGrid>
      <w:tr w:rsidR="006E0FCE" w:rsidRPr="006B2B01" w:rsidTr="00B63C0F">
        <w:trPr>
          <w:cnfStyle w:val="100000000000"/>
        </w:trPr>
        <w:tc>
          <w:tcPr>
            <w:cnfStyle w:val="001000000000"/>
            <w:tcW w:w="2062" w:type="dxa"/>
          </w:tcPr>
          <w:p w:rsidR="006E0FCE" w:rsidRPr="006B2B01" w:rsidRDefault="006E0FCE" w:rsidP="00B63C0F">
            <w:pPr>
              <w:spacing w:line="276" w:lineRule="auto"/>
              <w:jc w:val="center"/>
              <w:rPr>
                <w:rFonts w:ascii="Times New Roman" w:hAnsi="Times New Roman" w:cs="Times New Roman"/>
                <w:sz w:val="24"/>
                <w:szCs w:val="24"/>
                <w:rtl/>
              </w:rPr>
            </w:pPr>
            <w:r w:rsidRPr="006B2B01">
              <w:rPr>
                <w:rFonts w:ascii="Times New Roman" w:hAnsi="Times New Roman" w:cs="Times New Roman"/>
                <w:sz w:val="24"/>
                <w:szCs w:val="24"/>
              </w:rPr>
              <w:t>6.8</w:t>
            </w:r>
          </w:p>
        </w:tc>
        <w:tc>
          <w:tcPr>
            <w:tcW w:w="1530" w:type="dxa"/>
          </w:tcPr>
          <w:p w:rsidR="006E0FCE" w:rsidRPr="006B2B01" w:rsidRDefault="006E0FCE" w:rsidP="00B63C0F">
            <w:pPr>
              <w:spacing w:line="276" w:lineRule="auto"/>
              <w:jc w:val="center"/>
              <w:cnfStyle w:val="100000000000"/>
              <w:rPr>
                <w:rFonts w:ascii="Times New Roman" w:hAnsi="Times New Roman" w:cs="Times New Roman"/>
                <w:sz w:val="24"/>
                <w:szCs w:val="24"/>
                <w:rtl/>
              </w:rPr>
            </w:pPr>
            <w:r w:rsidRPr="006B2B01">
              <w:rPr>
                <w:rFonts w:ascii="Times New Roman" w:hAnsi="Times New Roman" w:cs="Times New Roman"/>
                <w:sz w:val="24"/>
                <w:szCs w:val="24"/>
              </w:rPr>
              <w:t>4.5</w:t>
            </w:r>
          </w:p>
        </w:tc>
        <w:tc>
          <w:tcPr>
            <w:tcW w:w="1440" w:type="dxa"/>
          </w:tcPr>
          <w:p w:rsidR="006E0FCE" w:rsidRPr="006B2B01" w:rsidRDefault="006E0FCE" w:rsidP="00B63C0F">
            <w:pPr>
              <w:spacing w:line="276" w:lineRule="auto"/>
              <w:jc w:val="center"/>
              <w:cnfStyle w:val="100000000000"/>
              <w:rPr>
                <w:rFonts w:ascii="Times New Roman" w:hAnsi="Times New Roman" w:cs="Times New Roman"/>
                <w:sz w:val="24"/>
                <w:szCs w:val="24"/>
                <w:rtl/>
              </w:rPr>
            </w:pPr>
            <w:r w:rsidRPr="006B2B01">
              <w:rPr>
                <w:rFonts w:ascii="Times New Roman" w:hAnsi="Times New Roman" w:cs="Times New Roman"/>
                <w:sz w:val="24"/>
                <w:szCs w:val="24"/>
              </w:rPr>
              <w:t>1.2</w:t>
            </w:r>
          </w:p>
        </w:tc>
        <w:tc>
          <w:tcPr>
            <w:tcW w:w="1620" w:type="dxa"/>
          </w:tcPr>
          <w:p w:rsidR="006E0FCE" w:rsidRPr="006B2B01" w:rsidRDefault="006E0FCE" w:rsidP="00B63C0F">
            <w:pPr>
              <w:spacing w:line="276" w:lineRule="auto"/>
              <w:jc w:val="center"/>
              <w:cnfStyle w:val="100000000000"/>
              <w:rPr>
                <w:rFonts w:ascii="Times New Roman" w:hAnsi="Times New Roman" w:cs="Times New Roman"/>
                <w:sz w:val="24"/>
                <w:szCs w:val="24"/>
                <w:rtl/>
              </w:rPr>
            </w:pPr>
            <w:r w:rsidRPr="006B2B01">
              <w:rPr>
                <w:rFonts w:ascii="Times New Roman" w:hAnsi="Times New Roman" w:cs="Times New Roman"/>
                <w:sz w:val="24"/>
                <w:szCs w:val="24"/>
              </w:rPr>
              <w:t>PH</w:t>
            </w:r>
          </w:p>
        </w:tc>
      </w:tr>
      <w:commentRangeEnd w:id="93"/>
      <w:tr w:rsidR="006E0FCE" w:rsidRPr="006B2B01" w:rsidTr="00B63C0F">
        <w:trPr>
          <w:cnfStyle w:val="000000100000"/>
        </w:trPr>
        <w:tc>
          <w:tcPr>
            <w:cnfStyle w:val="001000000000"/>
            <w:tcW w:w="2062" w:type="dxa"/>
          </w:tcPr>
          <w:p w:rsidR="006E0FCE" w:rsidRPr="006B2B01" w:rsidRDefault="002D2CCD" w:rsidP="00B63C0F">
            <w:pPr>
              <w:spacing w:line="276" w:lineRule="auto"/>
              <w:jc w:val="center"/>
              <w:rPr>
                <w:rFonts w:ascii="Times New Roman" w:hAnsi="Times New Roman" w:cs="Times New Roman"/>
                <w:sz w:val="24"/>
                <w:szCs w:val="24"/>
                <w:rtl/>
              </w:rPr>
            </w:pPr>
            <w:r>
              <w:rPr>
                <w:rStyle w:val="CommentReference"/>
                <w:rFonts w:eastAsiaTheme="minorHAnsi"/>
                <w:b w:val="0"/>
                <w:bCs w:val="0"/>
              </w:rPr>
              <w:commentReference w:id="93"/>
            </w:r>
            <w:r w:rsidR="006E0FCE" w:rsidRPr="006B2B01">
              <w:rPr>
                <w:rFonts w:ascii="Times New Roman" w:hAnsi="Times New Roman" w:cs="Times New Roman"/>
                <w:sz w:val="24"/>
                <w:szCs w:val="24"/>
              </w:rPr>
              <w:t>100.91%</w:t>
            </w:r>
          </w:p>
        </w:tc>
        <w:tc>
          <w:tcPr>
            <w:tcW w:w="1530" w:type="dxa"/>
          </w:tcPr>
          <w:p w:rsidR="006E0FCE" w:rsidRPr="006B2B01" w:rsidRDefault="006E0FCE" w:rsidP="00B63C0F">
            <w:pPr>
              <w:spacing w:line="276" w:lineRule="auto"/>
              <w:jc w:val="center"/>
              <w:cnfStyle w:val="000000100000"/>
              <w:rPr>
                <w:rFonts w:ascii="Times New Roman" w:hAnsi="Times New Roman" w:cs="Times New Roman"/>
                <w:sz w:val="24"/>
                <w:szCs w:val="24"/>
                <w:rtl/>
              </w:rPr>
            </w:pPr>
            <w:r w:rsidRPr="006B2B01">
              <w:rPr>
                <w:rFonts w:ascii="Times New Roman" w:hAnsi="Times New Roman" w:cs="Times New Roman"/>
                <w:sz w:val="24"/>
                <w:szCs w:val="24"/>
              </w:rPr>
              <w:t>96.73%</w:t>
            </w:r>
          </w:p>
        </w:tc>
        <w:tc>
          <w:tcPr>
            <w:tcW w:w="1440" w:type="dxa"/>
          </w:tcPr>
          <w:p w:rsidR="006E0FCE" w:rsidRPr="006B2B01" w:rsidRDefault="006E0FCE" w:rsidP="00B63C0F">
            <w:pPr>
              <w:spacing w:line="276" w:lineRule="auto"/>
              <w:jc w:val="center"/>
              <w:cnfStyle w:val="000000100000"/>
              <w:rPr>
                <w:rFonts w:ascii="Times New Roman" w:hAnsi="Times New Roman" w:cs="Times New Roman"/>
                <w:sz w:val="24"/>
                <w:szCs w:val="24"/>
                <w:rtl/>
              </w:rPr>
            </w:pPr>
            <w:r w:rsidRPr="006B2B01">
              <w:rPr>
                <w:rFonts w:ascii="Times New Roman" w:hAnsi="Times New Roman" w:cs="Times New Roman"/>
                <w:sz w:val="24"/>
                <w:szCs w:val="24"/>
              </w:rPr>
              <w:t>102.18%</w:t>
            </w:r>
          </w:p>
        </w:tc>
        <w:tc>
          <w:tcPr>
            <w:tcW w:w="1620" w:type="dxa"/>
          </w:tcPr>
          <w:p w:rsidR="006E0FCE" w:rsidRPr="006B2B01" w:rsidRDefault="006E0FCE" w:rsidP="00B63C0F">
            <w:pPr>
              <w:spacing w:line="276" w:lineRule="auto"/>
              <w:jc w:val="center"/>
              <w:cnfStyle w:val="000000100000"/>
              <w:rPr>
                <w:rFonts w:ascii="Times New Roman" w:hAnsi="Times New Roman" w:cs="Times New Roman"/>
                <w:sz w:val="24"/>
                <w:szCs w:val="24"/>
                <w:rtl/>
              </w:rPr>
            </w:pPr>
            <w:r w:rsidRPr="006B2B01">
              <w:rPr>
                <w:rFonts w:ascii="Times New Roman" w:hAnsi="Times New Roman" w:cs="Times New Roman"/>
                <w:sz w:val="24"/>
                <w:szCs w:val="24"/>
              </w:rPr>
              <w:t>Brand (B)</w:t>
            </w:r>
          </w:p>
        </w:tc>
      </w:tr>
      <w:tr w:rsidR="006E0FCE" w:rsidRPr="006B2B01" w:rsidTr="00B63C0F">
        <w:tc>
          <w:tcPr>
            <w:cnfStyle w:val="001000000000"/>
            <w:tcW w:w="2062" w:type="dxa"/>
          </w:tcPr>
          <w:p w:rsidR="006E0FCE" w:rsidRPr="006B2B01" w:rsidRDefault="006E0FCE" w:rsidP="00B63C0F">
            <w:pPr>
              <w:spacing w:line="276" w:lineRule="auto"/>
              <w:jc w:val="center"/>
              <w:rPr>
                <w:rFonts w:ascii="Times New Roman" w:hAnsi="Times New Roman" w:cs="Times New Roman"/>
                <w:sz w:val="24"/>
                <w:szCs w:val="24"/>
                <w:rtl/>
              </w:rPr>
            </w:pPr>
            <w:r w:rsidRPr="006B2B01">
              <w:rPr>
                <w:rFonts w:ascii="Times New Roman" w:hAnsi="Times New Roman" w:cs="Times New Roman"/>
                <w:sz w:val="24"/>
                <w:szCs w:val="24"/>
              </w:rPr>
              <w:t>103.62%</w:t>
            </w:r>
          </w:p>
        </w:tc>
        <w:tc>
          <w:tcPr>
            <w:tcW w:w="1530" w:type="dxa"/>
          </w:tcPr>
          <w:p w:rsidR="006E0FCE" w:rsidRPr="006B2B01" w:rsidRDefault="006E0FCE" w:rsidP="00B63C0F">
            <w:pPr>
              <w:spacing w:line="276" w:lineRule="auto"/>
              <w:jc w:val="center"/>
              <w:cnfStyle w:val="000000000000"/>
              <w:rPr>
                <w:rFonts w:ascii="Times New Roman" w:hAnsi="Times New Roman" w:cs="Times New Roman"/>
                <w:sz w:val="24"/>
                <w:szCs w:val="24"/>
                <w:rtl/>
              </w:rPr>
            </w:pPr>
            <w:r w:rsidRPr="006B2B01">
              <w:rPr>
                <w:rFonts w:ascii="Times New Roman" w:hAnsi="Times New Roman" w:cs="Times New Roman"/>
                <w:sz w:val="24"/>
                <w:szCs w:val="24"/>
              </w:rPr>
              <w:t>95.45%</w:t>
            </w:r>
          </w:p>
        </w:tc>
        <w:tc>
          <w:tcPr>
            <w:tcW w:w="1440" w:type="dxa"/>
          </w:tcPr>
          <w:p w:rsidR="006E0FCE" w:rsidRPr="006B2B01" w:rsidRDefault="006E0FCE" w:rsidP="00B63C0F">
            <w:pPr>
              <w:spacing w:line="276" w:lineRule="auto"/>
              <w:jc w:val="center"/>
              <w:cnfStyle w:val="000000000000"/>
              <w:rPr>
                <w:rFonts w:ascii="Times New Roman" w:hAnsi="Times New Roman" w:cs="Times New Roman"/>
                <w:sz w:val="24"/>
                <w:szCs w:val="24"/>
                <w:rtl/>
              </w:rPr>
            </w:pPr>
            <w:r w:rsidRPr="006B2B01">
              <w:rPr>
                <w:rFonts w:ascii="Times New Roman" w:hAnsi="Times New Roman" w:cs="Times New Roman"/>
                <w:sz w:val="24"/>
                <w:szCs w:val="24"/>
              </w:rPr>
              <w:t>101.30%</w:t>
            </w:r>
          </w:p>
        </w:tc>
        <w:tc>
          <w:tcPr>
            <w:tcW w:w="1620" w:type="dxa"/>
          </w:tcPr>
          <w:p w:rsidR="006E0FCE" w:rsidRPr="006B2B01" w:rsidRDefault="006E0FCE" w:rsidP="00B63C0F">
            <w:pPr>
              <w:spacing w:line="276" w:lineRule="auto"/>
              <w:jc w:val="center"/>
              <w:cnfStyle w:val="000000000000"/>
              <w:rPr>
                <w:rFonts w:ascii="Times New Roman" w:hAnsi="Times New Roman" w:cs="Times New Roman"/>
                <w:sz w:val="24"/>
                <w:szCs w:val="24"/>
                <w:rtl/>
              </w:rPr>
            </w:pPr>
            <w:r w:rsidRPr="006B2B01">
              <w:rPr>
                <w:rFonts w:ascii="Times New Roman" w:hAnsi="Times New Roman" w:cs="Times New Roman"/>
                <w:sz w:val="24"/>
                <w:szCs w:val="24"/>
              </w:rPr>
              <w:t>Brand (C)</w:t>
            </w:r>
          </w:p>
        </w:tc>
      </w:tr>
    </w:tbl>
    <w:p w:rsidR="00BC0539" w:rsidRPr="006B2B01" w:rsidRDefault="00BC0539" w:rsidP="006B2B01">
      <w:pPr>
        <w:spacing w:after="0"/>
        <w:ind w:left="720"/>
        <w:jc w:val="both"/>
        <w:rPr>
          <w:rFonts w:ascii="Times New Roman" w:hAnsi="Times New Roman" w:cs="Times New Roman"/>
          <w:sz w:val="24"/>
          <w:szCs w:val="24"/>
          <w:lang w:val="en-GB"/>
        </w:rPr>
      </w:pPr>
    </w:p>
    <w:p w:rsidR="00BC0539" w:rsidRDefault="00BC0539" w:rsidP="006B2B01">
      <w:pPr>
        <w:spacing w:after="0"/>
        <w:ind w:left="720"/>
        <w:jc w:val="both"/>
        <w:rPr>
          <w:rFonts w:ascii="Times New Roman" w:hAnsi="Times New Roman" w:cs="Times New Roman"/>
          <w:sz w:val="24"/>
          <w:szCs w:val="24"/>
          <w:lang w:val="en-GB"/>
        </w:rPr>
      </w:pPr>
    </w:p>
    <w:p w:rsidR="006E6CD1" w:rsidRPr="006B2B01" w:rsidRDefault="006E6CD1" w:rsidP="006B2B01">
      <w:pPr>
        <w:spacing w:after="0"/>
        <w:ind w:left="720"/>
        <w:jc w:val="both"/>
        <w:rPr>
          <w:rFonts w:ascii="Times New Roman" w:hAnsi="Times New Roman" w:cs="Times New Roman"/>
          <w:sz w:val="24"/>
          <w:szCs w:val="24"/>
          <w:lang w:val="en-GB"/>
        </w:rPr>
      </w:pPr>
    </w:p>
    <w:commentRangeStart w:id="94"/>
    <w:p w:rsidR="006E0FCE" w:rsidRPr="006B2B01" w:rsidRDefault="006E0FCE" w:rsidP="006E0FCE">
      <w:pPr>
        <w:spacing w:after="0"/>
        <w:jc w:val="center"/>
        <w:rPr>
          <w:rFonts w:ascii="Times New Roman" w:hAnsi="Times New Roman" w:cs="Times New Roman"/>
          <w:sz w:val="24"/>
          <w:szCs w:val="24"/>
        </w:rPr>
      </w:pPr>
      <w:r w:rsidRPr="006B2B01">
        <w:rPr>
          <w:rFonts w:ascii="Times New Roman" w:hAnsi="Times New Roman" w:cs="Times New Roman"/>
          <w:sz w:val="24"/>
          <w:szCs w:val="24"/>
        </w:rP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pt;height:214.1pt" o:ole="">
            <v:imagedata r:id="rId14" o:title=""/>
          </v:shape>
          <o:OLEObject Type="Embed" ProgID="MtbGraph.Document" ShapeID="_x0000_i1025" DrawAspect="Content" ObjectID="_1682342975" r:id="rId15"/>
        </w:object>
      </w:r>
      <w:commentRangeEnd w:id="94"/>
      <w:r w:rsidR="002D2CCD">
        <w:rPr>
          <w:rStyle w:val="CommentReference"/>
        </w:rPr>
        <w:commentReference w:id="94"/>
      </w:r>
    </w:p>
    <w:p w:rsidR="006E0FCE" w:rsidRDefault="006E0FCE" w:rsidP="006E0FCE">
      <w:pPr>
        <w:spacing w:after="0"/>
        <w:jc w:val="center"/>
        <w:rPr>
          <w:rFonts w:ascii="Times New Roman" w:eastAsia="Times New Roman" w:hAnsi="Times New Roman" w:cs="Times New Roman"/>
          <w:b/>
          <w:bCs/>
          <w:sz w:val="24"/>
          <w:szCs w:val="24"/>
        </w:rPr>
      </w:pPr>
      <w:commentRangeStart w:id="95"/>
      <w:r w:rsidRPr="006B2B01">
        <w:rPr>
          <w:rFonts w:ascii="Times New Roman" w:eastAsia="Times New Roman" w:hAnsi="Times New Roman" w:cs="Times New Roman"/>
          <w:b/>
          <w:bCs/>
          <w:sz w:val="24"/>
          <w:szCs w:val="24"/>
        </w:rPr>
        <w:t>Metronidazole correlation in pH (1.2)</w:t>
      </w:r>
    </w:p>
    <w:p w:rsidR="006E0FCE" w:rsidRDefault="006E0FCE" w:rsidP="006E0FCE">
      <w:pPr>
        <w:spacing w:after="0"/>
        <w:jc w:val="center"/>
        <w:rPr>
          <w:rFonts w:ascii="Times New Roman" w:eastAsia="Times New Roman" w:hAnsi="Times New Roman" w:cs="Times New Roman"/>
          <w:b/>
          <w:bCs/>
          <w:sz w:val="24"/>
          <w:szCs w:val="24"/>
        </w:rPr>
      </w:pPr>
    </w:p>
    <w:p w:rsidR="006E0FCE" w:rsidRPr="006B2B01" w:rsidRDefault="006E0FCE" w:rsidP="006E0FCE">
      <w:pPr>
        <w:spacing w:after="0"/>
        <w:jc w:val="center"/>
        <w:rPr>
          <w:rFonts w:ascii="Times New Roman" w:eastAsia="Times New Roman" w:hAnsi="Times New Roman" w:cs="Times New Roman"/>
          <w:b/>
          <w:bCs/>
          <w:sz w:val="24"/>
          <w:szCs w:val="24"/>
        </w:rPr>
      </w:pPr>
    </w:p>
    <w:p w:rsidR="006E0FCE" w:rsidRPr="006B2B01" w:rsidRDefault="006E0FCE" w:rsidP="006E0FCE">
      <w:pPr>
        <w:spacing w:after="0"/>
        <w:jc w:val="center"/>
        <w:rPr>
          <w:rFonts w:ascii="Times New Roman" w:eastAsia="Times New Roman" w:hAnsi="Times New Roman" w:cs="Times New Roman"/>
          <w:b/>
          <w:bCs/>
          <w:sz w:val="24"/>
          <w:szCs w:val="24"/>
        </w:rPr>
      </w:pPr>
    </w:p>
    <w:commentRangeStart w:id="96"/>
    <w:p w:rsidR="006E0FCE" w:rsidRPr="006B2B01" w:rsidRDefault="006E0FCE" w:rsidP="006E0FCE">
      <w:pPr>
        <w:spacing w:after="0"/>
        <w:jc w:val="center"/>
        <w:rPr>
          <w:rFonts w:ascii="Times New Roman" w:eastAsia="Times New Roman" w:hAnsi="Times New Roman" w:cs="Times New Roman"/>
          <w:b/>
          <w:bCs/>
          <w:sz w:val="24"/>
          <w:szCs w:val="24"/>
        </w:rPr>
      </w:pPr>
      <w:r w:rsidRPr="006B2B01">
        <w:rPr>
          <w:rFonts w:ascii="Times New Roman" w:hAnsi="Times New Roman" w:cs="Times New Roman"/>
          <w:sz w:val="24"/>
          <w:szCs w:val="24"/>
        </w:rPr>
        <w:object w:dxaOrig="8640" w:dyaOrig="5760">
          <v:shape id="_x0000_i1026" type="#_x0000_t75" style="width:385.05pt;height:232.9pt" o:ole="">
            <v:imagedata r:id="rId16" o:title=""/>
          </v:shape>
          <o:OLEObject Type="Embed" ProgID="MtbGraph.Document" ShapeID="_x0000_i1026" DrawAspect="Content" ObjectID="_1682342976" r:id="rId17"/>
        </w:object>
      </w:r>
      <w:commentRangeEnd w:id="96"/>
      <w:r w:rsidR="002D2CCD">
        <w:rPr>
          <w:rStyle w:val="CommentReference"/>
        </w:rPr>
        <w:commentReference w:id="96"/>
      </w:r>
    </w:p>
    <w:p w:rsidR="006E0FCE" w:rsidRDefault="006E0FCE" w:rsidP="006E0FCE">
      <w:pPr>
        <w:spacing w:after="0"/>
        <w:jc w:val="center"/>
        <w:rPr>
          <w:rFonts w:ascii="Times New Roman" w:eastAsia="Times New Roman" w:hAnsi="Times New Roman" w:cs="Times New Roman"/>
          <w:b/>
          <w:bCs/>
          <w:sz w:val="24"/>
          <w:szCs w:val="24"/>
        </w:rPr>
      </w:pPr>
      <w:r w:rsidRPr="006B2B01">
        <w:rPr>
          <w:rFonts w:ascii="Times New Roman" w:eastAsia="Times New Roman" w:hAnsi="Times New Roman" w:cs="Times New Roman"/>
          <w:b/>
          <w:bCs/>
          <w:sz w:val="24"/>
          <w:szCs w:val="24"/>
        </w:rPr>
        <w:t xml:space="preserve">Metronidazole correlation </w:t>
      </w:r>
      <w:commentRangeEnd w:id="95"/>
      <w:r w:rsidR="002D2CCD">
        <w:rPr>
          <w:rStyle w:val="CommentReference"/>
        </w:rPr>
        <w:commentReference w:id="95"/>
      </w:r>
      <w:r w:rsidRPr="006B2B01">
        <w:rPr>
          <w:rFonts w:ascii="Times New Roman" w:eastAsia="Times New Roman" w:hAnsi="Times New Roman" w:cs="Times New Roman"/>
          <w:b/>
          <w:bCs/>
          <w:sz w:val="24"/>
          <w:szCs w:val="24"/>
        </w:rPr>
        <w:t>in pH (4.5)</w:t>
      </w:r>
    </w:p>
    <w:p w:rsidR="006626AF" w:rsidRDefault="006626AF" w:rsidP="006E0FCE">
      <w:pPr>
        <w:spacing w:after="0"/>
        <w:jc w:val="center"/>
        <w:rPr>
          <w:rFonts w:ascii="Times New Roman" w:eastAsia="Times New Roman" w:hAnsi="Times New Roman" w:cs="Times New Roman"/>
          <w:b/>
          <w:bCs/>
          <w:sz w:val="24"/>
          <w:szCs w:val="24"/>
        </w:rPr>
      </w:pPr>
    </w:p>
    <w:p w:rsidR="006626AF" w:rsidRPr="006B2B01" w:rsidRDefault="006626AF" w:rsidP="006E0FCE">
      <w:pPr>
        <w:spacing w:after="0"/>
        <w:jc w:val="center"/>
        <w:rPr>
          <w:rFonts w:ascii="Times New Roman" w:eastAsia="Times New Roman" w:hAnsi="Times New Roman" w:cs="Times New Roman"/>
          <w:b/>
          <w:bCs/>
          <w:sz w:val="24"/>
          <w:szCs w:val="24"/>
        </w:rPr>
      </w:pPr>
    </w:p>
    <w:p w:rsidR="006E0FCE" w:rsidRPr="006B2B01" w:rsidRDefault="006E0FCE" w:rsidP="006E0FCE">
      <w:pPr>
        <w:spacing w:after="0"/>
        <w:rPr>
          <w:rFonts w:ascii="Times New Roman" w:eastAsia="Times New Roman" w:hAnsi="Times New Roman" w:cs="Times New Roman"/>
          <w:b/>
          <w:bCs/>
          <w:sz w:val="24"/>
          <w:szCs w:val="24"/>
        </w:rPr>
      </w:pPr>
    </w:p>
    <w:commentRangeStart w:id="97"/>
    <w:commentRangeStart w:id="98"/>
    <w:p w:rsidR="006E0FCE" w:rsidRPr="006B2B01" w:rsidRDefault="006E0FCE" w:rsidP="006E0FCE">
      <w:pPr>
        <w:spacing w:after="0"/>
        <w:jc w:val="center"/>
        <w:rPr>
          <w:rFonts w:ascii="Times New Roman" w:eastAsia="Times New Roman" w:hAnsi="Times New Roman" w:cs="Times New Roman"/>
          <w:b/>
          <w:bCs/>
          <w:sz w:val="24"/>
          <w:szCs w:val="24"/>
        </w:rPr>
      </w:pPr>
      <w:r w:rsidRPr="006B2B01">
        <w:rPr>
          <w:rFonts w:ascii="Times New Roman" w:hAnsi="Times New Roman" w:cs="Times New Roman"/>
          <w:sz w:val="24"/>
          <w:szCs w:val="24"/>
        </w:rPr>
        <w:object w:dxaOrig="8640" w:dyaOrig="5760">
          <v:shape id="_x0000_i1027" type="#_x0000_t75" style="width:393.2pt;height:234.8pt" o:ole="">
            <v:imagedata r:id="rId18" o:title=""/>
          </v:shape>
          <o:OLEObject Type="Embed" ProgID="MtbGraph.Document" ShapeID="_x0000_i1027" DrawAspect="Content" ObjectID="_1682342977" r:id="rId19"/>
        </w:object>
      </w:r>
      <w:commentRangeEnd w:id="98"/>
      <w:r w:rsidR="002D2CCD">
        <w:rPr>
          <w:rStyle w:val="CommentReference"/>
        </w:rPr>
        <w:commentReference w:id="98"/>
      </w:r>
    </w:p>
    <w:p w:rsidR="006E0FCE" w:rsidRPr="006B2B01" w:rsidRDefault="006E0FCE" w:rsidP="006E0FCE">
      <w:pPr>
        <w:spacing w:after="0"/>
        <w:jc w:val="center"/>
        <w:rPr>
          <w:rFonts w:ascii="Times New Roman" w:eastAsia="Times New Roman" w:hAnsi="Times New Roman" w:cs="Times New Roman"/>
          <w:b/>
          <w:bCs/>
          <w:sz w:val="24"/>
          <w:szCs w:val="24"/>
        </w:rPr>
      </w:pPr>
      <w:r w:rsidRPr="006B2B01">
        <w:rPr>
          <w:rFonts w:ascii="Times New Roman" w:eastAsia="Times New Roman" w:hAnsi="Times New Roman" w:cs="Times New Roman"/>
          <w:b/>
          <w:bCs/>
          <w:sz w:val="24"/>
          <w:szCs w:val="24"/>
        </w:rPr>
        <w:t>Metronidazole correlation in pH (6.8</w:t>
      </w:r>
      <w:commentRangeEnd w:id="97"/>
      <w:r w:rsidR="002D2CCD">
        <w:rPr>
          <w:rStyle w:val="CommentReference"/>
        </w:rPr>
        <w:commentReference w:id="97"/>
      </w:r>
      <w:r w:rsidRPr="006B2B01">
        <w:rPr>
          <w:rFonts w:ascii="Times New Roman" w:eastAsia="Times New Roman" w:hAnsi="Times New Roman" w:cs="Times New Roman"/>
          <w:b/>
          <w:bCs/>
          <w:sz w:val="24"/>
          <w:szCs w:val="24"/>
        </w:rPr>
        <w:t>)</w:t>
      </w:r>
    </w:p>
    <w:p w:rsidR="00BC0539" w:rsidRPr="006B2B01" w:rsidRDefault="00BC0539" w:rsidP="006B2B01">
      <w:pPr>
        <w:spacing w:after="0"/>
        <w:rPr>
          <w:rFonts w:ascii="Times New Roman" w:hAnsi="Times New Roman" w:cs="Times New Roman"/>
          <w:b/>
          <w:bCs/>
          <w:sz w:val="24"/>
          <w:szCs w:val="24"/>
          <w:lang w:val="en-GB"/>
        </w:rPr>
      </w:pPr>
    </w:p>
    <w:p w:rsidR="00BC0539" w:rsidRPr="006B2B01" w:rsidRDefault="00BC0539" w:rsidP="006B2B01">
      <w:pPr>
        <w:spacing w:after="0"/>
        <w:jc w:val="center"/>
        <w:rPr>
          <w:rFonts w:ascii="Times New Roman" w:hAnsi="Times New Roman" w:cs="Times New Roman"/>
          <w:sz w:val="24"/>
          <w:szCs w:val="24"/>
        </w:rPr>
      </w:pPr>
    </w:p>
    <w:p w:rsidR="00973BF2" w:rsidRPr="006B2B01" w:rsidRDefault="00973BF2" w:rsidP="006B2B01">
      <w:pPr>
        <w:spacing w:after="0"/>
        <w:rPr>
          <w:rFonts w:ascii="Times New Roman" w:hAnsi="Times New Roman" w:cs="Times New Roman"/>
          <w:sz w:val="24"/>
          <w:szCs w:val="24"/>
        </w:rPr>
      </w:pPr>
    </w:p>
    <w:p w:rsidR="004E34B0" w:rsidRPr="006B2B01" w:rsidRDefault="004E34B0" w:rsidP="006B2B01">
      <w:pPr>
        <w:spacing w:after="0"/>
        <w:rPr>
          <w:rFonts w:ascii="Times New Roman" w:hAnsi="Times New Roman" w:cs="Times New Roman"/>
          <w:sz w:val="24"/>
          <w:szCs w:val="24"/>
        </w:rPr>
      </w:pPr>
    </w:p>
    <w:sectPr w:rsidR="004E34B0" w:rsidRPr="006B2B01" w:rsidSect="00FD494A">
      <w:headerReference w:type="even" r:id="rId20"/>
      <w:headerReference w:type="default" r:id="rId21"/>
      <w:footerReference w:type="even" r:id="rId22"/>
      <w:footerReference w:type="default" r:id="rId23"/>
      <w:headerReference w:type="first" r:id="rId24"/>
      <w:footerReference w:type="first" r:id="rId25"/>
      <w:pgSz w:w="12240" w:h="15840"/>
      <w:pgMar w:top="284" w:right="1440" w:bottom="284" w:left="1440" w:header="294" w:footer="26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2:33:00Z" w:initials="K">
    <w:p w:rsidR="004126D1" w:rsidRDefault="004126D1" w:rsidP="00A071FC">
      <w:pPr>
        <w:spacing w:after="0" w:line="240" w:lineRule="auto"/>
        <w:rPr>
          <w:rFonts w:ascii="Times New Roman" w:hAnsi="Times New Roman" w:cs="Times New Roman"/>
        </w:rPr>
      </w:pPr>
      <w:r>
        <w:rPr>
          <w:rStyle w:val="CommentReference"/>
        </w:rPr>
        <w:annotationRef/>
      </w:r>
      <w:r w:rsidRPr="004126D1">
        <w:rPr>
          <w:rFonts w:ascii="Times New Roman" w:hAnsi="Times New Roman"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126D1" w:rsidRDefault="004126D1" w:rsidP="00A071FC">
      <w:pPr>
        <w:spacing w:after="0" w:line="240" w:lineRule="auto"/>
        <w:rPr>
          <w:rFonts w:ascii="Times New Roman" w:hAnsi="Times New Roman" w:cs="Times New Roman"/>
        </w:rPr>
      </w:pPr>
    </w:p>
    <w:p w:rsidR="004126D1" w:rsidRDefault="004126D1" w:rsidP="00A071FC">
      <w:pPr>
        <w:spacing w:after="0" w:line="240" w:lineRule="auto"/>
        <w:rPr>
          <w:rFonts w:ascii="Times New Roman" w:hAnsi="Times New Roman" w:cs="Times New Roman"/>
        </w:rPr>
      </w:pPr>
      <w:r>
        <w:rPr>
          <w:rStyle w:val="CommentReference"/>
        </w:rPr>
        <w:annotationRef/>
      </w:r>
      <w:r w:rsidRPr="00EF2E4B">
        <w:rPr>
          <w:rFonts w:ascii="Times New Roman" w:hAnsi="Times New Roman" w:cs="Times New Roman"/>
          <w:highlight w:val="green"/>
        </w:rPr>
        <w:t xml:space="preserve">Similarity Index detected by </w:t>
      </w:r>
      <w:hyperlink r:id="rId2" w:history="1">
        <w:r w:rsidRPr="00654262">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r>
        <w:rPr>
          <w:rFonts w:ascii="Times New Roman" w:hAnsi="Times New Roman" w:cs="Times New Roman"/>
          <w:highlight w:val="green"/>
        </w:rPr>
        <w:t>63</w:t>
      </w:r>
      <w:r w:rsidRPr="00EF2E4B">
        <w:rPr>
          <w:rFonts w:ascii="Times New Roman" w:hAnsi="Times New Roman" w:cs="Times New Roman"/>
          <w:highlight w:val="green"/>
        </w:rPr>
        <w:t>%</w:t>
      </w:r>
      <w:r>
        <w:rPr>
          <w:rFonts w:ascii="Times New Roman" w:hAnsi="Times New Roman" w:cs="Times New Roman"/>
        </w:rPr>
        <w:t xml:space="preserve"> </w:t>
      </w:r>
    </w:p>
    <w:p w:rsidR="004126D1" w:rsidRDefault="004126D1" w:rsidP="00A071FC">
      <w:pPr>
        <w:spacing w:after="0" w:line="240" w:lineRule="auto"/>
        <w:rPr>
          <w:rFonts w:ascii="Times New Roman" w:hAnsi="Times New Roman" w:cs="Times New Roman"/>
        </w:rPr>
      </w:pPr>
    </w:p>
    <w:p w:rsidR="004126D1" w:rsidRPr="00EF2E4B" w:rsidRDefault="004126D1" w:rsidP="00A071FC">
      <w:pPr>
        <w:spacing w:after="0" w:line="240" w:lineRule="auto"/>
        <w:rPr>
          <w:rFonts w:ascii="Times New Roman" w:hAnsi="Times New Roman" w:cs="Times New Roman"/>
        </w:rPr>
      </w:pPr>
      <w:r w:rsidRPr="00606ACE">
        <w:rPr>
          <w:rFonts w:ascii="Times New Roman" w:hAnsi="Times New Roman" w:cs="Times New Roman"/>
          <w:highlight w:val="yellow"/>
        </w:rPr>
        <w:t>Pleas</w:t>
      </w:r>
      <w:r>
        <w:rPr>
          <w:rFonts w:ascii="Times New Roman" w:hAnsi="Times New Roman" w:cs="Times New Roman"/>
          <w:highlight w:val="yellow"/>
        </w:rPr>
        <w:t>e revise your article according</w:t>
      </w:r>
      <w:r w:rsidRPr="00E30D10">
        <w:rPr>
          <w:rFonts w:ascii="Times New Roman" w:hAnsi="Times New Roman" w:cs="Times New Roman"/>
          <w:highlight w:val="yellow"/>
        </w:rPr>
        <w:t>ly</w:t>
      </w:r>
    </w:p>
    <w:p w:rsidR="004126D1" w:rsidRDefault="004126D1">
      <w:pPr>
        <w:pStyle w:val="CommentText"/>
      </w:pPr>
    </w:p>
  </w:comment>
  <w:comment w:id="1" w:author="monu" w:date="2020-03-01T13:35:00Z" w:initials="m">
    <w:p w:rsidR="004126D1" w:rsidRDefault="004126D1">
      <w:pPr>
        <w:pStyle w:val="CommentText"/>
      </w:pPr>
      <w:r>
        <w:rPr>
          <w:rStyle w:val="CommentReference"/>
        </w:rPr>
        <w:annotationRef/>
      </w:r>
      <w:r>
        <w:t>Write in Italic</w:t>
      </w:r>
    </w:p>
  </w:comment>
  <w:comment w:id="2" w:author="monu" w:date="2020-03-01T13:53:00Z" w:initials="m">
    <w:p w:rsidR="004126D1" w:rsidRDefault="004126D1">
      <w:pPr>
        <w:pStyle w:val="CommentText"/>
      </w:pPr>
      <w:r>
        <w:rPr>
          <w:rStyle w:val="CommentReference"/>
        </w:rPr>
        <w:annotationRef/>
      </w:r>
      <w:r>
        <w:t>Similar work is  already done by many  authors.  So, authors are instructed to explain the difference between current and previous work.</w:t>
      </w:r>
    </w:p>
    <w:p w:rsidR="004126D1" w:rsidRDefault="004126D1" w:rsidP="00B63C0F">
      <w:pPr>
        <w:pStyle w:val="CommentText"/>
        <w:ind w:left="720" w:hanging="720"/>
      </w:pPr>
      <w:r>
        <w:t>Article can be accepted for publication only after some major changes</w:t>
      </w:r>
    </w:p>
  </w:comment>
  <w:comment w:id="3" w:author="monu" w:date="2020-03-01T13:55:00Z" w:initials="m">
    <w:p w:rsidR="004126D1" w:rsidRPr="00761F26" w:rsidRDefault="004126D1" w:rsidP="00761F26">
      <w:pPr>
        <w:pStyle w:val="NormalWeb"/>
        <w:spacing w:before="0" w:beforeAutospacing="0" w:after="0" w:afterAutospacing="0"/>
        <w:rPr>
          <w:rFonts w:ascii="Arial" w:hAnsi="Arial" w:cs="Arial"/>
          <w:bCs/>
        </w:rPr>
      </w:pPr>
      <w:r>
        <w:rPr>
          <w:rStyle w:val="CommentReference"/>
        </w:rPr>
        <w:annotationRef/>
      </w:r>
      <w:r w:rsidRPr="00761F26">
        <w:rPr>
          <w:rFonts w:ascii="Arial" w:hAnsi="Arial" w:cs="Arial"/>
        </w:rPr>
        <w:t>there are too many spelling mistakes in whole text.</w:t>
      </w:r>
    </w:p>
    <w:p w:rsidR="004126D1" w:rsidRDefault="004126D1">
      <w:pPr>
        <w:pStyle w:val="CommentText"/>
      </w:pPr>
    </w:p>
  </w:comment>
  <w:comment w:id="5" w:author="monu" w:date="2020-03-01T13:39:00Z" w:initials="m">
    <w:p w:rsidR="004126D1" w:rsidRDefault="004126D1">
      <w:pPr>
        <w:pStyle w:val="CommentText"/>
      </w:pPr>
      <w:r>
        <w:rPr>
          <w:rStyle w:val="CommentReference"/>
        </w:rPr>
        <w:annotationRef/>
      </w:r>
      <w:r>
        <w:t>Write in Italic</w:t>
      </w:r>
    </w:p>
  </w:comment>
  <w:comment w:id="6" w:author="monu" w:date="2020-03-01T13:35:00Z" w:initials="m">
    <w:p w:rsidR="004126D1" w:rsidRDefault="004126D1">
      <w:pPr>
        <w:pStyle w:val="CommentText"/>
      </w:pPr>
      <w:r>
        <w:rPr>
          <w:rStyle w:val="CommentReference"/>
        </w:rPr>
        <w:annotationRef/>
      </w:r>
      <w:r>
        <w:t>Write in Italic</w:t>
      </w:r>
    </w:p>
  </w:comment>
  <w:comment w:id="7" w:author="monu" w:date="2020-03-01T13:35:00Z" w:initials="m">
    <w:p w:rsidR="004126D1" w:rsidRDefault="004126D1">
      <w:pPr>
        <w:pStyle w:val="CommentText"/>
      </w:pPr>
      <w:r>
        <w:rPr>
          <w:rStyle w:val="CommentReference"/>
        </w:rPr>
        <w:annotationRef/>
      </w:r>
      <w:r>
        <w:t>Write in Italic</w:t>
      </w:r>
    </w:p>
  </w:comment>
  <w:comment w:id="8" w:author="monu" w:date="2020-03-01T13:39:00Z" w:initials="m">
    <w:p w:rsidR="004126D1" w:rsidRDefault="004126D1">
      <w:pPr>
        <w:pStyle w:val="CommentText"/>
      </w:pPr>
      <w:r>
        <w:rPr>
          <w:rStyle w:val="CommentReference"/>
        </w:rPr>
        <w:annotationRef/>
      </w:r>
      <w:r>
        <w:t>Write in Italic</w:t>
      </w:r>
    </w:p>
  </w:comment>
  <w:comment w:id="4" w:author="Kapil" w:date="2021-05-12T12:46:00Z" w:initials="K">
    <w:p w:rsidR="004126D1" w:rsidRDefault="004126D1" w:rsidP="004126D1">
      <w:pPr>
        <w:pStyle w:val="CommentText"/>
      </w:pPr>
      <w:r>
        <w:rPr>
          <w:rStyle w:val="CommentReference"/>
        </w:rPr>
        <w:annotationRef/>
      </w:r>
    </w:p>
    <w:p w:rsidR="004126D1" w:rsidRDefault="004126D1" w:rsidP="004126D1">
      <w:pPr>
        <w:pStyle w:val="CommentText"/>
      </w:pPr>
      <w:r>
        <w:t>Aim and objective</w:t>
      </w:r>
    </w:p>
    <w:p w:rsidR="004126D1" w:rsidRDefault="004126D1" w:rsidP="004126D1">
      <w:pPr>
        <w:pStyle w:val="CommentText"/>
      </w:pPr>
      <w:r>
        <w:t>Methods</w:t>
      </w:r>
    </w:p>
    <w:p w:rsidR="004126D1" w:rsidRDefault="004126D1" w:rsidP="004126D1">
      <w:pPr>
        <w:pStyle w:val="CommentText"/>
      </w:pPr>
      <w:r>
        <w:t>Results</w:t>
      </w:r>
    </w:p>
    <w:p w:rsidR="004126D1" w:rsidRDefault="004126D1" w:rsidP="004126D1">
      <w:pPr>
        <w:pStyle w:val="CommentText"/>
      </w:pPr>
      <w:r>
        <w:t>Contusion</w:t>
      </w:r>
    </w:p>
    <w:p w:rsidR="004126D1" w:rsidRDefault="004126D1" w:rsidP="004126D1">
      <w:pPr>
        <w:pStyle w:val="CommentText"/>
      </w:pPr>
      <w:r>
        <w:t>Keywords</w:t>
      </w:r>
    </w:p>
    <w:p w:rsidR="004126D1" w:rsidRDefault="004126D1">
      <w:pPr>
        <w:pStyle w:val="CommentText"/>
      </w:pPr>
    </w:p>
  </w:comment>
  <w:comment w:id="9" w:author="monu" w:date="2020-03-01T13:59:00Z" w:initials="m">
    <w:p w:rsidR="004126D1" w:rsidRDefault="004126D1">
      <w:pPr>
        <w:pStyle w:val="CommentText"/>
      </w:pPr>
      <w:r>
        <w:rPr>
          <w:rStyle w:val="CommentReference"/>
        </w:rPr>
        <w:annotationRef/>
      </w:r>
      <w:r>
        <w:t>Italic?</w:t>
      </w:r>
    </w:p>
  </w:comment>
  <w:comment w:id="10" w:author="monu" w:date="2020-03-01T13:56:00Z" w:initials="m">
    <w:p w:rsidR="004126D1" w:rsidRPr="005A77B8" w:rsidRDefault="004126D1" w:rsidP="00761F26">
      <w:pPr>
        <w:pStyle w:val="NormalWeb"/>
        <w:spacing w:before="0" w:beforeAutospacing="0" w:after="0" w:afterAutospacing="0"/>
        <w:rPr>
          <w:rFonts w:ascii="Arial" w:hAnsi="Arial" w:cs="Arial"/>
          <w:bCs/>
        </w:rPr>
      </w:pPr>
      <w:r>
        <w:rPr>
          <w:rStyle w:val="CommentReference"/>
        </w:rPr>
        <w:annotationRef/>
      </w:r>
      <w:r w:rsidRPr="005A77B8">
        <w:rPr>
          <w:rFonts w:ascii="Arial" w:hAnsi="Arial" w:cs="Arial"/>
          <w:bCs/>
        </w:rPr>
        <w:t>The aim of this study should be explained in this part.</w:t>
      </w:r>
    </w:p>
    <w:p w:rsidR="004126D1" w:rsidRDefault="004126D1">
      <w:pPr>
        <w:pStyle w:val="CommentText"/>
      </w:pPr>
    </w:p>
  </w:comment>
  <w:comment w:id="13" w:author="monu" w:date="2020-03-01T13:35:00Z" w:initials="m">
    <w:p w:rsidR="004126D1" w:rsidRDefault="004126D1">
      <w:pPr>
        <w:pStyle w:val="CommentText"/>
      </w:pPr>
      <w:r>
        <w:rPr>
          <w:rStyle w:val="CommentReference"/>
        </w:rPr>
        <w:annotationRef/>
      </w:r>
      <w:r>
        <w:t>Write in Italic</w:t>
      </w:r>
    </w:p>
  </w:comment>
  <w:comment w:id="14" w:author="monu" w:date="2020-03-01T13:39:00Z" w:initials="m">
    <w:p w:rsidR="004126D1" w:rsidRDefault="004126D1">
      <w:pPr>
        <w:pStyle w:val="CommentText"/>
      </w:pPr>
      <w:r>
        <w:rPr>
          <w:rStyle w:val="CommentReference"/>
        </w:rPr>
        <w:annotationRef/>
      </w:r>
      <w:r>
        <w:t>Write in Italic</w:t>
      </w:r>
    </w:p>
  </w:comment>
  <w:comment w:id="12" w:author="Kapil" w:date="2021-05-12T12:46:00Z" w:initials="K">
    <w:p w:rsidR="004126D1" w:rsidRPr="00302A00" w:rsidRDefault="004126D1" w:rsidP="004126D1">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4126D1" w:rsidRDefault="004126D1">
      <w:pPr>
        <w:pStyle w:val="CommentText"/>
      </w:pPr>
    </w:p>
  </w:comment>
  <w:comment w:id="11" w:author="Kapil" w:date="2021-03-22T18:49:00Z" w:initials="K">
    <w:p w:rsidR="004126D1" w:rsidRPr="00EE2A57" w:rsidRDefault="004126D1" w:rsidP="001B639A">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4126D1" w:rsidRDefault="004126D1">
      <w:pPr>
        <w:pStyle w:val="CommentText"/>
      </w:pPr>
    </w:p>
  </w:comment>
  <w:comment w:id="15" w:author="monu" w:date="2020-03-01T13:39:00Z" w:initials="m">
    <w:p w:rsidR="004126D1" w:rsidRDefault="004126D1">
      <w:pPr>
        <w:pStyle w:val="CommentText"/>
      </w:pPr>
      <w:r>
        <w:rPr>
          <w:rStyle w:val="CommentReference"/>
        </w:rPr>
        <w:annotationRef/>
      </w:r>
      <w:r>
        <w:t>Write in Italic</w:t>
      </w:r>
    </w:p>
  </w:comment>
  <w:comment w:id="16" w:author="monu" w:date="2020-03-01T13:36:00Z" w:initials="m">
    <w:p w:rsidR="004126D1" w:rsidRDefault="004126D1">
      <w:pPr>
        <w:pStyle w:val="CommentText"/>
      </w:pPr>
      <w:r>
        <w:rPr>
          <w:rStyle w:val="CommentReference"/>
        </w:rPr>
        <w:annotationRef/>
      </w:r>
      <w:r>
        <w:t>Write in Italic</w:t>
      </w:r>
    </w:p>
  </w:comment>
  <w:comment w:id="17" w:author="Kapil" w:date="2021-03-21T22:09:00Z" w:initials="K">
    <w:p w:rsidR="004126D1" w:rsidRDefault="004126D1">
      <w:pPr>
        <w:pStyle w:val="CommentText"/>
      </w:pPr>
      <w:r>
        <w:rPr>
          <w:rStyle w:val="CommentReference"/>
        </w:rPr>
        <w:annotationRef/>
      </w:r>
      <w:r>
        <w:t>Write in Italic</w:t>
      </w:r>
    </w:p>
  </w:comment>
  <w:comment w:id="19" w:author="monu" w:date="2020-03-01T13:36:00Z" w:initials="m">
    <w:p w:rsidR="004126D1" w:rsidRDefault="004126D1">
      <w:pPr>
        <w:pStyle w:val="CommentText"/>
      </w:pPr>
      <w:r>
        <w:rPr>
          <w:rStyle w:val="CommentReference"/>
        </w:rPr>
        <w:annotationRef/>
      </w:r>
      <w:r>
        <w:t>Write in Italic</w:t>
      </w:r>
    </w:p>
  </w:comment>
  <w:comment w:id="20" w:author="monu" w:date="2020-03-01T13:45:00Z" w:initials="m">
    <w:p w:rsidR="004126D1" w:rsidRDefault="004126D1" w:rsidP="00F83400">
      <w:pPr>
        <w:pStyle w:val="CommentText"/>
      </w:pPr>
      <w:r>
        <w:rPr>
          <w:rStyle w:val="CommentReference"/>
        </w:rPr>
        <w:annotationRef/>
      </w:r>
      <w:r>
        <w:t>Please assign  a reference number in superscripted form in the whole text content. Please go through previous published articles</w:t>
      </w:r>
    </w:p>
    <w:p w:rsidR="004126D1" w:rsidRDefault="004126D1">
      <w:pPr>
        <w:pStyle w:val="CommentText"/>
      </w:pPr>
    </w:p>
  </w:comment>
  <w:comment w:id="18" w:author="Kapil" w:date="2021-05-12T12:46:00Z" w:initials="K">
    <w:p w:rsidR="004126D1" w:rsidRDefault="004126D1" w:rsidP="004126D1">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4126D1" w:rsidRDefault="004126D1">
      <w:pPr>
        <w:pStyle w:val="CommentText"/>
      </w:pPr>
    </w:p>
  </w:comment>
  <w:comment w:id="21" w:author="monu" w:date="2020-03-01T13:50:00Z" w:initials="m">
    <w:p w:rsidR="004126D1" w:rsidRDefault="004126D1">
      <w:pPr>
        <w:pStyle w:val="CommentText"/>
      </w:pPr>
      <w:r>
        <w:rPr>
          <w:rStyle w:val="CommentReference"/>
        </w:rPr>
        <w:annotationRef/>
      </w:r>
      <w:r w:rsidRPr="00B63C0F">
        <w:rPr>
          <w:rFonts w:ascii="Times New Roman" w:hAnsi="Times New Roman" w:cs="Times New Roman"/>
          <w:i/>
          <w:sz w:val="24"/>
          <w:szCs w:val="24"/>
        </w:rPr>
        <w:t>et. al</w:t>
      </w:r>
    </w:p>
  </w:comment>
  <w:comment w:id="22" w:author="monu" w:date="2020-03-01T13:36:00Z" w:initials="m">
    <w:p w:rsidR="004126D1" w:rsidRDefault="004126D1">
      <w:pPr>
        <w:pStyle w:val="CommentText"/>
      </w:pPr>
      <w:r>
        <w:rPr>
          <w:rStyle w:val="CommentReference"/>
        </w:rPr>
        <w:annotationRef/>
      </w:r>
      <w:r>
        <w:t>Write in Italic</w:t>
      </w:r>
    </w:p>
  </w:comment>
  <w:comment w:id="23" w:author="monu" w:date="2020-03-01T13:39:00Z" w:initials="m">
    <w:p w:rsidR="004126D1" w:rsidRDefault="004126D1">
      <w:pPr>
        <w:pStyle w:val="CommentText"/>
      </w:pPr>
      <w:r>
        <w:rPr>
          <w:rStyle w:val="CommentReference"/>
        </w:rPr>
        <w:annotationRef/>
      </w:r>
      <w:r>
        <w:t>Write in Italic</w:t>
      </w:r>
    </w:p>
  </w:comment>
  <w:comment w:id="25" w:author="monu" w:date="2020-03-01T13:50:00Z" w:initials="m">
    <w:p w:rsidR="004126D1" w:rsidRDefault="004126D1">
      <w:pPr>
        <w:pStyle w:val="CommentText"/>
      </w:pPr>
      <w:r>
        <w:rPr>
          <w:rStyle w:val="CommentReference"/>
        </w:rPr>
        <w:annotationRef/>
      </w:r>
      <w:r w:rsidRPr="00B63C0F">
        <w:rPr>
          <w:rFonts w:ascii="Times New Roman" w:hAnsi="Times New Roman" w:cs="Times New Roman"/>
          <w:i/>
          <w:sz w:val="24"/>
          <w:szCs w:val="24"/>
        </w:rPr>
        <w:t>et. al</w:t>
      </w:r>
    </w:p>
  </w:comment>
  <w:comment w:id="26" w:author="monu" w:date="2020-03-01T13:50:00Z" w:initials="m">
    <w:p w:rsidR="004126D1" w:rsidRDefault="004126D1">
      <w:pPr>
        <w:pStyle w:val="CommentText"/>
      </w:pPr>
      <w:r>
        <w:rPr>
          <w:rStyle w:val="CommentReference"/>
        </w:rPr>
        <w:annotationRef/>
      </w:r>
      <w:r w:rsidRPr="00B63C0F">
        <w:rPr>
          <w:rFonts w:ascii="Times New Roman" w:hAnsi="Times New Roman" w:cs="Times New Roman"/>
          <w:i/>
          <w:sz w:val="24"/>
          <w:szCs w:val="24"/>
        </w:rPr>
        <w:t>et. al</w:t>
      </w:r>
    </w:p>
  </w:comment>
  <w:comment w:id="24" w:author="monu" w:date="2020-03-01T13:45:00Z" w:initials="m">
    <w:p w:rsidR="004126D1" w:rsidRDefault="004126D1" w:rsidP="00F83400">
      <w:pPr>
        <w:pStyle w:val="CommentText"/>
      </w:pPr>
      <w:r>
        <w:rPr>
          <w:rStyle w:val="CommentReference"/>
        </w:rPr>
        <w:annotationRef/>
      </w:r>
      <w:r>
        <w:t>Please assign  a reference number in superscripted form in the whole text content. Please go through previous published articles</w:t>
      </w:r>
    </w:p>
    <w:p w:rsidR="004126D1" w:rsidRDefault="004126D1">
      <w:pPr>
        <w:pStyle w:val="CommentText"/>
      </w:pPr>
    </w:p>
  </w:comment>
  <w:comment w:id="27" w:author="monu" w:date="2020-03-01T13:56:00Z" w:initials="m">
    <w:p w:rsidR="004126D1" w:rsidRPr="005A77B8" w:rsidRDefault="004126D1" w:rsidP="00761F26">
      <w:pPr>
        <w:pStyle w:val="NormalWeb"/>
        <w:spacing w:before="0" w:beforeAutospacing="0" w:after="0" w:afterAutospacing="0"/>
        <w:rPr>
          <w:rFonts w:ascii="Arial" w:hAnsi="Arial" w:cs="Arial"/>
          <w:bCs/>
        </w:rPr>
      </w:pPr>
      <w:r>
        <w:rPr>
          <w:rStyle w:val="CommentReference"/>
        </w:rPr>
        <w:annotationRef/>
      </w:r>
      <w:r w:rsidRPr="005A77B8">
        <w:rPr>
          <w:rFonts w:ascii="Arial" w:hAnsi="Arial" w:cs="Arial"/>
          <w:bCs/>
        </w:rPr>
        <w:t xml:space="preserve">In this part too many spelling mistakes existed, ie Naoh, 20---800 nm, uv, </w:t>
      </w:r>
      <w:r w:rsidRPr="005A77B8">
        <w:t xml:space="preserve"> </w:t>
      </w:r>
      <w:r w:rsidRPr="005A77B8">
        <w:rPr>
          <w:rFonts w:ascii="Arial" w:hAnsi="Arial" w:cs="Arial"/>
          <w:bCs/>
        </w:rPr>
        <w:t xml:space="preserve">KH2PO4 and etc. </w:t>
      </w:r>
    </w:p>
    <w:p w:rsidR="004126D1" w:rsidRDefault="004126D1">
      <w:pPr>
        <w:pStyle w:val="CommentText"/>
      </w:pPr>
    </w:p>
  </w:comment>
  <w:comment w:id="28" w:author="monu" w:date="2020-03-01T13:48:00Z" w:initials="m">
    <w:p w:rsidR="004126D1" w:rsidRDefault="004126D1">
      <w:pPr>
        <w:pStyle w:val="CommentText"/>
      </w:pPr>
      <w:r>
        <w:rPr>
          <w:rStyle w:val="CommentReference"/>
        </w:rPr>
        <w:annotationRef/>
      </w:r>
      <w:r>
        <w:t>Please write the methodology in scientific way</w:t>
      </w:r>
    </w:p>
  </w:comment>
  <w:comment w:id="29" w:author="monu" w:date="2020-03-01T13:41:00Z" w:initials="m">
    <w:p w:rsidR="004126D1" w:rsidRDefault="004126D1">
      <w:pPr>
        <w:pStyle w:val="CommentText"/>
      </w:pPr>
      <w:r>
        <w:rPr>
          <w:rStyle w:val="CommentReference"/>
        </w:rPr>
        <w:annotationRef/>
      </w:r>
      <w:r>
        <w:t>Spacing needed</w:t>
      </w:r>
    </w:p>
  </w:comment>
  <w:comment w:id="30" w:author="monu" w:date="2020-03-01T13:41:00Z" w:initials="m">
    <w:p w:rsidR="004126D1" w:rsidRDefault="004126D1">
      <w:pPr>
        <w:pStyle w:val="CommentText"/>
      </w:pPr>
      <w:r>
        <w:rPr>
          <w:rStyle w:val="CommentReference"/>
        </w:rPr>
        <w:annotationRef/>
      </w:r>
      <w:r>
        <w:t>Spacing needed</w:t>
      </w:r>
    </w:p>
  </w:comment>
  <w:comment w:id="31" w:author="monu" w:date="2020-03-01T13:42:00Z" w:initials="m">
    <w:p w:rsidR="004126D1" w:rsidRDefault="004126D1">
      <w:pPr>
        <w:pStyle w:val="CommentText"/>
      </w:pPr>
      <w:r>
        <w:rPr>
          <w:rStyle w:val="CommentReference"/>
        </w:rPr>
        <w:annotationRef/>
      </w:r>
      <w:r>
        <w:t>Use Microsoft equation tool for it</w:t>
      </w:r>
    </w:p>
  </w:comment>
  <w:comment w:id="32" w:author="monu" w:date="2020-03-01T13:36:00Z" w:initials="m">
    <w:p w:rsidR="004126D1" w:rsidRDefault="004126D1">
      <w:pPr>
        <w:pStyle w:val="CommentText"/>
      </w:pPr>
      <w:r>
        <w:rPr>
          <w:rStyle w:val="CommentReference"/>
        </w:rPr>
        <w:annotationRef/>
      </w:r>
      <w:r>
        <w:t>Write in Italic</w:t>
      </w:r>
    </w:p>
  </w:comment>
  <w:comment w:id="33" w:author="Kapil" w:date="2021-03-22T18:49:00Z" w:initials="K">
    <w:p w:rsidR="004126D1" w:rsidRPr="00EE2A57" w:rsidRDefault="004126D1" w:rsidP="001B639A">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4126D1" w:rsidRDefault="004126D1">
      <w:pPr>
        <w:pStyle w:val="CommentText"/>
      </w:pPr>
    </w:p>
  </w:comment>
  <w:comment w:id="34" w:author="Kapil" w:date="2021-03-21T17:59:00Z" w:initials="K">
    <w:p w:rsidR="004126D1" w:rsidRDefault="004126D1">
      <w:pPr>
        <w:pStyle w:val="CommentText"/>
      </w:pPr>
      <w:r>
        <w:rPr>
          <w:rStyle w:val="CommentReference"/>
        </w:rPr>
        <w:annotationRef/>
      </w:r>
      <w:r>
        <w:t>UV</w:t>
      </w:r>
    </w:p>
  </w:comment>
  <w:comment w:id="35" w:author="Kapil" w:date="2021-03-22T18:49:00Z" w:initials="K">
    <w:p w:rsidR="004126D1" w:rsidRPr="00EE2A57" w:rsidRDefault="004126D1" w:rsidP="001B639A">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4126D1" w:rsidRDefault="004126D1">
      <w:pPr>
        <w:pStyle w:val="CommentText"/>
      </w:pPr>
    </w:p>
  </w:comment>
  <w:comment w:id="36" w:author="Kapil" w:date="2021-03-21T22:09:00Z" w:initials="K">
    <w:p w:rsidR="004126D1" w:rsidRDefault="004126D1">
      <w:pPr>
        <w:pStyle w:val="CommentText"/>
      </w:pPr>
      <w:r>
        <w:rPr>
          <w:rStyle w:val="CommentReference"/>
        </w:rPr>
        <w:annotationRef/>
      </w:r>
      <w:r>
        <w:t>Write in Italic</w:t>
      </w:r>
    </w:p>
  </w:comment>
  <w:comment w:id="37" w:author="Kapil" w:date="2021-03-21T17:46:00Z" w:initials="K">
    <w:p w:rsidR="004126D1" w:rsidRDefault="004126D1">
      <w:pPr>
        <w:pStyle w:val="CommentText"/>
      </w:pPr>
      <w:r>
        <w:rPr>
          <w:rStyle w:val="CommentReference"/>
        </w:rPr>
        <w:annotationRef/>
      </w:r>
      <w:r>
        <w:t>Use Microsoft equation tool</w:t>
      </w:r>
    </w:p>
  </w:comment>
  <w:comment w:id="39" w:author="monu" w:date="2020-03-01T13:40:00Z" w:initials="m">
    <w:p w:rsidR="004126D1" w:rsidRDefault="004126D1">
      <w:pPr>
        <w:pStyle w:val="CommentText"/>
      </w:pPr>
      <w:r>
        <w:rPr>
          <w:rStyle w:val="CommentReference"/>
        </w:rPr>
        <w:annotationRef/>
      </w:r>
      <w:r>
        <w:t>Write in Italic</w:t>
      </w:r>
    </w:p>
  </w:comment>
  <w:comment w:id="38" w:author="Kapil" w:date="2021-03-22T18:50:00Z" w:initials="K">
    <w:p w:rsidR="004126D1" w:rsidRPr="00EE2A57" w:rsidRDefault="004126D1" w:rsidP="001B639A">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4126D1" w:rsidRDefault="004126D1">
      <w:pPr>
        <w:pStyle w:val="CommentText"/>
      </w:pPr>
    </w:p>
  </w:comment>
  <w:comment w:id="40" w:author="Kapil" w:date="2021-03-21T17:46:00Z" w:initials="K">
    <w:p w:rsidR="004126D1" w:rsidRDefault="004126D1" w:rsidP="002209EE">
      <w:pPr>
        <w:pStyle w:val="CommentText"/>
      </w:pPr>
      <w:r>
        <w:rPr>
          <w:rStyle w:val="CommentReference"/>
        </w:rPr>
        <w:annotationRef/>
      </w:r>
      <w:r>
        <w:t>Use Microsoft equation tool</w:t>
      </w:r>
    </w:p>
    <w:p w:rsidR="004126D1" w:rsidRDefault="004126D1">
      <w:pPr>
        <w:pStyle w:val="CommentText"/>
      </w:pPr>
    </w:p>
  </w:comment>
  <w:comment w:id="41" w:author="monu" w:date="2020-03-01T13:42:00Z" w:initials="m">
    <w:p w:rsidR="004126D1" w:rsidRDefault="004126D1">
      <w:pPr>
        <w:pStyle w:val="CommentText"/>
      </w:pPr>
      <w:r>
        <w:rPr>
          <w:rStyle w:val="CommentReference"/>
        </w:rPr>
        <w:annotationRef/>
      </w:r>
      <w:r w:rsidRPr="005F54CA">
        <w:rPr>
          <w:rFonts w:ascii="Times New Roman" w:hAnsi="Times New Roman" w:cs="Times New Roman"/>
          <w:i/>
          <w:sz w:val="24"/>
          <w:szCs w:val="24"/>
        </w:rPr>
        <w:t>et.al</w:t>
      </w:r>
    </w:p>
  </w:comment>
  <w:comment w:id="42" w:author="monu" w:date="2020-03-01T13:57:00Z" w:initials="m">
    <w:p w:rsidR="004126D1" w:rsidRPr="005A77B8" w:rsidRDefault="004126D1" w:rsidP="00761F26">
      <w:pPr>
        <w:pStyle w:val="NormalWeb"/>
        <w:spacing w:before="0" w:beforeAutospacing="0" w:after="0" w:afterAutospacing="0"/>
        <w:rPr>
          <w:rFonts w:ascii="Arial" w:hAnsi="Arial" w:cs="Arial"/>
          <w:bCs/>
        </w:rPr>
      </w:pPr>
      <w:r>
        <w:rPr>
          <w:rStyle w:val="CommentReference"/>
        </w:rPr>
        <w:annotationRef/>
      </w:r>
      <w:r w:rsidRPr="005A77B8">
        <w:rPr>
          <w:rFonts w:ascii="Arial" w:hAnsi="Arial" w:cs="Arial"/>
          <w:bCs/>
        </w:rPr>
        <w:t xml:space="preserve">There </w:t>
      </w:r>
      <w:r>
        <w:rPr>
          <w:rFonts w:ascii="Arial" w:hAnsi="Arial" w:cs="Arial"/>
          <w:bCs/>
        </w:rPr>
        <w:t xml:space="preserve">are </w:t>
      </w:r>
      <w:r w:rsidRPr="005A77B8">
        <w:rPr>
          <w:rFonts w:ascii="Arial" w:hAnsi="Arial" w:cs="Arial"/>
          <w:bCs/>
        </w:rPr>
        <w:t xml:space="preserve">no results in this part, only used equation was given. </w:t>
      </w:r>
    </w:p>
    <w:p w:rsidR="004126D1" w:rsidRDefault="004126D1">
      <w:pPr>
        <w:pStyle w:val="CommentText"/>
      </w:pPr>
    </w:p>
  </w:comment>
  <w:comment w:id="43" w:author="monu" w:date="2020-03-01T13:36:00Z" w:initials="m">
    <w:p w:rsidR="004126D1" w:rsidRDefault="004126D1">
      <w:pPr>
        <w:pStyle w:val="CommentText"/>
      </w:pPr>
      <w:r>
        <w:rPr>
          <w:rStyle w:val="CommentReference"/>
        </w:rPr>
        <w:annotationRef/>
      </w:r>
      <w:r>
        <w:t>Write in Italic</w:t>
      </w:r>
    </w:p>
  </w:comment>
  <w:comment w:id="44" w:author="monu" w:date="2020-03-01T13:40:00Z" w:initials="m">
    <w:p w:rsidR="004126D1" w:rsidRDefault="004126D1">
      <w:pPr>
        <w:pStyle w:val="CommentText"/>
      </w:pPr>
      <w:r>
        <w:rPr>
          <w:rStyle w:val="CommentReference"/>
        </w:rPr>
        <w:annotationRef/>
      </w:r>
      <w:r>
        <w:t>Write in Italic</w:t>
      </w:r>
    </w:p>
  </w:comment>
  <w:comment w:id="45" w:author="Kapil" w:date="2021-03-21T17:46:00Z" w:initials="K">
    <w:p w:rsidR="004126D1" w:rsidRDefault="004126D1" w:rsidP="002209EE">
      <w:pPr>
        <w:pStyle w:val="CommentText"/>
      </w:pPr>
      <w:r>
        <w:rPr>
          <w:rStyle w:val="CommentReference"/>
        </w:rPr>
        <w:annotationRef/>
      </w:r>
      <w:r>
        <w:t>Use Microsoft equation tool</w:t>
      </w:r>
    </w:p>
    <w:p w:rsidR="004126D1" w:rsidRDefault="004126D1">
      <w:pPr>
        <w:pStyle w:val="CommentText"/>
      </w:pPr>
    </w:p>
  </w:comment>
  <w:comment w:id="46" w:author="monu" w:date="2020-03-01T13:43:00Z" w:initials="m">
    <w:p w:rsidR="004126D1" w:rsidRPr="005F54CA" w:rsidRDefault="004126D1">
      <w:pPr>
        <w:pStyle w:val="CommentText"/>
      </w:pPr>
      <w:r>
        <w:rPr>
          <w:rStyle w:val="CommentReference"/>
        </w:rPr>
        <w:annotationRef/>
      </w:r>
      <w:r w:rsidRPr="005F54CA">
        <w:rPr>
          <w:rFonts w:ascii="Times New Roman" w:hAnsi="Times New Roman" w:cs="Times New Roman"/>
          <w:sz w:val="24"/>
          <w:szCs w:val="24"/>
        </w:rPr>
        <w:t>Spacing needed</w:t>
      </w:r>
    </w:p>
  </w:comment>
  <w:comment w:id="48" w:author="monu" w:date="2020-03-01T13:43:00Z" w:initials="m">
    <w:p w:rsidR="004126D1" w:rsidRDefault="004126D1">
      <w:pPr>
        <w:pStyle w:val="CommentText"/>
      </w:pPr>
      <w:r>
        <w:rPr>
          <w:rStyle w:val="CommentReference"/>
        </w:rPr>
        <w:annotationRef/>
      </w:r>
      <w:r w:rsidRPr="005F54CA">
        <w:rPr>
          <w:rFonts w:ascii="Times New Roman" w:hAnsi="Times New Roman" w:cs="Times New Roman"/>
          <w:sz w:val="24"/>
          <w:szCs w:val="24"/>
        </w:rPr>
        <w:t>Spacing needed</w:t>
      </w:r>
    </w:p>
  </w:comment>
  <w:comment w:id="47" w:author="Kapil" w:date="2021-05-12T16:27:00Z" w:initials="K">
    <w:p w:rsidR="00821DE7" w:rsidRDefault="00821DE7" w:rsidP="00821DE7">
      <w:pPr>
        <w:spacing w:after="0"/>
        <w:rPr>
          <w:rFonts w:ascii="Bookman Old Style" w:hAnsi="Bookman Old Style" w:cs="Times New Roman"/>
        </w:rPr>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821DE7" w:rsidRDefault="00821DE7">
      <w:pPr>
        <w:pStyle w:val="CommentText"/>
      </w:pPr>
    </w:p>
  </w:comment>
  <w:comment w:id="50" w:author="monu" w:date="2020-03-01T13:43:00Z" w:initials="m">
    <w:p w:rsidR="004126D1" w:rsidRDefault="004126D1">
      <w:pPr>
        <w:pStyle w:val="CommentText"/>
      </w:pPr>
      <w:r>
        <w:rPr>
          <w:rStyle w:val="CommentReference"/>
        </w:rPr>
        <w:annotationRef/>
      </w:r>
      <w:r w:rsidRPr="005F54CA">
        <w:rPr>
          <w:rFonts w:ascii="Times New Roman" w:hAnsi="Times New Roman" w:cs="Times New Roman"/>
          <w:sz w:val="24"/>
          <w:szCs w:val="24"/>
        </w:rPr>
        <w:t>Spacing needed</w:t>
      </w:r>
    </w:p>
  </w:comment>
  <w:comment w:id="49" w:author="Kapil" w:date="2021-03-22T18:50:00Z" w:initials="K">
    <w:p w:rsidR="004126D1" w:rsidRPr="00EE2A57" w:rsidRDefault="004126D1" w:rsidP="001B639A">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4126D1" w:rsidRDefault="004126D1">
      <w:pPr>
        <w:pStyle w:val="CommentText"/>
      </w:pPr>
    </w:p>
  </w:comment>
  <w:comment w:id="52" w:author="Kapil" w:date="2021-03-22T18:50:00Z" w:initials="K">
    <w:p w:rsidR="004126D1" w:rsidRPr="00EE2A57" w:rsidRDefault="004126D1" w:rsidP="001B639A">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4126D1" w:rsidRDefault="004126D1">
      <w:pPr>
        <w:pStyle w:val="CommentText"/>
      </w:pPr>
    </w:p>
  </w:comment>
  <w:comment w:id="53" w:author="Kapil" w:date="2021-03-21T22:08:00Z" w:initials="K">
    <w:p w:rsidR="004126D1" w:rsidRDefault="004126D1">
      <w:pPr>
        <w:pStyle w:val="CommentText"/>
      </w:pPr>
      <w:r>
        <w:rPr>
          <w:rStyle w:val="CommentReference"/>
        </w:rPr>
        <w:annotationRef/>
      </w:r>
      <w:r>
        <w:t>This table does not exist</w:t>
      </w:r>
    </w:p>
  </w:comment>
  <w:comment w:id="51" w:author="Kapil" w:date="2021-05-12T16:27:00Z" w:initials="K">
    <w:p w:rsidR="00821DE7" w:rsidRDefault="00821DE7" w:rsidP="00821DE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821DE7" w:rsidRDefault="00821DE7">
      <w:pPr>
        <w:pStyle w:val="CommentText"/>
      </w:pPr>
    </w:p>
  </w:comment>
  <w:comment w:id="54" w:author="monu" w:date="2020-03-01T13:36:00Z" w:initials="m">
    <w:p w:rsidR="004126D1" w:rsidRDefault="004126D1">
      <w:pPr>
        <w:pStyle w:val="CommentText"/>
      </w:pPr>
      <w:r>
        <w:rPr>
          <w:rStyle w:val="CommentReference"/>
        </w:rPr>
        <w:annotationRef/>
      </w:r>
      <w:r>
        <w:t>Write in Italic</w:t>
      </w:r>
    </w:p>
  </w:comment>
  <w:comment w:id="55" w:author="monu" w:date="2020-03-01T13:40:00Z" w:initials="m">
    <w:p w:rsidR="004126D1" w:rsidRDefault="004126D1">
      <w:pPr>
        <w:pStyle w:val="CommentText"/>
      </w:pPr>
      <w:r>
        <w:rPr>
          <w:rStyle w:val="CommentReference"/>
        </w:rPr>
        <w:annotationRef/>
      </w:r>
      <w:r>
        <w:t>Write in Italic</w:t>
      </w:r>
    </w:p>
  </w:comment>
  <w:comment w:id="57" w:author="monu" w:date="2020-03-01T13:37:00Z" w:initials="m">
    <w:p w:rsidR="004126D1" w:rsidRDefault="004126D1">
      <w:pPr>
        <w:pStyle w:val="CommentText"/>
      </w:pPr>
      <w:r>
        <w:rPr>
          <w:rStyle w:val="CommentReference"/>
        </w:rPr>
        <w:annotationRef/>
      </w:r>
      <w:r w:rsidRPr="005F54CA">
        <w:rPr>
          <w:rFonts w:ascii="Times New Roman" w:hAnsi="Times New Roman" w:cs="Times New Roman"/>
          <w:i/>
          <w:sz w:val="24"/>
          <w:szCs w:val="24"/>
        </w:rPr>
        <w:t>et al.</w:t>
      </w:r>
    </w:p>
  </w:comment>
  <w:comment w:id="56" w:author="Kapil" w:date="2021-03-22T18:50:00Z" w:initials="K">
    <w:p w:rsidR="004126D1" w:rsidRPr="00EE2A57" w:rsidRDefault="004126D1" w:rsidP="001B639A">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4126D1" w:rsidRDefault="004126D1">
      <w:pPr>
        <w:pStyle w:val="CommentText"/>
      </w:pPr>
    </w:p>
  </w:comment>
  <w:comment w:id="58" w:author="monu" w:date="2020-03-01T13:37:00Z" w:initials="m">
    <w:p w:rsidR="004126D1" w:rsidRDefault="004126D1">
      <w:pPr>
        <w:pStyle w:val="CommentText"/>
      </w:pPr>
      <w:r>
        <w:rPr>
          <w:rStyle w:val="CommentReference"/>
        </w:rPr>
        <w:annotationRef/>
      </w:r>
      <w:r>
        <w:t>Write in Italic</w:t>
      </w:r>
    </w:p>
  </w:comment>
  <w:comment w:id="61" w:author="monu" w:date="2020-03-01T13:37:00Z" w:initials="m">
    <w:p w:rsidR="004126D1" w:rsidRDefault="004126D1">
      <w:pPr>
        <w:pStyle w:val="CommentText"/>
      </w:pPr>
      <w:r>
        <w:rPr>
          <w:rStyle w:val="CommentReference"/>
        </w:rPr>
        <w:annotationRef/>
      </w:r>
      <w:r>
        <w:t>Write in Italic</w:t>
      </w:r>
    </w:p>
  </w:comment>
  <w:comment w:id="62" w:author="monu" w:date="2020-03-01T13:40:00Z" w:initials="m">
    <w:p w:rsidR="004126D1" w:rsidRDefault="004126D1">
      <w:pPr>
        <w:pStyle w:val="CommentText"/>
      </w:pPr>
      <w:r>
        <w:rPr>
          <w:rStyle w:val="CommentReference"/>
        </w:rPr>
        <w:annotationRef/>
      </w:r>
      <w:r>
        <w:t>Write in Italic</w:t>
      </w:r>
    </w:p>
  </w:comment>
  <w:comment w:id="63" w:author="monu" w:date="2020-03-01T13:38:00Z" w:initials="m">
    <w:p w:rsidR="004126D1" w:rsidRDefault="004126D1">
      <w:pPr>
        <w:pStyle w:val="CommentText"/>
      </w:pPr>
      <w:r>
        <w:rPr>
          <w:rStyle w:val="CommentReference"/>
        </w:rPr>
        <w:annotationRef/>
      </w:r>
      <w:r>
        <w:t>Write in Italic</w:t>
      </w:r>
    </w:p>
  </w:comment>
  <w:comment w:id="64" w:author="monu" w:date="2020-03-01T13:38:00Z" w:initials="m">
    <w:p w:rsidR="004126D1" w:rsidRDefault="004126D1">
      <w:pPr>
        <w:pStyle w:val="CommentText"/>
      </w:pPr>
      <w:r>
        <w:rPr>
          <w:rStyle w:val="CommentReference"/>
        </w:rPr>
        <w:annotationRef/>
      </w:r>
      <w:r>
        <w:t>Write in Italic</w:t>
      </w:r>
    </w:p>
  </w:comment>
  <w:comment w:id="60" w:author="Kapil" w:date="2021-03-22T19:07:00Z" w:initials="K">
    <w:p w:rsidR="004126D1" w:rsidRDefault="004126D1" w:rsidP="00D47EE8">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4126D1" w:rsidRDefault="004126D1">
      <w:pPr>
        <w:pStyle w:val="CommentText"/>
      </w:pPr>
    </w:p>
  </w:comment>
  <w:comment w:id="65" w:author="monu" w:date="2020-03-01T13:38:00Z" w:initials="m">
    <w:p w:rsidR="004126D1" w:rsidRDefault="004126D1">
      <w:pPr>
        <w:pStyle w:val="CommentText"/>
      </w:pPr>
      <w:r>
        <w:rPr>
          <w:rStyle w:val="CommentReference"/>
        </w:rPr>
        <w:annotationRef/>
      </w:r>
      <w:r>
        <w:t>Write in Italic</w:t>
      </w:r>
    </w:p>
  </w:comment>
  <w:comment w:id="66" w:author="monu" w:date="2020-03-01T13:38:00Z" w:initials="m">
    <w:p w:rsidR="004126D1" w:rsidRDefault="004126D1">
      <w:pPr>
        <w:pStyle w:val="CommentText"/>
      </w:pPr>
      <w:r>
        <w:rPr>
          <w:rStyle w:val="CommentReference"/>
        </w:rPr>
        <w:annotationRef/>
      </w:r>
      <w:r>
        <w:t>Write in Italic</w:t>
      </w:r>
    </w:p>
  </w:comment>
  <w:comment w:id="68" w:author="monu" w:date="2020-03-01T13:38:00Z" w:initials="m">
    <w:p w:rsidR="004126D1" w:rsidRDefault="004126D1">
      <w:pPr>
        <w:pStyle w:val="CommentText"/>
      </w:pPr>
      <w:r>
        <w:rPr>
          <w:rStyle w:val="CommentReference"/>
        </w:rPr>
        <w:annotationRef/>
      </w:r>
      <w:r>
        <w:t>Write in Italic</w:t>
      </w:r>
    </w:p>
  </w:comment>
  <w:comment w:id="69" w:author="monu" w:date="2020-03-01T13:38:00Z" w:initials="m">
    <w:p w:rsidR="004126D1" w:rsidRDefault="004126D1">
      <w:pPr>
        <w:pStyle w:val="CommentText"/>
      </w:pPr>
      <w:r>
        <w:rPr>
          <w:rStyle w:val="CommentReference"/>
        </w:rPr>
        <w:annotationRef/>
      </w:r>
      <w:r>
        <w:t>Write in Italic</w:t>
      </w:r>
    </w:p>
  </w:comment>
  <w:comment w:id="70" w:author="monu" w:date="2020-03-01T13:38:00Z" w:initials="m">
    <w:p w:rsidR="004126D1" w:rsidRDefault="004126D1">
      <w:pPr>
        <w:pStyle w:val="CommentText"/>
      </w:pPr>
      <w:r>
        <w:rPr>
          <w:rStyle w:val="CommentReference"/>
        </w:rPr>
        <w:annotationRef/>
      </w:r>
      <w:r>
        <w:t>Write in Italic</w:t>
      </w:r>
    </w:p>
  </w:comment>
  <w:comment w:id="71" w:author="monu" w:date="2020-03-01T13:38:00Z" w:initials="m">
    <w:p w:rsidR="004126D1" w:rsidRDefault="004126D1">
      <w:pPr>
        <w:pStyle w:val="CommentText"/>
      </w:pPr>
      <w:r>
        <w:rPr>
          <w:rStyle w:val="CommentReference"/>
        </w:rPr>
        <w:annotationRef/>
      </w:r>
      <w:r>
        <w:t>Write in Italic</w:t>
      </w:r>
    </w:p>
  </w:comment>
  <w:comment w:id="59" w:author="Kapil" w:date="2021-05-12T16:28:00Z" w:initials="K">
    <w:p w:rsidR="00821DE7" w:rsidRDefault="00821DE7" w:rsidP="00821DE7">
      <w:pPr>
        <w:spacing w:after="0"/>
        <w:rPr>
          <w:rFonts w:ascii="Bookman Old Style" w:hAnsi="Bookman Old Style" w:cs="Times New Roman"/>
        </w:rPr>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821DE7" w:rsidRDefault="00821DE7">
      <w:pPr>
        <w:pStyle w:val="CommentText"/>
      </w:pPr>
    </w:p>
  </w:comment>
  <w:comment w:id="67" w:author="Kapil" w:date="2021-03-22T19:07:00Z" w:initials="K">
    <w:p w:rsidR="004126D1" w:rsidRDefault="004126D1" w:rsidP="00D47EE8">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4126D1" w:rsidRDefault="004126D1">
      <w:pPr>
        <w:pStyle w:val="CommentText"/>
      </w:pPr>
    </w:p>
  </w:comment>
  <w:comment w:id="72" w:author="monu" w:date="2020-03-01T13:41:00Z" w:initials="m">
    <w:p w:rsidR="004126D1" w:rsidRDefault="004126D1">
      <w:pPr>
        <w:pStyle w:val="CommentText"/>
      </w:pPr>
      <w:r>
        <w:rPr>
          <w:rStyle w:val="CommentReference"/>
        </w:rPr>
        <w:annotationRef/>
      </w:r>
      <w:r>
        <w:t>Spacing needed</w:t>
      </w:r>
    </w:p>
  </w:comment>
  <w:comment w:id="74" w:author="monu" w:date="2020-03-01T13:38:00Z" w:initials="m">
    <w:p w:rsidR="004126D1" w:rsidRDefault="004126D1">
      <w:pPr>
        <w:pStyle w:val="CommentText"/>
      </w:pPr>
      <w:r>
        <w:rPr>
          <w:rStyle w:val="CommentReference"/>
        </w:rPr>
        <w:annotationRef/>
      </w:r>
      <w:r>
        <w:t>Write in Italic</w:t>
      </w:r>
    </w:p>
  </w:comment>
  <w:comment w:id="75" w:author="monu" w:date="2020-03-01T13:38:00Z" w:initials="m">
    <w:p w:rsidR="004126D1" w:rsidRDefault="004126D1">
      <w:pPr>
        <w:pStyle w:val="CommentText"/>
      </w:pPr>
      <w:r>
        <w:rPr>
          <w:rStyle w:val="CommentReference"/>
        </w:rPr>
        <w:annotationRef/>
      </w:r>
      <w:r>
        <w:t>Write in Italic</w:t>
      </w:r>
    </w:p>
  </w:comment>
  <w:comment w:id="73" w:author="Kapil" w:date="2021-05-12T16:31:00Z" w:initials="K">
    <w:p w:rsidR="002D2CCD" w:rsidRDefault="002D2CCD" w:rsidP="002D2CCD">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2D2CCD" w:rsidRDefault="002D2CCD">
      <w:pPr>
        <w:pStyle w:val="CommentText"/>
      </w:pPr>
    </w:p>
  </w:comment>
  <w:comment w:id="76" w:author="Kapil" w:date="2021-05-12T16:43:00Z" w:initials="K">
    <w:p w:rsidR="003B39F1" w:rsidRDefault="003B39F1" w:rsidP="003B39F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3B39F1" w:rsidRDefault="003B39F1" w:rsidP="003B39F1">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3B39F1" w:rsidRDefault="003B39F1">
      <w:pPr>
        <w:pStyle w:val="CommentText"/>
      </w:pPr>
    </w:p>
  </w:comment>
  <w:comment w:id="77" w:author="Kapil" w:date="2021-03-21T17:59:00Z" w:initials="K">
    <w:p w:rsidR="004126D1" w:rsidRDefault="004126D1">
      <w:pPr>
        <w:pStyle w:val="CommentText"/>
      </w:pPr>
      <w:r>
        <w:rPr>
          <w:rStyle w:val="CommentReference"/>
        </w:rPr>
        <w:annotationRef/>
      </w:r>
      <w:r>
        <w:t>In italic</w:t>
      </w:r>
    </w:p>
  </w:comment>
  <w:comment w:id="78" w:author="monu" w:date="2020-03-01T13:43:00Z" w:initials="m">
    <w:p w:rsidR="004126D1" w:rsidRDefault="004126D1">
      <w:pPr>
        <w:pStyle w:val="CommentText"/>
      </w:pPr>
      <w:r>
        <w:rPr>
          <w:rStyle w:val="CommentReference"/>
        </w:rPr>
        <w:annotationRef/>
      </w:r>
      <w:r w:rsidRPr="005F54CA">
        <w:rPr>
          <w:rFonts w:ascii="Times New Roman" w:hAnsi="Times New Roman" w:cs="Times New Roman"/>
          <w:sz w:val="24"/>
          <w:szCs w:val="24"/>
        </w:rPr>
        <w:t>Spacing needed</w:t>
      </w:r>
    </w:p>
  </w:comment>
  <w:comment w:id="79" w:author="Kapil" w:date="2021-03-21T17:51:00Z" w:initials="K">
    <w:p w:rsidR="004126D1" w:rsidRDefault="004126D1" w:rsidP="002209EE">
      <w:pPr>
        <w:pStyle w:val="CommentText"/>
      </w:pPr>
      <w:r>
        <w:rPr>
          <w:rStyle w:val="CommentReference"/>
        </w:rPr>
        <w:annotationRef/>
      </w:r>
      <w:r>
        <w:t>Add DOI to articles if available</w:t>
      </w:r>
    </w:p>
    <w:p w:rsidR="004126D1" w:rsidRDefault="004126D1">
      <w:pPr>
        <w:pStyle w:val="CommentText"/>
      </w:pPr>
    </w:p>
  </w:comment>
  <w:comment w:id="80" w:author="monu" w:date="2020-03-01T13:57:00Z" w:initials="m">
    <w:p w:rsidR="004126D1" w:rsidRDefault="004126D1" w:rsidP="00761F26">
      <w:pPr>
        <w:pStyle w:val="CommentText"/>
      </w:pPr>
      <w:r>
        <w:rPr>
          <w:rStyle w:val="CommentReference"/>
        </w:rPr>
        <w:annotationRef/>
      </w:r>
      <w:r>
        <w:t xml:space="preserve">Please follow the journal specifications for references </w:t>
      </w:r>
    </w:p>
    <w:p w:rsidR="004126D1" w:rsidRDefault="004126D1" w:rsidP="00761F26">
      <w:pPr>
        <w:pStyle w:val="CommentText"/>
      </w:pPr>
      <w:r>
        <w:t>For example</w:t>
      </w:r>
    </w:p>
    <w:p w:rsidR="004126D1" w:rsidRDefault="004126D1" w:rsidP="00761F26">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4126D1" w:rsidRDefault="004126D1">
      <w:pPr>
        <w:pStyle w:val="CommentText"/>
      </w:pPr>
    </w:p>
  </w:comment>
  <w:comment w:id="81" w:author="monu" w:date="2020-03-01T13:47:00Z" w:initials="m">
    <w:p w:rsidR="004126D1" w:rsidRDefault="004126D1" w:rsidP="00F83400">
      <w:pPr>
        <w:pStyle w:val="CommentText"/>
      </w:pPr>
      <w:r>
        <w:rPr>
          <w:rStyle w:val="CommentReference"/>
        </w:rPr>
        <w:annotationRef/>
      </w:r>
      <w:r>
        <w:t xml:space="preserve">Please assign  a reference number in superscripted form in the whole text content and write them accordingly in the reference section. </w:t>
      </w:r>
    </w:p>
    <w:p w:rsidR="004126D1" w:rsidRDefault="004126D1" w:rsidP="00F83400">
      <w:pPr>
        <w:pStyle w:val="CommentText"/>
      </w:pPr>
      <w:r>
        <w:t>You have written references alphabetically, that is not according to specifications  of UJPR</w:t>
      </w:r>
    </w:p>
    <w:p w:rsidR="004126D1" w:rsidRDefault="004126D1" w:rsidP="00F83400">
      <w:pPr>
        <w:pStyle w:val="CommentText"/>
      </w:pPr>
      <w:r>
        <w:t>Please go through previous published articles</w:t>
      </w:r>
    </w:p>
    <w:p w:rsidR="004126D1" w:rsidRDefault="004126D1">
      <w:pPr>
        <w:pStyle w:val="CommentText"/>
      </w:pPr>
    </w:p>
  </w:comment>
  <w:comment w:id="82" w:author="monu" w:date="2020-03-01T13:39:00Z" w:initials="m">
    <w:p w:rsidR="004126D1" w:rsidRDefault="004126D1">
      <w:pPr>
        <w:pStyle w:val="CommentText"/>
      </w:pPr>
      <w:r>
        <w:rPr>
          <w:rStyle w:val="CommentReference"/>
        </w:rPr>
        <w:annotationRef/>
      </w:r>
      <w:r>
        <w:t>Write in Italic</w:t>
      </w:r>
    </w:p>
  </w:comment>
  <w:comment w:id="83" w:author="monu" w:date="2020-03-01T13:39:00Z" w:initials="m">
    <w:p w:rsidR="004126D1" w:rsidRDefault="004126D1">
      <w:pPr>
        <w:pStyle w:val="CommentText"/>
      </w:pPr>
      <w:r>
        <w:rPr>
          <w:rStyle w:val="CommentReference"/>
        </w:rPr>
        <w:annotationRef/>
      </w:r>
      <w:r>
        <w:t>Write in Italic</w:t>
      </w:r>
    </w:p>
  </w:comment>
  <w:comment w:id="85" w:author="Kapil" w:date="2021-05-12T16:38:00Z" w:initials="K">
    <w:p w:rsidR="002D2CCD" w:rsidRDefault="002D2CCD" w:rsidP="002D2CCD">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2D2CCD" w:rsidRDefault="002D2CCD">
      <w:pPr>
        <w:pStyle w:val="CommentText"/>
      </w:pPr>
    </w:p>
  </w:comment>
  <w:comment w:id="86" w:author="Kapil" w:date="2021-05-12T16:39:00Z" w:initials="K">
    <w:p w:rsidR="002D2CCD" w:rsidRDefault="002D2CCD">
      <w:pPr>
        <w:pStyle w:val="CommentText"/>
      </w:pPr>
      <w:r>
        <w:rPr>
          <w:rStyle w:val="CommentReference"/>
        </w:rPr>
        <w:annotationRef/>
      </w:r>
      <w:r>
        <w:t>Germany</w:t>
      </w:r>
    </w:p>
  </w:comment>
  <w:comment w:id="84" w:author="monu" w:date="2020-03-01T13:58:00Z" w:initials="m">
    <w:p w:rsidR="004126D1" w:rsidRDefault="004126D1">
      <w:pPr>
        <w:pStyle w:val="CommentText"/>
      </w:pPr>
      <w:r>
        <w:rPr>
          <w:rStyle w:val="CommentReference"/>
        </w:rPr>
        <w:annotationRef/>
      </w:r>
      <w:r>
        <w:t>There is no need of Table 1 and Table 2. In the text you can mention about ingredients and instruments source</w:t>
      </w:r>
    </w:p>
  </w:comment>
  <w:comment w:id="87" w:author="Kapil" w:date="2021-05-12T16:38:00Z" w:initials="K">
    <w:p w:rsidR="002D2CCD" w:rsidRDefault="002D2CCD" w:rsidP="002D2CCD">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2D2CCD" w:rsidRDefault="002D2CCD">
      <w:pPr>
        <w:pStyle w:val="CommentText"/>
      </w:pPr>
    </w:p>
  </w:comment>
  <w:comment w:id="88" w:author="Kapil" w:date="2021-05-12T16:36:00Z" w:initials="K">
    <w:p w:rsidR="002D2CCD" w:rsidRDefault="002D2CCD">
      <w:pPr>
        <w:pStyle w:val="CommentText"/>
      </w:pPr>
      <w:r>
        <w:rPr>
          <w:rStyle w:val="CommentReference"/>
        </w:rPr>
        <w:annotationRef/>
      </w:r>
      <w:r>
        <w:t>Figure no?</w:t>
      </w:r>
    </w:p>
  </w:comment>
  <w:comment w:id="89" w:author="Kapil" w:date="2021-05-12T16:36:00Z" w:initials="K">
    <w:p w:rsidR="002D2CCD" w:rsidRDefault="002D2CCD">
      <w:pPr>
        <w:pStyle w:val="CommentText"/>
      </w:pPr>
      <w:r>
        <w:rPr>
          <w:rStyle w:val="CommentReference"/>
        </w:rPr>
        <w:annotationRef/>
      </w:r>
      <w:r>
        <w:t>Figure no?</w:t>
      </w:r>
    </w:p>
  </w:comment>
  <w:comment w:id="91" w:author="Kapil" w:date="2021-05-12T16:36:00Z" w:initials="K">
    <w:p w:rsidR="002D2CCD" w:rsidRDefault="002D2CCD">
      <w:pPr>
        <w:pStyle w:val="CommentText"/>
      </w:pPr>
      <w:r>
        <w:rPr>
          <w:rStyle w:val="CommentReference"/>
        </w:rPr>
        <w:annotationRef/>
      </w:r>
      <w:r>
        <w:t>Figure no?</w:t>
      </w:r>
    </w:p>
  </w:comment>
  <w:comment w:id="90" w:author="Kapil" w:date="2021-05-12T16:35:00Z" w:initials="K">
    <w:p w:rsidR="002D2CCD" w:rsidRDefault="002D2CCD" w:rsidP="002D2CCD">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2D2CCD" w:rsidRDefault="002D2CCD">
      <w:pPr>
        <w:pStyle w:val="CommentText"/>
      </w:pPr>
    </w:p>
  </w:comment>
  <w:comment w:id="92" w:author="Kapil" w:date="2021-05-12T16:38:00Z" w:initials="K">
    <w:p w:rsidR="002D2CCD" w:rsidRDefault="002D2CCD" w:rsidP="002D2CCD">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2D2CCD" w:rsidRDefault="002D2CCD">
      <w:pPr>
        <w:pStyle w:val="CommentText"/>
      </w:pPr>
    </w:p>
  </w:comment>
  <w:comment w:id="93" w:author="Kapil" w:date="2021-05-12T16:38:00Z" w:initials="K">
    <w:p w:rsidR="002D2CCD" w:rsidRDefault="002D2CCD" w:rsidP="002D2CCD">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2D2CCD" w:rsidRDefault="002D2CCD">
      <w:pPr>
        <w:pStyle w:val="CommentText"/>
      </w:pPr>
    </w:p>
  </w:comment>
  <w:comment w:id="94" w:author="Kapil" w:date="2021-05-12T16:36:00Z" w:initials="K">
    <w:p w:rsidR="002D2CCD" w:rsidRDefault="002D2CCD">
      <w:pPr>
        <w:pStyle w:val="CommentText"/>
      </w:pPr>
      <w:r>
        <w:rPr>
          <w:rStyle w:val="CommentReference"/>
        </w:rPr>
        <w:annotationRef/>
      </w:r>
      <w:r>
        <w:t>Figure no?</w:t>
      </w:r>
    </w:p>
  </w:comment>
  <w:comment w:id="96" w:author="Kapil" w:date="2021-05-12T16:36:00Z" w:initials="K">
    <w:p w:rsidR="002D2CCD" w:rsidRDefault="002D2CCD">
      <w:pPr>
        <w:pStyle w:val="CommentText"/>
      </w:pPr>
      <w:r>
        <w:rPr>
          <w:rStyle w:val="CommentReference"/>
        </w:rPr>
        <w:annotationRef/>
      </w:r>
      <w:r>
        <w:t>Figure no?</w:t>
      </w:r>
    </w:p>
  </w:comment>
  <w:comment w:id="95" w:author="Kapil" w:date="2021-05-12T16:35:00Z" w:initials="K">
    <w:p w:rsidR="002D2CCD" w:rsidRDefault="002D2CCD" w:rsidP="002D2CCD">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2D2CCD" w:rsidRDefault="002D2CCD">
      <w:pPr>
        <w:pStyle w:val="CommentText"/>
      </w:pPr>
    </w:p>
  </w:comment>
  <w:comment w:id="98" w:author="Kapil" w:date="2021-05-12T16:36:00Z" w:initials="K">
    <w:p w:rsidR="002D2CCD" w:rsidRDefault="002D2CCD">
      <w:pPr>
        <w:pStyle w:val="CommentText"/>
      </w:pPr>
      <w:r>
        <w:rPr>
          <w:rStyle w:val="CommentReference"/>
        </w:rPr>
        <w:annotationRef/>
      </w:r>
      <w:r>
        <w:t>Figure no?</w:t>
      </w:r>
    </w:p>
  </w:comment>
  <w:comment w:id="97" w:author="Kapil" w:date="2021-05-12T16:35:00Z" w:initials="K">
    <w:p w:rsidR="002D2CCD" w:rsidRDefault="002D2CCD" w:rsidP="002D2CCD">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2D2CCD" w:rsidRDefault="002D2CCD">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260" w:rsidRDefault="00243260" w:rsidP="004E34B0">
      <w:pPr>
        <w:spacing w:after="0" w:line="240" w:lineRule="auto"/>
      </w:pPr>
      <w:r>
        <w:separator/>
      </w:r>
    </w:p>
  </w:endnote>
  <w:endnote w:type="continuationSeparator" w:id="1">
    <w:p w:rsidR="00243260" w:rsidRDefault="00243260" w:rsidP="004E3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D1" w:rsidRDefault="004126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D1" w:rsidRDefault="004126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D1" w:rsidRDefault="00412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60" w:rsidRDefault="00243260" w:rsidP="004E34B0">
      <w:pPr>
        <w:spacing w:after="0" w:line="240" w:lineRule="auto"/>
      </w:pPr>
      <w:r>
        <w:separator/>
      </w:r>
    </w:p>
  </w:footnote>
  <w:footnote w:type="continuationSeparator" w:id="1">
    <w:p w:rsidR="00243260" w:rsidRDefault="00243260" w:rsidP="004E3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D1" w:rsidRDefault="003931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49"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D1" w:rsidRDefault="003931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50"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D1" w:rsidRDefault="003931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48"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C31690"/>
    <w:rsid w:val="00006908"/>
    <w:rsid w:val="000B4AB0"/>
    <w:rsid w:val="000C75D8"/>
    <w:rsid w:val="001B639A"/>
    <w:rsid w:val="001C0810"/>
    <w:rsid w:val="002209EE"/>
    <w:rsid w:val="00243260"/>
    <w:rsid w:val="002D2CCD"/>
    <w:rsid w:val="00375397"/>
    <w:rsid w:val="00393152"/>
    <w:rsid w:val="003B39F1"/>
    <w:rsid w:val="004126D1"/>
    <w:rsid w:val="004243A7"/>
    <w:rsid w:val="00432D72"/>
    <w:rsid w:val="004A31C8"/>
    <w:rsid w:val="004E1EDD"/>
    <w:rsid w:val="004E34B0"/>
    <w:rsid w:val="0050316F"/>
    <w:rsid w:val="00515DA8"/>
    <w:rsid w:val="00550C58"/>
    <w:rsid w:val="0058088C"/>
    <w:rsid w:val="005B6540"/>
    <w:rsid w:val="005E2B26"/>
    <w:rsid w:val="005F54CA"/>
    <w:rsid w:val="00654AB0"/>
    <w:rsid w:val="006626AF"/>
    <w:rsid w:val="006B2B01"/>
    <w:rsid w:val="006E0FCE"/>
    <w:rsid w:val="006E6CD1"/>
    <w:rsid w:val="00724666"/>
    <w:rsid w:val="00761F26"/>
    <w:rsid w:val="007824BC"/>
    <w:rsid w:val="00821DE7"/>
    <w:rsid w:val="00845E0D"/>
    <w:rsid w:val="00855EE8"/>
    <w:rsid w:val="00876618"/>
    <w:rsid w:val="00973BF2"/>
    <w:rsid w:val="00975902"/>
    <w:rsid w:val="0099407C"/>
    <w:rsid w:val="009B6FAC"/>
    <w:rsid w:val="00A071FC"/>
    <w:rsid w:val="00A112A3"/>
    <w:rsid w:val="00A56F15"/>
    <w:rsid w:val="00A97BF3"/>
    <w:rsid w:val="00B30287"/>
    <w:rsid w:val="00B3330B"/>
    <w:rsid w:val="00B63C0F"/>
    <w:rsid w:val="00BA670E"/>
    <w:rsid w:val="00BC0539"/>
    <w:rsid w:val="00C31690"/>
    <w:rsid w:val="00C77863"/>
    <w:rsid w:val="00CD7841"/>
    <w:rsid w:val="00CE46DF"/>
    <w:rsid w:val="00D015AD"/>
    <w:rsid w:val="00D47EE8"/>
    <w:rsid w:val="00E47E17"/>
    <w:rsid w:val="00EB5D80"/>
    <w:rsid w:val="00EC0F84"/>
    <w:rsid w:val="00F83400"/>
    <w:rsid w:val="00FC5884"/>
    <w:rsid w:val="00FD494A"/>
    <w:rsid w:val="00FF43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539"/>
    <w:rPr>
      <w:color w:val="0000FF"/>
      <w:u w:val="single"/>
    </w:rPr>
  </w:style>
  <w:style w:type="table" w:styleId="MediumGrid1-Accent2">
    <w:name w:val="Medium Grid 1 Accent 2"/>
    <w:basedOn w:val="TableNormal"/>
    <w:uiPriority w:val="67"/>
    <w:rsid w:val="00BC0539"/>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alloonText">
    <w:name w:val="Balloon Text"/>
    <w:basedOn w:val="Normal"/>
    <w:link w:val="BalloonTextChar"/>
    <w:uiPriority w:val="99"/>
    <w:semiHidden/>
    <w:unhideWhenUsed/>
    <w:rsid w:val="00BC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39"/>
    <w:rPr>
      <w:rFonts w:ascii="Tahoma" w:hAnsi="Tahoma" w:cs="Tahoma"/>
      <w:sz w:val="16"/>
      <w:szCs w:val="16"/>
    </w:rPr>
  </w:style>
  <w:style w:type="table" w:styleId="TableGrid">
    <w:name w:val="Table Grid"/>
    <w:basedOn w:val="TableNormal"/>
    <w:uiPriority w:val="59"/>
    <w:rsid w:val="00D015A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2">
    <w:name w:val="Medium Shading 1 Accent 2"/>
    <w:basedOn w:val="TableNormal"/>
    <w:uiPriority w:val="63"/>
    <w:rsid w:val="00654AB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654AB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semiHidden/>
    <w:unhideWhenUsed/>
    <w:rsid w:val="004E34B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34B0"/>
  </w:style>
  <w:style w:type="paragraph" w:styleId="Footer">
    <w:name w:val="footer"/>
    <w:basedOn w:val="Normal"/>
    <w:link w:val="FooterChar"/>
    <w:uiPriority w:val="99"/>
    <w:semiHidden/>
    <w:unhideWhenUsed/>
    <w:rsid w:val="004E34B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E34B0"/>
  </w:style>
  <w:style w:type="character" w:styleId="CommentReference">
    <w:name w:val="annotation reference"/>
    <w:basedOn w:val="DefaultParagraphFont"/>
    <w:uiPriority w:val="99"/>
    <w:semiHidden/>
    <w:unhideWhenUsed/>
    <w:rsid w:val="005F54CA"/>
    <w:rPr>
      <w:sz w:val="16"/>
      <w:szCs w:val="16"/>
    </w:rPr>
  </w:style>
  <w:style w:type="paragraph" w:styleId="CommentText">
    <w:name w:val="annotation text"/>
    <w:basedOn w:val="Normal"/>
    <w:link w:val="CommentTextChar"/>
    <w:uiPriority w:val="99"/>
    <w:unhideWhenUsed/>
    <w:rsid w:val="005F54CA"/>
    <w:pPr>
      <w:spacing w:line="240" w:lineRule="auto"/>
    </w:pPr>
    <w:rPr>
      <w:sz w:val="20"/>
      <w:szCs w:val="20"/>
    </w:rPr>
  </w:style>
  <w:style w:type="character" w:customStyle="1" w:styleId="CommentTextChar">
    <w:name w:val="Comment Text Char"/>
    <w:basedOn w:val="DefaultParagraphFont"/>
    <w:link w:val="CommentText"/>
    <w:uiPriority w:val="99"/>
    <w:rsid w:val="005F54CA"/>
    <w:rPr>
      <w:sz w:val="20"/>
      <w:szCs w:val="20"/>
    </w:rPr>
  </w:style>
  <w:style w:type="paragraph" w:styleId="CommentSubject">
    <w:name w:val="annotation subject"/>
    <w:basedOn w:val="CommentText"/>
    <w:next w:val="CommentText"/>
    <w:link w:val="CommentSubjectChar"/>
    <w:uiPriority w:val="99"/>
    <w:semiHidden/>
    <w:unhideWhenUsed/>
    <w:rsid w:val="005F54CA"/>
    <w:rPr>
      <w:b/>
      <w:bCs/>
    </w:rPr>
  </w:style>
  <w:style w:type="character" w:customStyle="1" w:styleId="CommentSubjectChar">
    <w:name w:val="Comment Subject Char"/>
    <w:basedOn w:val="CommentTextChar"/>
    <w:link w:val="CommentSubject"/>
    <w:uiPriority w:val="99"/>
    <w:semiHidden/>
    <w:rsid w:val="005F54CA"/>
    <w:rPr>
      <w:b/>
      <w:bCs/>
    </w:rPr>
  </w:style>
  <w:style w:type="paragraph" w:styleId="NormalWeb">
    <w:name w:val="Normal (Web)"/>
    <w:basedOn w:val="Normal"/>
    <w:rsid w:val="00761F26"/>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ontstyle01">
    <w:name w:val="fontstyle01"/>
    <w:basedOn w:val="DefaultParagraphFont"/>
    <w:rsid w:val="00761F26"/>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niagazol</c:v>
                </c:pt>
              </c:strCache>
            </c:strRef>
          </c:tx>
          <c:cat>
            <c:numRef>
              <c:f>Sheet1!$A$2:$A$6</c:f>
              <c:numCache>
                <c:formatCode>General</c:formatCode>
                <c:ptCount val="5"/>
                <c:pt idx="0">
                  <c:v>10</c:v>
                </c:pt>
                <c:pt idx="1">
                  <c:v>15</c:v>
                </c:pt>
                <c:pt idx="2">
                  <c:v>30</c:v>
                </c:pt>
                <c:pt idx="3">
                  <c:v>45</c:v>
                </c:pt>
                <c:pt idx="4">
                  <c:v>60</c:v>
                </c:pt>
              </c:numCache>
            </c:numRef>
          </c:cat>
          <c:val>
            <c:numRef>
              <c:f>Sheet1!$B$2:$B$6</c:f>
              <c:numCache>
                <c:formatCode>General</c:formatCode>
                <c:ptCount val="5"/>
                <c:pt idx="0">
                  <c:v>77.940000000000026</c:v>
                </c:pt>
                <c:pt idx="1">
                  <c:v>82.13</c:v>
                </c:pt>
                <c:pt idx="2">
                  <c:v>92.33</c:v>
                </c:pt>
                <c:pt idx="3">
                  <c:v>95.92</c:v>
                </c:pt>
                <c:pt idx="4">
                  <c:v>96.52</c:v>
                </c:pt>
              </c:numCache>
            </c:numRef>
          </c:val>
          <c:extLst xmlns:c16r2="http://schemas.microsoft.com/office/drawing/2015/06/chart">
            <c:ext xmlns:c16="http://schemas.microsoft.com/office/drawing/2014/chart" uri="{C3380CC4-5D6E-409C-BE32-E72D297353CC}">
              <c16:uniqueId val="{00000000-5EF7-41C6-A6D6-FE4E2EA8C6A2}"/>
            </c:ext>
          </c:extLst>
        </c:ser>
        <c:ser>
          <c:idx val="1"/>
          <c:order val="1"/>
          <c:tx>
            <c:strRef>
              <c:f>Sheet1!$C$1</c:f>
              <c:strCache>
                <c:ptCount val="1"/>
                <c:pt idx="0">
                  <c:v>nilozol</c:v>
                </c:pt>
              </c:strCache>
            </c:strRef>
          </c:tx>
          <c:cat>
            <c:numRef>
              <c:f>Sheet1!$A$2:$A$6</c:f>
              <c:numCache>
                <c:formatCode>General</c:formatCode>
                <c:ptCount val="5"/>
                <c:pt idx="0">
                  <c:v>10</c:v>
                </c:pt>
                <c:pt idx="1">
                  <c:v>15</c:v>
                </c:pt>
                <c:pt idx="2">
                  <c:v>30</c:v>
                </c:pt>
                <c:pt idx="3">
                  <c:v>45</c:v>
                </c:pt>
                <c:pt idx="4">
                  <c:v>60</c:v>
                </c:pt>
              </c:numCache>
            </c:numRef>
          </c:cat>
          <c:val>
            <c:numRef>
              <c:f>Sheet1!$C$2:$C$6</c:f>
              <c:numCache>
                <c:formatCode>General</c:formatCode>
                <c:ptCount val="5"/>
                <c:pt idx="0">
                  <c:v>82.13</c:v>
                </c:pt>
                <c:pt idx="1">
                  <c:v>92.33</c:v>
                </c:pt>
                <c:pt idx="2">
                  <c:v>94.72</c:v>
                </c:pt>
                <c:pt idx="3">
                  <c:v>96.52</c:v>
                </c:pt>
                <c:pt idx="4">
                  <c:v>98.32</c:v>
                </c:pt>
              </c:numCache>
            </c:numRef>
          </c:val>
          <c:extLst xmlns:c16r2="http://schemas.microsoft.com/office/drawing/2015/06/chart">
            <c:ext xmlns:c16="http://schemas.microsoft.com/office/drawing/2014/chart" uri="{C3380CC4-5D6E-409C-BE32-E72D297353CC}">
              <c16:uniqueId val="{00000001-5EF7-41C6-A6D6-FE4E2EA8C6A2}"/>
            </c:ext>
          </c:extLst>
        </c:ser>
        <c:ser>
          <c:idx val="2"/>
          <c:order val="2"/>
          <c:tx>
            <c:strRef>
              <c:f>Sheet1!$D$1</c:f>
              <c:strCache>
                <c:ptCount val="1"/>
                <c:pt idx="0">
                  <c:v>metrodex</c:v>
                </c:pt>
              </c:strCache>
            </c:strRef>
          </c:tx>
          <c:cat>
            <c:numRef>
              <c:f>Sheet1!$A$2:$A$6</c:f>
              <c:numCache>
                <c:formatCode>General</c:formatCode>
                <c:ptCount val="5"/>
                <c:pt idx="0">
                  <c:v>10</c:v>
                </c:pt>
                <c:pt idx="1">
                  <c:v>15</c:v>
                </c:pt>
                <c:pt idx="2">
                  <c:v>30</c:v>
                </c:pt>
                <c:pt idx="3">
                  <c:v>45</c:v>
                </c:pt>
                <c:pt idx="4">
                  <c:v>60</c:v>
                </c:pt>
              </c:numCache>
            </c:numRef>
          </c:cat>
          <c:val>
            <c:numRef>
              <c:f>Sheet1!$D$2:$D$6</c:f>
              <c:numCache>
                <c:formatCode>General</c:formatCode>
                <c:ptCount val="5"/>
                <c:pt idx="0">
                  <c:v>82.73</c:v>
                </c:pt>
                <c:pt idx="1">
                  <c:v>91.73</c:v>
                </c:pt>
                <c:pt idx="2">
                  <c:v>95.32</c:v>
                </c:pt>
                <c:pt idx="3">
                  <c:v>98.32</c:v>
                </c:pt>
                <c:pt idx="4">
                  <c:v>100.1</c:v>
                </c:pt>
              </c:numCache>
            </c:numRef>
          </c:val>
          <c:extLst xmlns:c16r2="http://schemas.microsoft.com/office/drawing/2015/06/chart">
            <c:ext xmlns:c16="http://schemas.microsoft.com/office/drawing/2014/chart" uri="{C3380CC4-5D6E-409C-BE32-E72D297353CC}">
              <c16:uniqueId val="{00000002-5EF7-41C6-A6D6-FE4E2EA8C6A2}"/>
            </c:ext>
          </c:extLst>
        </c:ser>
        <c:marker val="1"/>
        <c:axId val="125423616"/>
        <c:axId val="125425536"/>
      </c:lineChart>
      <c:catAx>
        <c:axId val="125423616"/>
        <c:scaling>
          <c:orientation val="minMax"/>
        </c:scaling>
        <c:axPos val="b"/>
        <c:numFmt formatCode="General" sourceLinked="1"/>
        <c:majorTickMark val="none"/>
        <c:tickLblPos val="nextTo"/>
        <c:txPr>
          <a:bodyPr/>
          <a:lstStyle/>
          <a:p>
            <a:pPr>
              <a:defRPr lang="en-US"/>
            </a:pPr>
            <a:endParaRPr lang="en-US"/>
          </a:p>
        </c:txPr>
        <c:crossAx val="125425536"/>
        <c:crosses val="autoZero"/>
        <c:auto val="1"/>
        <c:lblAlgn val="ctr"/>
        <c:lblOffset val="100"/>
      </c:catAx>
      <c:valAx>
        <c:axId val="125425536"/>
        <c:scaling>
          <c:orientation val="minMax"/>
        </c:scaling>
        <c:axPos val="l"/>
        <c:majorGridlines/>
        <c:title>
          <c:tx>
            <c:rich>
              <a:bodyPr/>
              <a:lstStyle/>
              <a:p>
                <a:pPr>
                  <a:defRPr lang="en-US"/>
                </a:pPr>
                <a:r>
                  <a:rPr lang="en-US" sz="1400"/>
                  <a:t>% released</a:t>
                </a:r>
              </a:p>
            </c:rich>
          </c:tx>
        </c:title>
        <c:numFmt formatCode="General" sourceLinked="1"/>
        <c:majorTickMark val="none"/>
        <c:tickLblPos val="nextTo"/>
        <c:txPr>
          <a:bodyPr/>
          <a:lstStyle/>
          <a:p>
            <a:pPr>
              <a:defRPr lang="en-US"/>
            </a:pPr>
            <a:endParaRPr lang="en-US"/>
          </a:p>
        </c:txPr>
        <c:crossAx val="125423616"/>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niagazol</c:v>
                </c:pt>
              </c:strCache>
            </c:strRef>
          </c:tx>
          <c:cat>
            <c:numRef>
              <c:f>Sheet1!$A$2:$A$6</c:f>
              <c:numCache>
                <c:formatCode>General</c:formatCode>
                <c:ptCount val="5"/>
                <c:pt idx="0">
                  <c:v>10</c:v>
                </c:pt>
                <c:pt idx="1">
                  <c:v>15</c:v>
                </c:pt>
                <c:pt idx="2">
                  <c:v>30</c:v>
                </c:pt>
                <c:pt idx="3">
                  <c:v>45</c:v>
                </c:pt>
                <c:pt idx="4">
                  <c:v>60</c:v>
                </c:pt>
              </c:numCache>
            </c:numRef>
          </c:cat>
          <c:val>
            <c:numRef>
              <c:f>Sheet1!$B$2:$B$6</c:f>
              <c:numCache>
                <c:formatCode>General</c:formatCode>
                <c:ptCount val="5"/>
                <c:pt idx="0">
                  <c:v>75.400000000000006</c:v>
                </c:pt>
                <c:pt idx="1">
                  <c:v>81.47</c:v>
                </c:pt>
                <c:pt idx="2">
                  <c:v>92.45</c:v>
                </c:pt>
                <c:pt idx="3">
                  <c:v>93.169999999999987</c:v>
                </c:pt>
                <c:pt idx="4">
                  <c:v>92.63</c:v>
                </c:pt>
              </c:numCache>
            </c:numRef>
          </c:val>
          <c:extLst xmlns:c16r2="http://schemas.microsoft.com/office/drawing/2015/06/chart">
            <c:ext xmlns:c16="http://schemas.microsoft.com/office/drawing/2014/chart" uri="{C3380CC4-5D6E-409C-BE32-E72D297353CC}">
              <c16:uniqueId val="{00000000-3AB6-40A2-995C-5AABBA9645B5}"/>
            </c:ext>
          </c:extLst>
        </c:ser>
        <c:ser>
          <c:idx val="1"/>
          <c:order val="1"/>
          <c:tx>
            <c:strRef>
              <c:f>Sheet1!$C$1</c:f>
              <c:strCache>
                <c:ptCount val="1"/>
                <c:pt idx="0">
                  <c:v>nilozol</c:v>
                </c:pt>
              </c:strCache>
            </c:strRef>
          </c:tx>
          <c:cat>
            <c:numRef>
              <c:f>Sheet1!$A$2:$A$6</c:f>
              <c:numCache>
                <c:formatCode>General</c:formatCode>
                <c:ptCount val="5"/>
                <c:pt idx="0">
                  <c:v>10</c:v>
                </c:pt>
                <c:pt idx="1">
                  <c:v>15</c:v>
                </c:pt>
                <c:pt idx="2">
                  <c:v>30</c:v>
                </c:pt>
                <c:pt idx="3">
                  <c:v>45</c:v>
                </c:pt>
                <c:pt idx="4">
                  <c:v>60</c:v>
                </c:pt>
              </c:numCache>
            </c:numRef>
          </c:cat>
          <c:val>
            <c:numRef>
              <c:f>Sheet1!$C$2:$C$6</c:f>
              <c:numCache>
                <c:formatCode>General</c:formatCode>
                <c:ptCount val="5"/>
                <c:pt idx="0">
                  <c:v>81.290000000000006</c:v>
                </c:pt>
                <c:pt idx="1">
                  <c:v>86.149999999999991</c:v>
                </c:pt>
                <c:pt idx="2">
                  <c:v>90.89</c:v>
                </c:pt>
                <c:pt idx="3">
                  <c:v>94.960000000000022</c:v>
                </c:pt>
                <c:pt idx="4">
                  <c:v>99.460000000000022</c:v>
                </c:pt>
              </c:numCache>
            </c:numRef>
          </c:val>
          <c:extLst xmlns:c16r2="http://schemas.microsoft.com/office/drawing/2015/06/chart">
            <c:ext xmlns:c16="http://schemas.microsoft.com/office/drawing/2014/chart" uri="{C3380CC4-5D6E-409C-BE32-E72D297353CC}">
              <c16:uniqueId val="{00000001-3AB6-40A2-995C-5AABBA9645B5}"/>
            </c:ext>
          </c:extLst>
        </c:ser>
        <c:ser>
          <c:idx val="2"/>
          <c:order val="2"/>
          <c:tx>
            <c:strRef>
              <c:f>Sheet1!$D$1</c:f>
              <c:strCache>
                <c:ptCount val="1"/>
                <c:pt idx="0">
                  <c:v>metrodex</c:v>
                </c:pt>
              </c:strCache>
            </c:strRef>
          </c:tx>
          <c:cat>
            <c:numRef>
              <c:f>Sheet1!$A$2:$A$6</c:f>
              <c:numCache>
                <c:formatCode>General</c:formatCode>
                <c:ptCount val="5"/>
                <c:pt idx="0">
                  <c:v>10</c:v>
                </c:pt>
                <c:pt idx="1">
                  <c:v>15</c:v>
                </c:pt>
                <c:pt idx="2">
                  <c:v>30</c:v>
                </c:pt>
                <c:pt idx="3">
                  <c:v>45</c:v>
                </c:pt>
                <c:pt idx="4">
                  <c:v>60</c:v>
                </c:pt>
              </c:numCache>
            </c:numRef>
          </c:cat>
          <c:val>
            <c:numRef>
              <c:f>Sheet1!$D$2:$D$6</c:f>
              <c:numCache>
                <c:formatCode>General</c:formatCode>
                <c:ptCount val="5"/>
                <c:pt idx="0">
                  <c:v>85.3</c:v>
                </c:pt>
                <c:pt idx="1">
                  <c:v>87.410000000000025</c:v>
                </c:pt>
                <c:pt idx="2">
                  <c:v>91.01</c:v>
                </c:pt>
                <c:pt idx="3">
                  <c:v>96.4</c:v>
                </c:pt>
                <c:pt idx="4">
                  <c:v>102.2</c:v>
                </c:pt>
              </c:numCache>
            </c:numRef>
          </c:val>
          <c:extLst xmlns:c16r2="http://schemas.microsoft.com/office/drawing/2015/06/chart">
            <c:ext xmlns:c16="http://schemas.microsoft.com/office/drawing/2014/chart" uri="{C3380CC4-5D6E-409C-BE32-E72D297353CC}">
              <c16:uniqueId val="{00000002-3AB6-40A2-995C-5AABBA9645B5}"/>
            </c:ext>
          </c:extLst>
        </c:ser>
        <c:marker val="1"/>
        <c:axId val="131725184"/>
        <c:axId val="136786688"/>
      </c:lineChart>
      <c:catAx>
        <c:axId val="131725184"/>
        <c:scaling>
          <c:orientation val="minMax"/>
        </c:scaling>
        <c:axPos val="b"/>
        <c:numFmt formatCode="General" sourceLinked="1"/>
        <c:majorTickMark val="none"/>
        <c:tickLblPos val="nextTo"/>
        <c:txPr>
          <a:bodyPr/>
          <a:lstStyle/>
          <a:p>
            <a:pPr>
              <a:defRPr lang="en-US"/>
            </a:pPr>
            <a:endParaRPr lang="en-US"/>
          </a:p>
        </c:txPr>
        <c:crossAx val="136786688"/>
        <c:crosses val="autoZero"/>
        <c:auto val="1"/>
        <c:lblAlgn val="ctr"/>
        <c:lblOffset val="100"/>
      </c:catAx>
      <c:valAx>
        <c:axId val="136786688"/>
        <c:scaling>
          <c:orientation val="minMax"/>
        </c:scaling>
        <c:axPos val="l"/>
        <c:majorGridlines/>
        <c:title>
          <c:tx>
            <c:rich>
              <a:bodyPr/>
              <a:lstStyle/>
              <a:p>
                <a:pPr>
                  <a:defRPr lang="en-US"/>
                </a:pPr>
                <a:r>
                  <a:rPr lang="en-US" sz="1400"/>
                  <a:t>% released</a:t>
                </a:r>
              </a:p>
            </c:rich>
          </c:tx>
        </c:title>
        <c:numFmt formatCode="General" sourceLinked="1"/>
        <c:majorTickMark val="none"/>
        <c:tickLblPos val="nextTo"/>
        <c:txPr>
          <a:bodyPr/>
          <a:lstStyle/>
          <a:p>
            <a:pPr>
              <a:defRPr lang="en-US"/>
            </a:pPr>
            <a:endParaRPr lang="en-US"/>
          </a:p>
        </c:txPr>
        <c:crossAx val="13172518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samlpe (A)</c:v>
                </c:pt>
              </c:strCache>
            </c:strRef>
          </c:tx>
          <c:cat>
            <c:numRef>
              <c:f>Sheet1!$A$2:$A$6</c:f>
              <c:numCache>
                <c:formatCode>General</c:formatCode>
                <c:ptCount val="5"/>
                <c:pt idx="0">
                  <c:v>10</c:v>
                </c:pt>
                <c:pt idx="1">
                  <c:v>15</c:v>
                </c:pt>
                <c:pt idx="2">
                  <c:v>30</c:v>
                </c:pt>
                <c:pt idx="3">
                  <c:v>45</c:v>
                </c:pt>
                <c:pt idx="4">
                  <c:v>60</c:v>
                </c:pt>
              </c:numCache>
            </c:numRef>
          </c:cat>
          <c:val>
            <c:numRef>
              <c:f>Sheet1!$B$2:$B$6</c:f>
              <c:numCache>
                <c:formatCode>General</c:formatCode>
                <c:ptCount val="5"/>
                <c:pt idx="0">
                  <c:v>74.28</c:v>
                </c:pt>
                <c:pt idx="1">
                  <c:v>79.92</c:v>
                </c:pt>
                <c:pt idx="2">
                  <c:v>86.51</c:v>
                </c:pt>
                <c:pt idx="3">
                  <c:v>90.1</c:v>
                </c:pt>
                <c:pt idx="4">
                  <c:v>92.27</c:v>
                </c:pt>
              </c:numCache>
            </c:numRef>
          </c:val>
          <c:extLst xmlns:c16r2="http://schemas.microsoft.com/office/drawing/2015/06/chart">
            <c:ext xmlns:c16="http://schemas.microsoft.com/office/drawing/2014/chart" uri="{C3380CC4-5D6E-409C-BE32-E72D297353CC}">
              <c16:uniqueId val="{00000000-7412-4F72-A04E-C8A4265FF1C3}"/>
            </c:ext>
          </c:extLst>
        </c:ser>
        <c:ser>
          <c:idx val="1"/>
          <c:order val="1"/>
          <c:tx>
            <c:strRef>
              <c:f>Sheet1!$C$1</c:f>
              <c:strCache>
                <c:ptCount val="1"/>
                <c:pt idx="0">
                  <c:v>samlpe (B)</c:v>
                </c:pt>
              </c:strCache>
            </c:strRef>
          </c:tx>
          <c:cat>
            <c:numRef>
              <c:f>Sheet1!$A$2:$A$6</c:f>
              <c:numCache>
                <c:formatCode>General</c:formatCode>
                <c:ptCount val="5"/>
                <c:pt idx="0">
                  <c:v>10</c:v>
                </c:pt>
                <c:pt idx="1">
                  <c:v>15</c:v>
                </c:pt>
                <c:pt idx="2">
                  <c:v>30</c:v>
                </c:pt>
                <c:pt idx="3">
                  <c:v>45</c:v>
                </c:pt>
                <c:pt idx="4">
                  <c:v>60</c:v>
                </c:pt>
              </c:numCache>
            </c:numRef>
          </c:cat>
          <c:val>
            <c:numRef>
              <c:f>Sheet1!$C$2:$C$6</c:f>
              <c:numCache>
                <c:formatCode>General</c:formatCode>
                <c:ptCount val="5"/>
                <c:pt idx="0">
                  <c:v>79.679999999999978</c:v>
                </c:pt>
                <c:pt idx="1">
                  <c:v>84.169999999999987</c:v>
                </c:pt>
                <c:pt idx="2">
                  <c:v>91.36999999999999</c:v>
                </c:pt>
                <c:pt idx="3">
                  <c:v>95.14</c:v>
                </c:pt>
                <c:pt idx="4">
                  <c:v>97.11999999999999</c:v>
                </c:pt>
              </c:numCache>
            </c:numRef>
          </c:val>
          <c:extLst xmlns:c16r2="http://schemas.microsoft.com/office/drawing/2015/06/chart">
            <c:ext xmlns:c16="http://schemas.microsoft.com/office/drawing/2014/chart" uri="{C3380CC4-5D6E-409C-BE32-E72D297353CC}">
              <c16:uniqueId val="{00000001-7412-4F72-A04E-C8A4265FF1C3}"/>
            </c:ext>
          </c:extLst>
        </c:ser>
        <c:ser>
          <c:idx val="2"/>
          <c:order val="2"/>
          <c:tx>
            <c:strRef>
              <c:f>Sheet1!$D$1</c:f>
              <c:strCache>
                <c:ptCount val="1"/>
                <c:pt idx="0">
                  <c:v>samlpe (C)</c:v>
                </c:pt>
              </c:strCache>
            </c:strRef>
          </c:tx>
          <c:cat>
            <c:numRef>
              <c:f>Sheet1!$A$2:$A$6</c:f>
              <c:numCache>
                <c:formatCode>General</c:formatCode>
                <c:ptCount val="5"/>
                <c:pt idx="0">
                  <c:v>10</c:v>
                </c:pt>
                <c:pt idx="1">
                  <c:v>15</c:v>
                </c:pt>
                <c:pt idx="2">
                  <c:v>30</c:v>
                </c:pt>
                <c:pt idx="3">
                  <c:v>45</c:v>
                </c:pt>
                <c:pt idx="4">
                  <c:v>60</c:v>
                </c:pt>
              </c:numCache>
            </c:numRef>
          </c:cat>
          <c:val>
            <c:numRef>
              <c:f>Sheet1!$D$2:$D$6</c:f>
              <c:numCache>
                <c:formatCode>General</c:formatCode>
                <c:ptCount val="5"/>
                <c:pt idx="0">
                  <c:v>83.27</c:v>
                </c:pt>
                <c:pt idx="1">
                  <c:v>84.35</c:v>
                </c:pt>
                <c:pt idx="2">
                  <c:v>83.990000000000023</c:v>
                </c:pt>
                <c:pt idx="3">
                  <c:v>89.39</c:v>
                </c:pt>
                <c:pt idx="4">
                  <c:v>90.11</c:v>
                </c:pt>
              </c:numCache>
            </c:numRef>
          </c:val>
          <c:extLst xmlns:c16r2="http://schemas.microsoft.com/office/drawing/2015/06/chart">
            <c:ext xmlns:c16="http://schemas.microsoft.com/office/drawing/2014/chart" uri="{C3380CC4-5D6E-409C-BE32-E72D297353CC}">
              <c16:uniqueId val="{00000002-7412-4F72-A04E-C8A4265FF1C3}"/>
            </c:ext>
          </c:extLst>
        </c:ser>
        <c:marker val="1"/>
        <c:axId val="136979584"/>
        <c:axId val="136999296"/>
      </c:lineChart>
      <c:catAx>
        <c:axId val="136979584"/>
        <c:scaling>
          <c:orientation val="minMax"/>
        </c:scaling>
        <c:axPos val="b"/>
        <c:numFmt formatCode="General" sourceLinked="1"/>
        <c:majorTickMark val="none"/>
        <c:tickLblPos val="nextTo"/>
        <c:txPr>
          <a:bodyPr/>
          <a:lstStyle/>
          <a:p>
            <a:pPr>
              <a:defRPr lang="en-US"/>
            </a:pPr>
            <a:endParaRPr lang="en-US"/>
          </a:p>
        </c:txPr>
        <c:crossAx val="136999296"/>
        <c:crosses val="autoZero"/>
        <c:auto val="1"/>
        <c:lblAlgn val="ctr"/>
        <c:lblOffset val="100"/>
      </c:catAx>
      <c:valAx>
        <c:axId val="136999296"/>
        <c:scaling>
          <c:orientation val="minMax"/>
        </c:scaling>
        <c:axPos val="l"/>
        <c:majorGridlines/>
        <c:title>
          <c:tx>
            <c:rich>
              <a:bodyPr/>
              <a:lstStyle/>
              <a:p>
                <a:pPr>
                  <a:defRPr lang="en-US"/>
                </a:pPr>
                <a:r>
                  <a:rPr lang="en-US" sz="1400"/>
                  <a:t>% released</a:t>
                </a:r>
              </a:p>
            </c:rich>
          </c:tx>
        </c:title>
        <c:numFmt formatCode="General" sourceLinked="1"/>
        <c:majorTickMark val="none"/>
        <c:tickLblPos val="nextTo"/>
        <c:txPr>
          <a:bodyPr/>
          <a:lstStyle/>
          <a:p>
            <a:pPr>
              <a:defRPr lang="en-US"/>
            </a:pPr>
            <a:endParaRPr lang="en-US"/>
          </a:p>
        </c:txPr>
        <c:crossAx val="13697958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FAF4-252A-4E98-A56A-DC53A639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12</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Kapil</cp:lastModifiedBy>
  <cp:revision>26</cp:revision>
  <cp:lastPrinted>2019-11-20T09:10:00Z</cp:lastPrinted>
  <dcterms:created xsi:type="dcterms:W3CDTF">2019-11-05T13:31:00Z</dcterms:created>
  <dcterms:modified xsi:type="dcterms:W3CDTF">2021-05-12T23:43:00Z</dcterms:modified>
</cp:coreProperties>
</file>