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EDE" w:rsidRPr="006C1E68" w:rsidRDefault="00F22EDE" w:rsidP="00F22EDE">
      <w:pPr>
        <w:shd w:val="clear" w:color="auto" w:fill="00B0F0"/>
        <w:jc w:val="center"/>
        <w:rPr>
          <w:b/>
          <w:bCs/>
          <w:color w:val="FFFFFF"/>
          <w:sz w:val="28"/>
          <w:szCs w:val="28"/>
        </w:rPr>
      </w:pPr>
      <w:r w:rsidRPr="006C1E68">
        <w:rPr>
          <w:b/>
          <w:bCs/>
          <w:color w:val="FFFFFF"/>
          <w:sz w:val="28"/>
          <w:szCs w:val="28"/>
        </w:rPr>
        <w:t>Reviewer’s Comments</w:t>
      </w:r>
    </w:p>
    <w:p w:rsidR="002A5734" w:rsidRDefault="00193A40" w:rsidP="002A5734">
      <w:pPr>
        <w:bidi w:val="0"/>
        <w:ind w:right="-52"/>
        <w:jc w:val="center"/>
        <w:rPr>
          <w:b/>
          <w:bCs/>
        </w:rPr>
      </w:pPr>
      <w:commentRangeStart w:id="0"/>
      <w:r>
        <w:rPr>
          <w:b/>
          <w:bCs/>
          <w:noProof/>
        </w:rPr>
        <w:drawing>
          <wp:inline distT="0" distB="0" distL="0" distR="0">
            <wp:extent cx="5584393" cy="174955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83177" cy="1749172"/>
                    </a:xfrm>
                    <a:prstGeom prst="rect">
                      <a:avLst/>
                    </a:prstGeom>
                    <a:noFill/>
                    <a:ln w="9525">
                      <a:noFill/>
                      <a:miter lim="800000"/>
                      <a:headEnd/>
                      <a:tailEnd/>
                    </a:ln>
                  </pic:spPr>
                </pic:pic>
              </a:graphicData>
            </a:graphic>
          </wp:inline>
        </w:drawing>
      </w:r>
      <w:commentRangeEnd w:id="0"/>
      <w:r>
        <w:rPr>
          <w:rStyle w:val="CommentReference"/>
        </w:rPr>
        <w:commentReference w:id="0"/>
      </w:r>
    </w:p>
    <w:p w:rsidR="00AD6A24" w:rsidRPr="002A5734" w:rsidRDefault="00AD6A24" w:rsidP="002A5734">
      <w:pPr>
        <w:bidi w:val="0"/>
        <w:ind w:right="-52"/>
        <w:jc w:val="center"/>
        <w:rPr>
          <w:b/>
          <w:bCs/>
        </w:rPr>
      </w:pPr>
      <w:r w:rsidRPr="002A5734">
        <w:rPr>
          <w:b/>
          <w:bCs/>
        </w:rPr>
        <w:t xml:space="preserve">Prevalence of Rubella </w:t>
      </w:r>
      <w:r w:rsidR="00653FCC" w:rsidRPr="002A5734">
        <w:rPr>
          <w:b/>
          <w:bCs/>
        </w:rPr>
        <w:t>IgG</w:t>
      </w:r>
      <w:r w:rsidR="00D03743" w:rsidRPr="002A5734">
        <w:rPr>
          <w:b/>
          <w:bCs/>
        </w:rPr>
        <w:t xml:space="preserve"> Antibodies </w:t>
      </w:r>
      <w:commentRangeStart w:id="1"/>
      <w:r w:rsidR="00D03743" w:rsidRPr="002A5734">
        <w:rPr>
          <w:b/>
          <w:bCs/>
        </w:rPr>
        <w:t>Among Productive</w:t>
      </w:r>
      <w:r w:rsidR="00B03A3C" w:rsidRPr="002A5734">
        <w:rPr>
          <w:b/>
          <w:bCs/>
        </w:rPr>
        <w:t>-</w:t>
      </w:r>
      <w:r w:rsidR="00D03743" w:rsidRPr="002A5734">
        <w:rPr>
          <w:b/>
          <w:bCs/>
        </w:rPr>
        <w:t>A</w:t>
      </w:r>
      <w:r w:rsidRPr="002A5734">
        <w:rPr>
          <w:b/>
          <w:bCs/>
        </w:rPr>
        <w:t xml:space="preserve">ge </w:t>
      </w:r>
      <w:r w:rsidRPr="002A5734">
        <w:rPr>
          <w:b/>
          <w:bCs/>
          <w:cs/>
        </w:rPr>
        <w:t>‎</w:t>
      </w:r>
      <w:r w:rsidR="00D03743" w:rsidRPr="002A5734">
        <w:rPr>
          <w:b/>
          <w:bCs/>
        </w:rPr>
        <w:t>W</w:t>
      </w:r>
      <w:r w:rsidRPr="002A5734">
        <w:rPr>
          <w:b/>
          <w:bCs/>
        </w:rPr>
        <w:t>omen i</w:t>
      </w:r>
      <w:r w:rsidR="00081AF0" w:rsidRPr="002A5734">
        <w:rPr>
          <w:b/>
          <w:bCs/>
        </w:rPr>
        <w:t>n Al-Mahweet Governorate, Yemen</w:t>
      </w:r>
      <w:commentRangeEnd w:id="1"/>
      <w:r w:rsidR="001E7619">
        <w:rPr>
          <w:rStyle w:val="CommentReference"/>
        </w:rPr>
        <w:commentReference w:id="1"/>
      </w:r>
    </w:p>
    <w:p w:rsidR="0076266E" w:rsidRPr="002A5734" w:rsidRDefault="0076266E" w:rsidP="007E3E0F">
      <w:pPr>
        <w:pStyle w:val="NoSpacing"/>
        <w:bidi w:val="0"/>
        <w:rPr>
          <w:b/>
          <w:bCs/>
        </w:rPr>
      </w:pPr>
    </w:p>
    <w:p w:rsidR="00AA6AAE" w:rsidRPr="002A5734" w:rsidRDefault="00AA6AAE" w:rsidP="00F16717">
      <w:pPr>
        <w:pStyle w:val="NoSpacing"/>
        <w:bidi w:val="0"/>
        <w:jc w:val="both"/>
        <w:rPr>
          <w:b/>
          <w:bCs/>
        </w:rPr>
      </w:pPr>
    </w:p>
    <w:p w:rsidR="00486D84" w:rsidRPr="002A5734" w:rsidRDefault="00486D84" w:rsidP="00AA6AAE">
      <w:pPr>
        <w:pStyle w:val="NoSpacing"/>
        <w:bidi w:val="0"/>
        <w:spacing w:line="360" w:lineRule="auto"/>
        <w:jc w:val="both"/>
        <w:rPr>
          <w:b/>
          <w:bCs/>
        </w:rPr>
      </w:pPr>
      <w:r w:rsidRPr="002A5734">
        <w:rPr>
          <w:b/>
          <w:bCs/>
        </w:rPr>
        <w:t>A</w:t>
      </w:r>
      <w:commentRangeStart w:id="2"/>
      <w:r w:rsidRPr="002A5734">
        <w:rPr>
          <w:b/>
          <w:bCs/>
        </w:rPr>
        <w:t>bstrac</w:t>
      </w:r>
      <w:commentRangeEnd w:id="2"/>
      <w:r w:rsidR="007C578C">
        <w:rPr>
          <w:rStyle w:val="CommentReference"/>
        </w:rPr>
        <w:commentReference w:id="2"/>
      </w:r>
      <w:r w:rsidRPr="002A5734">
        <w:rPr>
          <w:b/>
          <w:bCs/>
        </w:rPr>
        <w:t>t</w:t>
      </w:r>
    </w:p>
    <w:p w:rsidR="00C91BFE" w:rsidRPr="002A5734" w:rsidRDefault="00ED3A52" w:rsidP="00C31F99">
      <w:pPr>
        <w:pStyle w:val="NoSpacing"/>
        <w:bidi w:val="0"/>
        <w:jc w:val="both"/>
      </w:pPr>
      <w:commentRangeStart w:id="3"/>
      <w:r w:rsidRPr="002A5734">
        <w:rPr>
          <w:b/>
          <w:bCs/>
        </w:rPr>
        <w:t>Background:</w:t>
      </w:r>
      <w:r w:rsidRPr="002A5734">
        <w:t xml:space="preserve"> Rubella</w:t>
      </w:r>
      <w:r w:rsidR="007A7DF7" w:rsidRPr="002A5734">
        <w:t xml:space="preserve"> is </w:t>
      </w:r>
      <w:r w:rsidRPr="002A5734">
        <w:t>an infectious</w:t>
      </w:r>
      <w:r w:rsidR="007A7DF7" w:rsidRPr="002A5734">
        <w:t xml:space="preserve"> viral </w:t>
      </w:r>
      <w:r w:rsidR="000E75D6" w:rsidRPr="002A5734">
        <w:t xml:space="preserve">disease caused by </w:t>
      </w:r>
      <w:r w:rsidR="000055FF" w:rsidRPr="002A5734">
        <w:t xml:space="preserve">the </w:t>
      </w:r>
      <w:r w:rsidR="000E75D6" w:rsidRPr="002A5734">
        <w:t>rubella virus</w:t>
      </w:r>
      <w:r w:rsidR="00660F6D" w:rsidRPr="002A5734">
        <w:t xml:space="preserve">. The incidence </w:t>
      </w:r>
      <w:r w:rsidR="00273A13" w:rsidRPr="002A5734">
        <w:t xml:space="preserve">of </w:t>
      </w:r>
      <w:r>
        <w:t>(</w:t>
      </w:r>
      <w:r w:rsidRPr="00ED3A52">
        <w:rPr>
          <w:color w:val="4F81BD" w:themeColor="accent1"/>
        </w:rPr>
        <w:t xml:space="preserve">Rubella virus infection in) </w:t>
      </w:r>
      <w:r>
        <w:t>women</w:t>
      </w:r>
      <w:r w:rsidR="00273A13" w:rsidRPr="002A5734">
        <w:t xml:space="preserve"> during pregnancy </w:t>
      </w:r>
      <w:r w:rsidR="00273A13" w:rsidRPr="00660D5B">
        <w:rPr>
          <w:strike/>
          <w:color w:val="FF0000"/>
        </w:rPr>
        <w:t>stage by rubella infection</w:t>
      </w:r>
      <w:r w:rsidR="007A7DF7" w:rsidRPr="002A5734">
        <w:t xml:space="preserve">leads to </w:t>
      </w:r>
      <w:r w:rsidR="001B3184" w:rsidRPr="002A5734">
        <w:t>complication</w:t>
      </w:r>
      <w:r w:rsidR="000055FF" w:rsidRPr="002A5734">
        <w:t>s</w:t>
      </w:r>
      <w:r w:rsidR="001B3184" w:rsidRPr="002A5734">
        <w:t xml:space="preserve"> for fetus development </w:t>
      </w:r>
      <w:commentRangeStart w:id="4"/>
      <w:r w:rsidR="001B3184" w:rsidRPr="002A5734">
        <w:t>and</w:t>
      </w:r>
      <w:r w:rsidR="007A7DF7" w:rsidRPr="00660D5B">
        <w:rPr>
          <w:strike/>
          <w:color w:val="FF0000"/>
        </w:rPr>
        <w:t>causing</w:t>
      </w:r>
      <w:r w:rsidRPr="00ED3A52">
        <w:rPr>
          <w:color w:val="548DD4" w:themeColor="text2" w:themeTint="99"/>
        </w:rPr>
        <w:t>(cause)</w:t>
      </w:r>
      <w:r w:rsidR="007A7DF7" w:rsidRPr="002A5734">
        <w:t xml:space="preserve"> fetal death or congenital rubella syndrome</w:t>
      </w:r>
      <w:r w:rsidR="00341B5B" w:rsidRPr="002A5734">
        <w:t xml:space="preserve">. </w:t>
      </w:r>
      <w:r w:rsidRPr="002A5734">
        <w:rPr>
          <w:b/>
          <w:bCs/>
          <w:lang w:val="en-GB"/>
        </w:rPr>
        <w:t>Aims:</w:t>
      </w:r>
      <w:r w:rsidRPr="002A5734">
        <w:rPr>
          <w:lang w:val="en-GB"/>
        </w:rPr>
        <w:t xml:space="preserve"> This</w:t>
      </w:r>
      <w:r w:rsidR="000009DB" w:rsidRPr="002A5734">
        <w:t>study aimed to determine the prevalence rate of rubella among reproductive-age women in Al-Mahweet, Yemen.</w:t>
      </w:r>
      <w:r w:rsidRPr="002A5734">
        <w:rPr>
          <w:b/>
          <w:bCs/>
        </w:rPr>
        <w:t>Methods:</w:t>
      </w:r>
      <w:r w:rsidRPr="00660D5B">
        <w:rPr>
          <w:strike/>
          <w:color w:val="FF0000"/>
        </w:rPr>
        <w:t>This</w:t>
      </w:r>
      <w:r w:rsidRPr="00ED3A52">
        <w:rPr>
          <w:color w:val="548DD4" w:themeColor="text2" w:themeTint="99"/>
        </w:rPr>
        <w:t>(A</w:t>
      </w:r>
      <w:r w:rsidR="00161A0E">
        <w:rPr>
          <w:color w:val="548DD4" w:themeColor="text2" w:themeTint="99"/>
        </w:rPr>
        <w:t xml:space="preserve"> cross sectional</w:t>
      </w:r>
      <w:r>
        <w:t xml:space="preserve">) </w:t>
      </w:r>
      <w:r w:rsidR="006368C1" w:rsidRPr="00660D5B">
        <w:rPr>
          <w:strike/>
          <w:color w:val="C00000"/>
        </w:rPr>
        <w:t>across-</w:t>
      </w:r>
      <w:r w:rsidR="006368C1" w:rsidRPr="00660D5B">
        <w:rPr>
          <w:strike/>
          <w:color w:val="FF0000"/>
        </w:rPr>
        <w:t>sectional</w:t>
      </w:r>
      <w:r w:rsidR="006368C1" w:rsidRPr="002A5734">
        <w:t xml:space="preserve"> study was conducted among femalesattending healthcare </w:t>
      </w:r>
      <w:r w:rsidRPr="00ED3A52">
        <w:rPr>
          <w:color w:val="548DD4" w:themeColor="text2" w:themeTint="99"/>
        </w:rPr>
        <w:t xml:space="preserve">(centers) </w:t>
      </w:r>
      <w:r w:rsidR="006368C1" w:rsidRPr="002A5734">
        <w:t>and schoolsfrom July 2007 to June 2008. Blood sample</w:t>
      </w:r>
      <w:r w:rsidR="000055FF" w:rsidRPr="002A5734">
        <w:t>s</w:t>
      </w:r>
      <w:r w:rsidR="006368C1" w:rsidRPr="002A5734">
        <w:t xml:space="preserve"> were collected individually </w:t>
      </w:r>
      <w:r w:rsidR="00644C46" w:rsidRPr="002A5734">
        <w:t>f</w:t>
      </w:r>
      <w:r w:rsidR="006368C1" w:rsidRPr="002A5734">
        <w:t>r</w:t>
      </w:r>
      <w:r w:rsidR="00644C46" w:rsidRPr="002A5734">
        <w:t>o</w:t>
      </w:r>
      <w:r w:rsidR="006368C1" w:rsidRPr="002A5734">
        <w:t>m 270 females aged 15-35 years and</w:t>
      </w:r>
      <w:r w:rsidR="0018163A" w:rsidRPr="002A5734">
        <w:t xml:space="preserve">the </w:t>
      </w:r>
      <w:r w:rsidR="006368C1" w:rsidRPr="002A5734">
        <w:t xml:space="preserve">rubella virus IgG antibody was determined by enzyme-linked immunosorbent assay (ELISA). The needed data were collected by using </w:t>
      </w:r>
      <w:r w:rsidR="000055FF" w:rsidRPr="002A5734">
        <w:t xml:space="preserve">a </w:t>
      </w:r>
      <w:r w:rsidR="006368C1" w:rsidRPr="002A5734">
        <w:t>pretested questionnaire and analyzed by statistical program.</w:t>
      </w:r>
      <w:r w:rsidR="00AA6AAE" w:rsidRPr="002A5734">
        <w:rPr>
          <w:b/>
          <w:bCs/>
        </w:rPr>
        <w:t>Results:</w:t>
      </w:r>
      <w:r w:rsidR="00802855" w:rsidRPr="002A5734">
        <w:t xml:space="preserve">Overall, </w:t>
      </w:r>
      <w:r w:rsidR="00B62A15" w:rsidRPr="002A5734">
        <w:t>197(</w:t>
      </w:r>
      <w:r w:rsidR="00802855" w:rsidRPr="002A5734">
        <w:t>73%</w:t>
      </w:r>
      <w:r w:rsidR="00B62A15" w:rsidRPr="002A5734">
        <w:t>)</w:t>
      </w:r>
      <w:r w:rsidR="00802855" w:rsidRPr="002A5734">
        <w:t xml:space="preserve">had </w:t>
      </w:r>
      <w:r w:rsidR="00B62A15" w:rsidRPr="002A5734">
        <w:t>IgG-positive antibody</w:t>
      </w:r>
      <w:r w:rsidR="00802855" w:rsidRPr="002A5734">
        <w:t xml:space="preserve"> to rubella and </w:t>
      </w:r>
      <w:r w:rsidR="00B62A15" w:rsidRPr="002A5734">
        <w:t>73(27</w:t>
      </w:r>
      <w:r w:rsidR="00802855" w:rsidRPr="002A5734">
        <w:t>%</w:t>
      </w:r>
      <w:r w:rsidR="00B62A15" w:rsidRPr="002A5734">
        <w:t>) had IgG-negative antibody to rubella.</w:t>
      </w:r>
      <w:r w:rsidR="00E81D33" w:rsidRPr="002A5734">
        <w:t xml:space="preserve">The highest rate of rubella IgG antibody was among </w:t>
      </w:r>
      <w:r w:rsidR="00F4081F" w:rsidRPr="002A5734">
        <w:t xml:space="preserve">females </w:t>
      </w:r>
      <w:r w:rsidR="00E81D33" w:rsidRPr="002A5734">
        <w:t>age</w:t>
      </w:r>
      <w:r w:rsidR="008D4025" w:rsidRPr="002A5734">
        <w:t>d</w:t>
      </w:r>
      <w:r w:rsidR="00E81D33" w:rsidRPr="002A5734">
        <w:t xml:space="preserve"> 15-25 years and the lowest was among the </w:t>
      </w:r>
      <w:r w:rsidR="00F4081F" w:rsidRPr="002A5734">
        <w:t xml:space="preserve">females </w:t>
      </w:r>
      <w:r w:rsidR="00E81D33" w:rsidRPr="002A5734">
        <w:t>age</w:t>
      </w:r>
      <w:r w:rsidR="008D4025" w:rsidRPr="002A5734">
        <w:t>d</w:t>
      </w:r>
      <w:r w:rsidR="00E81D33" w:rsidRPr="002A5734">
        <w:t xml:space="preserve"> 31-35 years. Similarly, the higher rate was among females living in urban area compared to females from rural </w:t>
      </w:r>
      <w:r w:rsidR="00161A0E" w:rsidRPr="002A5734">
        <w:t>area. There</w:t>
      </w:r>
      <w:r w:rsidR="00F15B21" w:rsidRPr="002A5734">
        <w:t xml:space="preserve"> was </w:t>
      </w:r>
      <w:r w:rsidR="00E75560" w:rsidRPr="002A5734">
        <w:t xml:space="preserve">a </w:t>
      </w:r>
      <w:r w:rsidR="00F15B21" w:rsidRPr="002A5734">
        <w:t>significant association between most educational levels and positive results of anti-rubella IgG.</w:t>
      </w:r>
      <w:r w:rsidR="00AE7F73" w:rsidRPr="00660D5B">
        <w:rPr>
          <w:strike/>
          <w:color w:val="FF0000"/>
        </w:rPr>
        <w:t>In regarding</w:t>
      </w:r>
      <w:r w:rsidR="005204F7">
        <w:t>(With regard to)</w:t>
      </w:r>
      <w:r w:rsidR="00AE7F73" w:rsidRPr="002A5734">
        <w:t xml:space="preserve"> marital status, the </w:t>
      </w:r>
      <w:r w:rsidR="00AE7F73" w:rsidRPr="005204F7">
        <w:t xml:space="preserve">most </w:t>
      </w:r>
      <w:r w:rsidR="005204F7" w:rsidRPr="005204F7">
        <w:t>frequent of</w:t>
      </w:r>
      <w:r w:rsidR="00AE7F73" w:rsidRPr="002A5734">
        <w:t xml:space="preserve"> rubella antibody was72.3%, 73.1%, and 75.0%, respectively, recorded among single, married, and divorced females. The non-pregnant women had (73.7%) more incidence to rubella antibody than pregnant (66.7%).</w:t>
      </w:r>
      <w:r w:rsidR="008E14DD" w:rsidRPr="002A5734">
        <w:t xml:space="preserve">82.2% of IgG- positive women had no history of stillbirth and 65% had </w:t>
      </w:r>
      <w:r w:rsidR="007C4C6D" w:rsidRPr="002A5734">
        <w:t xml:space="preserve">a </w:t>
      </w:r>
      <w:r w:rsidR="008E14DD" w:rsidRPr="002A5734">
        <w:t xml:space="preserve">history of stillbirth. </w:t>
      </w:r>
      <w:r w:rsidR="008E14DD" w:rsidRPr="005204F7">
        <w:rPr>
          <w:color w:val="FF0000"/>
        </w:rPr>
        <w:t>Nearly results were recorded among females had and non-had family history for rubella infection</w:t>
      </w:r>
      <w:r w:rsidR="00660D5B">
        <w:rPr>
          <w:color w:val="FF0000"/>
        </w:rPr>
        <w:t>??</w:t>
      </w:r>
      <w:r w:rsidR="008E14DD" w:rsidRPr="002A5734">
        <w:t>.</w:t>
      </w:r>
      <w:r w:rsidR="00B64537" w:rsidRPr="002A5734">
        <w:rPr>
          <w:b/>
          <w:bCs/>
        </w:rPr>
        <w:t>Conclusions</w:t>
      </w:r>
      <w:r w:rsidR="00B64537" w:rsidRPr="002A5734">
        <w:t xml:space="preserve">: </w:t>
      </w:r>
      <w:commentRangeEnd w:id="4"/>
      <w:r w:rsidR="00F22EDE">
        <w:rPr>
          <w:rStyle w:val="CommentReference"/>
        </w:rPr>
        <w:commentReference w:id="4"/>
      </w:r>
      <w:r w:rsidR="00C91BFE" w:rsidRPr="00660D5B">
        <w:rPr>
          <w:strike/>
          <w:color w:val="FF0000"/>
        </w:rPr>
        <w:t>T</w:t>
      </w:r>
      <w:r w:rsidR="00AA66A1" w:rsidRPr="00660D5B">
        <w:rPr>
          <w:strike/>
          <w:color w:val="FF0000"/>
        </w:rPr>
        <w:t>he</w:t>
      </w:r>
      <w:r w:rsidR="00AA66A1" w:rsidRPr="002A5734">
        <w:t xml:space="preserve"> most of enrolled females had immunity against rubella virus, but still </w:t>
      </w:r>
      <w:r w:rsidR="00AA66A1" w:rsidRPr="00660D5B">
        <w:rPr>
          <w:strike/>
          <w:color w:val="FF0000"/>
        </w:rPr>
        <w:t>remark</w:t>
      </w:r>
      <w:r w:rsidR="00660D5B" w:rsidRPr="00660D5B">
        <w:rPr>
          <w:color w:val="00B0F0"/>
        </w:rPr>
        <w:t>(a significant</w:t>
      </w:r>
      <w:r w:rsidR="00660D5B">
        <w:rPr>
          <w:color w:val="FF0000"/>
        </w:rPr>
        <w:t>)</w:t>
      </w:r>
      <w:r w:rsidR="00AA66A1" w:rsidRPr="002A5734">
        <w:t xml:space="preserve">percentage </w:t>
      </w:r>
      <w:r w:rsidR="00660D5B" w:rsidRPr="00660D5B">
        <w:rPr>
          <w:color w:val="00B0F0"/>
        </w:rPr>
        <w:t>(were</w:t>
      </w:r>
      <w:r w:rsidR="00660D5B">
        <w:t xml:space="preserve">) </w:t>
      </w:r>
      <w:r w:rsidR="00392F4F" w:rsidRPr="002A5734">
        <w:t xml:space="preserve">susceptible to rubella infection. </w:t>
      </w:r>
      <w:r w:rsidR="00660D5B" w:rsidRPr="00660D5B">
        <w:rPr>
          <w:color w:val="FF0000"/>
        </w:rPr>
        <w:t>So</w:t>
      </w:r>
      <w:r w:rsidR="00660D5B" w:rsidRPr="002A5734">
        <w:t>,</w:t>
      </w:r>
      <w:r w:rsidR="00660D5B" w:rsidRPr="00660D5B">
        <w:rPr>
          <w:color w:val="00B0F0"/>
        </w:rPr>
        <w:t xml:space="preserve"> (Thus</w:t>
      </w:r>
      <w:r w:rsidR="00660D5B">
        <w:t>)</w:t>
      </w:r>
      <w:r w:rsidR="00392F4F" w:rsidRPr="002A5734">
        <w:t xml:space="preserve"> it is essential to introduce </w:t>
      </w:r>
      <w:r w:rsidR="00C91BFE" w:rsidRPr="002A5734">
        <w:t xml:space="preserve">of rubella vaccine to control and prevent the rubella virus circulating among </w:t>
      </w:r>
      <w:r w:rsidR="007C4C6D" w:rsidRPr="002A5734">
        <w:t xml:space="preserve">the </w:t>
      </w:r>
      <w:r w:rsidR="00C91BFE" w:rsidRPr="002A5734">
        <w:t>community</w:t>
      </w:r>
      <w:commentRangeEnd w:id="3"/>
      <w:r w:rsidR="009F4214">
        <w:rPr>
          <w:rStyle w:val="CommentReference"/>
        </w:rPr>
        <w:commentReference w:id="3"/>
      </w:r>
      <w:r w:rsidR="00C91BFE" w:rsidRPr="002A5734">
        <w:t>.</w:t>
      </w:r>
    </w:p>
    <w:p w:rsidR="00C91BFE" w:rsidRPr="002A5734" w:rsidRDefault="00C91BFE" w:rsidP="00C91BFE">
      <w:pPr>
        <w:bidi w:val="0"/>
      </w:pPr>
    </w:p>
    <w:p w:rsidR="0006560E" w:rsidRPr="002A5734" w:rsidRDefault="00667487" w:rsidP="00C91BFE">
      <w:pPr>
        <w:bidi w:val="0"/>
      </w:pPr>
      <w:r w:rsidRPr="002A5734">
        <w:rPr>
          <w:b/>
          <w:bCs/>
        </w:rPr>
        <w:t>Keywords:</w:t>
      </w:r>
      <w:r w:rsidR="00E6427F" w:rsidRPr="002A5734">
        <w:t>Al-</w:t>
      </w:r>
      <w:r w:rsidR="00A34A8C" w:rsidRPr="002A5734">
        <w:t>Mahweet</w:t>
      </w:r>
      <w:r w:rsidR="00A34A8C">
        <w:t>, Antibody</w:t>
      </w:r>
      <w:r w:rsidR="00D10488" w:rsidRPr="002A5734">
        <w:t xml:space="preserve">, </w:t>
      </w:r>
      <w:r w:rsidRPr="002A5734">
        <w:t>IgG,</w:t>
      </w:r>
      <w:r w:rsidR="001904A4" w:rsidRPr="002A5734">
        <w:t>Prevalence</w:t>
      </w:r>
      <w:r w:rsidR="00D10488" w:rsidRPr="002A5734">
        <w:t>,</w:t>
      </w:r>
      <w:r w:rsidRPr="002A5734">
        <w:t>R</w:t>
      </w:r>
      <w:r w:rsidR="0006560E" w:rsidRPr="002A5734">
        <w:t>ubella</w:t>
      </w:r>
      <w:r w:rsidR="00C91BFE" w:rsidRPr="002A5734">
        <w:t xml:space="preserve"> virus</w:t>
      </w:r>
      <w:r w:rsidRPr="002A5734">
        <w:t xml:space="preserve">, </w:t>
      </w:r>
      <w:r w:rsidR="00F51649" w:rsidRPr="002A5734">
        <w:t xml:space="preserve">Women, </w:t>
      </w:r>
      <w:r w:rsidRPr="002A5734">
        <w:t>Yemen.</w:t>
      </w:r>
    </w:p>
    <w:p w:rsidR="00C91BFE" w:rsidRPr="002A5734" w:rsidRDefault="00C91BFE" w:rsidP="00C91BFE">
      <w:pPr>
        <w:bidi w:val="0"/>
        <w:rPr>
          <w:b/>
          <w:bCs/>
        </w:rPr>
      </w:pPr>
    </w:p>
    <w:p w:rsidR="002B5028" w:rsidRPr="002A5734" w:rsidRDefault="002B5028" w:rsidP="0006560E">
      <w:pPr>
        <w:bidi w:val="0"/>
        <w:ind w:right="42"/>
        <w:jc w:val="both"/>
        <w:rPr>
          <w:b/>
          <w:bCs/>
        </w:rPr>
      </w:pPr>
    </w:p>
    <w:p w:rsidR="002B5028" w:rsidRPr="002A5734" w:rsidRDefault="002B5028" w:rsidP="002B5028">
      <w:pPr>
        <w:bidi w:val="0"/>
        <w:ind w:right="42"/>
        <w:jc w:val="both"/>
        <w:rPr>
          <w:b/>
          <w:bCs/>
        </w:rPr>
      </w:pPr>
    </w:p>
    <w:p w:rsidR="001D73D0" w:rsidRPr="002A5734" w:rsidRDefault="001D73D0" w:rsidP="001D73D0">
      <w:pPr>
        <w:bidi w:val="0"/>
        <w:ind w:right="42"/>
        <w:jc w:val="both"/>
        <w:rPr>
          <w:b/>
          <w:bCs/>
        </w:rPr>
      </w:pPr>
    </w:p>
    <w:p w:rsidR="001D73D0" w:rsidRPr="002A5734" w:rsidRDefault="001D73D0" w:rsidP="001D73D0">
      <w:pPr>
        <w:bidi w:val="0"/>
        <w:ind w:right="42"/>
        <w:jc w:val="both"/>
        <w:rPr>
          <w:b/>
          <w:bCs/>
        </w:rPr>
      </w:pPr>
    </w:p>
    <w:p w:rsidR="008C0421" w:rsidRPr="002A5734" w:rsidRDefault="006C5310" w:rsidP="002B5028">
      <w:pPr>
        <w:bidi w:val="0"/>
        <w:ind w:right="42"/>
        <w:jc w:val="both"/>
        <w:rPr>
          <w:b/>
          <w:bCs/>
        </w:rPr>
      </w:pPr>
      <w:commentRangeStart w:id="5"/>
      <w:r w:rsidRPr="002A5734">
        <w:rPr>
          <w:b/>
          <w:bCs/>
        </w:rPr>
        <w:t>I</w:t>
      </w:r>
      <w:commentRangeStart w:id="6"/>
      <w:r w:rsidRPr="002A5734">
        <w:rPr>
          <w:b/>
          <w:bCs/>
        </w:rPr>
        <w:t>NTRO</w:t>
      </w:r>
      <w:commentRangeEnd w:id="6"/>
      <w:r w:rsidR="001E7619">
        <w:rPr>
          <w:rStyle w:val="CommentReference"/>
        </w:rPr>
        <w:commentReference w:id="6"/>
      </w:r>
      <w:r w:rsidRPr="002A5734">
        <w:rPr>
          <w:b/>
          <w:bCs/>
        </w:rPr>
        <w:t>DUCTION</w:t>
      </w:r>
      <w:commentRangeEnd w:id="5"/>
      <w:r w:rsidR="00C55837">
        <w:rPr>
          <w:rStyle w:val="CommentReference"/>
        </w:rPr>
        <w:commentReference w:id="5"/>
      </w:r>
    </w:p>
    <w:p w:rsidR="00A1792C" w:rsidRPr="002A5734" w:rsidRDefault="0067038A" w:rsidP="00093378">
      <w:pPr>
        <w:bidi w:val="0"/>
        <w:ind w:right="42"/>
        <w:jc w:val="both"/>
      </w:pPr>
      <w:r w:rsidRPr="002A5734">
        <w:t xml:space="preserve">Rubella </w:t>
      </w:r>
      <w:r w:rsidR="000110CC" w:rsidRPr="002A5734">
        <w:t>or</w:t>
      </w:r>
      <w:r w:rsidR="0050634D" w:rsidRPr="002A5734">
        <w:t xml:space="preserve"> German measles </w:t>
      </w:r>
      <w:r w:rsidR="00D238FA" w:rsidRPr="002A5734">
        <w:t xml:space="preserve">is </w:t>
      </w:r>
      <w:r w:rsidR="007C4C6D" w:rsidRPr="002A5734">
        <w:t xml:space="preserve">a </w:t>
      </w:r>
      <w:r w:rsidR="00D238FA" w:rsidRPr="002A5734">
        <w:t xml:space="preserve">worldwide disease </w:t>
      </w:r>
      <w:r w:rsidR="00D9151C" w:rsidRPr="002A5734">
        <w:t xml:space="preserve">caused by </w:t>
      </w:r>
      <w:r w:rsidR="007C4C6D" w:rsidRPr="002A5734">
        <w:t xml:space="preserve">the </w:t>
      </w:r>
      <w:r w:rsidR="00D9151C" w:rsidRPr="002A5734">
        <w:t>Rubella virus</w:t>
      </w:r>
      <w:r w:rsidR="007824B0" w:rsidRPr="002A5734">
        <w:t xml:space="preserve">. </w:t>
      </w:r>
      <w:r w:rsidR="007824B0" w:rsidRPr="004E6A2B">
        <w:rPr>
          <w:color w:val="FF0000"/>
        </w:rPr>
        <w:t>It</w:t>
      </w:r>
      <w:r w:rsidR="00204716" w:rsidRPr="004E6A2B">
        <w:rPr>
          <w:color w:val="FF0000"/>
        </w:rPr>
        <w:t>is</w:t>
      </w:r>
      <w:r w:rsidR="00204716" w:rsidRPr="002A5734">
        <w:t xml:space="preserve"> an enveloped, positive, single-stranded RNA virus that </w:t>
      </w:r>
      <w:r w:rsidR="00997C51" w:rsidRPr="002A5734">
        <w:t>belong</w:t>
      </w:r>
      <w:r w:rsidR="007C4C6D" w:rsidRPr="002A5734">
        <w:t>s</w:t>
      </w:r>
      <w:r w:rsidR="00997C51" w:rsidRPr="002A5734">
        <w:t xml:space="preserve"> to</w:t>
      </w:r>
      <w:r w:rsidR="007824B0" w:rsidRPr="002A5734">
        <w:t xml:space="preserve"> the family Togaviridae</w:t>
      </w:r>
      <w:r w:rsidR="00C764E5" w:rsidRPr="002A5734">
        <w:rPr>
          <w:vertAlign w:val="superscript"/>
        </w:rPr>
        <w:t>1</w:t>
      </w:r>
      <w:r w:rsidR="00071F5B" w:rsidRPr="002A5734">
        <w:t xml:space="preserve">. </w:t>
      </w:r>
      <w:r w:rsidR="008722C2" w:rsidRPr="00157ED3">
        <w:rPr>
          <w:color w:val="FF0000"/>
        </w:rPr>
        <w:t xml:space="preserve">Humans </w:t>
      </w:r>
      <w:r w:rsidR="00A865E3" w:rsidRPr="00157ED3">
        <w:rPr>
          <w:color w:val="FF0000"/>
        </w:rPr>
        <w:t>consider</w:t>
      </w:r>
      <w:r w:rsidR="00157ED3">
        <w:t xml:space="preserve"> (</w:t>
      </w:r>
      <w:r w:rsidR="00157ED3" w:rsidRPr="00157ED3">
        <w:rPr>
          <w:color w:val="4F81BD" w:themeColor="accent1"/>
        </w:rPr>
        <w:t>Humans are considered</w:t>
      </w:r>
      <w:r w:rsidR="00157ED3">
        <w:t>)</w:t>
      </w:r>
      <w:r w:rsidR="00A37948" w:rsidRPr="002A5734">
        <w:t xml:space="preserve">the </w:t>
      </w:r>
      <w:r w:rsidR="00A865E3" w:rsidRPr="002A5734">
        <w:t xml:space="preserve">only reservoir for </w:t>
      </w:r>
      <w:r w:rsidR="002C418E" w:rsidRPr="002A5734">
        <w:t>the</w:t>
      </w:r>
      <w:r w:rsidR="00B5765A" w:rsidRPr="002A5734">
        <w:t xml:space="preserve">Rubella </w:t>
      </w:r>
      <w:r w:rsidR="008722C2" w:rsidRPr="002A5734">
        <w:t>virus</w:t>
      </w:r>
      <w:r w:rsidR="00B5765A" w:rsidRPr="002A5734">
        <w:t xml:space="preserve"> transmitted by</w:t>
      </w:r>
      <w:r w:rsidR="000F391B" w:rsidRPr="002A5734">
        <w:t xml:space="preserve">airborne droplets </w:t>
      </w:r>
      <w:r w:rsidR="006124E9" w:rsidRPr="002A5734">
        <w:t xml:space="preserve">from infected individuals during sneeze or cough. </w:t>
      </w:r>
      <w:r w:rsidR="008D3726" w:rsidRPr="002A5734">
        <w:t>Both children and adult</w:t>
      </w:r>
      <w:r w:rsidR="00093378" w:rsidRPr="002A5734">
        <w:t>s</w:t>
      </w:r>
      <w:r w:rsidR="008D3726" w:rsidRPr="002A5734">
        <w:t xml:space="preserve"> are susceptible to rubella </w:t>
      </w:r>
      <w:r w:rsidR="005E107E" w:rsidRPr="002A5734">
        <w:t>infection</w:t>
      </w:r>
      <w:r w:rsidR="001F5DDC" w:rsidRPr="002A5734">
        <w:t xml:space="preserve"> that </w:t>
      </w:r>
      <w:r w:rsidR="0071611B" w:rsidRPr="002A5734">
        <w:t xml:space="preserve">has an incubation period of 2–3 </w:t>
      </w:r>
      <w:r w:rsidR="001F5DDC" w:rsidRPr="002A5734">
        <w:t>weeks</w:t>
      </w:r>
      <w:r w:rsidR="00C53C9F" w:rsidRPr="002A5734">
        <w:rPr>
          <w:vertAlign w:val="superscript"/>
        </w:rPr>
        <w:t>2</w:t>
      </w:r>
      <w:r w:rsidR="00CA40CA" w:rsidRPr="002A5734">
        <w:t>.</w:t>
      </w:r>
    </w:p>
    <w:p w:rsidR="00BE71B3" w:rsidRPr="002A5734" w:rsidRDefault="005E107E" w:rsidP="00093378">
      <w:pPr>
        <w:bidi w:val="0"/>
        <w:ind w:right="42"/>
        <w:jc w:val="both"/>
      </w:pPr>
      <w:r w:rsidRPr="002A5734">
        <w:t>In children, the rubella is usually harmless</w:t>
      </w:r>
      <w:r w:rsidR="00C31F99" w:rsidRPr="002A5734">
        <w:t>ly</w:t>
      </w:r>
      <w:r w:rsidR="00952D83" w:rsidRPr="002A5734">
        <w:t xml:space="preserve">characterized by </w:t>
      </w:r>
      <w:r w:rsidRPr="002A5734">
        <w:t xml:space="preserve">only slightly swollen lymph nodes and a mild rash of flat, pink </w:t>
      </w:r>
      <w:r w:rsidR="0071611B" w:rsidRPr="002A5734">
        <w:t xml:space="preserve">to red spots </w:t>
      </w:r>
      <w:r w:rsidRPr="002A5734">
        <w:t xml:space="preserve">that </w:t>
      </w:r>
      <w:r w:rsidR="00653CBB" w:rsidRPr="002A5734">
        <w:t xml:space="preserve">persistent </w:t>
      </w:r>
      <w:r w:rsidR="00BE71B3" w:rsidRPr="002A5734">
        <w:t>for three days. Whereas in</w:t>
      </w:r>
      <w:r w:rsidR="00565D4A" w:rsidRPr="002A5734">
        <w:t xml:space="preserve"> adult</w:t>
      </w:r>
      <w:r w:rsidR="00157ED3" w:rsidRPr="00157ED3">
        <w:rPr>
          <w:color w:val="548DD4" w:themeColor="text2" w:themeTint="99"/>
        </w:rPr>
        <w:t>(it)</w:t>
      </w:r>
      <w:r w:rsidR="00565D4A" w:rsidRPr="002A5734">
        <w:t xml:space="preserve">causes </w:t>
      </w:r>
      <w:r w:rsidR="00093378" w:rsidRPr="002A5734">
        <w:t xml:space="preserve">a </w:t>
      </w:r>
      <w:r w:rsidR="00565D4A" w:rsidRPr="002A5734">
        <w:t xml:space="preserve">severe infection that may lead </w:t>
      </w:r>
      <w:r w:rsidR="00565D4A" w:rsidRPr="00157ED3">
        <w:rPr>
          <w:color w:val="FF0000"/>
        </w:rPr>
        <w:t>to</w:t>
      </w:r>
      <w:r w:rsidR="0071611B" w:rsidRPr="00157ED3">
        <w:rPr>
          <w:color w:val="FF0000"/>
        </w:rPr>
        <w:t>in</w:t>
      </w:r>
      <w:r w:rsidR="00660D5B">
        <w:rPr>
          <w:color w:val="FF0000"/>
        </w:rPr>
        <w:t>??</w:t>
      </w:r>
      <w:bookmarkStart w:id="7" w:name="_GoBack"/>
      <w:bookmarkEnd w:id="7"/>
      <w:r w:rsidR="0071611B" w:rsidRPr="002A5734">
        <w:t xml:space="preserve"> arthritis or encephalitis</w:t>
      </w:r>
      <w:r w:rsidR="00A1792C" w:rsidRPr="002A5734">
        <w:rPr>
          <w:vertAlign w:val="superscript"/>
        </w:rPr>
        <w:t>3,4</w:t>
      </w:r>
      <w:r w:rsidR="00E15F18" w:rsidRPr="002A5734">
        <w:t>.</w:t>
      </w:r>
    </w:p>
    <w:p w:rsidR="00EF6E92" w:rsidRPr="002A5734" w:rsidRDefault="00F6138F" w:rsidP="00093378">
      <w:pPr>
        <w:bidi w:val="0"/>
        <w:ind w:right="42"/>
        <w:jc w:val="both"/>
      </w:pPr>
      <w:r w:rsidRPr="002A5734">
        <w:lastRenderedPageBreak/>
        <w:t xml:space="preserve">The most serious effects of the rubella infection occur in pregnant women throughout the first trimester of gestation, resulting in </w:t>
      </w:r>
      <w:r w:rsidR="00753F87" w:rsidRPr="002A5734">
        <w:t xml:space="preserve">spontaneous </w:t>
      </w:r>
      <w:r w:rsidR="00093378" w:rsidRPr="002A5734">
        <w:t>abortions, stillbirths</w:t>
      </w:r>
      <w:r w:rsidRPr="002A5734">
        <w:t xml:space="preserve"> and congenital rubella syndrome (CRS)</w:t>
      </w:r>
      <w:r w:rsidR="00F159B7" w:rsidRPr="002A5734">
        <w:t>. C</w:t>
      </w:r>
      <w:r w:rsidR="00510F01" w:rsidRPr="002A5734">
        <w:t xml:space="preserve">RS causes heart defects, </w:t>
      </w:r>
      <w:r w:rsidR="00792C95" w:rsidRPr="002A5734">
        <w:t>blindness</w:t>
      </w:r>
      <w:r w:rsidR="00510F01" w:rsidRPr="002A5734">
        <w:t>, deafness</w:t>
      </w:r>
      <w:r w:rsidR="00093378" w:rsidRPr="002A5734">
        <w:t>,</w:t>
      </w:r>
      <w:r w:rsidR="00510F01" w:rsidRPr="002A5734">
        <w:t xml:space="preserve"> and mental retardation</w:t>
      </w:r>
      <w:r w:rsidR="008E7C0B" w:rsidRPr="002A5734">
        <w:rPr>
          <w:vertAlign w:val="superscript"/>
        </w:rPr>
        <w:t>5,</w:t>
      </w:r>
      <w:r w:rsidR="00690B42" w:rsidRPr="002A5734">
        <w:rPr>
          <w:vertAlign w:val="superscript"/>
        </w:rPr>
        <w:t>6</w:t>
      </w:r>
      <w:r w:rsidR="00EC1EA0" w:rsidRPr="002A5734">
        <w:t>.</w:t>
      </w:r>
      <w:r w:rsidR="00E330F5" w:rsidRPr="002A5734">
        <w:t xml:space="preserve"> Globally, approximately 100,000 children are born with CRS each year</w:t>
      </w:r>
      <w:r w:rsidR="00286416" w:rsidRPr="002A5734">
        <w:rPr>
          <w:vertAlign w:val="superscript"/>
        </w:rPr>
        <w:t>7</w:t>
      </w:r>
      <w:r w:rsidR="00E330F5" w:rsidRPr="002A5734">
        <w:t>.</w:t>
      </w:r>
      <w:r w:rsidR="00722DB6" w:rsidRPr="002A5734">
        <w:t xml:space="preserve">There are no antiviral drugs available for treating rubella or preventing transmission to the </w:t>
      </w:r>
      <w:r w:rsidR="00157ED3" w:rsidRPr="002A5734">
        <w:t>fetus. So</w:t>
      </w:r>
      <w:r w:rsidR="00EF6E92" w:rsidRPr="002A5734">
        <w:t xml:space="preserve">, it is important that girls obtain immunity to rubella before childbearing age to prevent such serious consequences </w:t>
      </w:r>
      <w:r w:rsidR="00B84A20" w:rsidRPr="002A5734">
        <w:rPr>
          <w:vertAlign w:val="superscript"/>
        </w:rPr>
        <w:t>8</w:t>
      </w:r>
      <w:r w:rsidR="00EF6E92" w:rsidRPr="002A5734">
        <w:t>.</w:t>
      </w:r>
    </w:p>
    <w:p w:rsidR="00C27E13" w:rsidRPr="00C4210A" w:rsidRDefault="00A75D53" w:rsidP="005B3111">
      <w:pPr>
        <w:bidi w:val="0"/>
        <w:ind w:right="42"/>
        <w:jc w:val="both"/>
      </w:pPr>
      <w:r w:rsidRPr="002A5734">
        <w:t xml:space="preserve">Rubella </w:t>
      </w:r>
      <w:r w:rsidR="00F611AC" w:rsidRPr="002A5734">
        <w:t>occurs</w:t>
      </w:r>
      <w:r w:rsidR="00157ED3" w:rsidRPr="00157ED3">
        <w:rPr>
          <w:color w:val="548DD4" w:themeColor="text2" w:themeTint="99"/>
        </w:rPr>
        <w:t>(as</w:t>
      </w:r>
      <w:r w:rsidR="00157ED3">
        <w:t>)</w:t>
      </w:r>
      <w:r w:rsidR="00F611AC" w:rsidRPr="002A5734">
        <w:t xml:space="preserve"> an </w:t>
      </w:r>
      <w:r w:rsidR="00157ED3" w:rsidRPr="002A5734">
        <w:t>epidemic</w:t>
      </w:r>
      <w:r w:rsidRPr="002A5734">
        <w:t xml:space="preserve"> in </w:t>
      </w:r>
      <w:r w:rsidR="00F611AC" w:rsidRPr="002A5734">
        <w:t xml:space="preserve">different </w:t>
      </w:r>
      <w:r w:rsidRPr="002A5734">
        <w:t xml:space="preserve">countries without routine immunization Programs. </w:t>
      </w:r>
      <w:commentRangeStart w:id="8"/>
      <w:r w:rsidR="0044677D" w:rsidRPr="002A5734">
        <w:t xml:space="preserve">The prevalence of </w:t>
      </w:r>
      <w:r w:rsidR="00A01125" w:rsidRPr="002A5734">
        <w:t xml:space="preserve">rubella </w:t>
      </w:r>
      <w:r w:rsidRPr="002A5734">
        <w:t xml:space="preserve">antibody </w:t>
      </w:r>
      <w:r w:rsidR="0044677D" w:rsidRPr="002A5734">
        <w:t>was</w:t>
      </w:r>
      <w:r w:rsidRPr="002A5734">
        <w:t xml:space="preserve"> 92% </w:t>
      </w:r>
      <w:r w:rsidR="002D31B4" w:rsidRPr="002A5734">
        <w:t xml:space="preserve">recorded </w:t>
      </w:r>
      <w:r w:rsidRPr="002A5734">
        <w:t>a</w:t>
      </w:r>
      <w:r w:rsidR="00C636A6" w:rsidRPr="002A5734">
        <w:t>mong girls aged between 15 and 49</w:t>
      </w:r>
      <w:r w:rsidRPr="002A5734">
        <w:t xml:space="preserve"> years </w:t>
      </w:r>
      <w:r w:rsidR="00157ED3" w:rsidRPr="002A5734">
        <w:t>in Saudi</w:t>
      </w:r>
      <w:r w:rsidR="009832D0" w:rsidRPr="002A5734">
        <w:t xml:space="preserve"> Arabia</w:t>
      </w:r>
      <w:r w:rsidR="00561BBC" w:rsidRPr="002A5734">
        <w:rPr>
          <w:vertAlign w:val="superscript"/>
        </w:rPr>
        <w:t>9</w:t>
      </w:r>
      <w:r w:rsidR="00016904" w:rsidRPr="002A5734">
        <w:t xml:space="preserve"> and </w:t>
      </w:r>
      <w:r w:rsidRPr="002A5734">
        <w:t>94.6% a</w:t>
      </w:r>
      <w:r w:rsidR="00B966A9" w:rsidRPr="002A5734">
        <w:t xml:space="preserve">mong pregnant women in Iran </w:t>
      </w:r>
      <w:commentRangeEnd w:id="8"/>
      <w:r w:rsidR="00C55837">
        <w:rPr>
          <w:rStyle w:val="CommentReference"/>
        </w:rPr>
        <w:commentReference w:id="8"/>
      </w:r>
      <w:r w:rsidR="00003FF5" w:rsidRPr="002A5734">
        <w:rPr>
          <w:vertAlign w:val="superscript"/>
        </w:rPr>
        <w:t>10</w:t>
      </w:r>
      <w:r w:rsidRPr="002A5734">
        <w:t xml:space="preserve">. </w:t>
      </w:r>
      <w:commentRangeStart w:id="9"/>
      <w:r w:rsidR="0009771F" w:rsidRPr="00157ED3">
        <w:rPr>
          <w:color w:val="FF0000"/>
        </w:rPr>
        <w:t xml:space="preserve">Also, </w:t>
      </w:r>
      <w:r w:rsidR="00551750" w:rsidRPr="00157ED3">
        <w:rPr>
          <w:color w:val="FF0000"/>
        </w:rPr>
        <w:t xml:space="preserve">the prevalence of rubella </w:t>
      </w:r>
      <w:r w:rsidR="00551750" w:rsidRPr="00C4210A">
        <w:rPr>
          <w:color w:val="FF0000"/>
        </w:rPr>
        <w:t xml:space="preserve">antibodies was &gt;90.0% </w:t>
      </w:r>
      <w:r w:rsidR="0009771F" w:rsidRPr="00C4210A">
        <w:rPr>
          <w:color w:val="FF0000"/>
        </w:rPr>
        <w:t>in several</w:t>
      </w:r>
      <w:r w:rsidRPr="00C4210A">
        <w:rPr>
          <w:color w:val="FF0000"/>
        </w:rPr>
        <w:t>African countries among pregnant women and the general population has been</w:t>
      </w:r>
      <w:r w:rsidR="00C27E13" w:rsidRPr="00C4210A">
        <w:rPr>
          <w:color w:val="FF0000"/>
        </w:rPr>
        <w:t>reported</w:t>
      </w:r>
      <w:r w:rsidR="00003FF5" w:rsidRPr="00C4210A">
        <w:rPr>
          <w:color w:val="FF0000"/>
          <w:vertAlign w:val="superscript"/>
        </w:rPr>
        <w:t>11</w:t>
      </w:r>
      <w:r w:rsidR="003428F6" w:rsidRPr="00C4210A">
        <w:rPr>
          <w:color w:val="FF0000"/>
          <w:vertAlign w:val="superscript"/>
        </w:rPr>
        <w:t>,12</w:t>
      </w:r>
      <w:r w:rsidRPr="00C4210A">
        <w:rPr>
          <w:color w:val="FF0000"/>
        </w:rPr>
        <w:t xml:space="preserve">. </w:t>
      </w:r>
      <w:r w:rsidR="00C4210A">
        <w:rPr>
          <w:color w:val="FF0000"/>
        </w:rPr>
        <w:t>(</w:t>
      </w:r>
      <w:r w:rsidR="00C4210A" w:rsidRPr="00C4210A">
        <w:rPr>
          <w:color w:val="548DD4" w:themeColor="text2" w:themeTint="99"/>
        </w:rPr>
        <w:t xml:space="preserve">Also, prevalence of &gt;90% of rubella antibodies among pregnant </w:t>
      </w:r>
      <w:r w:rsidR="004F019C" w:rsidRPr="00C4210A">
        <w:rPr>
          <w:color w:val="548DD4" w:themeColor="text2" w:themeTint="99"/>
        </w:rPr>
        <w:t xml:space="preserve">women </w:t>
      </w:r>
      <w:r w:rsidR="004F019C">
        <w:rPr>
          <w:color w:val="548DD4" w:themeColor="text2" w:themeTint="99"/>
        </w:rPr>
        <w:t>and</w:t>
      </w:r>
      <w:r w:rsidR="00C4210A">
        <w:rPr>
          <w:color w:val="548DD4" w:themeColor="text2" w:themeTint="99"/>
        </w:rPr>
        <w:t xml:space="preserve"> general population </w:t>
      </w:r>
      <w:r w:rsidR="00C4210A" w:rsidRPr="00C4210A">
        <w:rPr>
          <w:color w:val="548DD4" w:themeColor="text2" w:themeTint="99"/>
        </w:rPr>
        <w:t>has been reported in several African countries</w:t>
      </w:r>
      <w:r w:rsidR="00C4210A" w:rsidRPr="00C4210A">
        <w:rPr>
          <w:color w:val="548DD4" w:themeColor="text2" w:themeTint="99"/>
          <w:vertAlign w:val="superscript"/>
        </w:rPr>
        <w:t>11, 12</w:t>
      </w:r>
      <w:r w:rsidR="00C4210A" w:rsidRPr="00C4210A">
        <w:rPr>
          <w:color w:val="548DD4" w:themeColor="text2" w:themeTint="99"/>
        </w:rPr>
        <w:t>)</w:t>
      </w:r>
      <w:commentRangeEnd w:id="9"/>
      <w:r w:rsidR="008F5701">
        <w:rPr>
          <w:rStyle w:val="CommentReference"/>
        </w:rPr>
        <w:commentReference w:id="9"/>
      </w:r>
    </w:p>
    <w:p w:rsidR="00C27E13" w:rsidRPr="002A5734" w:rsidRDefault="005B3111" w:rsidP="007413FE">
      <w:pPr>
        <w:bidi w:val="0"/>
        <w:ind w:right="42"/>
        <w:jc w:val="both"/>
      </w:pPr>
      <w:commentRangeStart w:id="10"/>
      <w:r w:rsidRPr="002A5734">
        <w:t xml:space="preserve">In </w:t>
      </w:r>
      <w:r w:rsidR="00394AEF" w:rsidRPr="002A5734">
        <w:t xml:space="preserve">Yemen, </w:t>
      </w:r>
      <w:r w:rsidR="001D0CC0" w:rsidRPr="002A5734">
        <w:t xml:space="preserve">many reports </w:t>
      </w:r>
      <w:commentRangeStart w:id="11"/>
      <w:r w:rsidR="00DF7F5F" w:rsidRPr="002A5734">
        <w:t>documentedthepathogenic</w:t>
      </w:r>
      <w:commentRangeEnd w:id="11"/>
      <w:r w:rsidR="009F4214">
        <w:rPr>
          <w:rStyle w:val="CommentReference"/>
        </w:rPr>
        <w:commentReference w:id="11"/>
      </w:r>
      <w:r w:rsidR="00DF7F5F" w:rsidRPr="002A5734">
        <w:t xml:space="preserve"> v</w:t>
      </w:r>
      <w:commentRangeStart w:id="12"/>
      <w:r w:rsidR="00DF7F5F" w:rsidRPr="002A5734">
        <w:t>iruses</w:t>
      </w:r>
      <w:r w:rsidR="00EC5682" w:rsidRPr="00110A31">
        <w:rPr>
          <w:color w:val="FF0000"/>
        </w:rPr>
        <w:t>prev</w:t>
      </w:r>
      <w:r w:rsidR="00DF7F5F" w:rsidRPr="00110A31">
        <w:rPr>
          <w:color w:val="FF0000"/>
        </w:rPr>
        <w:t>ale</w:t>
      </w:r>
      <w:commentRangeEnd w:id="12"/>
      <w:r w:rsidR="009F4214">
        <w:rPr>
          <w:rStyle w:val="CommentReference"/>
        </w:rPr>
        <w:commentReference w:id="12"/>
      </w:r>
      <w:r w:rsidR="00DF7F5F" w:rsidRPr="00110A31">
        <w:rPr>
          <w:color w:val="FF0000"/>
        </w:rPr>
        <w:t>nt</w:t>
      </w:r>
      <w:r w:rsidR="00110A31" w:rsidRPr="00110A31">
        <w:rPr>
          <w:color w:val="548DD4" w:themeColor="text2" w:themeTint="99"/>
        </w:rPr>
        <w:t>(prevalence</w:t>
      </w:r>
      <w:r w:rsidR="00110A31">
        <w:t xml:space="preserve">) </w:t>
      </w:r>
      <w:r w:rsidR="00EC5682" w:rsidRPr="002A5734">
        <w:t xml:space="preserve">among </w:t>
      </w:r>
      <w:r w:rsidR="00385A6C" w:rsidRPr="002A5734">
        <w:t xml:space="preserve">the </w:t>
      </w:r>
      <w:r w:rsidR="007413FE" w:rsidRPr="002A5734">
        <w:t xml:space="preserve">population </w:t>
      </w:r>
      <w:r w:rsidR="00476ADE" w:rsidRPr="00110A31">
        <w:rPr>
          <w:color w:val="FF0000"/>
        </w:rPr>
        <w:t>and</w:t>
      </w:r>
      <w:r w:rsidR="00110A31" w:rsidRPr="00110A31">
        <w:rPr>
          <w:color w:val="4F81BD" w:themeColor="accent1"/>
        </w:rPr>
        <w:t>(but</w:t>
      </w:r>
      <w:r w:rsidR="00110A31">
        <w:t>)</w:t>
      </w:r>
      <w:r w:rsidR="00394AEF" w:rsidRPr="002A5734">
        <w:t xml:space="preserve">there are few reports that </w:t>
      </w:r>
      <w:r w:rsidR="007413FE" w:rsidRPr="002A5734">
        <w:t>investigated</w:t>
      </w:r>
      <w:r w:rsidR="00394AEF" w:rsidRPr="002A5734">
        <w:t xml:space="preserve"> the prevalence of rubella antibodies</w:t>
      </w:r>
      <w:r w:rsidR="003428F6" w:rsidRPr="002A5734">
        <w:rPr>
          <w:vertAlign w:val="superscript"/>
        </w:rPr>
        <w:t>13</w:t>
      </w:r>
      <w:r w:rsidR="00394AEF" w:rsidRPr="002A5734">
        <w:t xml:space="preserve">. </w:t>
      </w:r>
      <w:r w:rsidR="00F936AF" w:rsidRPr="002A5734">
        <w:t>In Sana’a</w:t>
      </w:r>
      <w:r w:rsidR="00CF625C" w:rsidRPr="002A5734">
        <w:t xml:space="preserve"> city</w:t>
      </w:r>
      <w:r w:rsidR="00F936AF" w:rsidRPr="002A5734">
        <w:t xml:space="preserve">, </w:t>
      </w:r>
      <w:r w:rsidR="007E2DBF" w:rsidRPr="002A5734">
        <w:t>Sallam</w:t>
      </w:r>
      <w:r w:rsidR="007E2DBF" w:rsidRPr="002A5734">
        <w:rPr>
          <w:i/>
          <w:iCs/>
        </w:rPr>
        <w:t>et al</w:t>
      </w:r>
      <w:r w:rsidR="003428F6" w:rsidRPr="002A5734">
        <w:t xml:space="preserve">. </w:t>
      </w:r>
      <w:r w:rsidR="003428F6" w:rsidRPr="002A5734">
        <w:rPr>
          <w:vertAlign w:val="superscript"/>
        </w:rPr>
        <w:t>14</w:t>
      </w:r>
      <w:r w:rsidR="00063B6D" w:rsidRPr="002A5734">
        <w:t xml:space="preserve"> revealed that 91.64</w:t>
      </w:r>
      <w:r w:rsidR="000D635F" w:rsidRPr="002A5734">
        <w:t xml:space="preserve">% of schoolgirls aged 11-21 were positive for </w:t>
      </w:r>
      <w:r w:rsidR="00063B6D" w:rsidRPr="002A5734">
        <w:t>IgG</w:t>
      </w:r>
      <w:r w:rsidR="00E41386" w:rsidRPr="002A5734">
        <w:t xml:space="preserve">rubella </w:t>
      </w:r>
      <w:r w:rsidR="00063B6D" w:rsidRPr="002A5734">
        <w:t>antibod</w:t>
      </w:r>
      <w:r w:rsidR="00323C5E" w:rsidRPr="002A5734">
        <w:t>ies</w:t>
      </w:r>
      <w:r w:rsidR="00E41386" w:rsidRPr="002A5734">
        <w:t xml:space="preserve">. </w:t>
      </w:r>
      <w:r w:rsidR="00E66C45" w:rsidRPr="002A5734">
        <w:t xml:space="preserve">Also, </w:t>
      </w:r>
      <w:r w:rsidR="00733418" w:rsidRPr="002A5734">
        <w:t xml:space="preserve">the prevalence rate of rubella antibodies was </w:t>
      </w:r>
      <w:r w:rsidR="00BC5D55" w:rsidRPr="002A5734">
        <w:t xml:space="preserve">85.4% </w:t>
      </w:r>
      <w:r w:rsidR="00733418" w:rsidRPr="002A5734">
        <w:t xml:space="preserve">among </w:t>
      </w:r>
      <w:r w:rsidR="00E37431" w:rsidRPr="002A5734">
        <w:t xml:space="preserve">schoolchildren </w:t>
      </w:r>
      <w:r w:rsidR="00E66C45" w:rsidRPr="002A5734">
        <w:t>in</w:t>
      </w:r>
      <w:r w:rsidR="000A1D9D" w:rsidRPr="002A5734">
        <w:t xml:space="preserve"> Sana’</w:t>
      </w:r>
      <w:r w:rsidR="00E37431" w:rsidRPr="002A5734">
        <w:t>a</w:t>
      </w:r>
      <w:r w:rsidR="00733418" w:rsidRPr="002A5734">
        <w:t xml:space="preserve"> governorate</w:t>
      </w:r>
      <w:r w:rsidR="00B84A20" w:rsidRPr="002A5734">
        <w:rPr>
          <w:vertAlign w:val="superscript"/>
        </w:rPr>
        <w:t>8</w:t>
      </w:r>
      <w:r w:rsidR="00733418" w:rsidRPr="002A5734">
        <w:t>.</w:t>
      </w:r>
      <w:r w:rsidR="00323C5E" w:rsidRPr="002A5734">
        <w:t xml:space="preserve"> Recently,</w:t>
      </w:r>
      <w:r w:rsidR="00B80DED" w:rsidRPr="002A5734">
        <w:t>Al-Qadasi</w:t>
      </w:r>
      <w:r w:rsidR="00B80DED" w:rsidRPr="002A5734">
        <w:rPr>
          <w:i/>
          <w:iCs/>
        </w:rPr>
        <w:t>et al</w:t>
      </w:r>
      <w:r w:rsidR="00B80DED" w:rsidRPr="002A5734">
        <w:t>.</w:t>
      </w:r>
      <w:r w:rsidR="003428F6" w:rsidRPr="002A5734">
        <w:rPr>
          <w:vertAlign w:val="superscript"/>
        </w:rPr>
        <w:t>15</w:t>
      </w:r>
      <w:r w:rsidR="00B80DED" w:rsidRPr="002A5734">
        <w:t xml:space="preserve"> found that </w:t>
      </w:r>
      <w:r w:rsidR="00BC7F7A" w:rsidRPr="002A5734">
        <w:t xml:space="preserve">3.7% </w:t>
      </w:r>
      <w:r w:rsidR="003C5025" w:rsidRPr="002A5734">
        <w:t xml:space="preserve">of pregnant women were positive for rubella IgM antibodies. </w:t>
      </w:r>
    </w:p>
    <w:p w:rsidR="00323C5E" w:rsidRPr="002A5734" w:rsidRDefault="00323C5E" w:rsidP="000009DB">
      <w:pPr>
        <w:bidi w:val="0"/>
        <w:ind w:right="42"/>
        <w:jc w:val="both"/>
      </w:pPr>
      <w:r w:rsidRPr="002A5734">
        <w:t xml:space="preserve">Until now, the </w:t>
      </w:r>
      <w:r w:rsidR="00382F0A" w:rsidRPr="002A5734">
        <w:t xml:space="preserve">previous studies </w:t>
      </w:r>
      <w:r w:rsidR="00D97795" w:rsidRPr="002A5734">
        <w:t xml:space="preserve">on </w:t>
      </w:r>
      <w:r w:rsidR="00385A6C" w:rsidRPr="002A5734">
        <w:t xml:space="preserve">the </w:t>
      </w:r>
      <w:r w:rsidR="00D97795" w:rsidRPr="002A5734">
        <w:t xml:space="preserve">prevalence of rubella antibodies </w:t>
      </w:r>
      <w:r w:rsidR="00382F0A" w:rsidRPr="002A5734">
        <w:t>focused on</w:t>
      </w:r>
      <w:r w:rsidR="000F579B" w:rsidRPr="002A5734">
        <w:t>ly in</w:t>
      </w:r>
      <w:r w:rsidR="00382F0A" w:rsidRPr="002A5734">
        <w:t xml:space="preserve"> Sana’a</w:t>
      </w:r>
      <w:r w:rsidR="00B736D7" w:rsidRPr="002A5734">
        <w:t xml:space="preserve"> and </w:t>
      </w:r>
      <w:r w:rsidR="00B736D7" w:rsidRPr="00110A31">
        <w:rPr>
          <w:color w:val="FF0000"/>
        </w:rPr>
        <w:t xml:space="preserve">there no </w:t>
      </w:r>
      <w:r w:rsidR="009F4547" w:rsidRPr="00110A31">
        <w:rPr>
          <w:color w:val="FF0000"/>
        </w:rPr>
        <w:t xml:space="preserve">data </w:t>
      </w:r>
      <w:r w:rsidR="009F4547">
        <w:rPr>
          <w:color w:val="FF0000"/>
        </w:rPr>
        <w:t>(</w:t>
      </w:r>
      <w:r w:rsidR="009F4547" w:rsidRPr="009F4547">
        <w:rPr>
          <w:color w:val="548DD4" w:themeColor="text2" w:themeTint="99"/>
        </w:rPr>
        <w:t xml:space="preserve">there are no data) </w:t>
      </w:r>
      <w:r w:rsidR="00B736D7" w:rsidRPr="002A5734">
        <w:t xml:space="preserve">about the </w:t>
      </w:r>
      <w:r w:rsidR="004F488D" w:rsidRPr="002A5734">
        <w:t xml:space="preserve">rubella antibodies state in </w:t>
      </w:r>
      <w:r w:rsidR="004F488D" w:rsidRPr="009F4547">
        <w:rPr>
          <w:color w:val="FF0000"/>
        </w:rPr>
        <w:t>an</w:t>
      </w:r>
      <w:r w:rsidR="004F488D" w:rsidRPr="002A5734">
        <w:t>other governorate of Yemen</w:t>
      </w:r>
      <w:r w:rsidR="004479BD" w:rsidRPr="002A5734">
        <w:t xml:space="preserve"> such as Al-Mahweet</w:t>
      </w:r>
      <w:r w:rsidR="004F488D" w:rsidRPr="002A5734">
        <w:t xml:space="preserve">. Therefore, </w:t>
      </w:r>
      <w:r w:rsidR="00926BBE" w:rsidRPr="002A5734">
        <w:t xml:space="preserve">this cross-sectional study aimed to determine the prevalence rate of rubella among </w:t>
      </w:r>
      <w:r w:rsidR="000009DB" w:rsidRPr="002A5734">
        <w:t xml:space="preserve">reproductive-age women </w:t>
      </w:r>
      <w:r w:rsidR="00926BBE" w:rsidRPr="002A5734">
        <w:t xml:space="preserve">in </w:t>
      </w:r>
      <w:r w:rsidR="00C2385D" w:rsidRPr="002A5734">
        <w:t>Al-Mahweet governorate, Yemen.</w:t>
      </w:r>
    </w:p>
    <w:commentRangeEnd w:id="10"/>
    <w:p w:rsidR="00E669F3" w:rsidRPr="002A5734" w:rsidRDefault="009F4214" w:rsidP="00E669F3">
      <w:pPr>
        <w:pStyle w:val="NoSpacing"/>
        <w:bidi w:val="0"/>
      </w:pPr>
      <w:r>
        <w:rPr>
          <w:rStyle w:val="CommentReference"/>
        </w:rPr>
        <w:commentReference w:id="10"/>
      </w:r>
    </w:p>
    <w:p w:rsidR="00402BA1" w:rsidRPr="002A5734" w:rsidRDefault="00402BA1" w:rsidP="00402BA1">
      <w:pPr>
        <w:pStyle w:val="NoSpacing"/>
        <w:bidi w:val="0"/>
        <w:rPr>
          <w:b/>
          <w:bCs/>
        </w:rPr>
      </w:pPr>
      <w:commentRangeStart w:id="13"/>
      <w:r w:rsidRPr="002A5734">
        <w:rPr>
          <w:b/>
          <w:bCs/>
        </w:rPr>
        <w:t>MATERIALS AND M</w:t>
      </w:r>
      <w:commentRangeStart w:id="14"/>
      <w:r w:rsidRPr="002A5734">
        <w:rPr>
          <w:b/>
          <w:bCs/>
        </w:rPr>
        <w:t>ET</w:t>
      </w:r>
      <w:commentRangeStart w:id="15"/>
      <w:r w:rsidRPr="002A5734">
        <w:rPr>
          <w:b/>
          <w:bCs/>
        </w:rPr>
        <w:t>H</w:t>
      </w:r>
      <w:commentRangeEnd w:id="15"/>
      <w:r w:rsidR="007C578C">
        <w:rPr>
          <w:rStyle w:val="CommentReference"/>
        </w:rPr>
        <w:commentReference w:id="15"/>
      </w:r>
      <w:r w:rsidRPr="002A5734">
        <w:rPr>
          <w:b/>
          <w:bCs/>
        </w:rPr>
        <w:t>O</w:t>
      </w:r>
      <w:commentRangeEnd w:id="14"/>
      <w:r w:rsidR="001E7619">
        <w:rPr>
          <w:rStyle w:val="CommentReference"/>
        </w:rPr>
        <w:commentReference w:id="14"/>
      </w:r>
      <w:r w:rsidRPr="002A5734">
        <w:rPr>
          <w:b/>
          <w:bCs/>
        </w:rPr>
        <w:t>DS</w:t>
      </w:r>
      <w:commentRangeEnd w:id="13"/>
      <w:r w:rsidR="008F5701">
        <w:rPr>
          <w:rStyle w:val="CommentReference"/>
        </w:rPr>
        <w:commentReference w:id="13"/>
      </w:r>
    </w:p>
    <w:p w:rsidR="00DC5756" w:rsidRPr="002A5734" w:rsidRDefault="005D7DA1" w:rsidP="005D7DA1">
      <w:pPr>
        <w:bidi w:val="0"/>
        <w:ind w:right="-69"/>
        <w:jc w:val="both"/>
        <w:rPr>
          <w:b/>
          <w:bCs/>
        </w:rPr>
      </w:pPr>
      <w:r w:rsidRPr="002A5734">
        <w:rPr>
          <w:b/>
          <w:bCs/>
        </w:rPr>
        <w:t xml:space="preserve">Study </w:t>
      </w:r>
      <w:r w:rsidR="00402BA1" w:rsidRPr="002A5734">
        <w:rPr>
          <w:b/>
          <w:bCs/>
        </w:rPr>
        <w:t>D</w:t>
      </w:r>
      <w:r w:rsidR="00271EF7" w:rsidRPr="002A5734">
        <w:rPr>
          <w:b/>
          <w:bCs/>
        </w:rPr>
        <w:t xml:space="preserve">esign and </w:t>
      </w:r>
      <w:r w:rsidR="00402BA1" w:rsidRPr="002A5734">
        <w:rPr>
          <w:b/>
          <w:bCs/>
        </w:rPr>
        <w:t>P</w:t>
      </w:r>
      <w:r w:rsidRPr="002A5734">
        <w:rPr>
          <w:b/>
          <w:bCs/>
        </w:rPr>
        <w:t>opulation</w:t>
      </w:r>
    </w:p>
    <w:p w:rsidR="008924D5" w:rsidRPr="00A9246A" w:rsidRDefault="00757031" w:rsidP="00C31F99">
      <w:pPr>
        <w:bidi w:val="0"/>
        <w:ind w:right="-69"/>
        <w:jc w:val="both"/>
        <w:rPr>
          <w:color w:val="FF0000"/>
        </w:rPr>
      </w:pPr>
      <w:r w:rsidRPr="002A5734">
        <w:t xml:space="preserve">This </w:t>
      </w:r>
      <w:r w:rsidRPr="009F4547">
        <w:rPr>
          <w:color w:val="FF0000"/>
        </w:rPr>
        <w:t>across-</w:t>
      </w:r>
      <w:r w:rsidR="00A9246A" w:rsidRPr="009F4547">
        <w:rPr>
          <w:color w:val="FF0000"/>
        </w:rPr>
        <w:t xml:space="preserve">sectional </w:t>
      </w:r>
      <w:r w:rsidR="00A9246A">
        <w:rPr>
          <w:color w:val="FF0000"/>
        </w:rPr>
        <w:t>(</w:t>
      </w:r>
      <w:commentRangeStart w:id="16"/>
      <w:r w:rsidR="009F4547" w:rsidRPr="009F4547">
        <w:rPr>
          <w:color w:val="548DD4" w:themeColor="text2" w:themeTint="99"/>
        </w:rPr>
        <w:t>cross -sectional)</w:t>
      </w:r>
      <w:r w:rsidR="00DC5756" w:rsidRPr="002A5734">
        <w:t xml:space="preserve">study </w:t>
      </w:r>
      <w:commentRangeEnd w:id="16"/>
      <w:r w:rsidR="009F4214">
        <w:rPr>
          <w:rStyle w:val="CommentReference"/>
        </w:rPr>
        <w:commentReference w:id="16"/>
      </w:r>
      <w:r w:rsidR="00DC5756" w:rsidRPr="002A5734">
        <w:t xml:space="preserve">was </w:t>
      </w:r>
      <w:r w:rsidR="003B7C26" w:rsidRPr="002A5734">
        <w:t xml:space="preserve">conducted in the </w:t>
      </w:r>
      <w:r w:rsidR="00901476" w:rsidRPr="002A5734">
        <w:t xml:space="preserve">Maternal and Child center at Al-Jomhory hospital and two </w:t>
      </w:r>
      <w:r w:rsidR="0058332B" w:rsidRPr="002A5734">
        <w:t>secondary</w:t>
      </w:r>
      <w:r w:rsidR="00901476" w:rsidRPr="002A5734">
        <w:t xml:space="preserve"> schools namely Al- Khan</w:t>
      </w:r>
      <w:r w:rsidR="0058332B" w:rsidRPr="002A5734">
        <w:t>sa’a and Aisha</w:t>
      </w:r>
      <w:r w:rsidR="003F0C01" w:rsidRPr="002A5734">
        <w:t>,</w:t>
      </w:r>
      <w:r w:rsidR="0058332B" w:rsidRPr="002A5734">
        <w:t xml:space="preserve"> from July 2007 </w:t>
      </w:r>
      <w:r w:rsidR="003F0C01" w:rsidRPr="002A5734">
        <w:t>to</w:t>
      </w:r>
      <w:r w:rsidR="0058332B" w:rsidRPr="002A5734">
        <w:t xml:space="preserve"> June 2008</w:t>
      </w:r>
      <w:r w:rsidR="003F0C01" w:rsidRPr="002A5734">
        <w:t>, that located in Al-Mahweet governorate</w:t>
      </w:r>
      <w:r w:rsidR="0058777A" w:rsidRPr="002A5734">
        <w:t>.</w:t>
      </w:r>
      <w:r w:rsidR="00447F5B" w:rsidRPr="002A5734">
        <w:t xml:space="preserve">A total </w:t>
      </w:r>
      <w:r w:rsidR="00385A6C" w:rsidRPr="002A5734">
        <w:t xml:space="preserve">of </w:t>
      </w:r>
      <w:r w:rsidR="00447F5B" w:rsidRPr="002A5734">
        <w:t>270 females aged</w:t>
      </w:r>
      <w:r w:rsidR="00906F07" w:rsidRPr="002A5734">
        <w:t xml:space="preserve"> 15-35 years</w:t>
      </w:r>
      <w:r w:rsidRPr="00E103E0">
        <w:rPr>
          <w:color w:val="92D050"/>
        </w:rPr>
        <w:t>(mean age 21.9 years)</w:t>
      </w:r>
      <w:r w:rsidR="00E103E0">
        <w:rPr>
          <w:color w:val="92D050"/>
        </w:rPr>
        <w:t xml:space="preserve"> (</w:t>
      </w:r>
      <w:r w:rsidR="00E103E0" w:rsidRPr="00E103E0">
        <w:rPr>
          <w:color w:val="00B0F0"/>
        </w:rPr>
        <w:t>move</w:t>
      </w:r>
      <w:r w:rsidR="00A9246A">
        <w:rPr>
          <w:color w:val="00B0F0"/>
        </w:rPr>
        <w:t xml:space="preserve"> this part</w:t>
      </w:r>
      <w:r w:rsidR="00E103E0" w:rsidRPr="00E103E0">
        <w:rPr>
          <w:color w:val="00B0F0"/>
        </w:rPr>
        <w:t xml:space="preserve"> to result section)</w:t>
      </w:r>
      <w:r w:rsidR="005E3AF4" w:rsidRPr="002A5734">
        <w:t>attending healthcare and schools</w:t>
      </w:r>
      <w:r w:rsidR="009F4547" w:rsidRPr="009F4547">
        <w:rPr>
          <w:color w:val="548DD4" w:themeColor="text2" w:themeTint="99"/>
        </w:rPr>
        <w:t>(were enrolled in the study</w:t>
      </w:r>
      <w:r w:rsidR="009F4547">
        <w:t>)</w:t>
      </w:r>
      <w:r w:rsidR="00A9246A" w:rsidRPr="00A9246A">
        <w:rPr>
          <w:color w:val="FF0000"/>
        </w:rPr>
        <w:t xml:space="preserve">Ethical approval??? Participants’ consent??? </w:t>
      </w:r>
    </w:p>
    <w:p w:rsidR="00B97EC0" w:rsidRPr="002A5734" w:rsidRDefault="00B25FE9" w:rsidP="00B97EC0">
      <w:pPr>
        <w:bidi w:val="0"/>
        <w:ind w:right="-69"/>
        <w:jc w:val="both"/>
        <w:rPr>
          <w:b/>
          <w:bCs/>
        </w:rPr>
      </w:pPr>
      <w:r w:rsidRPr="002A5734">
        <w:rPr>
          <w:b/>
          <w:bCs/>
        </w:rPr>
        <w:t>Sample S</w:t>
      </w:r>
      <w:r w:rsidR="00DC5756" w:rsidRPr="002A5734">
        <w:rPr>
          <w:b/>
          <w:bCs/>
        </w:rPr>
        <w:t>ize</w:t>
      </w:r>
      <w:r w:rsidRPr="002A5734">
        <w:rPr>
          <w:b/>
          <w:bCs/>
        </w:rPr>
        <w:t>Calculation</w:t>
      </w:r>
    </w:p>
    <w:p w:rsidR="00A9246A" w:rsidRPr="001A2F21" w:rsidRDefault="00DC5756" w:rsidP="00B879F3">
      <w:pPr>
        <w:bidi w:val="0"/>
        <w:ind w:right="-69"/>
        <w:jc w:val="both"/>
        <w:rPr>
          <w:color w:val="00B0F0"/>
        </w:rPr>
      </w:pPr>
      <w:r w:rsidRPr="002A5734">
        <w:t xml:space="preserve">The sample size was </w:t>
      </w:r>
      <w:r w:rsidR="00A9246A">
        <w:t>{</w:t>
      </w:r>
      <w:r w:rsidRPr="00A9246A">
        <w:rPr>
          <w:color w:val="FF0000"/>
        </w:rPr>
        <w:t xml:space="preserve">calculated by </w:t>
      </w:r>
      <w:r w:rsidR="00FF0DBE" w:rsidRPr="00A9246A">
        <w:rPr>
          <w:color w:val="FF0000"/>
        </w:rPr>
        <w:t>using Epi Info version 6.04 (</w:t>
      </w:r>
      <w:r w:rsidRPr="00A9246A">
        <w:rPr>
          <w:color w:val="FF0000"/>
        </w:rPr>
        <w:t>CDC, Atlanta, USA</w:t>
      </w:r>
      <w:r w:rsidRPr="002A5734">
        <w:t>)</w:t>
      </w:r>
      <w:r w:rsidR="00A9246A" w:rsidRPr="001A2F21">
        <w:rPr>
          <w:color w:val="00B0F0"/>
        </w:rPr>
        <w:t xml:space="preserve">(This is wrong!!! Epi Info is not for calculation of sample size but for </w:t>
      </w:r>
      <w:r w:rsidR="001A2F21" w:rsidRPr="001A2F21">
        <w:rPr>
          <w:color w:val="00B0F0"/>
        </w:rPr>
        <w:t>analysis of collected data)</w:t>
      </w:r>
      <w:r w:rsidR="001A2F21">
        <w:rPr>
          <w:color w:val="00B0F0"/>
        </w:rPr>
        <w:t xml:space="preserve"> (go get the formula for sample size calculation!! (E.g.TaroYamane 1967; Or Araoye 2004</w:t>
      </w:r>
      <w:r w:rsidR="00C23B0F">
        <w:rPr>
          <w:color w:val="00B0F0"/>
        </w:rPr>
        <w:t xml:space="preserve"> etc.</w:t>
      </w:r>
    </w:p>
    <w:p w:rsidR="001A2F21" w:rsidRDefault="001A2F21" w:rsidP="001A2F21">
      <w:pPr>
        <w:bidi w:val="0"/>
        <w:ind w:right="-69"/>
        <w:jc w:val="both"/>
      </w:pPr>
    </w:p>
    <w:p w:rsidR="00DC5756" w:rsidRPr="002A5734" w:rsidRDefault="00452FAC" w:rsidP="00A9246A">
      <w:pPr>
        <w:bidi w:val="0"/>
        <w:ind w:right="-69"/>
        <w:jc w:val="both"/>
        <w:rPr>
          <w:b/>
          <w:bCs/>
        </w:rPr>
      </w:pPr>
      <w:r w:rsidRPr="002A5734">
        <w:t xml:space="preserve">with </w:t>
      </w:r>
      <w:r w:rsidR="00DC5756" w:rsidRPr="002A5734">
        <w:t>taking into consideration</w:t>
      </w:r>
      <w:r w:rsidRPr="002A5734">
        <w:t xml:space="preserve"> the</w:t>
      </w:r>
      <w:r w:rsidR="00DC5756" w:rsidRPr="002A5734">
        <w:t xml:space="preserve"> size of </w:t>
      </w:r>
      <w:r w:rsidR="00385A6C" w:rsidRPr="002A5734">
        <w:t xml:space="preserve">the </w:t>
      </w:r>
      <w:r w:rsidR="00DC5756" w:rsidRPr="002A5734">
        <w:t xml:space="preserve">population </w:t>
      </w:r>
      <w:r w:rsidR="00B879F3" w:rsidRPr="002A5734">
        <w:t>in the</w:t>
      </w:r>
      <w:r w:rsidR="00C92E93" w:rsidRPr="002A5734">
        <w:t>study area</w:t>
      </w:r>
      <w:r w:rsidRPr="002A5734">
        <w:t xml:space="preserve">that </w:t>
      </w:r>
      <w:r w:rsidR="00DC5756" w:rsidRPr="002A5734">
        <w:t>was 70,000.</w:t>
      </w:r>
      <w:r w:rsidRPr="002A5734">
        <w:rPr>
          <w:rFonts w:eastAsia="Arial Unicode MS"/>
        </w:rPr>
        <w:t>Also, t</w:t>
      </w:r>
      <w:r w:rsidR="00DC5756" w:rsidRPr="002A5734">
        <w:rPr>
          <w:rFonts w:eastAsia="Arial Unicode MS"/>
        </w:rPr>
        <w:t xml:space="preserve">he expected prevalence of </w:t>
      </w:r>
      <w:r w:rsidR="00385A6C" w:rsidRPr="002A5734">
        <w:rPr>
          <w:rFonts w:eastAsia="Arial Unicode MS"/>
        </w:rPr>
        <w:t xml:space="preserve">the </w:t>
      </w:r>
      <w:r w:rsidR="00DC5756" w:rsidRPr="002A5734">
        <w:rPr>
          <w:rFonts w:eastAsia="Arial Unicode MS"/>
        </w:rPr>
        <w:t xml:space="preserve">rubellavirus is 5.0% and the worst acceptable percent is 4.0%, with </w:t>
      </w:r>
      <w:r w:rsidR="00385A6C" w:rsidRPr="002A5734">
        <w:rPr>
          <w:rFonts w:eastAsia="Arial Unicode MS"/>
        </w:rPr>
        <w:t xml:space="preserve">a </w:t>
      </w:r>
      <w:r w:rsidR="00DC5756" w:rsidRPr="002A5734">
        <w:rPr>
          <w:rFonts w:eastAsia="Arial Unicode MS"/>
        </w:rPr>
        <w:t>confidence level of 99.9%. The</w:t>
      </w:r>
      <w:r w:rsidR="00B879F3" w:rsidRPr="002A5734">
        <w:rPr>
          <w:rFonts w:eastAsia="Arial Unicode MS"/>
        </w:rPr>
        <w:t>refore, the</w:t>
      </w:r>
      <w:r w:rsidR="00DC5756" w:rsidRPr="002A5734">
        <w:rPr>
          <w:rFonts w:eastAsia="Arial Unicode MS"/>
        </w:rPr>
        <w:t xml:space="preserve"> sample size was 270</w:t>
      </w:r>
      <w:r w:rsidR="00B25FE9" w:rsidRPr="002A5734">
        <w:t>.</w:t>
      </w:r>
    </w:p>
    <w:p w:rsidR="00DC5756" w:rsidRPr="002A5734" w:rsidRDefault="00402BA1" w:rsidP="002E3B95">
      <w:pPr>
        <w:bidi w:val="0"/>
        <w:ind w:right="-69"/>
        <w:jc w:val="both"/>
        <w:rPr>
          <w:b/>
          <w:bCs/>
        </w:rPr>
      </w:pPr>
      <w:r w:rsidRPr="002A5734">
        <w:rPr>
          <w:b/>
          <w:bCs/>
        </w:rPr>
        <w:t>Data C</w:t>
      </w:r>
      <w:r w:rsidR="005D7DA1" w:rsidRPr="002A5734">
        <w:rPr>
          <w:b/>
          <w:bCs/>
        </w:rPr>
        <w:t>ollection</w:t>
      </w:r>
    </w:p>
    <w:p w:rsidR="00647565" w:rsidRPr="00C23B0F" w:rsidRDefault="008B651C" w:rsidP="00385A6C">
      <w:pPr>
        <w:bidi w:val="0"/>
        <w:ind w:right="42"/>
        <w:jc w:val="both"/>
        <w:rPr>
          <w:color w:val="548DD4" w:themeColor="text2" w:themeTint="99"/>
        </w:rPr>
      </w:pPr>
      <w:commentRangeStart w:id="17"/>
      <w:r w:rsidRPr="002A5734">
        <w:t xml:space="preserve">A structured </w:t>
      </w:r>
      <w:r w:rsidR="001A3CB4" w:rsidRPr="002A5734">
        <w:t xml:space="preserve">and pre-tested </w:t>
      </w:r>
      <w:r w:rsidRPr="002A5734">
        <w:t xml:space="preserve">questionnaire was </w:t>
      </w:r>
      <w:r w:rsidRPr="002A5734">
        <w:rPr>
          <w:lang w:eastAsia="zh-CN"/>
        </w:rPr>
        <w:t>a</w:t>
      </w:r>
      <w:r w:rsidRPr="002A5734">
        <w:t xml:space="preserve">pproved </w:t>
      </w:r>
      <w:r w:rsidRPr="002A5734">
        <w:rPr>
          <w:lang w:eastAsia="zh-CN"/>
        </w:rPr>
        <w:t>by</w:t>
      </w:r>
      <w:r w:rsidRPr="002A5734">
        <w:t xml:space="preserve"> the </w:t>
      </w:r>
      <w:r w:rsidR="002615B6" w:rsidRPr="002A5734">
        <w:rPr>
          <w:lang w:eastAsia="zh-CN"/>
        </w:rPr>
        <w:t>F</w:t>
      </w:r>
      <w:r w:rsidRPr="002A5734">
        <w:rPr>
          <w:lang w:eastAsia="zh-CN"/>
        </w:rPr>
        <w:t>aculty</w:t>
      </w:r>
      <w:r w:rsidR="002615B6" w:rsidRPr="002A5734">
        <w:t xml:space="preserve"> of Medical S</w:t>
      </w:r>
      <w:r w:rsidRPr="002A5734">
        <w:t xml:space="preserve">ciences </w:t>
      </w:r>
      <w:r w:rsidRPr="002A5734">
        <w:rPr>
          <w:lang w:eastAsia="zh-CN"/>
        </w:rPr>
        <w:t xml:space="preserve">of </w:t>
      </w:r>
      <w:r w:rsidRPr="002A5734">
        <w:t xml:space="preserve">Sana’a University </w:t>
      </w:r>
      <w:r w:rsidRPr="00EC5D60">
        <w:rPr>
          <w:color w:val="FF0000"/>
          <w:lang w:eastAsia="zh-CN"/>
        </w:rPr>
        <w:t xml:space="preserve">and </w:t>
      </w:r>
      <w:r w:rsidRPr="00EC5D60">
        <w:rPr>
          <w:color w:val="FF0000"/>
        </w:rPr>
        <w:t>subjected</w:t>
      </w:r>
      <w:r w:rsidR="00EC5D60">
        <w:rPr>
          <w:color w:val="FF0000"/>
        </w:rPr>
        <w:t>???</w:t>
      </w:r>
      <w:r w:rsidR="00385A6C" w:rsidRPr="002A5734">
        <w:t>to each participated woma</w:t>
      </w:r>
      <w:r w:rsidR="005D7DA1" w:rsidRPr="002A5734">
        <w:t>n</w:t>
      </w:r>
      <w:r w:rsidR="00276477" w:rsidRPr="002A5734">
        <w:t xml:space="preserve">. The questionnaire </w:t>
      </w:r>
      <w:r w:rsidR="00EC5D60">
        <w:t>(</w:t>
      </w:r>
      <w:r w:rsidR="00EC5D60" w:rsidRPr="00EC5D60">
        <w:rPr>
          <w:color w:val="00B0F0"/>
        </w:rPr>
        <w:t>wasstructured to</w:t>
      </w:r>
      <w:r w:rsidR="00EC5D60">
        <w:t xml:space="preserve">) </w:t>
      </w:r>
      <w:r w:rsidR="00276477" w:rsidRPr="002A5734">
        <w:t>included socio-demographic data</w:t>
      </w:r>
      <w:r w:rsidR="002615B6" w:rsidRPr="002A5734">
        <w:t xml:space="preserve"> (age, residence, marital status, educational level, occupational status</w:t>
      </w:r>
      <w:r w:rsidR="00EC5D60" w:rsidRPr="002A5734">
        <w:t>), pregnancy</w:t>
      </w:r>
      <w:r w:rsidR="005414FA" w:rsidRPr="002A5734">
        <w:t xml:space="preserve"> status</w:t>
      </w:r>
      <w:r w:rsidR="00D4334A" w:rsidRPr="002A5734">
        <w:t>,</w:t>
      </w:r>
      <w:r w:rsidR="00647565" w:rsidRPr="002A5734">
        <w:t xml:space="preserve"> and history of </w:t>
      </w:r>
      <w:r w:rsidR="00276477" w:rsidRPr="002A5734">
        <w:t xml:space="preserve">clinical </w:t>
      </w:r>
      <w:commentRangeEnd w:id="17"/>
      <w:r w:rsidR="00A95559">
        <w:rPr>
          <w:rStyle w:val="CommentReference"/>
        </w:rPr>
        <w:commentReference w:id="17"/>
      </w:r>
      <w:r w:rsidR="00276477" w:rsidRPr="002A5734">
        <w:t>information</w:t>
      </w:r>
      <w:r w:rsidR="00EC5D60">
        <w:t>. (</w:t>
      </w:r>
    </w:p>
    <w:p w:rsidR="00EC5D60" w:rsidRPr="00C23B0F" w:rsidRDefault="00EC5D60" w:rsidP="00EC5D60">
      <w:pPr>
        <w:bidi w:val="0"/>
        <w:ind w:right="42"/>
        <w:jc w:val="both"/>
        <w:rPr>
          <w:color w:val="548DD4" w:themeColor="text2" w:themeTint="99"/>
        </w:rPr>
      </w:pPr>
    </w:p>
    <w:p w:rsidR="00EC5D60" w:rsidRPr="002A5734" w:rsidRDefault="00EC5D60" w:rsidP="00EC5D60">
      <w:pPr>
        <w:bidi w:val="0"/>
        <w:ind w:right="42"/>
        <w:jc w:val="both"/>
      </w:pPr>
    </w:p>
    <w:p w:rsidR="00DC5756" w:rsidRPr="002A5734" w:rsidRDefault="00E12A54" w:rsidP="00E12A54">
      <w:pPr>
        <w:bidi w:val="0"/>
        <w:ind w:right="-69"/>
        <w:jc w:val="both"/>
        <w:rPr>
          <w:b/>
          <w:bCs/>
        </w:rPr>
      </w:pPr>
      <w:r w:rsidRPr="002A5734">
        <w:rPr>
          <w:b/>
          <w:bCs/>
        </w:rPr>
        <w:t>Specimens Collection and Examination</w:t>
      </w:r>
    </w:p>
    <w:p w:rsidR="00FF21D1" w:rsidRPr="002A5734" w:rsidRDefault="00376C59" w:rsidP="00E12A54">
      <w:pPr>
        <w:bidi w:val="0"/>
        <w:ind w:right="-69"/>
        <w:jc w:val="both"/>
      </w:pPr>
      <w:r w:rsidRPr="002A5734">
        <w:t>Five mL of b</w:t>
      </w:r>
      <w:r w:rsidR="004836CC" w:rsidRPr="002A5734">
        <w:t>lood samples</w:t>
      </w:r>
      <w:r w:rsidR="00803944" w:rsidRPr="002A5734">
        <w:t xml:space="preserve"> were </w:t>
      </w:r>
      <w:r w:rsidRPr="002A5734">
        <w:t xml:space="preserve">collected from each participant </w:t>
      </w:r>
      <w:r w:rsidR="00803944" w:rsidRPr="002A5734">
        <w:t xml:space="preserve">by venous puncture </w:t>
      </w:r>
      <w:r w:rsidR="000B0810" w:rsidRPr="002A5734">
        <w:t>and serum separated bycentrifuge. The obtained sera</w:t>
      </w:r>
      <w:r w:rsidR="00CA7568" w:rsidRPr="002A5734">
        <w:t>stored</w:t>
      </w:r>
      <w:r w:rsidR="00803944" w:rsidRPr="002A5734">
        <w:t xml:space="preserve"> at –20°</w:t>
      </w:r>
      <w:r w:rsidR="004836CC" w:rsidRPr="002A5734">
        <w:t>C</w:t>
      </w:r>
      <w:r w:rsidR="00803944" w:rsidRPr="002A5734">
        <w:t xml:space="preserve"> until the serological analysis was performed. </w:t>
      </w:r>
      <w:r w:rsidR="00B91239" w:rsidRPr="002A5734">
        <w:t xml:space="preserve">The </w:t>
      </w:r>
      <w:r w:rsidR="00B91239" w:rsidRPr="00C23B0F">
        <w:rPr>
          <w:color w:val="92D050"/>
        </w:rPr>
        <w:t>quantitative</w:t>
      </w:r>
      <w:r w:rsidR="00C23B0F">
        <w:rPr>
          <w:color w:val="92D050"/>
        </w:rPr>
        <w:t>??</w:t>
      </w:r>
      <w:r w:rsidR="00B91239" w:rsidRPr="002A5734">
        <w:t xml:space="preserve"> determination of anti-Rubella virus IgG antibody was </w:t>
      </w:r>
      <w:r w:rsidR="00FF21D1" w:rsidRPr="002A5734">
        <w:t>performed</w:t>
      </w:r>
      <w:r w:rsidR="00B91239" w:rsidRPr="002A5734">
        <w:t xml:space="preserve"> by </w:t>
      </w:r>
      <w:r w:rsidR="00FF21D1" w:rsidRPr="002A5734">
        <w:t xml:space="preserve">enzyme-linked immunosorbent assay (ELISA) </w:t>
      </w:r>
      <w:r w:rsidR="00B543BE" w:rsidRPr="002A5734">
        <w:t>(Equipar SRL, Italy)</w:t>
      </w:r>
      <w:r w:rsidR="00FF21D1" w:rsidRPr="002A5734">
        <w:t>.</w:t>
      </w:r>
      <w:r w:rsidR="003A4E79" w:rsidRPr="002A5734">
        <w:t xml:space="preserve"> The concentration of </w:t>
      </w:r>
      <w:r w:rsidR="00CA3D12" w:rsidRPr="002A5734">
        <w:t xml:space="preserve">IgG </w:t>
      </w:r>
      <w:r w:rsidR="00CA3D12" w:rsidRPr="00C23B0F">
        <w:rPr>
          <w:color w:val="FF0000"/>
        </w:rPr>
        <w:t>ant-</w:t>
      </w:r>
      <w:r w:rsidR="00CA3D12" w:rsidRPr="002A5734">
        <w:t>rubellain serum sample ≥</w:t>
      </w:r>
      <w:r w:rsidR="003A4E79" w:rsidRPr="002A5734">
        <w:t>20 I</w:t>
      </w:r>
      <w:r w:rsidR="00FF21D1" w:rsidRPr="002A5734">
        <w:t>U</w:t>
      </w:r>
      <w:r w:rsidR="003A4E79" w:rsidRPr="002A5734">
        <w:t>/mL</w:t>
      </w:r>
      <w:r w:rsidR="005414FA" w:rsidRPr="002A5734">
        <w:t>were</w:t>
      </w:r>
      <w:r w:rsidR="003A4E79" w:rsidRPr="002A5734">
        <w:t xml:space="preserve"> considered </w:t>
      </w:r>
      <w:r w:rsidR="00FF21D1" w:rsidRPr="002A5734">
        <w:t>positive.</w:t>
      </w:r>
    </w:p>
    <w:p w:rsidR="00F22EDE" w:rsidRDefault="00F22EDE" w:rsidP="00FD29B3">
      <w:pPr>
        <w:bidi w:val="0"/>
        <w:ind w:right="-69"/>
        <w:jc w:val="both"/>
        <w:rPr>
          <w:b/>
          <w:bCs/>
        </w:rPr>
      </w:pPr>
    </w:p>
    <w:p w:rsidR="00F22EDE" w:rsidRDefault="00F22EDE" w:rsidP="00F22EDE">
      <w:pPr>
        <w:bidi w:val="0"/>
        <w:ind w:right="-69"/>
        <w:jc w:val="both"/>
        <w:rPr>
          <w:b/>
          <w:bCs/>
        </w:rPr>
      </w:pPr>
    </w:p>
    <w:p w:rsidR="00F22EDE" w:rsidRDefault="00F22EDE" w:rsidP="00F22EDE">
      <w:pPr>
        <w:bidi w:val="0"/>
        <w:ind w:right="-69"/>
        <w:jc w:val="both"/>
        <w:rPr>
          <w:b/>
          <w:bCs/>
        </w:rPr>
      </w:pPr>
    </w:p>
    <w:p w:rsidR="00FD29B3" w:rsidRPr="002A5734" w:rsidRDefault="00C1434C" w:rsidP="00F22EDE">
      <w:pPr>
        <w:bidi w:val="0"/>
        <w:ind w:right="-69"/>
        <w:jc w:val="both"/>
        <w:rPr>
          <w:b/>
          <w:bCs/>
        </w:rPr>
      </w:pPr>
      <w:commentRangeStart w:id="18"/>
      <w:r w:rsidRPr="002A5734">
        <w:rPr>
          <w:b/>
          <w:bCs/>
        </w:rPr>
        <w:lastRenderedPageBreak/>
        <w:t>Statistical Analysis</w:t>
      </w:r>
    </w:p>
    <w:p w:rsidR="005C4237" w:rsidRDefault="00FD29B3" w:rsidP="005C4237">
      <w:pPr>
        <w:bidi w:val="0"/>
        <w:ind w:right="-69"/>
        <w:jc w:val="both"/>
        <w:rPr>
          <w:noProof/>
        </w:rPr>
      </w:pPr>
      <w:r w:rsidRPr="002A5734">
        <w:rPr>
          <w:noProof/>
        </w:rPr>
        <w:t xml:space="preserve">The obtained data </w:t>
      </w:r>
      <w:r w:rsidR="00205E0B" w:rsidRPr="002A5734">
        <w:rPr>
          <w:noProof/>
        </w:rPr>
        <w:t>were analyzed by SPSS version 14</w:t>
      </w:r>
      <w:r w:rsidRPr="002A5734">
        <w:rPr>
          <w:noProof/>
        </w:rPr>
        <w:t xml:space="preserve"> (SPSS Inc., Chicago, IL, USA). The relative risk (RR ˃1), </w:t>
      </w:r>
      <w:r w:rsidRPr="002A5734">
        <w:rPr>
          <w:rFonts w:eastAsia="DengXian"/>
          <w:lang w:eastAsia="zh-CN"/>
        </w:rPr>
        <w:t xml:space="preserve">95% conﬁdence </w:t>
      </w:r>
      <w:r w:rsidR="00C23B0F" w:rsidRPr="002A5734">
        <w:rPr>
          <w:rFonts w:eastAsia="DengXian"/>
          <w:lang w:eastAsia="zh-CN"/>
        </w:rPr>
        <w:t>interval</w:t>
      </w:r>
      <w:r w:rsidR="00C23B0F" w:rsidRPr="002A5734">
        <w:t xml:space="preserve"> (</w:t>
      </w:r>
      <w:r w:rsidR="00205E0B" w:rsidRPr="002A5734">
        <w:t>CI)</w:t>
      </w:r>
      <w:r w:rsidRPr="002A5734">
        <w:rPr>
          <w:noProof/>
        </w:rPr>
        <w:t xml:space="preserve">, </w:t>
      </w:r>
      <w:r w:rsidRPr="002A5734">
        <w:rPr>
          <w:rFonts w:eastAsia="DengXian"/>
          <w:lang w:eastAsia="zh-CN"/>
        </w:rPr>
        <w:t>Chi-</w:t>
      </w:r>
      <w:r w:rsidRPr="002A5734">
        <w:t>square test</w:t>
      </w:r>
      <w:r w:rsidR="00205E0B" w:rsidRPr="002A5734">
        <w:t xml:space="preserve"> (χ</w:t>
      </w:r>
      <w:r w:rsidR="00205E0B" w:rsidRPr="002A5734">
        <w:rPr>
          <w:vertAlign w:val="superscript"/>
        </w:rPr>
        <w:t>2</w:t>
      </w:r>
      <w:r w:rsidR="00205E0B" w:rsidRPr="002A5734">
        <w:t>)</w:t>
      </w:r>
      <w:r w:rsidRPr="002A5734">
        <w:t xml:space="preserve">, and probability value </w:t>
      </w:r>
      <w:r w:rsidR="004F4EBD" w:rsidRPr="002A5734">
        <w:rPr>
          <w:i/>
          <w:iCs/>
        </w:rPr>
        <w:t>P</w:t>
      </w:r>
      <w:r w:rsidRPr="002A5734">
        <w:t>&lt;0.05 (significant</w:t>
      </w:r>
      <w:commentRangeEnd w:id="18"/>
      <w:r w:rsidR="00F22EDE">
        <w:rPr>
          <w:rStyle w:val="CommentReference"/>
        </w:rPr>
        <w:commentReference w:id="18"/>
      </w:r>
      <w:r w:rsidRPr="002A5734">
        <w:t xml:space="preserve">) were used to examine the significance of the </w:t>
      </w:r>
      <w:r w:rsidR="00391EE6" w:rsidRPr="002A5734">
        <w:t>relations</w:t>
      </w:r>
      <w:r w:rsidR="00391EE6" w:rsidRPr="002A5734">
        <w:rPr>
          <w:noProof/>
        </w:rPr>
        <w:t>between the prevalence</w:t>
      </w:r>
      <w:r w:rsidRPr="002A5734">
        <w:rPr>
          <w:noProof/>
        </w:rPr>
        <w:t xml:space="preserve"> of </w:t>
      </w:r>
      <w:r w:rsidR="00391EE6" w:rsidRPr="002A5734">
        <w:rPr>
          <w:noProof/>
        </w:rPr>
        <w:t xml:space="preserve">rubella IgG antibody </w:t>
      </w:r>
      <w:r w:rsidRPr="002A5734">
        <w:t xml:space="preserve">and </w:t>
      </w:r>
      <w:r w:rsidRPr="002A5734">
        <w:rPr>
          <w:noProof/>
        </w:rPr>
        <w:t>potential risk factors.</w:t>
      </w:r>
    </w:p>
    <w:p w:rsidR="008F5701" w:rsidRPr="008F5701" w:rsidRDefault="008F5701" w:rsidP="008F5701">
      <w:pPr>
        <w:bidi w:val="0"/>
        <w:ind w:right="-69"/>
        <w:jc w:val="both"/>
        <w:rPr>
          <w:b/>
          <w:noProof/>
        </w:rPr>
      </w:pPr>
    </w:p>
    <w:p w:rsidR="00B001AE" w:rsidRPr="002A5734" w:rsidRDefault="00B001AE" w:rsidP="00B001AE">
      <w:pPr>
        <w:bidi w:val="0"/>
        <w:ind w:right="-69"/>
        <w:jc w:val="both"/>
        <w:rPr>
          <w:noProof/>
        </w:rPr>
      </w:pPr>
    </w:p>
    <w:p w:rsidR="00826AA3" w:rsidRPr="002A5734" w:rsidRDefault="00402BA1" w:rsidP="00826AA3">
      <w:pPr>
        <w:bidi w:val="0"/>
        <w:ind w:right="-69"/>
        <w:jc w:val="both"/>
        <w:rPr>
          <w:noProof/>
        </w:rPr>
      </w:pPr>
      <w:r w:rsidRPr="002A5734">
        <w:rPr>
          <w:b/>
          <w:bCs/>
        </w:rPr>
        <w:t>R</w:t>
      </w:r>
      <w:commentRangeStart w:id="19"/>
      <w:r w:rsidRPr="002A5734">
        <w:rPr>
          <w:b/>
          <w:bCs/>
        </w:rPr>
        <w:t>ESULTS</w:t>
      </w:r>
      <w:commentRangeEnd w:id="19"/>
      <w:r w:rsidR="007C578C">
        <w:rPr>
          <w:rStyle w:val="CommentReference"/>
        </w:rPr>
        <w:commentReference w:id="19"/>
      </w:r>
    </w:p>
    <w:p w:rsidR="004719D0" w:rsidRPr="002A5734" w:rsidRDefault="00415A60" w:rsidP="00415A60">
      <w:pPr>
        <w:bidi w:val="0"/>
        <w:ind w:right="42"/>
        <w:jc w:val="both"/>
      </w:pPr>
      <w:r w:rsidRPr="002A5734">
        <w:t xml:space="preserve">The present results revealed that the overall prevalence rate of rubella IgG antibody </w:t>
      </w:r>
      <w:r w:rsidR="009F392A" w:rsidRPr="002A5734">
        <w:t xml:space="preserve">was 197(73%) positive recorded among </w:t>
      </w:r>
      <w:r w:rsidR="00FA5A79" w:rsidRPr="002A5734">
        <w:t>females</w:t>
      </w:r>
      <w:r w:rsidR="004719D0" w:rsidRPr="002A5734">
        <w:t>. Whereas 73(27%) of</w:t>
      </w:r>
      <w:r w:rsidR="00FA5A79" w:rsidRPr="002A5734">
        <w:t xml:space="preserve"> participants </w:t>
      </w:r>
      <w:r w:rsidR="004719D0" w:rsidRPr="002A5734">
        <w:t>were negative for rubella IgG antibody (Figure 1).</w:t>
      </w:r>
    </w:p>
    <w:p w:rsidR="00694053" w:rsidRPr="002A5734" w:rsidRDefault="000E061F" w:rsidP="00694053">
      <w:pPr>
        <w:bidi w:val="0"/>
        <w:ind w:right="42"/>
        <w:jc w:val="center"/>
      </w:pPr>
      <w:r w:rsidRPr="002A5734">
        <w:rPr>
          <w:noProof/>
        </w:rPr>
        <w:drawing>
          <wp:inline distT="0" distB="0" distL="0" distR="0">
            <wp:extent cx="4568825" cy="2740025"/>
            <wp:effectExtent l="0" t="0" r="22225" b="22225"/>
            <wp:docPr id="2"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4053" w:rsidRPr="002A5734" w:rsidRDefault="00694053" w:rsidP="00BA664D">
      <w:pPr>
        <w:bidi w:val="0"/>
        <w:ind w:right="42"/>
        <w:jc w:val="center"/>
        <w:rPr>
          <w:b/>
          <w:bCs/>
        </w:rPr>
      </w:pPr>
      <w:r w:rsidRPr="002A5734">
        <w:rPr>
          <w:b/>
          <w:bCs/>
        </w:rPr>
        <w:t xml:space="preserve">Figure 1. The </w:t>
      </w:r>
      <w:r w:rsidR="007F62F6" w:rsidRPr="002A5734">
        <w:rPr>
          <w:b/>
          <w:bCs/>
        </w:rPr>
        <w:t>distribution of rubella IgG antibody result</w:t>
      </w:r>
    </w:p>
    <w:p w:rsidR="008E599B" w:rsidRPr="002A5734" w:rsidRDefault="008E599B" w:rsidP="0021785C">
      <w:pPr>
        <w:bidi w:val="0"/>
        <w:ind w:right="42"/>
      </w:pPr>
    </w:p>
    <w:p w:rsidR="00850DE6" w:rsidRPr="002A5734" w:rsidRDefault="00A373F3" w:rsidP="005414FA">
      <w:pPr>
        <w:pStyle w:val="NoSpacing"/>
        <w:bidi w:val="0"/>
        <w:jc w:val="both"/>
      </w:pPr>
      <w:r w:rsidRPr="002A5734">
        <w:t>T</w:t>
      </w:r>
      <w:r w:rsidR="007B01BA" w:rsidRPr="002A5734">
        <w:t xml:space="preserve">he </w:t>
      </w:r>
      <w:r w:rsidR="00AE03AE" w:rsidRPr="002A5734">
        <w:t xml:space="preserve">current </w:t>
      </w:r>
      <w:r w:rsidR="007B01BA" w:rsidRPr="002A5734">
        <w:t xml:space="preserve">results according to age </w:t>
      </w:r>
      <w:r w:rsidR="000F6E5E" w:rsidRPr="002A5734">
        <w:t xml:space="preserve">found </w:t>
      </w:r>
      <w:r w:rsidRPr="002A5734">
        <w:t xml:space="preserve">that </w:t>
      </w:r>
      <w:r w:rsidR="000F6E5E" w:rsidRPr="002A5734">
        <w:t>the high</w:t>
      </w:r>
      <w:r w:rsidR="00152C88" w:rsidRPr="002A5734">
        <w:t>est</w:t>
      </w:r>
      <w:r w:rsidR="000F6E5E" w:rsidRPr="002A5734">
        <w:t xml:space="preserve"> rate </w:t>
      </w:r>
      <w:r w:rsidRPr="002A5734">
        <w:t xml:space="preserve">of </w:t>
      </w:r>
      <w:r w:rsidR="00427896" w:rsidRPr="002A5734">
        <w:t xml:space="preserve">rubella IgG antibody </w:t>
      </w:r>
      <w:r w:rsidR="00FF3527" w:rsidRPr="002A5734">
        <w:t xml:space="preserve">frequency </w:t>
      </w:r>
      <w:r w:rsidR="00E91C70" w:rsidRPr="002A5734">
        <w:t xml:space="preserve">was reported among </w:t>
      </w:r>
      <w:r w:rsidR="005414FA" w:rsidRPr="002A5734">
        <w:t xml:space="preserve">the </w:t>
      </w:r>
      <w:r w:rsidR="00E91C70" w:rsidRPr="002A5734">
        <w:t>age group 15-25 years</w:t>
      </w:r>
      <w:r w:rsidR="00152C88" w:rsidRPr="002A5734">
        <w:t xml:space="preserve"> and</w:t>
      </w:r>
      <w:r w:rsidR="00154784" w:rsidRPr="002A5734">
        <w:t xml:space="preserve"> the lowest frequency rate was</w:t>
      </w:r>
      <w:r w:rsidR="00152C88" w:rsidRPr="002A5734">
        <w:t xml:space="preserve"> found </w:t>
      </w:r>
      <w:r w:rsidR="00154784" w:rsidRPr="002A5734">
        <w:t>among</w:t>
      </w:r>
      <w:r w:rsidR="00152C88" w:rsidRPr="002A5734">
        <w:t xml:space="preserve"> the age group 31-35 years</w:t>
      </w:r>
      <w:r w:rsidR="00CE27CC" w:rsidRPr="002A5734">
        <w:t>. Also, there were</w:t>
      </w:r>
      <w:r w:rsidR="005414FA" w:rsidRPr="002A5734">
        <w:t xml:space="preserve"> no</w:t>
      </w:r>
      <w:r w:rsidR="003B5385" w:rsidRPr="002A5734">
        <w:t xml:space="preserve"> statistically </w:t>
      </w:r>
      <w:commentRangeStart w:id="20"/>
      <w:r w:rsidR="00C23B0F" w:rsidRPr="002A5734">
        <w:t xml:space="preserve">significant </w:t>
      </w:r>
      <w:r w:rsidR="00A95559">
        <w:rPr>
          <w:color w:val="FF0000"/>
        </w:rPr>
        <w:t xml:space="preserve">differences </w:t>
      </w:r>
      <w:commentRangeEnd w:id="20"/>
      <w:r w:rsidR="00A95559">
        <w:rPr>
          <w:rStyle w:val="CommentReference"/>
        </w:rPr>
        <w:commentReference w:id="20"/>
      </w:r>
      <w:r w:rsidR="00154784" w:rsidRPr="00C23B0F">
        <w:rPr>
          <w:color w:val="FF0000"/>
        </w:rPr>
        <w:t>listed in Table (1).</w:t>
      </w:r>
    </w:p>
    <w:p w:rsidR="00850DE6" w:rsidRPr="002A5734" w:rsidRDefault="00FA15F9" w:rsidP="00850DE6">
      <w:pPr>
        <w:pStyle w:val="NoSpacing"/>
        <w:bidi w:val="0"/>
        <w:jc w:val="both"/>
      </w:pPr>
      <w:commentRangeStart w:id="21"/>
      <w:r w:rsidRPr="002A5734">
        <w:t xml:space="preserve">The females coming from </w:t>
      </w:r>
      <w:r w:rsidR="005414FA" w:rsidRPr="002A5734">
        <w:t xml:space="preserve">the </w:t>
      </w:r>
      <w:r w:rsidRPr="002A5734">
        <w:t xml:space="preserve">urban area had the highest rate (75.2%) of </w:t>
      </w:r>
      <w:r w:rsidR="00AA6E30" w:rsidRPr="002A5734">
        <w:t xml:space="preserve">the </w:t>
      </w:r>
      <w:r w:rsidRPr="002A5734">
        <w:t xml:space="preserve">rubella IgG antibody when compared to </w:t>
      </w:r>
      <w:r w:rsidRPr="00C23B0F">
        <w:rPr>
          <w:color w:val="FF0000"/>
        </w:rPr>
        <w:t xml:space="preserve">females coming from </w:t>
      </w:r>
      <w:r w:rsidR="005414FA" w:rsidRPr="00C23B0F">
        <w:rPr>
          <w:color w:val="FF0000"/>
        </w:rPr>
        <w:t xml:space="preserve">the </w:t>
      </w:r>
      <w:r w:rsidRPr="00C23B0F">
        <w:rPr>
          <w:color w:val="FF0000"/>
        </w:rPr>
        <w:t>rural area and there were no statistically significant</w:t>
      </w:r>
      <w:r w:rsidRPr="002A5734">
        <w:t>.</w:t>
      </w:r>
      <w:r w:rsidR="007A5FD4" w:rsidRPr="002A5734">
        <w:t xml:space="preserve"> The result regarding occupation</w:t>
      </w:r>
      <w:r w:rsidR="007A5FD4" w:rsidRPr="00C23B0F">
        <w:rPr>
          <w:color w:val="FF0000"/>
        </w:rPr>
        <w:t xml:space="preserve"> observed</w:t>
      </w:r>
      <w:r w:rsidR="00C23B0F" w:rsidRPr="00C23B0F">
        <w:rPr>
          <w:color w:val="548DD4" w:themeColor="text2" w:themeTint="99"/>
        </w:rPr>
        <w:t>(showed</w:t>
      </w:r>
      <w:r w:rsidR="00C23B0F">
        <w:rPr>
          <w:color w:val="FF0000"/>
        </w:rPr>
        <w:t>)</w:t>
      </w:r>
      <w:r w:rsidR="007A5FD4" w:rsidRPr="002A5734">
        <w:t xml:space="preserve">that the high prevalence rate of rubella IgG antibody was recorded among employee females (74.5%) followed by </w:t>
      </w:r>
      <w:r w:rsidR="00AA6E30" w:rsidRPr="002A5734">
        <w:t xml:space="preserve">a </w:t>
      </w:r>
      <w:r w:rsidR="007A5FD4" w:rsidRPr="002A5734">
        <w:t>student (72.5%)</w:t>
      </w:r>
      <w:r w:rsidR="0021785C" w:rsidRPr="002A5734">
        <w:t>,</w:t>
      </w:r>
      <w:r w:rsidR="007A5FD4" w:rsidRPr="002A5734">
        <w:t xml:space="preserve"> and house-wife (71.6%)</w:t>
      </w:r>
      <w:r w:rsidR="00AA6E30" w:rsidRPr="002A5734">
        <w:t>,</w:t>
      </w:r>
      <w:r w:rsidR="007A5FD4" w:rsidRPr="002A5734">
        <w:t xml:space="preserve"> and there also we</w:t>
      </w:r>
      <w:r w:rsidR="0021785C" w:rsidRPr="002A5734">
        <w:t xml:space="preserve">re no statistically significant </w:t>
      </w:r>
      <w:r w:rsidR="0021785C" w:rsidRPr="002A5734">
        <w:rPr>
          <w:u w:val="single"/>
        </w:rPr>
        <w:t>(Table 1).</w:t>
      </w:r>
    </w:p>
    <w:p w:rsidR="00850DE6" w:rsidRPr="002A5734" w:rsidRDefault="00971510" w:rsidP="00AC3FB1">
      <w:pPr>
        <w:pStyle w:val="NoSpacing"/>
        <w:bidi w:val="0"/>
        <w:jc w:val="both"/>
      </w:pPr>
      <w:r w:rsidRPr="002A5734">
        <w:t>The current work according to the educational level, it was found that the most frequent of rubella IgG antibody was recorded among the secondary level (92%) followed by the illiterate (90.9%), university (66.2%), elementary (50%), and primary level with 38.1%. The results of elementary, secondary, primary and finally illiterate in terms of rubella IgG positivity were highly statistically significant with values of χ</w:t>
      </w:r>
      <w:r w:rsidRPr="002A5734">
        <w:rPr>
          <w:vertAlign w:val="superscript"/>
        </w:rPr>
        <w:t xml:space="preserve">2 </w:t>
      </w:r>
      <w:r w:rsidRPr="002A5734">
        <w:t xml:space="preserve">=30.65, </w:t>
      </w:r>
      <w:r w:rsidR="00AC3FB1" w:rsidRPr="002A5734">
        <w:rPr>
          <w:i/>
          <w:iCs/>
        </w:rPr>
        <w:t>P</w:t>
      </w:r>
      <w:r w:rsidR="00AC3FB1" w:rsidRPr="002A5734">
        <w:t>=</w:t>
      </w:r>
      <w:r w:rsidRPr="002A5734">
        <w:t>0.000001; χ</w:t>
      </w:r>
      <w:r w:rsidRPr="002A5734">
        <w:rPr>
          <w:vertAlign w:val="superscript"/>
        </w:rPr>
        <w:t xml:space="preserve">2 </w:t>
      </w:r>
      <w:r w:rsidRPr="002A5734">
        <w:t xml:space="preserve">= 29.18, </w:t>
      </w:r>
      <w:r w:rsidR="00FC382D" w:rsidRPr="002A5734">
        <w:rPr>
          <w:i/>
          <w:iCs/>
        </w:rPr>
        <w:t>P</w:t>
      </w:r>
      <w:r w:rsidR="00FC382D" w:rsidRPr="002A5734">
        <w:t>=</w:t>
      </w:r>
      <w:r w:rsidRPr="002A5734">
        <w:t>0.000001; χ</w:t>
      </w:r>
      <w:r w:rsidRPr="002A5734">
        <w:rPr>
          <w:vertAlign w:val="superscript"/>
        </w:rPr>
        <w:t xml:space="preserve">2 </w:t>
      </w:r>
      <w:r w:rsidRPr="002A5734">
        <w:t xml:space="preserve">= 7.04, </w:t>
      </w:r>
      <w:r w:rsidR="00FC382D" w:rsidRPr="002A5734">
        <w:rPr>
          <w:i/>
          <w:iCs/>
        </w:rPr>
        <w:t>P</w:t>
      </w:r>
      <w:r w:rsidR="00FC382D" w:rsidRPr="002A5734">
        <w:t>=</w:t>
      </w:r>
      <w:r w:rsidRPr="002A5734">
        <w:t>0.007 and finally χ</w:t>
      </w:r>
      <w:r w:rsidRPr="002A5734">
        <w:rPr>
          <w:vertAlign w:val="superscript"/>
        </w:rPr>
        <w:t xml:space="preserve">2 </w:t>
      </w:r>
      <w:r w:rsidRPr="002A5734">
        <w:t xml:space="preserve">= 6.14, </w:t>
      </w:r>
      <w:r w:rsidR="00FC382D" w:rsidRPr="002A5734">
        <w:rPr>
          <w:i/>
          <w:iCs/>
        </w:rPr>
        <w:t>P</w:t>
      </w:r>
      <w:r w:rsidR="00FC382D" w:rsidRPr="002A5734">
        <w:t>=</w:t>
      </w:r>
      <w:r w:rsidR="006025D9" w:rsidRPr="002A5734">
        <w:t>0.01 respectively,</w:t>
      </w:r>
      <w:r w:rsidR="00FC3797" w:rsidRPr="002A5734">
        <w:t xml:space="preserve"> (Table 1).</w:t>
      </w:r>
    </w:p>
    <w:p w:rsidR="00850DE6" w:rsidRPr="002A5734" w:rsidRDefault="00A34A19" w:rsidP="00CE27CC">
      <w:pPr>
        <w:pStyle w:val="NoSpacing"/>
        <w:bidi w:val="0"/>
        <w:jc w:val="both"/>
      </w:pPr>
      <w:r w:rsidRPr="002A5734">
        <w:t>The result based on marital status showed that the nearly similar positive results were noticed among single, married</w:t>
      </w:r>
      <w:r w:rsidR="00AA6E30" w:rsidRPr="002A5734">
        <w:t>,</w:t>
      </w:r>
      <w:r w:rsidRPr="002A5734">
        <w:t xml:space="preserve"> and divorced females with percentages of 72.3%, 73.1%</w:t>
      </w:r>
      <w:r w:rsidR="006025D9" w:rsidRPr="002A5734">
        <w:t>,</w:t>
      </w:r>
      <w:r w:rsidRPr="002A5734">
        <w:t xml:space="preserve"> and 75.0%</w:t>
      </w:r>
      <w:r w:rsidR="006025D9" w:rsidRPr="002A5734">
        <w:t>, respectively</w:t>
      </w:r>
      <w:r w:rsidRPr="002A5734">
        <w:t xml:space="preserve">. In contrast, the </w:t>
      </w:r>
      <w:r w:rsidR="0012311A" w:rsidRPr="002A5734">
        <w:t xml:space="preserve">two of participated </w:t>
      </w:r>
      <w:r w:rsidRPr="002A5734">
        <w:t xml:space="preserve">widow females showed </w:t>
      </w:r>
      <w:r w:rsidR="00EC12D1" w:rsidRPr="002A5734">
        <w:t>completely</w:t>
      </w:r>
      <w:r w:rsidRPr="002A5734">
        <w:t xml:space="preserve"> positive </w:t>
      </w:r>
      <w:r w:rsidR="00EC12D1" w:rsidRPr="002A5734">
        <w:t xml:space="preserve">for </w:t>
      </w:r>
      <w:r w:rsidR="00AA6E30" w:rsidRPr="002A5734">
        <w:t xml:space="preserve">the </w:t>
      </w:r>
      <w:r w:rsidR="00EC12D1" w:rsidRPr="002A5734">
        <w:t>rubella IgG antibody</w:t>
      </w:r>
      <w:r w:rsidR="006025D9" w:rsidRPr="002A5734">
        <w:t xml:space="preserve"> (Table </w:t>
      </w:r>
      <w:commentRangeEnd w:id="21"/>
      <w:r w:rsidR="00A95559">
        <w:rPr>
          <w:rStyle w:val="CommentReference"/>
        </w:rPr>
        <w:commentReference w:id="21"/>
      </w:r>
      <w:r w:rsidR="006025D9" w:rsidRPr="002A5734">
        <w:t>1)</w:t>
      </w:r>
      <w:r w:rsidRPr="002A5734">
        <w:t>.</w:t>
      </w:r>
    </w:p>
    <w:p w:rsidR="0021785C" w:rsidRPr="002A5734" w:rsidRDefault="0021785C" w:rsidP="00462754">
      <w:pPr>
        <w:bidi w:val="0"/>
        <w:ind w:right="42"/>
        <w:jc w:val="center"/>
        <w:rPr>
          <w:b/>
          <w:bCs/>
        </w:rPr>
      </w:pPr>
    </w:p>
    <w:p w:rsidR="009073B4" w:rsidRPr="002A5734" w:rsidRDefault="00850DE6" w:rsidP="0021785C">
      <w:pPr>
        <w:bidi w:val="0"/>
        <w:ind w:right="42"/>
        <w:jc w:val="both"/>
        <w:rPr>
          <w:b/>
          <w:bCs/>
        </w:rPr>
      </w:pPr>
      <w:r w:rsidRPr="002A5734">
        <w:rPr>
          <w:b/>
          <w:bCs/>
        </w:rPr>
        <w:t xml:space="preserve">Table 1. </w:t>
      </w:r>
      <w:r w:rsidR="009073B4" w:rsidRPr="002A5734">
        <w:rPr>
          <w:b/>
          <w:bCs/>
        </w:rPr>
        <w:t xml:space="preserve">Prevalence of rubella IgG antibody in relation to </w:t>
      </w:r>
      <w:r w:rsidR="009141D6" w:rsidRPr="002A5734">
        <w:rPr>
          <w:b/>
          <w:bCs/>
        </w:rPr>
        <w:t>socio-</w:t>
      </w:r>
      <w:r w:rsidR="00265681" w:rsidRPr="002A5734">
        <w:rPr>
          <w:b/>
          <w:bCs/>
        </w:rPr>
        <w:t>demographic characteristics</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7"/>
        <w:gridCol w:w="1475"/>
        <w:gridCol w:w="1298"/>
        <w:gridCol w:w="1193"/>
        <w:gridCol w:w="670"/>
        <w:gridCol w:w="1162"/>
        <w:gridCol w:w="871"/>
        <w:gridCol w:w="1124"/>
      </w:tblGrid>
      <w:tr w:rsidR="001B79C6" w:rsidRPr="002A5734" w:rsidTr="001000F5">
        <w:trPr>
          <w:trHeight w:val="465"/>
          <w:jc w:val="center"/>
        </w:trPr>
        <w:tc>
          <w:tcPr>
            <w:tcW w:w="3062" w:type="dxa"/>
            <w:gridSpan w:val="2"/>
            <w:shd w:val="clear" w:color="auto" w:fill="F2F2F2"/>
            <w:vAlign w:val="center"/>
          </w:tcPr>
          <w:p w:rsidR="001B79C6" w:rsidRPr="002A5734" w:rsidRDefault="0061195B" w:rsidP="00834402">
            <w:pPr>
              <w:pStyle w:val="NoSpacing"/>
              <w:bidi w:val="0"/>
              <w:jc w:val="center"/>
              <w:rPr>
                <w:b/>
                <w:bCs/>
              </w:rPr>
            </w:pPr>
            <w:r w:rsidRPr="002A5734">
              <w:rPr>
                <w:b/>
                <w:bCs/>
              </w:rPr>
              <w:t>Illustrative</w:t>
            </w:r>
            <w:r w:rsidR="001B79C6" w:rsidRPr="002A5734">
              <w:rPr>
                <w:b/>
                <w:bCs/>
              </w:rPr>
              <w:t xml:space="preserve"> variables</w:t>
            </w:r>
          </w:p>
        </w:tc>
        <w:tc>
          <w:tcPr>
            <w:tcW w:w="1298" w:type="dxa"/>
            <w:shd w:val="clear" w:color="auto" w:fill="F2F2F2"/>
          </w:tcPr>
          <w:p w:rsidR="001B79C6" w:rsidRPr="002A5734" w:rsidRDefault="001B79C6" w:rsidP="00834402">
            <w:pPr>
              <w:pStyle w:val="NoSpacing"/>
              <w:bidi w:val="0"/>
              <w:jc w:val="center"/>
              <w:rPr>
                <w:b/>
                <w:bCs/>
              </w:rPr>
            </w:pPr>
            <w:r w:rsidRPr="002A5734">
              <w:rPr>
                <w:b/>
                <w:bCs/>
              </w:rPr>
              <w:t>No. examined (%)</w:t>
            </w:r>
          </w:p>
        </w:tc>
        <w:tc>
          <w:tcPr>
            <w:tcW w:w="1193" w:type="dxa"/>
            <w:shd w:val="clear" w:color="auto" w:fill="F2F2F2"/>
          </w:tcPr>
          <w:p w:rsidR="001B79C6" w:rsidRPr="002A5734" w:rsidRDefault="001B79C6" w:rsidP="00834402">
            <w:pPr>
              <w:pStyle w:val="NoSpacing"/>
              <w:bidi w:val="0"/>
              <w:jc w:val="center"/>
              <w:rPr>
                <w:b/>
                <w:bCs/>
              </w:rPr>
            </w:pPr>
            <w:r w:rsidRPr="002A5734">
              <w:rPr>
                <w:b/>
                <w:bCs/>
              </w:rPr>
              <w:t>No. of positive IgG (%)</w:t>
            </w:r>
          </w:p>
        </w:tc>
        <w:tc>
          <w:tcPr>
            <w:tcW w:w="670" w:type="dxa"/>
            <w:shd w:val="clear" w:color="auto" w:fill="F2F2F2"/>
            <w:vAlign w:val="center"/>
          </w:tcPr>
          <w:p w:rsidR="001B79C6" w:rsidRPr="002A5734" w:rsidRDefault="001B79C6" w:rsidP="00834402">
            <w:pPr>
              <w:pStyle w:val="NoSpacing"/>
              <w:bidi w:val="0"/>
              <w:jc w:val="center"/>
              <w:rPr>
                <w:b/>
                <w:bCs/>
                <w:i/>
                <w:iCs/>
              </w:rPr>
            </w:pPr>
            <w:r w:rsidRPr="002A5734">
              <w:rPr>
                <w:b/>
                <w:bCs/>
                <w:i/>
                <w:iCs/>
              </w:rPr>
              <w:t>RR</w:t>
            </w:r>
          </w:p>
        </w:tc>
        <w:tc>
          <w:tcPr>
            <w:tcW w:w="1162" w:type="dxa"/>
            <w:shd w:val="clear" w:color="auto" w:fill="F2F2F2"/>
            <w:vAlign w:val="center"/>
          </w:tcPr>
          <w:p w:rsidR="001B79C6" w:rsidRPr="002A5734" w:rsidRDefault="001B79C6" w:rsidP="00834402">
            <w:pPr>
              <w:pStyle w:val="NoSpacing"/>
              <w:bidi w:val="0"/>
              <w:jc w:val="center"/>
              <w:rPr>
                <w:b/>
                <w:bCs/>
                <w:i/>
                <w:iCs/>
              </w:rPr>
            </w:pPr>
            <w:r w:rsidRPr="002A5734">
              <w:rPr>
                <w:b/>
                <w:bCs/>
                <w:i/>
                <w:iCs/>
              </w:rPr>
              <w:t>CI</w:t>
            </w:r>
          </w:p>
        </w:tc>
        <w:tc>
          <w:tcPr>
            <w:tcW w:w="871" w:type="dxa"/>
            <w:shd w:val="clear" w:color="auto" w:fill="F2F2F2"/>
            <w:vAlign w:val="center"/>
          </w:tcPr>
          <w:p w:rsidR="001B79C6" w:rsidRPr="002A5734" w:rsidRDefault="00205E0B" w:rsidP="00834402">
            <w:pPr>
              <w:pStyle w:val="NoSpacing"/>
              <w:bidi w:val="0"/>
              <w:jc w:val="center"/>
              <w:rPr>
                <w:b/>
                <w:bCs/>
                <w:i/>
                <w:iCs/>
                <w:vertAlign w:val="superscript"/>
              </w:rPr>
            </w:pPr>
            <w:r w:rsidRPr="002A5734">
              <w:rPr>
                <w:b/>
                <w:bCs/>
              </w:rPr>
              <w:t>χ</w:t>
            </w:r>
            <w:r w:rsidRPr="002A5734">
              <w:rPr>
                <w:b/>
                <w:bCs/>
                <w:vertAlign w:val="superscript"/>
              </w:rPr>
              <w:t>2</w:t>
            </w:r>
          </w:p>
        </w:tc>
        <w:tc>
          <w:tcPr>
            <w:tcW w:w="1124" w:type="dxa"/>
            <w:shd w:val="clear" w:color="auto" w:fill="F2F2F2"/>
            <w:vAlign w:val="center"/>
          </w:tcPr>
          <w:p w:rsidR="001B79C6" w:rsidRPr="002A5734" w:rsidRDefault="001B79C6" w:rsidP="00834402">
            <w:pPr>
              <w:pStyle w:val="NoSpacing"/>
              <w:bidi w:val="0"/>
              <w:jc w:val="center"/>
              <w:rPr>
                <w:b/>
                <w:bCs/>
                <w:i/>
                <w:iCs/>
              </w:rPr>
            </w:pPr>
            <w:r w:rsidRPr="002A5734">
              <w:rPr>
                <w:b/>
                <w:bCs/>
                <w:i/>
                <w:iCs/>
              </w:rPr>
              <w:t>P</w:t>
            </w:r>
          </w:p>
        </w:tc>
      </w:tr>
      <w:tr w:rsidR="001B79C6" w:rsidRPr="002A5734" w:rsidTr="001000F5">
        <w:trPr>
          <w:trHeight w:val="205"/>
          <w:jc w:val="center"/>
        </w:trPr>
        <w:tc>
          <w:tcPr>
            <w:tcW w:w="1587" w:type="dxa"/>
            <w:vMerge w:val="restart"/>
            <w:shd w:val="clear" w:color="auto" w:fill="F2F2F2"/>
            <w:vAlign w:val="center"/>
          </w:tcPr>
          <w:p w:rsidR="001B79C6" w:rsidRPr="002A5734" w:rsidRDefault="001B79C6" w:rsidP="00834402">
            <w:pPr>
              <w:pStyle w:val="NoSpacing"/>
              <w:bidi w:val="0"/>
            </w:pPr>
            <w:r w:rsidRPr="002A5734">
              <w:rPr>
                <w:b/>
                <w:bCs/>
              </w:rPr>
              <w:t>Age in years</w:t>
            </w:r>
          </w:p>
        </w:tc>
        <w:tc>
          <w:tcPr>
            <w:tcW w:w="1475" w:type="dxa"/>
            <w:shd w:val="clear" w:color="auto" w:fill="F2F2F2"/>
            <w:vAlign w:val="center"/>
          </w:tcPr>
          <w:p w:rsidR="001B79C6" w:rsidRPr="002A5734" w:rsidRDefault="001B79C6" w:rsidP="00834402">
            <w:pPr>
              <w:pStyle w:val="NoSpacing"/>
              <w:bidi w:val="0"/>
              <w:jc w:val="center"/>
              <w:rPr>
                <w:b/>
                <w:bCs/>
              </w:rPr>
            </w:pPr>
            <w:r w:rsidRPr="002A5734">
              <w:rPr>
                <w:b/>
                <w:bCs/>
              </w:rPr>
              <w:t>15-20</w:t>
            </w:r>
          </w:p>
        </w:tc>
        <w:tc>
          <w:tcPr>
            <w:tcW w:w="1298" w:type="dxa"/>
            <w:shd w:val="clear" w:color="auto" w:fill="auto"/>
            <w:vAlign w:val="center"/>
          </w:tcPr>
          <w:p w:rsidR="001B79C6" w:rsidRPr="002A5734" w:rsidRDefault="001B79C6" w:rsidP="00834402">
            <w:pPr>
              <w:pStyle w:val="NoSpacing"/>
              <w:bidi w:val="0"/>
              <w:jc w:val="center"/>
            </w:pPr>
            <w:r w:rsidRPr="002A5734">
              <w:t>101 (37.4)</w:t>
            </w:r>
          </w:p>
        </w:tc>
        <w:tc>
          <w:tcPr>
            <w:tcW w:w="1193" w:type="dxa"/>
            <w:shd w:val="clear" w:color="auto" w:fill="auto"/>
            <w:vAlign w:val="center"/>
          </w:tcPr>
          <w:p w:rsidR="001B79C6" w:rsidRPr="002A5734" w:rsidRDefault="001B79C6" w:rsidP="00834402">
            <w:pPr>
              <w:pStyle w:val="NoSpacing"/>
              <w:bidi w:val="0"/>
              <w:jc w:val="center"/>
            </w:pPr>
            <w:r w:rsidRPr="002A5734">
              <w:t>75 (74.3)</w:t>
            </w:r>
          </w:p>
        </w:tc>
        <w:tc>
          <w:tcPr>
            <w:tcW w:w="670" w:type="dxa"/>
            <w:shd w:val="clear" w:color="auto" w:fill="auto"/>
            <w:vAlign w:val="center"/>
          </w:tcPr>
          <w:p w:rsidR="001B79C6" w:rsidRPr="002A5734" w:rsidRDefault="001B79C6" w:rsidP="00834402">
            <w:pPr>
              <w:pStyle w:val="NoSpacing"/>
              <w:bidi w:val="0"/>
              <w:jc w:val="center"/>
            </w:pPr>
            <w:r w:rsidRPr="002A5734">
              <w:t>1.03</w:t>
            </w:r>
          </w:p>
        </w:tc>
        <w:tc>
          <w:tcPr>
            <w:tcW w:w="1162" w:type="dxa"/>
            <w:shd w:val="clear" w:color="auto" w:fill="auto"/>
            <w:vAlign w:val="center"/>
          </w:tcPr>
          <w:p w:rsidR="001B79C6" w:rsidRPr="002A5734" w:rsidRDefault="001B79C6" w:rsidP="00834402">
            <w:pPr>
              <w:pStyle w:val="NoSpacing"/>
              <w:bidi w:val="0"/>
              <w:jc w:val="center"/>
            </w:pPr>
            <w:r w:rsidRPr="002A5734">
              <w:t>0.9-1.2</w:t>
            </w:r>
          </w:p>
        </w:tc>
        <w:tc>
          <w:tcPr>
            <w:tcW w:w="871" w:type="dxa"/>
            <w:shd w:val="clear" w:color="auto" w:fill="auto"/>
            <w:vAlign w:val="center"/>
          </w:tcPr>
          <w:p w:rsidR="001B79C6" w:rsidRPr="002A5734" w:rsidRDefault="001B79C6" w:rsidP="00834402">
            <w:pPr>
              <w:pStyle w:val="NoSpacing"/>
              <w:bidi w:val="0"/>
              <w:jc w:val="center"/>
            </w:pPr>
            <w:r w:rsidRPr="002A5734">
              <w:t>0.14</w:t>
            </w:r>
          </w:p>
        </w:tc>
        <w:tc>
          <w:tcPr>
            <w:tcW w:w="1124" w:type="dxa"/>
            <w:shd w:val="clear" w:color="auto" w:fill="auto"/>
            <w:vAlign w:val="center"/>
          </w:tcPr>
          <w:p w:rsidR="001B79C6" w:rsidRPr="002A5734" w:rsidRDefault="001B79C6" w:rsidP="00834402">
            <w:pPr>
              <w:pStyle w:val="NoSpacing"/>
              <w:bidi w:val="0"/>
              <w:jc w:val="center"/>
            </w:pPr>
            <w:r w:rsidRPr="002A5734">
              <w:t>0.71</w:t>
            </w:r>
          </w:p>
        </w:tc>
      </w:tr>
      <w:tr w:rsidR="001B79C6" w:rsidRPr="002A5734" w:rsidTr="001000F5">
        <w:trPr>
          <w:trHeight w:val="62"/>
          <w:jc w:val="center"/>
        </w:trPr>
        <w:tc>
          <w:tcPr>
            <w:tcW w:w="1587" w:type="dxa"/>
            <w:vMerge/>
            <w:shd w:val="clear" w:color="auto" w:fill="F2F2F2"/>
            <w:vAlign w:val="center"/>
          </w:tcPr>
          <w:p w:rsidR="001B79C6" w:rsidRPr="002A5734" w:rsidRDefault="001B79C6" w:rsidP="00834402">
            <w:pPr>
              <w:pStyle w:val="NoSpacing"/>
              <w:bidi w:val="0"/>
            </w:pPr>
          </w:p>
        </w:tc>
        <w:tc>
          <w:tcPr>
            <w:tcW w:w="1475" w:type="dxa"/>
            <w:shd w:val="clear" w:color="auto" w:fill="F2F2F2"/>
            <w:vAlign w:val="center"/>
          </w:tcPr>
          <w:p w:rsidR="001B79C6" w:rsidRPr="002A5734" w:rsidRDefault="001B79C6" w:rsidP="00834402">
            <w:pPr>
              <w:pStyle w:val="NoSpacing"/>
              <w:bidi w:val="0"/>
              <w:jc w:val="center"/>
              <w:rPr>
                <w:b/>
                <w:bCs/>
              </w:rPr>
            </w:pPr>
            <w:r w:rsidRPr="002A5734">
              <w:rPr>
                <w:b/>
                <w:bCs/>
              </w:rPr>
              <w:t>21-25</w:t>
            </w:r>
          </w:p>
        </w:tc>
        <w:tc>
          <w:tcPr>
            <w:tcW w:w="1298" w:type="dxa"/>
            <w:shd w:val="clear" w:color="auto" w:fill="auto"/>
            <w:vAlign w:val="center"/>
          </w:tcPr>
          <w:p w:rsidR="001B79C6" w:rsidRPr="002A5734" w:rsidRDefault="001B79C6" w:rsidP="00834402">
            <w:pPr>
              <w:pStyle w:val="NoSpacing"/>
              <w:bidi w:val="0"/>
              <w:jc w:val="center"/>
            </w:pPr>
            <w:r w:rsidRPr="002A5734">
              <w:t>71(26.3)</w:t>
            </w:r>
          </w:p>
        </w:tc>
        <w:tc>
          <w:tcPr>
            <w:tcW w:w="1193" w:type="dxa"/>
            <w:shd w:val="clear" w:color="auto" w:fill="auto"/>
            <w:vAlign w:val="center"/>
          </w:tcPr>
          <w:p w:rsidR="001B79C6" w:rsidRPr="002A5734" w:rsidRDefault="001B79C6" w:rsidP="00834402">
            <w:pPr>
              <w:pStyle w:val="NoSpacing"/>
              <w:bidi w:val="0"/>
              <w:jc w:val="center"/>
            </w:pPr>
            <w:r w:rsidRPr="002A5734">
              <w:t>53(74.6)</w:t>
            </w:r>
          </w:p>
        </w:tc>
        <w:tc>
          <w:tcPr>
            <w:tcW w:w="670" w:type="dxa"/>
            <w:shd w:val="clear" w:color="auto" w:fill="auto"/>
            <w:vAlign w:val="center"/>
          </w:tcPr>
          <w:p w:rsidR="001B79C6" w:rsidRPr="002A5734" w:rsidRDefault="001B79C6" w:rsidP="00834402">
            <w:pPr>
              <w:pStyle w:val="NoSpacing"/>
              <w:bidi w:val="0"/>
              <w:jc w:val="center"/>
            </w:pPr>
            <w:r w:rsidRPr="002A5734">
              <w:t>1.12</w:t>
            </w:r>
          </w:p>
        </w:tc>
        <w:tc>
          <w:tcPr>
            <w:tcW w:w="1162" w:type="dxa"/>
            <w:shd w:val="clear" w:color="auto" w:fill="auto"/>
            <w:vAlign w:val="center"/>
          </w:tcPr>
          <w:p w:rsidR="001B79C6" w:rsidRPr="002A5734" w:rsidRDefault="001B79C6" w:rsidP="00834402">
            <w:pPr>
              <w:pStyle w:val="NoSpacing"/>
              <w:bidi w:val="0"/>
              <w:jc w:val="center"/>
            </w:pPr>
            <w:r w:rsidRPr="002A5734">
              <w:t>0.6-2.2</w:t>
            </w:r>
          </w:p>
        </w:tc>
        <w:tc>
          <w:tcPr>
            <w:tcW w:w="871" w:type="dxa"/>
            <w:shd w:val="clear" w:color="auto" w:fill="auto"/>
            <w:vAlign w:val="center"/>
          </w:tcPr>
          <w:p w:rsidR="001B79C6" w:rsidRPr="002A5734" w:rsidRDefault="001B79C6" w:rsidP="00834402">
            <w:pPr>
              <w:pStyle w:val="NoSpacing"/>
              <w:bidi w:val="0"/>
              <w:jc w:val="center"/>
            </w:pPr>
            <w:r w:rsidRPr="002A5734">
              <w:t>0.14</w:t>
            </w:r>
          </w:p>
        </w:tc>
        <w:tc>
          <w:tcPr>
            <w:tcW w:w="1124" w:type="dxa"/>
            <w:shd w:val="clear" w:color="auto" w:fill="auto"/>
            <w:vAlign w:val="center"/>
          </w:tcPr>
          <w:p w:rsidR="001B79C6" w:rsidRPr="002A5734" w:rsidRDefault="001B79C6" w:rsidP="00834402">
            <w:pPr>
              <w:pStyle w:val="NoSpacing"/>
              <w:bidi w:val="0"/>
              <w:jc w:val="center"/>
            </w:pPr>
            <w:r w:rsidRPr="002A5734">
              <w:t>0.70</w:t>
            </w:r>
          </w:p>
        </w:tc>
      </w:tr>
      <w:tr w:rsidR="001B79C6" w:rsidRPr="002A5734" w:rsidTr="001000F5">
        <w:trPr>
          <w:trHeight w:val="175"/>
          <w:jc w:val="center"/>
        </w:trPr>
        <w:tc>
          <w:tcPr>
            <w:tcW w:w="1587" w:type="dxa"/>
            <w:vMerge/>
            <w:shd w:val="clear" w:color="auto" w:fill="F2F2F2"/>
            <w:vAlign w:val="center"/>
          </w:tcPr>
          <w:p w:rsidR="001B79C6" w:rsidRPr="002A5734" w:rsidRDefault="001B79C6" w:rsidP="00834402">
            <w:pPr>
              <w:pStyle w:val="NoSpacing"/>
              <w:bidi w:val="0"/>
            </w:pPr>
          </w:p>
        </w:tc>
        <w:tc>
          <w:tcPr>
            <w:tcW w:w="1475" w:type="dxa"/>
            <w:shd w:val="clear" w:color="auto" w:fill="F2F2F2"/>
            <w:vAlign w:val="center"/>
          </w:tcPr>
          <w:p w:rsidR="001B79C6" w:rsidRPr="002A5734" w:rsidRDefault="001B79C6" w:rsidP="00834402">
            <w:pPr>
              <w:pStyle w:val="NoSpacing"/>
              <w:bidi w:val="0"/>
              <w:jc w:val="center"/>
              <w:rPr>
                <w:b/>
                <w:bCs/>
              </w:rPr>
            </w:pPr>
            <w:r w:rsidRPr="002A5734">
              <w:rPr>
                <w:b/>
                <w:bCs/>
              </w:rPr>
              <w:t>26-30</w:t>
            </w:r>
          </w:p>
        </w:tc>
        <w:tc>
          <w:tcPr>
            <w:tcW w:w="1298" w:type="dxa"/>
            <w:shd w:val="clear" w:color="auto" w:fill="auto"/>
            <w:vAlign w:val="center"/>
          </w:tcPr>
          <w:p w:rsidR="001B79C6" w:rsidRPr="002A5734" w:rsidRDefault="001B79C6" w:rsidP="00834402">
            <w:pPr>
              <w:pStyle w:val="NoSpacing"/>
              <w:bidi w:val="0"/>
              <w:jc w:val="center"/>
            </w:pPr>
            <w:r w:rsidRPr="002A5734">
              <w:t>72(26.7)</w:t>
            </w:r>
          </w:p>
        </w:tc>
        <w:tc>
          <w:tcPr>
            <w:tcW w:w="1193" w:type="dxa"/>
            <w:shd w:val="clear" w:color="auto" w:fill="auto"/>
            <w:vAlign w:val="center"/>
          </w:tcPr>
          <w:p w:rsidR="001B79C6" w:rsidRPr="002A5734" w:rsidRDefault="001B79C6" w:rsidP="00834402">
            <w:pPr>
              <w:pStyle w:val="NoSpacing"/>
              <w:bidi w:val="0"/>
              <w:jc w:val="center"/>
            </w:pPr>
            <w:r w:rsidRPr="002A5734">
              <w:t>51(70.8)</w:t>
            </w:r>
          </w:p>
        </w:tc>
        <w:tc>
          <w:tcPr>
            <w:tcW w:w="670" w:type="dxa"/>
            <w:shd w:val="clear" w:color="auto" w:fill="auto"/>
            <w:vAlign w:val="center"/>
          </w:tcPr>
          <w:p w:rsidR="001B79C6" w:rsidRPr="002A5734" w:rsidRDefault="001B79C6" w:rsidP="00834402">
            <w:pPr>
              <w:pStyle w:val="NoSpacing"/>
              <w:bidi w:val="0"/>
              <w:jc w:val="center"/>
            </w:pPr>
            <w:r w:rsidRPr="002A5734">
              <w:t>0.96</w:t>
            </w:r>
          </w:p>
        </w:tc>
        <w:tc>
          <w:tcPr>
            <w:tcW w:w="1162" w:type="dxa"/>
            <w:shd w:val="clear" w:color="auto" w:fill="auto"/>
            <w:vAlign w:val="center"/>
          </w:tcPr>
          <w:p w:rsidR="001B79C6" w:rsidRPr="002A5734" w:rsidRDefault="001B79C6" w:rsidP="00834402">
            <w:pPr>
              <w:pStyle w:val="NoSpacing"/>
              <w:bidi w:val="0"/>
              <w:jc w:val="center"/>
            </w:pPr>
            <w:r w:rsidRPr="002A5734">
              <w:t>0.8-1.14</w:t>
            </w:r>
          </w:p>
        </w:tc>
        <w:tc>
          <w:tcPr>
            <w:tcW w:w="871" w:type="dxa"/>
            <w:shd w:val="clear" w:color="auto" w:fill="auto"/>
            <w:vAlign w:val="center"/>
          </w:tcPr>
          <w:p w:rsidR="001B79C6" w:rsidRPr="002A5734" w:rsidRDefault="001B79C6" w:rsidP="00834402">
            <w:pPr>
              <w:pStyle w:val="NoSpacing"/>
              <w:bidi w:val="0"/>
              <w:jc w:val="center"/>
            </w:pPr>
            <w:r w:rsidRPr="002A5734">
              <w:t>0.23</w:t>
            </w:r>
          </w:p>
        </w:tc>
        <w:tc>
          <w:tcPr>
            <w:tcW w:w="1124" w:type="dxa"/>
            <w:shd w:val="clear" w:color="auto" w:fill="auto"/>
            <w:vAlign w:val="center"/>
          </w:tcPr>
          <w:p w:rsidR="001B79C6" w:rsidRPr="002A5734" w:rsidRDefault="001B79C6" w:rsidP="00834402">
            <w:pPr>
              <w:pStyle w:val="NoSpacing"/>
              <w:bidi w:val="0"/>
              <w:jc w:val="center"/>
            </w:pPr>
            <w:r w:rsidRPr="002A5734">
              <w:t>0.63</w:t>
            </w:r>
          </w:p>
        </w:tc>
      </w:tr>
      <w:tr w:rsidR="001B79C6" w:rsidRPr="002A5734" w:rsidTr="001000F5">
        <w:trPr>
          <w:trHeight w:val="175"/>
          <w:jc w:val="center"/>
        </w:trPr>
        <w:tc>
          <w:tcPr>
            <w:tcW w:w="1587" w:type="dxa"/>
            <w:vMerge/>
            <w:shd w:val="clear" w:color="auto" w:fill="F2F2F2"/>
            <w:vAlign w:val="center"/>
          </w:tcPr>
          <w:p w:rsidR="001B79C6" w:rsidRPr="002A5734" w:rsidRDefault="001B79C6" w:rsidP="00834402">
            <w:pPr>
              <w:pStyle w:val="NoSpacing"/>
              <w:bidi w:val="0"/>
            </w:pPr>
          </w:p>
        </w:tc>
        <w:tc>
          <w:tcPr>
            <w:tcW w:w="1475" w:type="dxa"/>
            <w:shd w:val="clear" w:color="auto" w:fill="F2F2F2"/>
            <w:vAlign w:val="center"/>
          </w:tcPr>
          <w:p w:rsidR="001B79C6" w:rsidRPr="002A5734" w:rsidRDefault="001B79C6" w:rsidP="00834402">
            <w:pPr>
              <w:pStyle w:val="NoSpacing"/>
              <w:bidi w:val="0"/>
              <w:jc w:val="center"/>
              <w:rPr>
                <w:b/>
                <w:bCs/>
              </w:rPr>
            </w:pPr>
            <w:r w:rsidRPr="002A5734">
              <w:rPr>
                <w:b/>
                <w:bCs/>
              </w:rPr>
              <w:t>31-35</w:t>
            </w:r>
          </w:p>
        </w:tc>
        <w:tc>
          <w:tcPr>
            <w:tcW w:w="1298" w:type="dxa"/>
            <w:shd w:val="clear" w:color="auto" w:fill="auto"/>
            <w:vAlign w:val="center"/>
          </w:tcPr>
          <w:p w:rsidR="001B79C6" w:rsidRPr="002A5734" w:rsidRDefault="001B79C6" w:rsidP="00834402">
            <w:pPr>
              <w:pStyle w:val="NoSpacing"/>
              <w:bidi w:val="0"/>
              <w:jc w:val="center"/>
            </w:pPr>
            <w:r w:rsidRPr="002A5734">
              <w:t>26(9.6)</w:t>
            </w:r>
          </w:p>
        </w:tc>
        <w:tc>
          <w:tcPr>
            <w:tcW w:w="1193" w:type="dxa"/>
            <w:shd w:val="clear" w:color="auto" w:fill="auto"/>
            <w:vAlign w:val="center"/>
          </w:tcPr>
          <w:p w:rsidR="001B79C6" w:rsidRPr="002A5734" w:rsidRDefault="001B79C6" w:rsidP="00834402">
            <w:pPr>
              <w:pStyle w:val="NoSpacing"/>
              <w:bidi w:val="0"/>
              <w:jc w:val="center"/>
            </w:pPr>
            <w:r w:rsidRPr="002A5734">
              <w:t>18(69.2)</w:t>
            </w:r>
          </w:p>
        </w:tc>
        <w:tc>
          <w:tcPr>
            <w:tcW w:w="670" w:type="dxa"/>
            <w:shd w:val="clear" w:color="auto" w:fill="auto"/>
            <w:vAlign w:val="center"/>
          </w:tcPr>
          <w:p w:rsidR="001B79C6" w:rsidRPr="002A5734" w:rsidRDefault="001B79C6" w:rsidP="00834402">
            <w:pPr>
              <w:pStyle w:val="NoSpacing"/>
              <w:bidi w:val="0"/>
              <w:jc w:val="center"/>
            </w:pPr>
            <w:r w:rsidRPr="002A5734">
              <w:t>0.94</w:t>
            </w:r>
          </w:p>
        </w:tc>
        <w:tc>
          <w:tcPr>
            <w:tcW w:w="1162" w:type="dxa"/>
            <w:shd w:val="clear" w:color="auto" w:fill="auto"/>
            <w:vAlign w:val="center"/>
          </w:tcPr>
          <w:p w:rsidR="001B79C6" w:rsidRPr="002A5734" w:rsidRDefault="001B79C6" w:rsidP="00834402">
            <w:pPr>
              <w:pStyle w:val="NoSpacing"/>
              <w:bidi w:val="0"/>
              <w:jc w:val="center"/>
            </w:pPr>
            <w:r w:rsidRPr="002A5734">
              <w:t>0.7-1.23</w:t>
            </w:r>
          </w:p>
        </w:tc>
        <w:tc>
          <w:tcPr>
            <w:tcW w:w="871" w:type="dxa"/>
            <w:shd w:val="clear" w:color="auto" w:fill="auto"/>
            <w:vAlign w:val="center"/>
          </w:tcPr>
          <w:p w:rsidR="001B79C6" w:rsidRPr="002A5734" w:rsidRDefault="001B79C6" w:rsidP="00834402">
            <w:pPr>
              <w:pStyle w:val="NoSpacing"/>
              <w:bidi w:val="0"/>
              <w:jc w:val="center"/>
            </w:pPr>
            <w:r w:rsidRPr="002A5734">
              <w:t>0.22</w:t>
            </w:r>
          </w:p>
        </w:tc>
        <w:tc>
          <w:tcPr>
            <w:tcW w:w="1124" w:type="dxa"/>
            <w:shd w:val="clear" w:color="auto" w:fill="auto"/>
            <w:vAlign w:val="center"/>
          </w:tcPr>
          <w:p w:rsidR="001B79C6" w:rsidRPr="002A5734" w:rsidRDefault="001B79C6" w:rsidP="00834402">
            <w:pPr>
              <w:pStyle w:val="NoSpacing"/>
              <w:bidi w:val="0"/>
              <w:jc w:val="center"/>
            </w:pPr>
            <w:r w:rsidRPr="002A5734">
              <w:t>0.65</w:t>
            </w:r>
          </w:p>
        </w:tc>
      </w:tr>
      <w:tr w:rsidR="001B79C6" w:rsidRPr="002A5734" w:rsidTr="001000F5">
        <w:trPr>
          <w:trHeight w:val="232"/>
          <w:jc w:val="center"/>
        </w:trPr>
        <w:tc>
          <w:tcPr>
            <w:tcW w:w="1587" w:type="dxa"/>
            <w:vMerge w:val="restart"/>
            <w:shd w:val="clear" w:color="auto" w:fill="F2F2F2"/>
            <w:vAlign w:val="center"/>
          </w:tcPr>
          <w:p w:rsidR="001B79C6" w:rsidRPr="002A5734" w:rsidRDefault="001B79C6" w:rsidP="00834402">
            <w:pPr>
              <w:pStyle w:val="NoSpacing"/>
              <w:bidi w:val="0"/>
              <w:rPr>
                <w:b/>
                <w:bCs/>
              </w:rPr>
            </w:pPr>
            <w:r w:rsidRPr="002A5734">
              <w:rPr>
                <w:b/>
                <w:bCs/>
              </w:rPr>
              <w:t>Residence</w:t>
            </w:r>
          </w:p>
        </w:tc>
        <w:tc>
          <w:tcPr>
            <w:tcW w:w="1475" w:type="dxa"/>
            <w:shd w:val="clear" w:color="auto" w:fill="F2F2F2"/>
          </w:tcPr>
          <w:p w:rsidR="001B79C6" w:rsidRPr="002A5734" w:rsidRDefault="001B79C6" w:rsidP="00834402">
            <w:pPr>
              <w:pStyle w:val="NoSpacing"/>
              <w:bidi w:val="0"/>
              <w:jc w:val="center"/>
              <w:rPr>
                <w:b/>
                <w:bCs/>
              </w:rPr>
            </w:pPr>
            <w:r w:rsidRPr="002A5734">
              <w:rPr>
                <w:b/>
                <w:bCs/>
              </w:rPr>
              <w:t>Urban</w:t>
            </w:r>
          </w:p>
        </w:tc>
        <w:tc>
          <w:tcPr>
            <w:tcW w:w="1298" w:type="dxa"/>
            <w:shd w:val="clear" w:color="auto" w:fill="auto"/>
          </w:tcPr>
          <w:p w:rsidR="001B79C6" w:rsidRPr="002A5734" w:rsidRDefault="001B79C6" w:rsidP="00834402">
            <w:pPr>
              <w:pStyle w:val="NoSpacing"/>
              <w:bidi w:val="0"/>
              <w:jc w:val="center"/>
            </w:pPr>
            <w:r w:rsidRPr="002A5734">
              <w:t>145(53.7)</w:t>
            </w:r>
          </w:p>
        </w:tc>
        <w:tc>
          <w:tcPr>
            <w:tcW w:w="1193" w:type="dxa"/>
            <w:shd w:val="clear" w:color="auto" w:fill="auto"/>
          </w:tcPr>
          <w:p w:rsidR="001B79C6" w:rsidRPr="002A5734" w:rsidRDefault="001B79C6" w:rsidP="00834402">
            <w:pPr>
              <w:pStyle w:val="NoSpacing"/>
              <w:bidi w:val="0"/>
              <w:jc w:val="center"/>
            </w:pPr>
            <w:r w:rsidRPr="002A5734">
              <w:t>109(75.2)</w:t>
            </w:r>
          </w:p>
        </w:tc>
        <w:tc>
          <w:tcPr>
            <w:tcW w:w="670" w:type="dxa"/>
            <w:shd w:val="clear" w:color="auto" w:fill="auto"/>
          </w:tcPr>
          <w:p w:rsidR="001B79C6" w:rsidRPr="002A5734" w:rsidRDefault="001B79C6" w:rsidP="00834402">
            <w:pPr>
              <w:pStyle w:val="NoSpacing"/>
              <w:bidi w:val="0"/>
              <w:jc w:val="center"/>
            </w:pPr>
            <w:r w:rsidRPr="002A5734">
              <w:t>1.07</w:t>
            </w:r>
          </w:p>
        </w:tc>
        <w:tc>
          <w:tcPr>
            <w:tcW w:w="1162" w:type="dxa"/>
            <w:shd w:val="clear" w:color="auto" w:fill="auto"/>
          </w:tcPr>
          <w:p w:rsidR="001B79C6" w:rsidRPr="002A5734" w:rsidRDefault="001B79C6" w:rsidP="00834402">
            <w:pPr>
              <w:pStyle w:val="NoSpacing"/>
              <w:bidi w:val="0"/>
              <w:jc w:val="center"/>
            </w:pPr>
            <w:r w:rsidRPr="002A5734">
              <w:t>0.92-1.24</w:t>
            </w:r>
          </w:p>
        </w:tc>
        <w:tc>
          <w:tcPr>
            <w:tcW w:w="871" w:type="dxa"/>
            <w:shd w:val="clear" w:color="auto" w:fill="auto"/>
          </w:tcPr>
          <w:p w:rsidR="001B79C6" w:rsidRPr="002A5734" w:rsidRDefault="001B79C6" w:rsidP="00834402">
            <w:pPr>
              <w:pStyle w:val="NoSpacing"/>
              <w:bidi w:val="0"/>
              <w:jc w:val="center"/>
            </w:pPr>
            <w:r w:rsidRPr="002A5734">
              <w:t>0.78</w:t>
            </w:r>
          </w:p>
        </w:tc>
        <w:tc>
          <w:tcPr>
            <w:tcW w:w="1124" w:type="dxa"/>
            <w:shd w:val="clear" w:color="auto" w:fill="auto"/>
          </w:tcPr>
          <w:p w:rsidR="001B79C6" w:rsidRPr="002A5734" w:rsidRDefault="001B79C6" w:rsidP="00834402">
            <w:pPr>
              <w:pStyle w:val="NoSpacing"/>
              <w:bidi w:val="0"/>
              <w:jc w:val="center"/>
            </w:pPr>
            <w:r w:rsidRPr="002A5734">
              <w:t>0.78</w:t>
            </w:r>
          </w:p>
        </w:tc>
      </w:tr>
      <w:tr w:rsidR="001B79C6" w:rsidRPr="002A5734" w:rsidTr="001000F5">
        <w:trPr>
          <w:trHeight w:val="232"/>
          <w:jc w:val="center"/>
        </w:trPr>
        <w:tc>
          <w:tcPr>
            <w:tcW w:w="1587" w:type="dxa"/>
            <w:vMerge/>
            <w:shd w:val="clear" w:color="auto" w:fill="F2F2F2"/>
            <w:vAlign w:val="center"/>
          </w:tcPr>
          <w:p w:rsidR="001B79C6" w:rsidRPr="002A5734" w:rsidRDefault="001B79C6" w:rsidP="00834402">
            <w:pPr>
              <w:pStyle w:val="NoSpacing"/>
              <w:bidi w:val="0"/>
              <w:rPr>
                <w:b/>
                <w:bCs/>
              </w:rPr>
            </w:pPr>
          </w:p>
        </w:tc>
        <w:tc>
          <w:tcPr>
            <w:tcW w:w="1475" w:type="dxa"/>
            <w:shd w:val="clear" w:color="auto" w:fill="F2F2F2"/>
          </w:tcPr>
          <w:p w:rsidR="001B79C6" w:rsidRPr="002A5734" w:rsidRDefault="001B79C6" w:rsidP="00834402">
            <w:pPr>
              <w:pStyle w:val="NoSpacing"/>
              <w:bidi w:val="0"/>
              <w:jc w:val="center"/>
              <w:rPr>
                <w:b/>
                <w:bCs/>
              </w:rPr>
            </w:pPr>
            <w:r w:rsidRPr="002A5734">
              <w:rPr>
                <w:b/>
                <w:bCs/>
              </w:rPr>
              <w:t>Rural</w:t>
            </w:r>
          </w:p>
        </w:tc>
        <w:tc>
          <w:tcPr>
            <w:tcW w:w="1298" w:type="dxa"/>
            <w:shd w:val="clear" w:color="auto" w:fill="auto"/>
          </w:tcPr>
          <w:p w:rsidR="001B79C6" w:rsidRPr="002A5734" w:rsidRDefault="001B79C6" w:rsidP="00834402">
            <w:pPr>
              <w:pStyle w:val="NoSpacing"/>
              <w:bidi w:val="0"/>
              <w:jc w:val="center"/>
            </w:pPr>
            <w:r w:rsidRPr="002A5734">
              <w:t>125(46.3)</w:t>
            </w:r>
          </w:p>
        </w:tc>
        <w:tc>
          <w:tcPr>
            <w:tcW w:w="1193" w:type="dxa"/>
            <w:shd w:val="clear" w:color="auto" w:fill="auto"/>
          </w:tcPr>
          <w:p w:rsidR="001B79C6" w:rsidRPr="002A5734" w:rsidRDefault="001B79C6" w:rsidP="00834402">
            <w:pPr>
              <w:pStyle w:val="NoSpacing"/>
              <w:bidi w:val="0"/>
              <w:jc w:val="center"/>
            </w:pPr>
            <w:r w:rsidRPr="002A5734">
              <w:t>88(70.4)</w:t>
            </w:r>
          </w:p>
        </w:tc>
        <w:tc>
          <w:tcPr>
            <w:tcW w:w="670" w:type="dxa"/>
            <w:shd w:val="clear" w:color="auto" w:fill="auto"/>
          </w:tcPr>
          <w:p w:rsidR="001B79C6" w:rsidRPr="002A5734" w:rsidRDefault="001B79C6" w:rsidP="00834402">
            <w:pPr>
              <w:pStyle w:val="NoSpacing"/>
              <w:bidi w:val="0"/>
              <w:jc w:val="center"/>
            </w:pPr>
            <w:r w:rsidRPr="002A5734">
              <w:t>0.94</w:t>
            </w:r>
          </w:p>
        </w:tc>
        <w:tc>
          <w:tcPr>
            <w:tcW w:w="1162" w:type="dxa"/>
            <w:shd w:val="clear" w:color="auto" w:fill="auto"/>
          </w:tcPr>
          <w:p w:rsidR="001B79C6" w:rsidRPr="002A5734" w:rsidRDefault="001B79C6" w:rsidP="00834402">
            <w:pPr>
              <w:pStyle w:val="NoSpacing"/>
              <w:bidi w:val="0"/>
              <w:jc w:val="center"/>
            </w:pPr>
            <w:r w:rsidRPr="002A5734">
              <w:t>0.8-1.09</w:t>
            </w:r>
          </w:p>
        </w:tc>
        <w:tc>
          <w:tcPr>
            <w:tcW w:w="871" w:type="dxa"/>
            <w:shd w:val="clear" w:color="auto" w:fill="auto"/>
          </w:tcPr>
          <w:p w:rsidR="001B79C6" w:rsidRPr="002A5734" w:rsidRDefault="001B79C6" w:rsidP="00834402">
            <w:pPr>
              <w:pStyle w:val="NoSpacing"/>
              <w:bidi w:val="0"/>
              <w:jc w:val="center"/>
            </w:pPr>
            <w:r w:rsidRPr="002A5734">
              <w:t>0.78</w:t>
            </w:r>
          </w:p>
        </w:tc>
        <w:tc>
          <w:tcPr>
            <w:tcW w:w="1124" w:type="dxa"/>
            <w:shd w:val="clear" w:color="auto" w:fill="auto"/>
          </w:tcPr>
          <w:p w:rsidR="001B79C6" w:rsidRPr="002A5734" w:rsidRDefault="001B79C6" w:rsidP="00834402">
            <w:pPr>
              <w:pStyle w:val="NoSpacing"/>
              <w:bidi w:val="0"/>
              <w:jc w:val="center"/>
            </w:pPr>
            <w:r w:rsidRPr="002A5734">
              <w:t>0.37</w:t>
            </w:r>
          </w:p>
        </w:tc>
      </w:tr>
      <w:tr w:rsidR="001B79C6" w:rsidRPr="002A5734" w:rsidTr="001000F5">
        <w:trPr>
          <w:trHeight w:val="232"/>
          <w:jc w:val="center"/>
        </w:trPr>
        <w:tc>
          <w:tcPr>
            <w:tcW w:w="1587" w:type="dxa"/>
            <w:vMerge w:val="restart"/>
            <w:shd w:val="clear" w:color="auto" w:fill="F2F2F2"/>
            <w:vAlign w:val="center"/>
          </w:tcPr>
          <w:p w:rsidR="001B79C6" w:rsidRPr="002A5734" w:rsidRDefault="001B79C6" w:rsidP="00834402">
            <w:pPr>
              <w:pStyle w:val="NoSpacing"/>
              <w:bidi w:val="0"/>
              <w:rPr>
                <w:b/>
                <w:bCs/>
              </w:rPr>
            </w:pPr>
            <w:r w:rsidRPr="002A5734">
              <w:rPr>
                <w:b/>
                <w:bCs/>
              </w:rPr>
              <w:t>Occupation</w:t>
            </w:r>
          </w:p>
        </w:tc>
        <w:tc>
          <w:tcPr>
            <w:tcW w:w="1475" w:type="dxa"/>
            <w:shd w:val="clear" w:color="auto" w:fill="F2F2F2"/>
          </w:tcPr>
          <w:p w:rsidR="001B79C6" w:rsidRPr="002A5734" w:rsidRDefault="001B79C6" w:rsidP="00834402">
            <w:pPr>
              <w:pStyle w:val="NoSpacing"/>
              <w:bidi w:val="0"/>
              <w:jc w:val="center"/>
              <w:rPr>
                <w:b/>
                <w:bCs/>
              </w:rPr>
            </w:pPr>
            <w:r w:rsidRPr="002A5734">
              <w:rPr>
                <w:b/>
                <w:bCs/>
              </w:rPr>
              <w:t>Employee</w:t>
            </w:r>
          </w:p>
        </w:tc>
        <w:tc>
          <w:tcPr>
            <w:tcW w:w="1298" w:type="dxa"/>
            <w:shd w:val="clear" w:color="auto" w:fill="auto"/>
          </w:tcPr>
          <w:p w:rsidR="001B79C6" w:rsidRPr="002A5734" w:rsidRDefault="001B79C6" w:rsidP="00834402">
            <w:pPr>
              <w:pStyle w:val="NoSpacing"/>
              <w:bidi w:val="0"/>
              <w:jc w:val="center"/>
              <w:rPr>
                <w:b/>
                <w:bCs/>
              </w:rPr>
            </w:pPr>
            <w:r w:rsidRPr="002A5734">
              <w:t>98(36.3)</w:t>
            </w:r>
          </w:p>
        </w:tc>
        <w:tc>
          <w:tcPr>
            <w:tcW w:w="1193" w:type="dxa"/>
            <w:shd w:val="clear" w:color="auto" w:fill="auto"/>
          </w:tcPr>
          <w:p w:rsidR="001B79C6" w:rsidRPr="002A5734" w:rsidRDefault="001B79C6" w:rsidP="00834402">
            <w:pPr>
              <w:pStyle w:val="NoSpacing"/>
              <w:bidi w:val="0"/>
              <w:jc w:val="center"/>
            </w:pPr>
            <w:r w:rsidRPr="002A5734">
              <w:t>73(74.5)</w:t>
            </w:r>
          </w:p>
        </w:tc>
        <w:tc>
          <w:tcPr>
            <w:tcW w:w="670" w:type="dxa"/>
            <w:shd w:val="clear" w:color="auto" w:fill="auto"/>
          </w:tcPr>
          <w:p w:rsidR="001B79C6" w:rsidRPr="002A5734" w:rsidRDefault="001B79C6" w:rsidP="00834402">
            <w:pPr>
              <w:pStyle w:val="NoSpacing"/>
              <w:bidi w:val="0"/>
              <w:jc w:val="center"/>
            </w:pPr>
            <w:r w:rsidRPr="002A5734">
              <w:t>1.13</w:t>
            </w:r>
          </w:p>
        </w:tc>
        <w:tc>
          <w:tcPr>
            <w:tcW w:w="1162" w:type="dxa"/>
            <w:shd w:val="clear" w:color="auto" w:fill="auto"/>
          </w:tcPr>
          <w:p w:rsidR="001B79C6" w:rsidRPr="002A5734" w:rsidRDefault="001B79C6" w:rsidP="00834402">
            <w:pPr>
              <w:pStyle w:val="NoSpacing"/>
              <w:bidi w:val="0"/>
              <w:jc w:val="center"/>
            </w:pPr>
            <w:r w:rsidRPr="002A5734">
              <w:t>0.6-2.06</w:t>
            </w:r>
          </w:p>
        </w:tc>
        <w:tc>
          <w:tcPr>
            <w:tcW w:w="871" w:type="dxa"/>
            <w:shd w:val="clear" w:color="auto" w:fill="auto"/>
          </w:tcPr>
          <w:p w:rsidR="001B79C6" w:rsidRPr="002A5734" w:rsidRDefault="001B79C6" w:rsidP="00834402">
            <w:pPr>
              <w:pStyle w:val="NoSpacing"/>
              <w:bidi w:val="0"/>
              <w:jc w:val="center"/>
            </w:pPr>
            <w:r w:rsidRPr="002A5734">
              <w:t>0.18</w:t>
            </w:r>
          </w:p>
        </w:tc>
        <w:tc>
          <w:tcPr>
            <w:tcW w:w="1124" w:type="dxa"/>
            <w:shd w:val="clear" w:color="auto" w:fill="auto"/>
          </w:tcPr>
          <w:p w:rsidR="001B79C6" w:rsidRPr="002A5734" w:rsidRDefault="001B79C6" w:rsidP="00834402">
            <w:pPr>
              <w:pStyle w:val="NoSpacing"/>
              <w:bidi w:val="0"/>
              <w:jc w:val="center"/>
            </w:pPr>
            <w:r w:rsidRPr="002A5734">
              <w:t>0.66</w:t>
            </w:r>
          </w:p>
        </w:tc>
      </w:tr>
      <w:tr w:rsidR="001B79C6" w:rsidRPr="002A5734" w:rsidTr="001000F5">
        <w:trPr>
          <w:trHeight w:val="232"/>
          <w:jc w:val="center"/>
        </w:trPr>
        <w:tc>
          <w:tcPr>
            <w:tcW w:w="1587" w:type="dxa"/>
            <w:vMerge/>
            <w:shd w:val="clear" w:color="auto" w:fill="F2F2F2"/>
            <w:vAlign w:val="center"/>
          </w:tcPr>
          <w:p w:rsidR="001B79C6" w:rsidRPr="002A5734" w:rsidRDefault="001B79C6" w:rsidP="00834402">
            <w:pPr>
              <w:pStyle w:val="NoSpacing"/>
              <w:bidi w:val="0"/>
              <w:rPr>
                <w:b/>
                <w:bCs/>
              </w:rPr>
            </w:pPr>
          </w:p>
        </w:tc>
        <w:tc>
          <w:tcPr>
            <w:tcW w:w="1475" w:type="dxa"/>
            <w:shd w:val="clear" w:color="auto" w:fill="F2F2F2"/>
          </w:tcPr>
          <w:p w:rsidR="001B79C6" w:rsidRPr="002A5734" w:rsidRDefault="001B79C6" w:rsidP="00834402">
            <w:pPr>
              <w:pStyle w:val="NoSpacing"/>
              <w:bidi w:val="0"/>
              <w:jc w:val="center"/>
              <w:rPr>
                <w:b/>
                <w:bCs/>
              </w:rPr>
            </w:pPr>
            <w:r w:rsidRPr="002A5734">
              <w:rPr>
                <w:b/>
                <w:bCs/>
              </w:rPr>
              <w:t>Student</w:t>
            </w:r>
          </w:p>
        </w:tc>
        <w:tc>
          <w:tcPr>
            <w:tcW w:w="1298" w:type="dxa"/>
            <w:shd w:val="clear" w:color="auto" w:fill="auto"/>
          </w:tcPr>
          <w:p w:rsidR="001B79C6" w:rsidRPr="002A5734" w:rsidRDefault="001B79C6" w:rsidP="00834402">
            <w:pPr>
              <w:pStyle w:val="NoSpacing"/>
              <w:bidi w:val="0"/>
              <w:jc w:val="center"/>
              <w:rPr>
                <w:b/>
                <w:bCs/>
              </w:rPr>
            </w:pPr>
            <w:r w:rsidRPr="002A5734">
              <w:t>98(36.3)</w:t>
            </w:r>
          </w:p>
        </w:tc>
        <w:tc>
          <w:tcPr>
            <w:tcW w:w="1193" w:type="dxa"/>
            <w:shd w:val="clear" w:color="auto" w:fill="auto"/>
          </w:tcPr>
          <w:p w:rsidR="001B79C6" w:rsidRPr="002A5734" w:rsidRDefault="001B79C6" w:rsidP="00834402">
            <w:pPr>
              <w:pStyle w:val="NoSpacing"/>
              <w:bidi w:val="0"/>
              <w:jc w:val="center"/>
            </w:pPr>
            <w:r w:rsidRPr="002A5734">
              <w:t>71(72.5)</w:t>
            </w:r>
          </w:p>
        </w:tc>
        <w:tc>
          <w:tcPr>
            <w:tcW w:w="670" w:type="dxa"/>
            <w:shd w:val="clear" w:color="auto" w:fill="auto"/>
          </w:tcPr>
          <w:p w:rsidR="001B79C6" w:rsidRPr="002A5734" w:rsidRDefault="001B79C6" w:rsidP="00834402">
            <w:pPr>
              <w:pStyle w:val="NoSpacing"/>
              <w:bidi w:val="0"/>
              <w:jc w:val="center"/>
            </w:pPr>
            <w:r w:rsidRPr="002A5734">
              <w:t>0.99</w:t>
            </w:r>
          </w:p>
        </w:tc>
        <w:tc>
          <w:tcPr>
            <w:tcW w:w="1162" w:type="dxa"/>
            <w:shd w:val="clear" w:color="auto" w:fill="auto"/>
          </w:tcPr>
          <w:p w:rsidR="001B79C6" w:rsidRPr="002A5734" w:rsidRDefault="001B79C6" w:rsidP="00834402">
            <w:pPr>
              <w:pStyle w:val="NoSpacing"/>
              <w:bidi w:val="0"/>
              <w:jc w:val="center"/>
            </w:pPr>
            <w:r w:rsidRPr="002A5734">
              <w:t>0.85-1.15</w:t>
            </w:r>
          </w:p>
        </w:tc>
        <w:tc>
          <w:tcPr>
            <w:tcW w:w="871" w:type="dxa"/>
            <w:shd w:val="clear" w:color="auto" w:fill="auto"/>
          </w:tcPr>
          <w:p w:rsidR="001B79C6" w:rsidRPr="002A5734" w:rsidRDefault="001B79C6" w:rsidP="00834402">
            <w:pPr>
              <w:pStyle w:val="NoSpacing"/>
              <w:bidi w:val="0"/>
              <w:jc w:val="center"/>
            </w:pPr>
            <w:r w:rsidRPr="002A5734">
              <w:t>0.02</w:t>
            </w:r>
          </w:p>
        </w:tc>
        <w:tc>
          <w:tcPr>
            <w:tcW w:w="1124" w:type="dxa"/>
            <w:shd w:val="clear" w:color="auto" w:fill="auto"/>
          </w:tcPr>
          <w:p w:rsidR="001B79C6" w:rsidRPr="002A5734" w:rsidRDefault="001B79C6" w:rsidP="00834402">
            <w:pPr>
              <w:pStyle w:val="NoSpacing"/>
              <w:bidi w:val="0"/>
              <w:jc w:val="center"/>
            </w:pPr>
            <w:r w:rsidRPr="002A5734">
              <w:t>0.88</w:t>
            </w:r>
          </w:p>
        </w:tc>
      </w:tr>
      <w:tr w:rsidR="001B79C6" w:rsidRPr="002A5734" w:rsidTr="001000F5">
        <w:trPr>
          <w:trHeight w:val="232"/>
          <w:jc w:val="center"/>
        </w:trPr>
        <w:tc>
          <w:tcPr>
            <w:tcW w:w="1587" w:type="dxa"/>
            <w:vMerge/>
            <w:shd w:val="clear" w:color="auto" w:fill="F2F2F2"/>
            <w:vAlign w:val="center"/>
          </w:tcPr>
          <w:p w:rsidR="001B79C6" w:rsidRPr="002A5734" w:rsidRDefault="001B79C6" w:rsidP="00834402">
            <w:pPr>
              <w:pStyle w:val="NoSpacing"/>
              <w:bidi w:val="0"/>
              <w:rPr>
                <w:b/>
                <w:bCs/>
              </w:rPr>
            </w:pPr>
          </w:p>
        </w:tc>
        <w:tc>
          <w:tcPr>
            <w:tcW w:w="1475" w:type="dxa"/>
            <w:shd w:val="clear" w:color="auto" w:fill="F2F2F2"/>
          </w:tcPr>
          <w:p w:rsidR="001B79C6" w:rsidRPr="002A5734" w:rsidRDefault="001B79C6" w:rsidP="00834402">
            <w:pPr>
              <w:pStyle w:val="NoSpacing"/>
              <w:bidi w:val="0"/>
              <w:jc w:val="center"/>
              <w:rPr>
                <w:b/>
                <w:bCs/>
              </w:rPr>
            </w:pPr>
            <w:r w:rsidRPr="002A5734">
              <w:rPr>
                <w:b/>
                <w:bCs/>
              </w:rPr>
              <w:t>House-wife</w:t>
            </w:r>
          </w:p>
        </w:tc>
        <w:tc>
          <w:tcPr>
            <w:tcW w:w="1298" w:type="dxa"/>
            <w:shd w:val="clear" w:color="auto" w:fill="auto"/>
          </w:tcPr>
          <w:p w:rsidR="001B79C6" w:rsidRPr="002A5734" w:rsidRDefault="001B79C6" w:rsidP="00834402">
            <w:pPr>
              <w:pStyle w:val="NoSpacing"/>
              <w:bidi w:val="0"/>
              <w:jc w:val="center"/>
            </w:pPr>
            <w:r w:rsidRPr="002A5734">
              <w:t>74(27.4)</w:t>
            </w:r>
          </w:p>
        </w:tc>
        <w:tc>
          <w:tcPr>
            <w:tcW w:w="1193" w:type="dxa"/>
            <w:shd w:val="clear" w:color="auto" w:fill="auto"/>
          </w:tcPr>
          <w:p w:rsidR="001B79C6" w:rsidRPr="002A5734" w:rsidRDefault="001B79C6" w:rsidP="00834402">
            <w:pPr>
              <w:pStyle w:val="NoSpacing"/>
              <w:bidi w:val="0"/>
              <w:jc w:val="center"/>
            </w:pPr>
            <w:r w:rsidRPr="002A5734">
              <w:t>53(71.6)</w:t>
            </w:r>
          </w:p>
        </w:tc>
        <w:tc>
          <w:tcPr>
            <w:tcW w:w="670" w:type="dxa"/>
            <w:shd w:val="clear" w:color="auto" w:fill="auto"/>
          </w:tcPr>
          <w:p w:rsidR="001B79C6" w:rsidRPr="002A5734" w:rsidRDefault="001B79C6" w:rsidP="00834402">
            <w:pPr>
              <w:pStyle w:val="NoSpacing"/>
              <w:bidi w:val="0"/>
              <w:jc w:val="center"/>
            </w:pPr>
            <w:r w:rsidRPr="002A5734">
              <w:t>0.98</w:t>
            </w:r>
          </w:p>
        </w:tc>
        <w:tc>
          <w:tcPr>
            <w:tcW w:w="1162" w:type="dxa"/>
            <w:shd w:val="clear" w:color="auto" w:fill="auto"/>
          </w:tcPr>
          <w:p w:rsidR="001B79C6" w:rsidRPr="002A5734" w:rsidRDefault="001B79C6" w:rsidP="00834402">
            <w:pPr>
              <w:pStyle w:val="NoSpacing"/>
              <w:bidi w:val="0"/>
              <w:jc w:val="center"/>
            </w:pPr>
            <w:r w:rsidRPr="002A5734">
              <w:t>0.8-1.2</w:t>
            </w:r>
          </w:p>
        </w:tc>
        <w:tc>
          <w:tcPr>
            <w:tcW w:w="871" w:type="dxa"/>
            <w:shd w:val="clear" w:color="auto" w:fill="auto"/>
          </w:tcPr>
          <w:p w:rsidR="001B79C6" w:rsidRPr="002A5734" w:rsidRDefault="001B79C6" w:rsidP="00834402">
            <w:pPr>
              <w:pStyle w:val="NoSpacing"/>
              <w:bidi w:val="0"/>
              <w:jc w:val="center"/>
            </w:pPr>
            <w:r w:rsidRPr="002A5734">
              <w:t>0.06</w:t>
            </w:r>
          </w:p>
        </w:tc>
        <w:tc>
          <w:tcPr>
            <w:tcW w:w="1124" w:type="dxa"/>
            <w:shd w:val="clear" w:color="auto" w:fill="auto"/>
          </w:tcPr>
          <w:p w:rsidR="001B79C6" w:rsidRPr="002A5734" w:rsidRDefault="001B79C6" w:rsidP="00834402">
            <w:pPr>
              <w:pStyle w:val="NoSpacing"/>
              <w:bidi w:val="0"/>
              <w:jc w:val="center"/>
            </w:pPr>
            <w:r w:rsidRPr="002A5734">
              <w:t>0.8</w:t>
            </w:r>
          </w:p>
        </w:tc>
      </w:tr>
      <w:tr w:rsidR="001B79C6" w:rsidRPr="002A5734" w:rsidTr="001000F5">
        <w:trPr>
          <w:trHeight w:val="232"/>
          <w:jc w:val="center"/>
        </w:trPr>
        <w:tc>
          <w:tcPr>
            <w:tcW w:w="1587" w:type="dxa"/>
            <w:vMerge w:val="restart"/>
            <w:shd w:val="clear" w:color="auto" w:fill="F2F2F2"/>
            <w:vAlign w:val="center"/>
          </w:tcPr>
          <w:p w:rsidR="001B79C6" w:rsidRPr="002A5734" w:rsidRDefault="001B79C6" w:rsidP="00834402">
            <w:pPr>
              <w:pStyle w:val="NoSpacing"/>
              <w:bidi w:val="0"/>
              <w:rPr>
                <w:b/>
                <w:bCs/>
              </w:rPr>
            </w:pPr>
            <w:r w:rsidRPr="002A5734">
              <w:rPr>
                <w:b/>
                <w:bCs/>
              </w:rPr>
              <w:t>Education level</w:t>
            </w:r>
          </w:p>
        </w:tc>
        <w:tc>
          <w:tcPr>
            <w:tcW w:w="1475" w:type="dxa"/>
            <w:shd w:val="clear" w:color="auto" w:fill="F2F2F2"/>
          </w:tcPr>
          <w:p w:rsidR="001B79C6" w:rsidRPr="002A5734" w:rsidRDefault="001B79C6" w:rsidP="00834402">
            <w:pPr>
              <w:pStyle w:val="NoSpacing"/>
              <w:bidi w:val="0"/>
              <w:jc w:val="center"/>
              <w:rPr>
                <w:b/>
                <w:bCs/>
              </w:rPr>
            </w:pPr>
            <w:r w:rsidRPr="002A5734">
              <w:rPr>
                <w:b/>
                <w:bCs/>
              </w:rPr>
              <w:t>Illiterate</w:t>
            </w:r>
          </w:p>
        </w:tc>
        <w:tc>
          <w:tcPr>
            <w:tcW w:w="1298" w:type="dxa"/>
            <w:shd w:val="clear" w:color="auto" w:fill="auto"/>
          </w:tcPr>
          <w:p w:rsidR="001B79C6" w:rsidRPr="002A5734" w:rsidRDefault="001B79C6" w:rsidP="00834402">
            <w:pPr>
              <w:pStyle w:val="NoSpacing"/>
              <w:bidi w:val="0"/>
              <w:jc w:val="center"/>
            </w:pPr>
            <w:r w:rsidRPr="002A5734">
              <w:t>33(12.2)</w:t>
            </w:r>
          </w:p>
        </w:tc>
        <w:tc>
          <w:tcPr>
            <w:tcW w:w="1193" w:type="dxa"/>
            <w:shd w:val="clear" w:color="auto" w:fill="auto"/>
          </w:tcPr>
          <w:p w:rsidR="001B79C6" w:rsidRPr="002A5734" w:rsidRDefault="001B79C6" w:rsidP="00834402">
            <w:pPr>
              <w:pStyle w:val="NoSpacing"/>
              <w:bidi w:val="0"/>
              <w:jc w:val="center"/>
            </w:pPr>
            <w:r w:rsidRPr="002A5734">
              <w:t>30(90.9)</w:t>
            </w:r>
          </w:p>
        </w:tc>
        <w:tc>
          <w:tcPr>
            <w:tcW w:w="670" w:type="dxa"/>
            <w:shd w:val="clear" w:color="auto" w:fill="auto"/>
          </w:tcPr>
          <w:p w:rsidR="001B79C6" w:rsidRPr="002A5734" w:rsidRDefault="001B79C6" w:rsidP="00834402">
            <w:pPr>
              <w:pStyle w:val="NoSpacing"/>
              <w:bidi w:val="0"/>
              <w:jc w:val="center"/>
            </w:pPr>
            <w:r w:rsidRPr="002A5734">
              <w:t>1.29</w:t>
            </w:r>
          </w:p>
        </w:tc>
        <w:tc>
          <w:tcPr>
            <w:tcW w:w="1162" w:type="dxa"/>
            <w:shd w:val="clear" w:color="auto" w:fill="auto"/>
          </w:tcPr>
          <w:p w:rsidR="001B79C6" w:rsidRPr="002A5734" w:rsidRDefault="001B79C6" w:rsidP="00834402">
            <w:pPr>
              <w:pStyle w:val="NoSpacing"/>
              <w:bidi w:val="0"/>
              <w:jc w:val="center"/>
            </w:pPr>
            <w:r w:rsidRPr="002A5734">
              <w:t>1.13-1.48</w:t>
            </w:r>
          </w:p>
        </w:tc>
        <w:tc>
          <w:tcPr>
            <w:tcW w:w="871" w:type="dxa"/>
            <w:shd w:val="clear" w:color="auto" w:fill="auto"/>
          </w:tcPr>
          <w:p w:rsidR="001B79C6" w:rsidRPr="002A5734" w:rsidRDefault="001B79C6" w:rsidP="00834402">
            <w:pPr>
              <w:pStyle w:val="NoSpacing"/>
              <w:bidi w:val="0"/>
              <w:jc w:val="center"/>
            </w:pPr>
            <w:r w:rsidRPr="002A5734">
              <w:t>6.14</w:t>
            </w:r>
          </w:p>
        </w:tc>
        <w:tc>
          <w:tcPr>
            <w:tcW w:w="1124" w:type="dxa"/>
            <w:shd w:val="clear" w:color="auto" w:fill="auto"/>
          </w:tcPr>
          <w:p w:rsidR="001B79C6" w:rsidRPr="002A5734" w:rsidRDefault="001B79C6" w:rsidP="00834402">
            <w:pPr>
              <w:pStyle w:val="NoSpacing"/>
              <w:bidi w:val="0"/>
              <w:jc w:val="center"/>
            </w:pPr>
            <w:r w:rsidRPr="002A5734">
              <w:t>0.01</w:t>
            </w:r>
          </w:p>
        </w:tc>
      </w:tr>
      <w:tr w:rsidR="001B79C6" w:rsidRPr="002A5734" w:rsidTr="001000F5">
        <w:trPr>
          <w:trHeight w:val="232"/>
          <w:jc w:val="center"/>
        </w:trPr>
        <w:tc>
          <w:tcPr>
            <w:tcW w:w="1587" w:type="dxa"/>
            <w:vMerge/>
            <w:shd w:val="clear" w:color="auto" w:fill="F2F2F2"/>
            <w:vAlign w:val="center"/>
          </w:tcPr>
          <w:p w:rsidR="001B79C6" w:rsidRPr="002A5734" w:rsidRDefault="001B79C6" w:rsidP="00834402">
            <w:pPr>
              <w:pStyle w:val="NoSpacing"/>
              <w:bidi w:val="0"/>
              <w:rPr>
                <w:b/>
                <w:bCs/>
              </w:rPr>
            </w:pPr>
          </w:p>
        </w:tc>
        <w:tc>
          <w:tcPr>
            <w:tcW w:w="1475" w:type="dxa"/>
            <w:shd w:val="clear" w:color="auto" w:fill="F2F2F2"/>
          </w:tcPr>
          <w:p w:rsidR="001B79C6" w:rsidRPr="002A5734" w:rsidRDefault="001B79C6" w:rsidP="00834402">
            <w:pPr>
              <w:pStyle w:val="NoSpacing"/>
              <w:bidi w:val="0"/>
              <w:jc w:val="center"/>
              <w:rPr>
                <w:b/>
                <w:bCs/>
              </w:rPr>
            </w:pPr>
            <w:r w:rsidRPr="002A5734">
              <w:rPr>
                <w:b/>
                <w:bCs/>
              </w:rPr>
              <w:t>Primary</w:t>
            </w:r>
          </w:p>
        </w:tc>
        <w:tc>
          <w:tcPr>
            <w:tcW w:w="1298" w:type="dxa"/>
            <w:shd w:val="clear" w:color="auto" w:fill="auto"/>
          </w:tcPr>
          <w:p w:rsidR="001B79C6" w:rsidRPr="002A5734" w:rsidRDefault="001B79C6" w:rsidP="00834402">
            <w:pPr>
              <w:pStyle w:val="NoSpacing"/>
              <w:bidi w:val="0"/>
              <w:jc w:val="center"/>
            </w:pPr>
            <w:r w:rsidRPr="002A5734">
              <w:t>24(8.9)</w:t>
            </w:r>
          </w:p>
        </w:tc>
        <w:tc>
          <w:tcPr>
            <w:tcW w:w="1193" w:type="dxa"/>
            <w:shd w:val="clear" w:color="auto" w:fill="auto"/>
          </w:tcPr>
          <w:p w:rsidR="001B79C6" w:rsidRPr="002A5734" w:rsidRDefault="001B79C6" w:rsidP="00834402">
            <w:pPr>
              <w:pStyle w:val="NoSpacing"/>
              <w:bidi w:val="0"/>
              <w:jc w:val="center"/>
              <w:rPr>
                <w:rtl/>
              </w:rPr>
            </w:pPr>
            <w:r w:rsidRPr="002A5734">
              <w:t>12(50)</w:t>
            </w:r>
          </w:p>
        </w:tc>
        <w:tc>
          <w:tcPr>
            <w:tcW w:w="670" w:type="dxa"/>
            <w:shd w:val="clear" w:color="auto" w:fill="auto"/>
          </w:tcPr>
          <w:p w:rsidR="001B79C6" w:rsidRPr="002A5734" w:rsidRDefault="001B79C6" w:rsidP="00834402">
            <w:pPr>
              <w:pStyle w:val="NoSpacing"/>
              <w:bidi w:val="0"/>
              <w:jc w:val="center"/>
            </w:pPr>
            <w:r w:rsidRPr="002A5734">
              <w:t>0.66</w:t>
            </w:r>
          </w:p>
        </w:tc>
        <w:tc>
          <w:tcPr>
            <w:tcW w:w="1162" w:type="dxa"/>
            <w:shd w:val="clear" w:color="auto" w:fill="auto"/>
          </w:tcPr>
          <w:p w:rsidR="001B79C6" w:rsidRPr="002A5734" w:rsidRDefault="001B79C6" w:rsidP="00834402">
            <w:pPr>
              <w:pStyle w:val="NoSpacing"/>
              <w:bidi w:val="0"/>
              <w:jc w:val="center"/>
            </w:pPr>
            <w:r w:rsidRPr="002A5734">
              <w:t>0.44-1.0</w:t>
            </w:r>
          </w:p>
        </w:tc>
        <w:tc>
          <w:tcPr>
            <w:tcW w:w="871" w:type="dxa"/>
            <w:shd w:val="clear" w:color="auto" w:fill="auto"/>
          </w:tcPr>
          <w:p w:rsidR="001B79C6" w:rsidRPr="002A5734" w:rsidRDefault="001B79C6" w:rsidP="00834402">
            <w:pPr>
              <w:pStyle w:val="NoSpacing"/>
              <w:bidi w:val="0"/>
              <w:jc w:val="center"/>
            </w:pPr>
            <w:r w:rsidRPr="002A5734">
              <w:t>7.04</w:t>
            </w:r>
          </w:p>
        </w:tc>
        <w:tc>
          <w:tcPr>
            <w:tcW w:w="1124" w:type="dxa"/>
            <w:shd w:val="clear" w:color="auto" w:fill="auto"/>
          </w:tcPr>
          <w:p w:rsidR="001B79C6" w:rsidRPr="002A5734" w:rsidRDefault="001B79C6" w:rsidP="00834402">
            <w:pPr>
              <w:pStyle w:val="NoSpacing"/>
              <w:bidi w:val="0"/>
              <w:jc w:val="center"/>
              <w:rPr>
                <w:color w:val="FF0000"/>
              </w:rPr>
            </w:pPr>
            <w:r w:rsidRPr="002A5734">
              <w:t>0.007</w:t>
            </w:r>
          </w:p>
        </w:tc>
      </w:tr>
      <w:tr w:rsidR="001B79C6" w:rsidRPr="002A5734" w:rsidTr="001000F5">
        <w:trPr>
          <w:trHeight w:val="232"/>
          <w:jc w:val="center"/>
        </w:trPr>
        <w:tc>
          <w:tcPr>
            <w:tcW w:w="1587" w:type="dxa"/>
            <w:vMerge/>
            <w:shd w:val="clear" w:color="auto" w:fill="F2F2F2"/>
            <w:vAlign w:val="center"/>
          </w:tcPr>
          <w:p w:rsidR="001B79C6" w:rsidRPr="002A5734" w:rsidRDefault="001B79C6" w:rsidP="00834402">
            <w:pPr>
              <w:pStyle w:val="NoSpacing"/>
              <w:bidi w:val="0"/>
              <w:rPr>
                <w:b/>
                <w:bCs/>
              </w:rPr>
            </w:pPr>
          </w:p>
        </w:tc>
        <w:tc>
          <w:tcPr>
            <w:tcW w:w="1475" w:type="dxa"/>
            <w:shd w:val="clear" w:color="auto" w:fill="F2F2F2"/>
          </w:tcPr>
          <w:p w:rsidR="001B79C6" w:rsidRPr="002A5734" w:rsidRDefault="001B79C6" w:rsidP="00834402">
            <w:pPr>
              <w:pStyle w:val="NoSpacing"/>
              <w:bidi w:val="0"/>
              <w:jc w:val="center"/>
              <w:rPr>
                <w:b/>
                <w:bCs/>
              </w:rPr>
            </w:pPr>
            <w:r w:rsidRPr="002A5734">
              <w:rPr>
                <w:b/>
                <w:bCs/>
              </w:rPr>
              <w:t>Elementary</w:t>
            </w:r>
          </w:p>
        </w:tc>
        <w:tc>
          <w:tcPr>
            <w:tcW w:w="1298" w:type="dxa"/>
            <w:shd w:val="clear" w:color="auto" w:fill="auto"/>
          </w:tcPr>
          <w:p w:rsidR="001B79C6" w:rsidRPr="002A5734" w:rsidRDefault="001B79C6" w:rsidP="00834402">
            <w:pPr>
              <w:pStyle w:val="NoSpacing"/>
              <w:bidi w:val="0"/>
              <w:jc w:val="center"/>
            </w:pPr>
            <w:r w:rsidRPr="002A5734">
              <w:t>42(15.6)</w:t>
            </w:r>
          </w:p>
        </w:tc>
        <w:tc>
          <w:tcPr>
            <w:tcW w:w="1193" w:type="dxa"/>
            <w:shd w:val="clear" w:color="auto" w:fill="auto"/>
          </w:tcPr>
          <w:p w:rsidR="001B79C6" w:rsidRPr="002A5734" w:rsidRDefault="001B79C6" w:rsidP="00834402">
            <w:pPr>
              <w:pStyle w:val="NoSpacing"/>
              <w:bidi w:val="0"/>
              <w:jc w:val="center"/>
            </w:pPr>
            <w:r w:rsidRPr="002A5734">
              <w:t>16(38.1)</w:t>
            </w:r>
          </w:p>
        </w:tc>
        <w:tc>
          <w:tcPr>
            <w:tcW w:w="670" w:type="dxa"/>
            <w:shd w:val="clear" w:color="auto" w:fill="auto"/>
          </w:tcPr>
          <w:p w:rsidR="001B79C6" w:rsidRPr="002A5734" w:rsidRDefault="001B79C6" w:rsidP="00834402">
            <w:pPr>
              <w:pStyle w:val="NoSpacing"/>
              <w:bidi w:val="0"/>
              <w:jc w:val="center"/>
            </w:pPr>
            <w:r w:rsidRPr="002A5734">
              <w:t>0.48</w:t>
            </w:r>
          </w:p>
        </w:tc>
        <w:tc>
          <w:tcPr>
            <w:tcW w:w="1162" w:type="dxa"/>
            <w:shd w:val="clear" w:color="auto" w:fill="auto"/>
          </w:tcPr>
          <w:p w:rsidR="001B79C6" w:rsidRPr="002A5734" w:rsidRDefault="001B79C6" w:rsidP="00834402">
            <w:pPr>
              <w:pStyle w:val="NoSpacing"/>
              <w:bidi w:val="0"/>
              <w:jc w:val="center"/>
            </w:pPr>
            <w:r w:rsidRPr="002A5734">
              <w:t>0.32-0.71</w:t>
            </w:r>
          </w:p>
        </w:tc>
        <w:tc>
          <w:tcPr>
            <w:tcW w:w="871" w:type="dxa"/>
            <w:shd w:val="clear" w:color="auto" w:fill="auto"/>
          </w:tcPr>
          <w:p w:rsidR="001B79C6" w:rsidRPr="002A5734" w:rsidRDefault="001B79C6" w:rsidP="00834402">
            <w:pPr>
              <w:pStyle w:val="NoSpacing"/>
              <w:bidi w:val="0"/>
              <w:jc w:val="center"/>
            </w:pPr>
            <w:r w:rsidRPr="002A5734">
              <w:t>30.60</w:t>
            </w:r>
          </w:p>
        </w:tc>
        <w:tc>
          <w:tcPr>
            <w:tcW w:w="1124" w:type="dxa"/>
            <w:shd w:val="clear" w:color="auto" w:fill="auto"/>
          </w:tcPr>
          <w:p w:rsidR="001B79C6" w:rsidRPr="002A5734" w:rsidRDefault="001B79C6" w:rsidP="00834402">
            <w:pPr>
              <w:pStyle w:val="NoSpacing"/>
              <w:bidi w:val="0"/>
              <w:jc w:val="center"/>
            </w:pPr>
            <w:r w:rsidRPr="002A5734">
              <w:t>0.000001</w:t>
            </w:r>
          </w:p>
        </w:tc>
      </w:tr>
      <w:tr w:rsidR="001B79C6" w:rsidRPr="002A5734" w:rsidTr="001000F5">
        <w:trPr>
          <w:trHeight w:val="232"/>
          <w:jc w:val="center"/>
        </w:trPr>
        <w:tc>
          <w:tcPr>
            <w:tcW w:w="1587" w:type="dxa"/>
            <w:vMerge/>
            <w:shd w:val="clear" w:color="auto" w:fill="F2F2F2"/>
            <w:vAlign w:val="center"/>
          </w:tcPr>
          <w:p w:rsidR="001B79C6" w:rsidRPr="002A5734" w:rsidRDefault="001B79C6" w:rsidP="00834402">
            <w:pPr>
              <w:pStyle w:val="NoSpacing"/>
              <w:bidi w:val="0"/>
              <w:rPr>
                <w:b/>
                <w:bCs/>
              </w:rPr>
            </w:pPr>
          </w:p>
        </w:tc>
        <w:tc>
          <w:tcPr>
            <w:tcW w:w="1475" w:type="dxa"/>
            <w:shd w:val="clear" w:color="auto" w:fill="F2F2F2"/>
          </w:tcPr>
          <w:p w:rsidR="001B79C6" w:rsidRPr="002A5734" w:rsidRDefault="001B79C6" w:rsidP="00834402">
            <w:pPr>
              <w:pStyle w:val="NoSpacing"/>
              <w:bidi w:val="0"/>
              <w:jc w:val="center"/>
              <w:rPr>
                <w:b/>
                <w:bCs/>
              </w:rPr>
            </w:pPr>
            <w:r w:rsidRPr="002A5734">
              <w:rPr>
                <w:b/>
                <w:bCs/>
              </w:rPr>
              <w:t>Secondary</w:t>
            </w:r>
          </w:p>
        </w:tc>
        <w:tc>
          <w:tcPr>
            <w:tcW w:w="1298" w:type="dxa"/>
            <w:shd w:val="clear" w:color="auto" w:fill="auto"/>
          </w:tcPr>
          <w:p w:rsidR="001B79C6" w:rsidRPr="002A5734" w:rsidRDefault="001B79C6" w:rsidP="00834402">
            <w:pPr>
              <w:pStyle w:val="NoSpacing"/>
              <w:bidi w:val="0"/>
              <w:jc w:val="center"/>
            </w:pPr>
            <w:r w:rsidRPr="002A5734">
              <w:t>100(37)</w:t>
            </w:r>
          </w:p>
        </w:tc>
        <w:tc>
          <w:tcPr>
            <w:tcW w:w="1193" w:type="dxa"/>
            <w:shd w:val="clear" w:color="auto" w:fill="auto"/>
          </w:tcPr>
          <w:p w:rsidR="001B79C6" w:rsidRPr="002A5734" w:rsidRDefault="001B79C6" w:rsidP="00834402">
            <w:pPr>
              <w:pStyle w:val="NoSpacing"/>
              <w:bidi w:val="0"/>
              <w:jc w:val="center"/>
            </w:pPr>
            <w:r w:rsidRPr="002A5734">
              <w:t>92(92)</w:t>
            </w:r>
          </w:p>
        </w:tc>
        <w:tc>
          <w:tcPr>
            <w:tcW w:w="670" w:type="dxa"/>
            <w:shd w:val="clear" w:color="auto" w:fill="auto"/>
          </w:tcPr>
          <w:p w:rsidR="001B79C6" w:rsidRPr="002A5734" w:rsidRDefault="001B79C6" w:rsidP="00834402">
            <w:pPr>
              <w:pStyle w:val="NoSpacing"/>
              <w:bidi w:val="0"/>
              <w:jc w:val="center"/>
            </w:pPr>
            <w:r w:rsidRPr="002A5734">
              <w:t>1.49</w:t>
            </w:r>
          </w:p>
        </w:tc>
        <w:tc>
          <w:tcPr>
            <w:tcW w:w="1162" w:type="dxa"/>
            <w:shd w:val="clear" w:color="auto" w:fill="auto"/>
          </w:tcPr>
          <w:p w:rsidR="001B79C6" w:rsidRPr="002A5734" w:rsidRDefault="001B79C6" w:rsidP="00834402">
            <w:pPr>
              <w:pStyle w:val="NoSpacing"/>
              <w:bidi w:val="0"/>
              <w:jc w:val="center"/>
            </w:pPr>
            <w:r w:rsidRPr="002A5734">
              <w:t>1.3-1.7</w:t>
            </w:r>
          </w:p>
        </w:tc>
        <w:tc>
          <w:tcPr>
            <w:tcW w:w="871" w:type="dxa"/>
            <w:shd w:val="clear" w:color="auto" w:fill="auto"/>
          </w:tcPr>
          <w:p w:rsidR="001B79C6" w:rsidRPr="002A5734" w:rsidRDefault="001B79C6" w:rsidP="00834402">
            <w:pPr>
              <w:pStyle w:val="NoSpacing"/>
              <w:bidi w:val="0"/>
              <w:jc w:val="center"/>
            </w:pPr>
            <w:r w:rsidRPr="002A5734">
              <w:t>29.18</w:t>
            </w:r>
          </w:p>
        </w:tc>
        <w:tc>
          <w:tcPr>
            <w:tcW w:w="1124" w:type="dxa"/>
            <w:shd w:val="clear" w:color="auto" w:fill="auto"/>
          </w:tcPr>
          <w:p w:rsidR="001B79C6" w:rsidRPr="002A5734" w:rsidRDefault="001B79C6" w:rsidP="00834402">
            <w:pPr>
              <w:pStyle w:val="NoSpacing"/>
              <w:bidi w:val="0"/>
              <w:jc w:val="center"/>
            </w:pPr>
            <w:r w:rsidRPr="002A5734">
              <w:t>0.000001</w:t>
            </w:r>
          </w:p>
        </w:tc>
      </w:tr>
      <w:tr w:rsidR="001B79C6" w:rsidRPr="002A5734" w:rsidTr="001000F5">
        <w:trPr>
          <w:trHeight w:val="232"/>
          <w:jc w:val="center"/>
        </w:trPr>
        <w:tc>
          <w:tcPr>
            <w:tcW w:w="1587" w:type="dxa"/>
            <w:vMerge/>
            <w:shd w:val="clear" w:color="auto" w:fill="F2F2F2"/>
            <w:vAlign w:val="center"/>
          </w:tcPr>
          <w:p w:rsidR="001B79C6" w:rsidRPr="002A5734" w:rsidRDefault="001B79C6" w:rsidP="00834402">
            <w:pPr>
              <w:pStyle w:val="NoSpacing"/>
              <w:bidi w:val="0"/>
              <w:rPr>
                <w:b/>
                <w:bCs/>
              </w:rPr>
            </w:pPr>
          </w:p>
        </w:tc>
        <w:tc>
          <w:tcPr>
            <w:tcW w:w="1475" w:type="dxa"/>
            <w:shd w:val="clear" w:color="auto" w:fill="F2F2F2"/>
          </w:tcPr>
          <w:p w:rsidR="001B79C6" w:rsidRPr="002A5734" w:rsidRDefault="001B79C6" w:rsidP="00834402">
            <w:pPr>
              <w:pStyle w:val="NoSpacing"/>
              <w:bidi w:val="0"/>
              <w:jc w:val="center"/>
              <w:rPr>
                <w:b/>
                <w:bCs/>
              </w:rPr>
            </w:pPr>
            <w:r w:rsidRPr="002A5734">
              <w:rPr>
                <w:b/>
                <w:bCs/>
              </w:rPr>
              <w:t>University</w:t>
            </w:r>
          </w:p>
        </w:tc>
        <w:tc>
          <w:tcPr>
            <w:tcW w:w="1298" w:type="dxa"/>
            <w:shd w:val="clear" w:color="auto" w:fill="auto"/>
          </w:tcPr>
          <w:p w:rsidR="001B79C6" w:rsidRPr="002A5734" w:rsidRDefault="001B79C6" w:rsidP="00834402">
            <w:pPr>
              <w:pStyle w:val="NoSpacing"/>
              <w:bidi w:val="0"/>
              <w:jc w:val="center"/>
            </w:pPr>
            <w:r w:rsidRPr="002A5734">
              <w:t>71(26.3)</w:t>
            </w:r>
          </w:p>
        </w:tc>
        <w:tc>
          <w:tcPr>
            <w:tcW w:w="1193" w:type="dxa"/>
            <w:shd w:val="clear" w:color="auto" w:fill="auto"/>
          </w:tcPr>
          <w:p w:rsidR="001B79C6" w:rsidRPr="002A5734" w:rsidRDefault="001B79C6" w:rsidP="00834402">
            <w:pPr>
              <w:pStyle w:val="NoSpacing"/>
              <w:bidi w:val="0"/>
              <w:jc w:val="center"/>
            </w:pPr>
            <w:r w:rsidRPr="002A5734">
              <w:t>47(66.2)</w:t>
            </w:r>
          </w:p>
        </w:tc>
        <w:tc>
          <w:tcPr>
            <w:tcW w:w="670" w:type="dxa"/>
            <w:shd w:val="clear" w:color="auto" w:fill="auto"/>
          </w:tcPr>
          <w:p w:rsidR="001B79C6" w:rsidRPr="002A5734" w:rsidRDefault="001B79C6" w:rsidP="00834402">
            <w:pPr>
              <w:pStyle w:val="NoSpacing"/>
              <w:bidi w:val="0"/>
              <w:jc w:val="center"/>
            </w:pPr>
            <w:r w:rsidRPr="002A5734">
              <w:t>0.88</w:t>
            </w:r>
          </w:p>
        </w:tc>
        <w:tc>
          <w:tcPr>
            <w:tcW w:w="1162" w:type="dxa"/>
            <w:shd w:val="clear" w:color="auto" w:fill="auto"/>
          </w:tcPr>
          <w:p w:rsidR="001B79C6" w:rsidRPr="002A5734" w:rsidRDefault="001B79C6" w:rsidP="00834402">
            <w:pPr>
              <w:pStyle w:val="NoSpacing"/>
              <w:bidi w:val="0"/>
              <w:jc w:val="center"/>
            </w:pPr>
            <w:r w:rsidRPr="002A5734">
              <w:t>0.37-1.06</w:t>
            </w:r>
          </w:p>
        </w:tc>
        <w:tc>
          <w:tcPr>
            <w:tcW w:w="871" w:type="dxa"/>
            <w:shd w:val="clear" w:color="auto" w:fill="auto"/>
          </w:tcPr>
          <w:p w:rsidR="001B79C6" w:rsidRPr="002A5734" w:rsidRDefault="001B79C6" w:rsidP="00834402">
            <w:pPr>
              <w:pStyle w:val="NoSpacing"/>
              <w:bidi w:val="0"/>
              <w:jc w:val="center"/>
            </w:pPr>
            <w:r w:rsidRPr="002A5734">
              <w:t>2.24</w:t>
            </w:r>
          </w:p>
        </w:tc>
        <w:tc>
          <w:tcPr>
            <w:tcW w:w="1124" w:type="dxa"/>
            <w:shd w:val="clear" w:color="auto" w:fill="auto"/>
          </w:tcPr>
          <w:p w:rsidR="001B79C6" w:rsidRPr="002A5734" w:rsidRDefault="001B79C6" w:rsidP="00834402">
            <w:pPr>
              <w:pStyle w:val="NoSpacing"/>
              <w:bidi w:val="0"/>
              <w:jc w:val="center"/>
              <w:rPr>
                <w:color w:val="FF0000"/>
              </w:rPr>
            </w:pPr>
            <w:r w:rsidRPr="002A5734">
              <w:t>0.13</w:t>
            </w:r>
          </w:p>
        </w:tc>
      </w:tr>
      <w:tr w:rsidR="001B79C6" w:rsidRPr="002A5734" w:rsidTr="001000F5">
        <w:trPr>
          <w:trHeight w:val="232"/>
          <w:jc w:val="center"/>
        </w:trPr>
        <w:tc>
          <w:tcPr>
            <w:tcW w:w="1587" w:type="dxa"/>
            <w:vMerge w:val="restart"/>
            <w:shd w:val="clear" w:color="auto" w:fill="F2F2F2"/>
            <w:vAlign w:val="center"/>
          </w:tcPr>
          <w:p w:rsidR="001B79C6" w:rsidRPr="002A5734" w:rsidRDefault="001B79C6" w:rsidP="00834402">
            <w:pPr>
              <w:pStyle w:val="NoSpacing"/>
              <w:bidi w:val="0"/>
              <w:rPr>
                <w:b/>
                <w:bCs/>
              </w:rPr>
            </w:pPr>
            <w:r w:rsidRPr="002A5734">
              <w:rPr>
                <w:b/>
                <w:bCs/>
              </w:rPr>
              <w:t>Marital state</w:t>
            </w:r>
          </w:p>
        </w:tc>
        <w:tc>
          <w:tcPr>
            <w:tcW w:w="1475" w:type="dxa"/>
            <w:shd w:val="clear" w:color="auto" w:fill="F2F2F2"/>
          </w:tcPr>
          <w:p w:rsidR="001B79C6" w:rsidRPr="002A5734" w:rsidRDefault="001B79C6" w:rsidP="00834402">
            <w:pPr>
              <w:pStyle w:val="NoSpacing"/>
              <w:bidi w:val="0"/>
              <w:jc w:val="center"/>
              <w:rPr>
                <w:b/>
                <w:bCs/>
              </w:rPr>
            </w:pPr>
            <w:r w:rsidRPr="002A5734">
              <w:rPr>
                <w:b/>
                <w:bCs/>
              </w:rPr>
              <w:t>Single</w:t>
            </w:r>
          </w:p>
        </w:tc>
        <w:tc>
          <w:tcPr>
            <w:tcW w:w="1298" w:type="dxa"/>
            <w:shd w:val="clear" w:color="auto" w:fill="auto"/>
          </w:tcPr>
          <w:p w:rsidR="001B79C6" w:rsidRPr="002A5734" w:rsidRDefault="001B79C6" w:rsidP="00834402">
            <w:pPr>
              <w:pStyle w:val="NoSpacing"/>
              <w:bidi w:val="0"/>
              <w:jc w:val="center"/>
            </w:pPr>
            <w:r w:rsidRPr="002A5734">
              <w:t>130(48.15)</w:t>
            </w:r>
          </w:p>
        </w:tc>
        <w:tc>
          <w:tcPr>
            <w:tcW w:w="1193" w:type="dxa"/>
            <w:shd w:val="clear" w:color="auto" w:fill="auto"/>
          </w:tcPr>
          <w:p w:rsidR="001B79C6" w:rsidRPr="002A5734" w:rsidRDefault="001B79C6" w:rsidP="00834402">
            <w:pPr>
              <w:pStyle w:val="NoSpacing"/>
              <w:bidi w:val="0"/>
              <w:jc w:val="center"/>
            </w:pPr>
            <w:r w:rsidRPr="002A5734">
              <w:t>94(72.3)</w:t>
            </w:r>
          </w:p>
        </w:tc>
        <w:tc>
          <w:tcPr>
            <w:tcW w:w="670" w:type="dxa"/>
            <w:shd w:val="clear" w:color="auto" w:fill="auto"/>
          </w:tcPr>
          <w:p w:rsidR="001B79C6" w:rsidRPr="002A5734" w:rsidRDefault="001B79C6" w:rsidP="00834402">
            <w:pPr>
              <w:pStyle w:val="NoSpacing"/>
              <w:bidi w:val="0"/>
              <w:jc w:val="center"/>
            </w:pPr>
            <w:r w:rsidRPr="002A5734">
              <w:t>0.98</w:t>
            </w:r>
          </w:p>
        </w:tc>
        <w:tc>
          <w:tcPr>
            <w:tcW w:w="1162" w:type="dxa"/>
            <w:shd w:val="clear" w:color="auto" w:fill="auto"/>
          </w:tcPr>
          <w:p w:rsidR="001B79C6" w:rsidRPr="002A5734" w:rsidRDefault="001B79C6" w:rsidP="00834402">
            <w:pPr>
              <w:pStyle w:val="NoSpacing"/>
              <w:bidi w:val="0"/>
              <w:jc w:val="center"/>
            </w:pPr>
            <w:r w:rsidRPr="002A5734">
              <w:t>0.85-1.14</w:t>
            </w:r>
          </w:p>
        </w:tc>
        <w:tc>
          <w:tcPr>
            <w:tcW w:w="871" w:type="dxa"/>
            <w:shd w:val="clear" w:color="auto" w:fill="auto"/>
          </w:tcPr>
          <w:p w:rsidR="001B79C6" w:rsidRPr="002A5734" w:rsidRDefault="001B79C6" w:rsidP="00834402">
            <w:pPr>
              <w:pStyle w:val="NoSpacing"/>
              <w:bidi w:val="0"/>
              <w:jc w:val="center"/>
            </w:pPr>
            <w:r w:rsidRPr="002A5734">
              <w:t>0.05</w:t>
            </w:r>
          </w:p>
        </w:tc>
        <w:tc>
          <w:tcPr>
            <w:tcW w:w="1124" w:type="dxa"/>
            <w:shd w:val="clear" w:color="auto" w:fill="auto"/>
          </w:tcPr>
          <w:p w:rsidR="001B79C6" w:rsidRPr="002A5734" w:rsidRDefault="001B79C6" w:rsidP="00834402">
            <w:pPr>
              <w:pStyle w:val="NoSpacing"/>
              <w:bidi w:val="0"/>
              <w:jc w:val="center"/>
            </w:pPr>
            <w:r w:rsidRPr="002A5734">
              <w:t>0.081</w:t>
            </w:r>
          </w:p>
        </w:tc>
      </w:tr>
      <w:tr w:rsidR="001B79C6" w:rsidRPr="002A5734" w:rsidTr="001000F5">
        <w:trPr>
          <w:trHeight w:val="232"/>
          <w:jc w:val="center"/>
        </w:trPr>
        <w:tc>
          <w:tcPr>
            <w:tcW w:w="1587" w:type="dxa"/>
            <w:vMerge/>
            <w:shd w:val="clear" w:color="auto" w:fill="F2F2F2"/>
          </w:tcPr>
          <w:p w:rsidR="001B79C6" w:rsidRPr="002A5734" w:rsidRDefault="001B79C6" w:rsidP="00834402">
            <w:pPr>
              <w:pStyle w:val="NoSpacing"/>
              <w:bidi w:val="0"/>
              <w:rPr>
                <w:b/>
                <w:bCs/>
              </w:rPr>
            </w:pPr>
          </w:p>
        </w:tc>
        <w:tc>
          <w:tcPr>
            <w:tcW w:w="1475" w:type="dxa"/>
            <w:shd w:val="clear" w:color="auto" w:fill="F2F2F2"/>
          </w:tcPr>
          <w:p w:rsidR="001B79C6" w:rsidRPr="002A5734" w:rsidRDefault="001B79C6" w:rsidP="00834402">
            <w:pPr>
              <w:pStyle w:val="NoSpacing"/>
              <w:bidi w:val="0"/>
              <w:jc w:val="center"/>
              <w:rPr>
                <w:b/>
                <w:bCs/>
              </w:rPr>
            </w:pPr>
            <w:r w:rsidRPr="002A5734">
              <w:rPr>
                <w:b/>
                <w:bCs/>
              </w:rPr>
              <w:t>Married</w:t>
            </w:r>
          </w:p>
        </w:tc>
        <w:tc>
          <w:tcPr>
            <w:tcW w:w="1298" w:type="dxa"/>
            <w:shd w:val="clear" w:color="auto" w:fill="auto"/>
          </w:tcPr>
          <w:p w:rsidR="001B79C6" w:rsidRPr="002A5734" w:rsidRDefault="001B79C6" w:rsidP="00834402">
            <w:pPr>
              <w:pStyle w:val="NoSpacing"/>
              <w:bidi w:val="0"/>
              <w:jc w:val="center"/>
            </w:pPr>
            <w:r w:rsidRPr="002A5734">
              <w:t>130(48.15)</w:t>
            </w:r>
          </w:p>
        </w:tc>
        <w:tc>
          <w:tcPr>
            <w:tcW w:w="1193" w:type="dxa"/>
            <w:shd w:val="clear" w:color="auto" w:fill="auto"/>
          </w:tcPr>
          <w:p w:rsidR="001B79C6" w:rsidRPr="002A5734" w:rsidRDefault="001B79C6" w:rsidP="00834402">
            <w:pPr>
              <w:pStyle w:val="NoSpacing"/>
              <w:bidi w:val="0"/>
              <w:jc w:val="center"/>
            </w:pPr>
            <w:r w:rsidRPr="002A5734">
              <w:t>95(73.1)</w:t>
            </w:r>
          </w:p>
        </w:tc>
        <w:tc>
          <w:tcPr>
            <w:tcW w:w="670" w:type="dxa"/>
            <w:shd w:val="clear" w:color="auto" w:fill="auto"/>
          </w:tcPr>
          <w:p w:rsidR="001B79C6" w:rsidRPr="002A5734" w:rsidRDefault="001B79C6" w:rsidP="00834402">
            <w:pPr>
              <w:pStyle w:val="NoSpacing"/>
              <w:bidi w:val="0"/>
              <w:jc w:val="center"/>
            </w:pPr>
            <w:r w:rsidRPr="002A5734">
              <w:t>1.0</w:t>
            </w:r>
          </w:p>
        </w:tc>
        <w:tc>
          <w:tcPr>
            <w:tcW w:w="1162" w:type="dxa"/>
            <w:shd w:val="clear" w:color="auto" w:fill="auto"/>
          </w:tcPr>
          <w:p w:rsidR="001B79C6" w:rsidRPr="002A5734" w:rsidRDefault="001B79C6" w:rsidP="00834402">
            <w:pPr>
              <w:pStyle w:val="NoSpacing"/>
              <w:bidi w:val="0"/>
              <w:jc w:val="center"/>
            </w:pPr>
            <w:r w:rsidRPr="002A5734">
              <w:t>0.87-1.16</w:t>
            </w:r>
          </w:p>
        </w:tc>
        <w:tc>
          <w:tcPr>
            <w:tcW w:w="871" w:type="dxa"/>
            <w:shd w:val="clear" w:color="auto" w:fill="auto"/>
          </w:tcPr>
          <w:p w:rsidR="001B79C6" w:rsidRPr="002A5734" w:rsidRDefault="001B79C6" w:rsidP="00834402">
            <w:pPr>
              <w:pStyle w:val="NoSpacing"/>
              <w:bidi w:val="0"/>
              <w:jc w:val="center"/>
            </w:pPr>
            <w:r w:rsidRPr="002A5734">
              <w:t>0.00</w:t>
            </w:r>
          </w:p>
        </w:tc>
        <w:tc>
          <w:tcPr>
            <w:tcW w:w="1124" w:type="dxa"/>
            <w:shd w:val="clear" w:color="auto" w:fill="auto"/>
          </w:tcPr>
          <w:p w:rsidR="001B79C6" w:rsidRPr="002A5734" w:rsidRDefault="001B79C6" w:rsidP="00834402">
            <w:pPr>
              <w:pStyle w:val="NoSpacing"/>
              <w:bidi w:val="0"/>
              <w:jc w:val="center"/>
            </w:pPr>
            <w:r w:rsidRPr="002A5734">
              <w:t>0.96</w:t>
            </w:r>
          </w:p>
        </w:tc>
      </w:tr>
      <w:tr w:rsidR="001B79C6" w:rsidRPr="002A5734" w:rsidTr="001000F5">
        <w:trPr>
          <w:trHeight w:val="232"/>
          <w:jc w:val="center"/>
        </w:trPr>
        <w:tc>
          <w:tcPr>
            <w:tcW w:w="1587" w:type="dxa"/>
            <w:vMerge/>
            <w:shd w:val="clear" w:color="auto" w:fill="F2F2F2"/>
          </w:tcPr>
          <w:p w:rsidR="001B79C6" w:rsidRPr="002A5734" w:rsidRDefault="001B79C6" w:rsidP="00834402">
            <w:pPr>
              <w:pStyle w:val="NoSpacing"/>
              <w:bidi w:val="0"/>
              <w:rPr>
                <w:b/>
                <w:bCs/>
              </w:rPr>
            </w:pPr>
          </w:p>
        </w:tc>
        <w:tc>
          <w:tcPr>
            <w:tcW w:w="1475" w:type="dxa"/>
            <w:shd w:val="clear" w:color="auto" w:fill="F2F2F2"/>
          </w:tcPr>
          <w:p w:rsidR="001B79C6" w:rsidRPr="002A5734" w:rsidRDefault="001B79C6" w:rsidP="00834402">
            <w:pPr>
              <w:pStyle w:val="NoSpacing"/>
              <w:bidi w:val="0"/>
              <w:jc w:val="center"/>
              <w:rPr>
                <w:b/>
                <w:bCs/>
              </w:rPr>
            </w:pPr>
            <w:r w:rsidRPr="002A5734">
              <w:rPr>
                <w:b/>
                <w:bCs/>
              </w:rPr>
              <w:t>Divorced</w:t>
            </w:r>
          </w:p>
        </w:tc>
        <w:tc>
          <w:tcPr>
            <w:tcW w:w="1298" w:type="dxa"/>
            <w:shd w:val="clear" w:color="auto" w:fill="auto"/>
          </w:tcPr>
          <w:p w:rsidR="001B79C6" w:rsidRPr="002A5734" w:rsidRDefault="001B79C6" w:rsidP="00834402">
            <w:pPr>
              <w:pStyle w:val="NoSpacing"/>
              <w:bidi w:val="0"/>
              <w:jc w:val="center"/>
            </w:pPr>
            <w:r w:rsidRPr="002A5734">
              <w:t>8(2.96)</w:t>
            </w:r>
          </w:p>
        </w:tc>
        <w:tc>
          <w:tcPr>
            <w:tcW w:w="1193" w:type="dxa"/>
            <w:shd w:val="clear" w:color="auto" w:fill="auto"/>
          </w:tcPr>
          <w:p w:rsidR="001B79C6" w:rsidRPr="002A5734" w:rsidRDefault="001B79C6" w:rsidP="00834402">
            <w:pPr>
              <w:pStyle w:val="NoSpacing"/>
              <w:bidi w:val="0"/>
              <w:jc w:val="center"/>
            </w:pPr>
            <w:r w:rsidRPr="002A5734">
              <w:t>6(75)</w:t>
            </w:r>
          </w:p>
        </w:tc>
        <w:tc>
          <w:tcPr>
            <w:tcW w:w="670" w:type="dxa"/>
            <w:shd w:val="clear" w:color="auto" w:fill="auto"/>
          </w:tcPr>
          <w:p w:rsidR="001B79C6" w:rsidRPr="002A5734" w:rsidRDefault="001B79C6" w:rsidP="00834402">
            <w:pPr>
              <w:pStyle w:val="NoSpacing"/>
              <w:bidi w:val="0"/>
              <w:jc w:val="center"/>
            </w:pPr>
            <w:r w:rsidRPr="002A5734">
              <w:t>1.03</w:t>
            </w:r>
          </w:p>
        </w:tc>
        <w:tc>
          <w:tcPr>
            <w:tcW w:w="1162" w:type="dxa"/>
            <w:shd w:val="clear" w:color="auto" w:fill="auto"/>
          </w:tcPr>
          <w:p w:rsidR="001B79C6" w:rsidRPr="002A5734" w:rsidRDefault="001B79C6" w:rsidP="00834402">
            <w:pPr>
              <w:pStyle w:val="NoSpacing"/>
              <w:bidi w:val="0"/>
              <w:jc w:val="center"/>
            </w:pPr>
            <w:r w:rsidRPr="002A5734">
              <w:t>0.68-1.55</w:t>
            </w:r>
          </w:p>
        </w:tc>
        <w:tc>
          <w:tcPr>
            <w:tcW w:w="871" w:type="dxa"/>
            <w:shd w:val="clear" w:color="auto" w:fill="auto"/>
          </w:tcPr>
          <w:p w:rsidR="001B79C6" w:rsidRPr="002A5734" w:rsidRDefault="001B79C6" w:rsidP="00834402">
            <w:pPr>
              <w:pStyle w:val="NoSpacing"/>
              <w:bidi w:val="0"/>
              <w:jc w:val="center"/>
            </w:pPr>
            <w:r w:rsidRPr="002A5734">
              <w:t>0.02</w:t>
            </w:r>
          </w:p>
        </w:tc>
        <w:tc>
          <w:tcPr>
            <w:tcW w:w="1124" w:type="dxa"/>
            <w:shd w:val="clear" w:color="auto" w:fill="auto"/>
          </w:tcPr>
          <w:p w:rsidR="001B79C6" w:rsidRPr="002A5734" w:rsidRDefault="001B79C6" w:rsidP="00834402">
            <w:pPr>
              <w:pStyle w:val="NoSpacing"/>
              <w:bidi w:val="0"/>
              <w:jc w:val="center"/>
            </w:pPr>
            <w:r w:rsidRPr="002A5734">
              <w:t>0.96</w:t>
            </w:r>
          </w:p>
        </w:tc>
      </w:tr>
      <w:tr w:rsidR="001B79C6" w:rsidRPr="002A5734" w:rsidTr="001000F5">
        <w:trPr>
          <w:trHeight w:val="232"/>
          <w:jc w:val="center"/>
        </w:trPr>
        <w:tc>
          <w:tcPr>
            <w:tcW w:w="1587" w:type="dxa"/>
            <w:vMerge/>
            <w:shd w:val="clear" w:color="auto" w:fill="F2F2F2"/>
          </w:tcPr>
          <w:p w:rsidR="001B79C6" w:rsidRPr="002A5734" w:rsidRDefault="001B79C6" w:rsidP="00834402">
            <w:pPr>
              <w:pStyle w:val="NoSpacing"/>
              <w:bidi w:val="0"/>
              <w:rPr>
                <w:b/>
                <w:bCs/>
              </w:rPr>
            </w:pPr>
          </w:p>
        </w:tc>
        <w:tc>
          <w:tcPr>
            <w:tcW w:w="1475" w:type="dxa"/>
            <w:shd w:val="clear" w:color="auto" w:fill="F2F2F2"/>
          </w:tcPr>
          <w:p w:rsidR="001B79C6" w:rsidRPr="002A5734" w:rsidRDefault="001B79C6" w:rsidP="00834402">
            <w:pPr>
              <w:pStyle w:val="NoSpacing"/>
              <w:bidi w:val="0"/>
              <w:jc w:val="center"/>
              <w:rPr>
                <w:b/>
                <w:bCs/>
              </w:rPr>
            </w:pPr>
            <w:r w:rsidRPr="002A5734">
              <w:rPr>
                <w:b/>
                <w:bCs/>
              </w:rPr>
              <w:t>Widow</w:t>
            </w:r>
          </w:p>
        </w:tc>
        <w:tc>
          <w:tcPr>
            <w:tcW w:w="1298" w:type="dxa"/>
            <w:shd w:val="clear" w:color="auto" w:fill="auto"/>
          </w:tcPr>
          <w:p w:rsidR="001B79C6" w:rsidRPr="002A5734" w:rsidRDefault="001B79C6" w:rsidP="00834402">
            <w:pPr>
              <w:pStyle w:val="NoSpacing"/>
              <w:bidi w:val="0"/>
              <w:jc w:val="center"/>
            </w:pPr>
            <w:r w:rsidRPr="002A5734">
              <w:t>2(0.74)</w:t>
            </w:r>
          </w:p>
        </w:tc>
        <w:tc>
          <w:tcPr>
            <w:tcW w:w="1193" w:type="dxa"/>
            <w:shd w:val="clear" w:color="auto" w:fill="auto"/>
          </w:tcPr>
          <w:p w:rsidR="001B79C6" w:rsidRPr="002A5734" w:rsidRDefault="001B79C6" w:rsidP="00834402">
            <w:pPr>
              <w:pStyle w:val="NoSpacing"/>
              <w:bidi w:val="0"/>
              <w:jc w:val="center"/>
            </w:pPr>
            <w:r w:rsidRPr="002A5734">
              <w:t>2(100)</w:t>
            </w:r>
          </w:p>
        </w:tc>
        <w:tc>
          <w:tcPr>
            <w:tcW w:w="670" w:type="dxa"/>
            <w:shd w:val="clear" w:color="auto" w:fill="auto"/>
          </w:tcPr>
          <w:p w:rsidR="001B79C6" w:rsidRPr="002A5734" w:rsidRDefault="001B79C6" w:rsidP="00834402">
            <w:pPr>
              <w:pStyle w:val="NoSpacing"/>
              <w:bidi w:val="0"/>
              <w:jc w:val="center"/>
            </w:pPr>
            <w:r w:rsidRPr="002A5734">
              <w:t>1.37</w:t>
            </w:r>
          </w:p>
        </w:tc>
        <w:tc>
          <w:tcPr>
            <w:tcW w:w="1162" w:type="dxa"/>
            <w:shd w:val="clear" w:color="auto" w:fill="auto"/>
          </w:tcPr>
          <w:p w:rsidR="001B79C6" w:rsidRPr="002A5734" w:rsidRDefault="001B79C6" w:rsidP="00834402">
            <w:pPr>
              <w:pStyle w:val="NoSpacing"/>
              <w:bidi w:val="0"/>
              <w:jc w:val="center"/>
            </w:pPr>
            <w:r w:rsidRPr="002A5734">
              <w:t>1.28-1.48</w:t>
            </w:r>
          </w:p>
        </w:tc>
        <w:tc>
          <w:tcPr>
            <w:tcW w:w="871" w:type="dxa"/>
            <w:shd w:val="clear" w:color="auto" w:fill="auto"/>
          </w:tcPr>
          <w:p w:rsidR="001B79C6" w:rsidRPr="002A5734" w:rsidRDefault="001B79C6" w:rsidP="00834402">
            <w:pPr>
              <w:pStyle w:val="NoSpacing"/>
              <w:bidi w:val="0"/>
              <w:jc w:val="center"/>
            </w:pPr>
            <w:r w:rsidRPr="002A5734">
              <w:t>0.75</w:t>
            </w:r>
          </w:p>
        </w:tc>
        <w:tc>
          <w:tcPr>
            <w:tcW w:w="1124" w:type="dxa"/>
            <w:shd w:val="clear" w:color="auto" w:fill="auto"/>
          </w:tcPr>
          <w:p w:rsidR="001B79C6" w:rsidRPr="002A5734" w:rsidRDefault="001B79C6" w:rsidP="00834402">
            <w:pPr>
              <w:pStyle w:val="NoSpacing"/>
              <w:bidi w:val="0"/>
              <w:jc w:val="center"/>
            </w:pPr>
            <w:r w:rsidRPr="002A5734">
              <w:t>0.38</w:t>
            </w:r>
          </w:p>
        </w:tc>
      </w:tr>
    </w:tbl>
    <w:p w:rsidR="005C34AD" w:rsidRPr="002A5734" w:rsidRDefault="005C34AD" w:rsidP="00895960">
      <w:pPr>
        <w:pStyle w:val="NoSpacing"/>
        <w:bidi w:val="0"/>
      </w:pPr>
      <w:r w:rsidRPr="002A5734">
        <w:rPr>
          <w:b/>
          <w:bCs/>
          <w:noProof/>
        </w:rPr>
        <w:t>RR</w:t>
      </w:r>
      <w:r w:rsidRPr="002A5734">
        <w:rPr>
          <w:noProof/>
        </w:rPr>
        <w:t xml:space="preserve"> Relative risk ˃1 (at risk); </w:t>
      </w:r>
      <w:r w:rsidRPr="002A5734">
        <w:rPr>
          <w:b/>
          <w:bCs/>
          <w:noProof/>
        </w:rPr>
        <w:t>CI</w:t>
      </w:r>
      <w:r w:rsidRPr="002A5734">
        <w:rPr>
          <w:noProof/>
        </w:rPr>
        <w:t xml:space="preserve"> Confidence intervals; </w:t>
      </w:r>
      <w:r w:rsidR="00895960" w:rsidRPr="002A5734">
        <w:rPr>
          <w:b/>
          <w:bCs/>
        </w:rPr>
        <w:t>χ</w:t>
      </w:r>
      <w:r w:rsidR="00895960" w:rsidRPr="002A5734">
        <w:rPr>
          <w:b/>
          <w:bCs/>
          <w:vertAlign w:val="superscript"/>
        </w:rPr>
        <w:t>2</w:t>
      </w:r>
      <w:r w:rsidRPr="002A5734">
        <w:t>Chi-square ≥3.84</w:t>
      </w:r>
      <w:r w:rsidRPr="002A5734">
        <w:rPr>
          <w:noProof/>
        </w:rPr>
        <w:t xml:space="preserve">; </w:t>
      </w:r>
      <w:r w:rsidRPr="002A5734">
        <w:rPr>
          <w:i/>
          <w:iCs/>
        </w:rPr>
        <w:t>P</w:t>
      </w:r>
      <w:r w:rsidRPr="002A5734">
        <w:t>&lt;0.0</w:t>
      </w:r>
      <w:r w:rsidR="00895960" w:rsidRPr="002A5734">
        <w:t>1</w:t>
      </w:r>
      <w:r w:rsidRPr="002A5734">
        <w:t xml:space="preserve"> (significant)</w:t>
      </w:r>
    </w:p>
    <w:p w:rsidR="005C34AD" w:rsidRPr="002A5734" w:rsidRDefault="005C34AD" w:rsidP="005C34AD">
      <w:pPr>
        <w:bidi w:val="0"/>
        <w:ind w:right="42"/>
        <w:rPr>
          <w:b/>
          <w:bCs/>
        </w:rPr>
      </w:pPr>
    </w:p>
    <w:p w:rsidR="00711667" w:rsidRPr="002A5734" w:rsidRDefault="00711667" w:rsidP="00297732">
      <w:pPr>
        <w:bidi w:val="0"/>
        <w:ind w:right="42"/>
        <w:jc w:val="center"/>
        <w:rPr>
          <w:b/>
          <w:bCs/>
        </w:rPr>
      </w:pPr>
      <w:commentRangeStart w:id="22"/>
    </w:p>
    <w:p w:rsidR="00462754" w:rsidRPr="002A5734" w:rsidRDefault="00462754" w:rsidP="00462754">
      <w:pPr>
        <w:pStyle w:val="NoSpacing"/>
        <w:bidi w:val="0"/>
        <w:jc w:val="both"/>
      </w:pPr>
      <w:r w:rsidRPr="002A5734">
        <w:t xml:space="preserve">In the result according to the pregnancy, the higher prevalence of rubella IgG antibody was (73.7%) reported among non-pregnant women, while the lower was (66.7%) noticed among pregnant women and </w:t>
      </w:r>
      <w:r w:rsidRPr="00265681">
        <w:rPr>
          <w:color w:val="FF0000"/>
        </w:rPr>
        <w:t>there we</w:t>
      </w:r>
      <w:r w:rsidR="00CA3ADC" w:rsidRPr="00265681">
        <w:rPr>
          <w:color w:val="FF0000"/>
        </w:rPr>
        <w:t xml:space="preserve">re no statistically significant </w:t>
      </w:r>
      <w:r w:rsidR="009E1E87" w:rsidRPr="009E1E87">
        <w:rPr>
          <w:color w:val="00B0F0"/>
        </w:rPr>
        <w:t>(difference</w:t>
      </w:r>
      <w:r w:rsidR="009E1E87">
        <w:rPr>
          <w:color w:val="FF0000"/>
        </w:rPr>
        <w:t xml:space="preserve">) </w:t>
      </w:r>
      <w:r w:rsidR="00CA3ADC" w:rsidRPr="002A5734">
        <w:t xml:space="preserve">as summarized in Table (2). </w:t>
      </w:r>
      <w:r w:rsidR="009F4214">
        <w:t xml:space="preserve"> </w:t>
      </w:r>
    </w:p>
    <w:p w:rsidR="00462754" w:rsidRPr="00265681" w:rsidRDefault="00462754" w:rsidP="00462754">
      <w:pPr>
        <w:pStyle w:val="NoSpacing"/>
        <w:bidi w:val="0"/>
        <w:jc w:val="both"/>
        <w:rPr>
          <w:color w:val="FF0000"/>
        </w:rPr>
      </w:pPr>
      <w:r w:rsidRPr="002A5734">
        <w:t>However, out of 130 married females, the rubella IgG antibody was more prevalent among women</w:t>
      </w:r>
      <w:r w:rsidR="00265681" w:rsidRPr="00265681">
        <w:rPr>
          <w:color w:val="548DD4" w:themeColor="text2" w:themeTint="99"/>
        </w:rPr>
        <w:t>(who</w:t>
      </w:r>
      <w:r w:rsidR="00265681">
        <w:t>)</w:t>
      </w:r>
      <w:r w:rsidRPr="002A5734">
        <w:t xml:space="preserve"> had no history of stillbirth with </w:t>
      </w:r>
      <w:r w:rsidR="00265681">
        <w:t>(</w:t>
      </w:r>
      <w:r w:rsidR="00265681" w:rsidRPr="00265681">
        <w:rPr>
          <w:color w:val="548DD4" w:themeColor="text2" w:themeTint="99"/>
        </w:rPr>
        <w:t xml:space="preserve">prevalence rate of </w:t>
      </w:r>
      <w:r w:rsidR="00265681">
        <w:t>)</w:t>
      </w:r>
      <w:r w:rsidRPr="002A5734">
        <w:t>82.2% whereas 65% of women</w:t>
      </w:r>
      <w:r w:rsidR="00265681" w:rsidRPr="00265681">
        <w:rPr>
          <w:color w:val="548DD4" w:themeColor="text2" w:themeTint="99"/>
        </w:rPr>
        <w:t>(who</w:t>
      </w:r>
      <w:r w:rsidR="00265681">
        <w:t xml:space="preserve">) </w:t>
      </w:r>
      <w:commentRangeStart w:id="23"/>
      <w:r w:rsidR="00265681" w:rsidRPr="002A5734">
        <w:t>had</w:t>
      </w:r>
      <w:r w:rsidR="00856D71" w:rsidRPr="002A5734">
        <w:t>a</w:t>
      </w:r>
      <w:commentRangeEnd w:id="23"/>
      <w:r w:rsidR="009F4214">
        <w:rPr>
          <w:rStyle w:val="CommentReference"/>
        </w:rPr>
        <w:commentReference w:id="23"/>
      </w:r>
      <w:r w:rsidR="00856D71" w:rsidRPr="002A5734">
        <w:t xml:space="preserve"> </w:t>
      </w:r>
      <w:r w:rsidRPr="002A5734">
        <w:t>history of stillbirth show</w:t>
      </w:r>
      <w:r w:rsidR="009E1E87" w:rsidRPr="009E1E87">
        <w:rPr>
          <w:color w:val="00B0F0"/>
        </w:rPr>
        <w:t>ed</w:t>
      </w:r>
      <w:r w:rsidR="00265681" w:rsidRPr="009E1E87">
        <w:rPr>
          <w:strike/>
          <w:color w:val="FF0000"/>
        </w:rPr>
        <w:t>(</w:t>
      </w:r>
      <w:r w:rsidRPr="009E1E87">
        <w:rPr>
          <w:strike/>
          <w:color w:val="FF0000"/>
        </w:rPr>
        <w:t>ing</w:t>
      </w:r>
      <w:r w:rsidR="00265681">
        <w:t>)</w:t>
      </w:r>
      <w:r w:rsidRPr="002A5734">
        <w:t xml:space="preserve"> positive for rubella IgG antibody and </w:t>
      </w:r>
      <w:r w:rsidRPr="00265681">
        <w:rPr>
          <w:color w:val="FF0000"/>
        </w:rPr>
        <w:t>the</w:t>
      </w:r>
      <w:r w:rsidR="00CA3ADC" w:rsidRPr="00265681">
        <w:rPr>
          <w:color w:val="FF0000"/>
        </w:rPr>
        <w:t>re</w:t>
      </w:r>
      <w:r w:rsidR="009E1E87" w:rsidRPr="009E1E87">
        <w:rPr>
          <w:color w:val="00B0F0"/>
        </w:rPr>
        <w:t>(is)</w:t>
      </w:r>
      <w:r w:rsidR="00CA3ADC" w:rsidRPr="00265681">
        <w:rPr>
          <w:color w:val="FF0000"/>
        </w:rPr>
        <w:t xml:space="preserve">no statistically </w:t>
      </w:r>
      <w:r w:rsidR="009E1E87" w:rsidRPr="00265681">
        <w:rPr>
          <w:color w:val="FF0000"/>
        </w:rPr>
        <w:t xml:space="preserve">significant </w:t>
      </w:r>
      <w:r w:rsidR="009E1E87">
        <w:rPr>
          <w:color w:val="FF0000"/>
        </w:rPr>
        <w:t>(</w:t>
      </w:r>
      <w:r w:rsidR="009E1E87" w:rsidRPr="009E1E87">
        <w:rPr>
          <w:color w:val="00B0F0"/>
        </w:rPr>
        <w:t>difference</w:t>
      </w:r>
      <w:r w:rsidR="009E1E87">
        <w:rPr>
          <w:color w:val="FF0000"/>
        </w:rPr>
        <w:t xml:space="preserve">) </w:t>
      </w:r>
      <w:r w:rsidR="00CA3ADC" w:rsidRPr="00265681">
        <w:rPr>
          <w:color w:val="FF0000"/>
        </w:rPr>
        <w:t>(Table 2).</w:t>
      </w:r>
    </w:p>
    <w:p w:rsidR="00462754" w:rsidRPr="002A5734" w:rsidRDefault="00462754" w:rsidP="00462754">
      <w:pPr>
        <w:pStyle w:val="NoSpacing"/>
        <w:bidi w:val="0"/>
        <w:jc w:val="both"/>
      </w:pPr>
      <w:r w:rsidRPr="002A5734">
        <w:t xml:space="preserve">Out of the 197 positive studied females, 25 (73.5%) of females had </w:t>
      </w:r>
      <w:r w:rsidR="00856D71" w:rsidRPr="002A5734">
        <w:t xml:space="preserve">a </w:t>
      </w:r>
      <w:r w:rsidRPr="002A5734">
        <w:t>family history for rubella and the rest 172(72.9%) of positive females had no family history for rubella and there were al</w:t>
      </w:r>
      <w:r w:rsidR="00CA3ADC" w:rsidRPr="002A5734">
        <w:t xml:space="preserve">so no statistically significant </w:t>
      </w:r>
      <w:commentRangeEnd w:id="22"/>
      <w:r w:rsidR="00F22EDE">
        <w:rPr>
          <w:rStyle w:val="CommentReference"/>
        </w:rPr>
        <w:commentReference w:id="22"/>
      </w:r>
      <w:r w:rsidR="00CA3ADC" w:rsidRPr="002A5734">
        <w:t>(Table 2).</w:t>
      </w:r>
    </w:p>
    <w:p w:rsidR="0061195B" w:rsidRPr="002A5734" w:rsidRDefault="00462754" w:rsidP="00462754">
      <w:pPr>
        <w:bidi w:val="0"/>
        <w:ind w:right="42"/>
        <w:jc w:val="center"/>
        <w:rPr>
          <w:b/>
          <w:bCs/>
        </w:rPr>
      </w:pPr>
      <w:r w:rsidRPr="002A5734">
        <w:rPr>
          <w:b/>
          <w:bCs/>
        </w:rPr>
        <w:t xml:space="preserve">Table 2. Prevalence of rubella IgG antibody in relation to </w:t>
      </w:r>
      <w:r w:rsidR="00B11D4C" w:rsidRPr="002A5734">
        <w:rPr>
          <w:b/>
          <w:bCs/>
        </w:rPr>
        <w:t xml:space="preserve">pregnancy statue and </w:t>
      </w:r>
      <w:r w:rsidRPr="002A5734">
        <w:rPr>
          <w:b/>
          <w:bCs/>
        </w:rPr>
        <w:t>history of clinical information</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5"/>
        <w:gridCol w:w="1430"/>
        <w:gridCol w:w="1298"/>
        <w:gridCol w:w="1214"/>
        <w:gridCol w:w="685"/>
        <w:gridCol w:w="1165"/>
        <w:gridCol w:w="754"/>
        <w:gridCol w:w="1219"/>
      </w:tblGrid>
      <w:tr w:rsidR="0061195B" w:rsidRPr="002A5734" w:rsidTr="00155E24">
        <w:trPr>
          <w:trHeight w:val="465"/>
          <w:jc w:val="center"/>
        </w:trPr>
        <w:tc>
          <w:tcPr>
            <w:tcW w:w="3045" w:type="dxa"/>
            <w:gridSpan w:val="2"/>
            <w:shd w:val="clear" w:color="auto" w:fill="F2F2F2"/>
            <w:vAlign w:val="center"/>
          </w:tcPr>
          <w:p w:rsidR="0061195B" w:rsidRPr="002A5734" w:rsidRDefault="0061195B" w:rsidP="00E811AA">
            <w:pPr>
              <w:pStyle w:val="NoSpacing"/>
              <w:bidi w:val="0"/>
              <w:jc w:val="center"/>
              <w:rPr>
                <w:b/>
                <w:bCs/>
              </w:rPr>
            </w:pPr>
            <w:r w:rsidRPr="002A5734">
              <w:rPr>
                <w:b/>
                <w:bCs/>
              </w:rPr>
              <w:t>Illustrative variables</w:t>
            </w:r>
          </w:p>
        </w:tc>
        <w:tc>
          <w:tcPr>
            <w:tcW w:w="1298" w:type="dxa"/>
            <w:shd w:val="clear" w:color="auto" w:fill="F2F2F2"/>
          </w:tcPr>
          <w:p w:rsidR="0061195B" w:rsidRPr="002A5734" w:rsidRDefault="0061195B" w:rsidP="00E811AA">
            <w:pPr>
              <w:pStyle w:val="NoSpacing"/>
              <w:bidi w:val="0"/>
              <w:jc w:val="center"/>
              <w:rPr>
                <w:b/>
                <w:bCs/>
              </w:rPr>
            </w:pPr>
            <w:r w:rsidRPr="002A5734">
              <w:rPr>
                <w:b/>
                <w:bCs/>
              </w:rPr>
              <w:t>No. examined (%)</w:t>
            </w:r>
          </w:p>
        </w:tc>
        <w:tc>
          <w:tcPr>
            <w:tcW w:w="1214" w:type="dxa"/>
            <w:shd w:val="clear" w:color="auto" w:fill="F2F2F2"/>
          </w:tcPr>
          <w:p w:rsidR="0061195B" w:rsidRPr="002A5734" w:rsidRDefault="0061195B" w:rsidP="00E811AA">
            <w:pPr>
              <w:pStyle w:val="NoSpacing"/>
              <w:bidi w:val="0"/>
              <w:jc w:val="center"/>
              <w:rPr>
                <w:b/>
                <w:bCs/>
              </w:rPr>
            </w:pPr>
            <w:r w:rsidRPr="002A5734">
              <w:rPr>
                <w:b/>
                <w:bCs/>
              </w:rPr>
              <w:t>No. of positive IgG (%)</w:t>
            </w:r>
          </w:p>
        </w:tc>
        <w:tc>
          <w:tcPr>
            <w:tcW w:w="685" w:type="dxa"/>
            <w:shd w:val="clear" w:color="auto" w:fill="F2F2F2"/>
            <w:vAlign w:val="center"/>
          </w:tcPr>
          <w:p w:rsidR="0061195B" w:rsidRPr="002A5734" w:rsidRDefault="0061195B" w:rsidP="00E811AA">
            <w:pPr>
              <w:pStyle w:val="NoSpacing"/>
              <w:bidi w:val="0"/>
              <w:jc w:val="center"/>
              <w:rPr>
                <w:b/>
                <w:bCs/>
                <w:i/>
                <w:iCs/>
              </w:rPr>
            </w:pPr>
            <w:r w:rsidRPr="002A5734">
              <w:rPr>
                <w:b/>
                <w:bCs/>
                <w:i/>
                <w:iCs/>
              </w:rPr>
              <w:t>RR</w:t>
            </w:r>
          </w:p>
        </w:tc>
        <w:tc>
          <w:tcPr>
            <w:tcW w:w="1165" w:type="dxa"/>
            <w:shd w:val="clear" w:color="auto" w:fill="F2F2F2"/>
            <w:vAlign w:val="center"/>
          </w:tcPr>
          <w:p w:rsidR="0061195B" w:rsidRPr="002A5734" w:rsidRDefault="0061195B" w:rsidP="00E811AA">
            <w:pPr>
              <w:pStyle w:val="NoSpacing"/>
              <w:bidi w:val="0"/>
              <w:jc w:val="center"/>
              <w:rPr>
                <w:b/>
                <w:bCs/>
                <w:i/>
                <w:iCs/>
              </w:rPr>
            </w:pPr>
            <w:r w:rsidRPr="002A5734">
              <w:rPr>
                <w:b/>
                <w:bCs/>
                <w:i/>
                <w:iCs/>
              </w:rPr>
              <w:t>CI</w:t>
            </w:r>
          </w:p>
        </w:tc>
        <w:tc>
          <w:tcPr>
            <w:tcW w:w="754" w:type="dxa"/>
            <w:shd w:val="clear" w:color="auto" w:fill="F2F2F2"/>
            <w:vAlign w:val="center"/>
          </w:tcPr>
          <w:p w:rsidR="0061195B" w:rsidRPr="002A5734" w:rsidRDefault="00205E0B" w:rsidP="00E811AA">
            <w:pPr>
              <w:pStyle w:val="NoSpacing"/>
              <w:bidi w:val="0"/>
              <w:jc w:val="center"/>
              <w:rPr>
                <w:b/>
                <w:bCs/>
                <w:i/>
                <w:iCs/>
                <w:vertAlign w:val="superscript"/>
              </w:rPr>
            </w:pPr>
            <w:r w:rsidRPr="002A5734">
              <w:t>χ</w:t>
            </w:r>
            <w:r w:rsidRPr="002A5734">
              <w:rPr>
                <w:vertAlign w:val="superscript"/>
              </w:rPr>
              <w:t>2</w:t>
            </w:r>
          </w:p>
        </w:tc>
        <w:tc>
          <w:tcPr>
            <w:tcW w:w="1219" w:type="dxa"/>
            <w:shd w:val="clear" w:color="auto" w:fill="F2F2F2"/>
            <w:vAlign w:val="center"/>
          </w:tcPr>
          <w:p w:rsidR="0061195B" w:rsidRPr="002A5734" w:rsidRDefault="0061195B" w:rsidP="00E811AA">
            <w:pPr>
              <w:pStyle w:val="NoSpacing"/>
              <w:bidi w:val="0"/>
              <w:jc w:val="center"/>
              <w:rPr>
                <w:b/>
                <w:bCs/>
                <w:i/>
                <w:iCs/>
              </w:rPr>
            </w:pPr>
            <w:r w:rsidRPr="002A5734">
              <w:rPr>
                <w:b/>
                <w:bCs/>
                <w:i/>
                <w:iCs/>
              </w:rPr>
              <w:t>P</w:t>
            </w:r>
          </w:p>
        </w:tc>
      </w:tr>
      <w:tr w:rsidR="0061195B" w:rsidRPr="002A5734" w:rsidTr="00155E24">
        <w:trPr>
          <w:trHeight w:val="232"/>
          <w:jc w:val="center"/>
        </w:trPr>
        <w:tc>
          <w:tcPr>
            <w:tcW w:w="1615" w:type="dxa"/>
            <w:vMerge w:val="restart"/>
            <w:shd w:val="clear" w:color="auto" w:fill="F2F2F2"/>
          </w:tcPr>
          <w:p w:rsidR="0061195B" w:rsidRPr="002A5734" w:rsidRDefault="0061195B" w:rsidP="00E811AA">
            <w:pPr>
              <w:pStyle w:val="NoSpacing"/>
              <w:bidi w:val="0"/>
              <w:rPr>
                <w:b/>
                <w:bCs/>
              </w:rPr>
            </w:pPr>
            <w:r w:rsidRPr="002A5734">
              <w:rPr>
                <w:b/>
                <w:bCs/>
              </w:rPr>
              <w:t xml:space="preserve">Pregnancy </w:t>
            </w:r>
            <w:r w:rsidR="00B11D4C" w:rsidRPr="002A5734">
              <w:rPr>
                <w:b/>
                <w:bCs/>
              </w:rPr>
              <w:t xml:space="preserve">statue </w:t>
            </w:r>
          </w:p>
        </w:tc>
        <w:tc>
          <w:tcPr>
            <w:tcW w:w="1430" w:type="dxa"/>
            <w:shd w:val="clear" w:color="auto" w:fill="F2F2F2"/>
            <w:vAlign w:val="center"/>
          </w:tcPr>
          <w:p w:rsidR="0061195B" w:rsidRPr="002A5734" w:rsidRDefault="0061195B" w:rsidP="00E811AA">
            <w:pPr>
              <w:pStyle w:val="NoSpacing"/>
              <w:bidi w:val="0"/>
              <w:jc w:val="center"/>
              <w:rPr>
                <w:b/>
                <w:bCs/>
              </w:rPr>
            </w:pPr>
            <w:r w:rsidRPr="002A5734">
              <w:rPr>
                <w:b/>
                <w:bCs/>
              </w:rPr>
              <w:t>Pregnant</w:t>
            </w:r>
          </w:p>
        </w:tc>
        <w:tc>
          <w:tcPr>
            <w:tcW w:w="1298" w:type="dxa"/>
            <w:shd w:val="clear" w:color="auto" w:fill="auto"/>
          </w:tcPr>
          <w:p w:rsidR="0061195B" w:rsidRPr="002A5734" w:rsidRDefault="0061195B" w:rsidP="00E811AA">
            <w:pPr>
              <w:pStyle w:val="NoSpacing"/>
              <w:bidi w:val="0"/>
              <w:jc w:val="center"/>
            </w:pPr>
            <w:r w:rsidRPr="002A5734">
              <w:t>30(23)</w:t>
            </w:r>
          </w:p>
        </w:tc>
        <w:tc>
          <w:tcPr>
            <w:tcW w:w="1214" w:type="dxa"/>
            <w:shd w:val="clear" w:color="auto" w:fill="auto"/>
          </w:tcPr>
          <w:p w:rsidR="0061195B" w:rsidRPr="002A5734" w:rsidRDefault="0061195B" w:rsidP="00E811AA">
            <w:pPr>
              <w:pStyle w:val="NoSpacing"/>
              <w:bidi w:val="0"/>
              <w:jc w:val="center"/>
            </w:pPr>
            <w:r w:rsidRPr="002A5734">
              <w:t>20(66.7)</w:t>
            </w:r>
          </w:p>
        </w:tc>
        <w:tc>
          <w:tcPr>
            <w:tcW w:w="685" w:type="dxa"/>
            <w:shd w:val="clear" w:color="auto" w:fill="auto"/>
          </w:tcPr>
          <w:p w:rsidR="0061195B" w:rsidRPr="002A5734" w:rsidRDefault="0061195B" w:rsidP="00E811AA">
            <w:pPr>
              <w:pStyle w:val="NoSpacing"/>
              <w:bidi w:val="0"/>
              <w:jc w:val="center"/>
            </w:pPr>
            <w:r w:rsidRPr="002A5734">
              <w:t>0.98</w:t>
            </w:r>
          </w:p>
        </w:tc>
        <w:tc>
          <w:tcPr>
            <w:tcW w:w="1165" w:type="dxa"/>
            <w:shd w:val="clear" w:color="auto" w:fill="auto"/>
          </w:tcPr>
          <w:p w:rsidR="0061195B" w:rsidRPr="002A5734" w:rsidRDefault="0061195B" w:rsidP="00E811AA">
            <w:pPr>
              <w:pStyle w:val="NoSpacing"/>
              <w:bidi w:val="0"/>
              <w:jc w:val="center"/>
            </w:pPr>
            <w:r w:rsidRPr="002A5734">
              <w:t>0.86-1.16</w:t>
            </w:r>
          </w:p>
        </w:tc>
        <w:tc>
          <w:tcPr>
            <w:tcW w:w="754" w:type="dxa"/>
            <w:shd w:val="clear" w:color="auto" w:fill="auto"/>
          </w:tcPr>
          <w:p w:rsidR="0061195B" w:rsidRPr="002A5734" w:rsidRDefault="0061195B" w:rsidP="00E811AA">
            <w:pPr>
              <w:pStyle w:val="NoSpacing"/>
              <w:bidi w:val="0"/>
              <w:jc w:val="center"/>
            </w:pPr>
            <w:r w:rsidRPr="002A5734">
              <w:t>0.84</w:t>
            </w:r>
          </w:p>
        </w:tc>
        <w:tc>
          <w:tcPr>
            <w:tcW w:w="1219" w:type="dxa"/>
            <w:shd w:val="clear" w:color="auto" w:fill="auto"/>
          </w:tcPr>
          <w:p w:rsidR="0061195B" w:rsidRPr="002A5734" w:rsidRDefault="0061195B" w:rsidP="00E811AA">
            <w:pPr>
              <w:pStyle w:val="NoSpacing"/>
              <w:bidi w:val="0"/>
              <w:jc w:val="center"/>
            </w:pPr>
            <w:r w:rsidRPr="002A5734">
              <w:t>0.04</w:t>
            </w:r>
          </w:p>
        </w:tc>
      </w:tr>
      <w:tr w:rsidR="0061195B" w:rsidRPr="002A5734" w:rsidTr="00155E24">
        <w:trPr>
          <w:trHeight w:val="232"/>
          <w:jc w:val="center"/>
        </w:trPr>
        <w:tc>
          <w:tcPr>
            <w:tcW w:w="1615" w:type="dxa"/>
            <w:vMerge/>
            <w:shd w:val="clear" w:color="auto" w:fill="F2F2F2"/>
          </w:tcPr>
          <w:p w:rsidR="0061195B" w:rsidRPr="002A5734" w:rsidRDefault="0061195B" w:rsidP="00E811AA">
            <w:pPr>
              <w:pStyle w:val="NoSpacing"/>
              <w:bidi w:val="0"/>
              <w:rPr>
                <w:b/>
                <w:bCs/>
              </w:rPr>
            </w:pPr>
          </w:p>
        </w:tc>
        <w:tc>
          <w:tcPr>
            <w:tcW w:w="1430" w:type="dxa"/>
            <w:shd w:val="clear" w:color="auto" w:fill="F2F2F2"/>
            <w:vAlign w:val="center"/>
          </w:tcPr>
          <w:p w:rsidR="0061195B" w:rsidRPr="002A5734" w:rsidRDefault="0061195B" w:rsidP="00E811AA">
            <w:pPr>
              <w:pStyle w:val="NoSpacing"/>
              <w:bidi w:val="0"/>
              <w:jc w:val="center"/>
              <w:rPr>
                <w:b/>
                <w:bCs/>
              </w:rPr>
            </w:pPr>
            <w:r w:rsidRPr="002A5734">
              <w:rPr>
                <w:b/>
                <w:bCs/>
              </w:rPr>
              <w:t>Non- pregnant</w:t>
            </w:r>
          </w:p>
        </w:tc>
        <w:tc>
          <w:tcPr>
            <w:tcW w:w="1298" w:type="dxa"/>
            <w:shd w:val="clear" w:color="auto" w:fill="auto"/>
            <w:vAlign w:val="center"/>
          </w:tcPr>
          <w:p w:rsidR="0061195B" w:rsidRPr="002A5734" w:rsidRDefault="0061195B" w:rsidP="00E811AA">
            <w:pPr>
              <w:pStyle w:val="NoSpacing"/>
              <w:bidi w:val="0"/>
              <w:jc w:val="center"/>
            </w:pPr>
            <w:r w:rsidRPr="002A5734">
              <w:t>100(77)</w:t>
            </w:r>
          </w:p>
        </w:tc>
        <w:tc>
          <w:tcPr>
            <w:tcW w:w="1214" w:type="dxa"/>
            <w:shd w:val="clear" w:color="auto" w:fill="auto"/>
            <w:vAlign w:val="center"/>
          </w:tcPr>
          <w:p w:rsidR="0061195B" w:rsidRPr="002A5734" w:rsidRDefault="0061195B" w:rsidP="00E811AA">
            <w:pPr>
              <w:pStyle w:val="NoSpacing"/>
              <w:bidi w:val="0"/>
              <w:jc w:val="center"/>
            </w:pPr>
            <w:r w:rsidRPr="002A5734">
              <w:t>73(73)</w:t>
            </w:r>
          </w:p>
        </w:tc>
        <w:tc>
          <w:tcPr>
            <w:tcW w:w="685" w:type="dxa"/>
            <w:shd w:val="clear" w:color="auto" w:fill="auto"/>
            <w:vAlign w:val="center"/>
          </w:tcPr>
          <w:p w:rsidR="0061195B" w:rsidRPr="002A5734" w:rsidRDefault="0061195B" w:rsidP="00E811AA">
            <w:pPr>
              <w:pStyle w:val="NoSpacing"/>
              <w:bidi w:val="0"/>
              <w:jc w:val="center"/>
            </w:pPr>
            <w:r w:rsidRPr="002A5734">
              <w:t>1.0</w:t>
            </w:r>
          </w:p>
        </w:tc>
        <w:tc>
          <w:tcPr>
            <w:tcW w:w="1165" w:type="dxa"/>
            <w:shd w:val="clear" w:color="auto" w:fill="auto"/>
            <w:vAlign w:val="center"/>
          </w:tcPr>
          <w:p w:rsidR="0061195B" w:rsidRPr="002A5734" w:rsidRDefault="0061195B" w:rsidP="00E811AA">
            <w:pPr>
              <w:pStyle w:val="NoSpacing"/>
              <w:bidi w:val="0"/>
              <w:jc w:val="center"/>
            </w:pPr>
            <w:r w:rsidRPr="002A5734">
              <w:t>0.7-1.1</w:t>
            </w:r>
          </w:p>
        </w:tc>
        <w:tc>
          <w:tcPr>
            <w:tcW w:w="754" w:type="dxa"/>
            <w:shd w:val="clear" w:color="auto" w:fill="auto"/>
            <w:vAlign w:val="center"/>
          </w:tcPr>
          <w:p w:rsidR="0061195B" w:rsidRPr="002A5734" w:rsidRDefault="0061195B" w:rsidP="00E811AA">
            <w:pPr>
              <w:pStyle w:val="NoSpacing"/>
              <w:bidi w:val="0"/>
              <w:jc w:val="center"/>
            </w:pPr>
            <w:r w:rsidRPr="002A5734">
              <w:t>0.99</w:t>
            </w:r>
          </w:p>
        </w:tc>
        <w:tc>
          <w:tcPr>
            <w:tcW w:w="1219" w:type="dxa"/>
            <w:shd w:val="clear" w:color="auto" w:fill="auto"/>
            <w:vAlign w:val="center"/>
          </w:tcPr>
          <w:p w:rsidR="0061195B" w:rsidRPr="002A5734" w:rsidRDefault="0061195B" w:rsidP="00836E9B">
            <w:pPr>
              <w:pStyle w:val="NoSpacing"/>
              <w:bidi w:val="0"/>
              <w:jc w:val="center"/>
            </w:pPr>
            <w:r w:rsidRPr="002A5734">
              <w:t>0.0</w:t>
            </w:r>
            <w:r w:rsidR="00836E9B" w:rsidRPr="002A5734">
              <w:t>6</w:t>
            </w:r>
          </w:p>
        </w:tc>
      </w:tr>
      <w:tr w:rsidR="0061195B" w:rsidRPr="002A5734" w:rsidTr="00155E24">
        <w:trPr>
          <w:trHeight w:val="232"/>
          <w:jc w:val="center"/>
        </w:trPr>
        <w:tc>
          <w:tcPr>
            <w:tcW w:w="1615" w:type="dxa"/>
            <w:vMerge w:val="restart"/>
            <w:shd w:val="clear" w:color="auto" w:fill="F2F2F2"/>
          </w:tcPr>
          <w:p w:rsidR="0061195B" w:rsidRPr="002A5734" w:rsidRDefault="0061195B" w:rsidP="00E811AA">
            <w:pPr>
              <w:pStyle w:val="NoSpacing"/>
              <w:bidi w:val="0"/>
              <w:rPr>
                <w:b/>
                <w:bCs/>
              </w:rPr>
            </w:pPr>
            <w:r w:rsidRPr="002A5734">
              <w:rPr>
                <w:b/>
                <w:bCs/>
              </w:rPr>
              <w:t>Stillbirth state</w:t>
            </w:r>
          </w:p>
        </w:tc>
        <w:tc>
          <w:tcPr>
            <w:tcW w:w="1430" w:type="dxa"/>
            <w:shd w:val="clear" w:color="auto" w:fill="F2F2F2"/>
            <w:vAlign w:val="center"/>
          </w:tcPr>
          <w:p w:rsidR="0061195B" w:rsidRPr="002A5734" w:rsidRDefault="0061195B" w:rsidP="00E811AA">
            <w:pPr>
              <w:pStyle w:val="NoSpacing"/>
              <w:bidi w:val="0"/>
              <w:jc w:val="center"/>
              <w:rPr>
                <w:b/>
                <w:bCs/>
              </w:rPr>
            </w:pPr>
            <w:r w:rsidRPr="002A5734">
              <w:rPr>
                <w:b/>
                <w:bCs/>
              </w:rPr>
              <w:t>Yes</w:t>
            </w:r>
          </w:p>
        </w:tc>
        <w:tc>
          <w:tcPr>
            <w:tcW w:w="1298" w:type="dxa"/>
            <w:shd w:val="clear" w:color="auto" w:fill="auto"/>
            <w:vAlign w:val="center"/>
          </w:tcPr>
          <w:p w:rsidR="0061195B" w:rsidRPr="002A5734" w:rsidRDefault="0061195B" w:rsidP="00E811AA">
            <w:pPr>
              <w:pStyle w:val="NoSpacing"/>
              <w:bidi w:val="0"/>
              <w:jc w:val="center"/>
            </w:pPr>
            <w:r w:rsidRPr="002A5734">
              <w:t>40(30.8)</w:t>
            </w:r>
          </w:p>
        </w:tc>
        <w:tc>
          <w:tcPr>
            <w:tcW w:w="1214" w:type="dxa"/>
            <w:shd w:val="clear" w:color="auto" w:fill="auto"/>
            <w:vAlign w:val="center"/>
          </w:tcPr>
          <w:p w:rsidR="0061195B" w:rsidRPr="002A5734" w:rsidRDefault="0061195B" w:rsidP="00E811AA">
            <w:pPr>
              <w:pStyle w:val="NoSpacing"/>
              <w:bidi w:val="0"/>
              <w:jc w:val="center"/>
            </w:pPr>
            <w:r w:rsidRPr="002A5734">
              <w:t>26(65)</w:t>
            </w:r>
          </w:p>
        </w:tc>
        <w:tc>
          <w:tcPr>
            <w:tcW w:w="685" w:type="dxa"/>
            <w:shd w:val="clear" w:color="auto" w:fill="auto"/>
            <w:vAlign w:val="center"/>
          </w:tcPr>
          <w:p w:rsidR="0061195B" w:rsidRPr="002A5734" w:rsidRDefault="0061195B" w:rsidP="00E811AA">
            <w:pPr>
              <w:pStyle w:val="NoSpacing"/>
              <w:bidi w:val="0"/>
              <w:jc w:val="center"/>
            </w:pPr>
            <w:r w:rsidRPr="002A5734">
              <w:t>0.87</w:t>
            </w:r>
          </w:p>
        </w:tc>
        <w:tc>
          <w:tcPr>
            <w:tcW w:w="1165" w:type="dxa"/>
            <w:shd w:val="clear" w:color="auto" w:fill="auto"/>
            <w:vAlign w:val="center"/>
          </w:tcPr>
          <w:p w:rsidR="0061195B" w:rsidRPr="002A5734" w:rsidRDefault="0061195B" w:rsidP="00E811AA">
            <w:pPr>
              <w:pStyle w:val="NoSpacing"/>
              <w:bidi w:val="0"/>
              <w:jc w:val="center"/>
            </w:pPr>
            <w:r w:rsidRPr="002A5734">
              <w:t>0.86-1.16</w:t>
            </w:r>
          </w:p>
        </w:tc>
        <w:tc>
          <w:tcPr>
            <w:tcW w:w="754" w:type="dxa"/>
            <w:shd w:val="clear" w:color="auto" w:fill="auto"/>
            <w:vAlign w:val="center"/>
          </w:tcPr>
          <w:p w:rsidR="0061195B" w:rsidRPr="002A5734" w:rsidRDefault="0061195B" w:rsidP="00E811AA">
            <w:pPr>
              <w:pStyle w:val="NoSpacing"/>
              <w:bidi w:val="0"/>
              <w:jc w:val="center"/>
            </w:pPr>
            <w:r w:rsidRPr="002A5734">
              <w:t>1.51</w:t>
            </w:r>
          </w:p>
        </w:tc>
        <w:tc>
          <w:tcPr>
            <w:tcW w:w="1219" w:type="dxa"/>
            <w:shd w:val="clear" w:color="auto" w:fill="auto"/>
            <w:vAlign w:val="center"/>
          </w:tcPr>
          <w:p w:rsidR="0061195B" w:rsidRPr="002A5734" w:rsidRDefault="0061195B" w:rsidP="00E811AA">
            <w:pPr>
              <w:pStyle w:val="NoSpacing"/>
              <w:bidi w:val="0"/>
              <w:jc w:val="center"/>
            </w:pPr>
            <w:r w:rsidRPr="002A5734">
              <w:t>0.21</w:t>
            </w:r>
          </w:p>
        </w:tc>
      </w:tr>
      <w:tr w:rsidR="0061195B" w:rsidRPr="002A5734" w:rsidTr="00155E24">
        <w:trPr>
          <w:trHeight w:val="232"/>
          <w:jc w:val="center"/>
        </w:trPr>
        <w:tc>
          <w:tcPr>
            <w:tcW w:w="1615" w:type="dxa"/>
            <w:vMerge/>
            <w:shd w:val="clear" w:color="auto" w:fill="F2F2F2"/>
          </w:tcPr>
          <w:p w:rsidR="0061195B" w:rsidRPr="002A5734" w:rsidRDefault="0061195B" w:rsidP="00E811AA">
            <w:pPr>
              <w:pStyle w:val="NoSpacing"/>
              <w:bidi w:val="0"/>
              <w:rPr>
                <w:b/>
                <w:bCs/>
              </w:rPr>
            </w:pPr>
          </w:p>
        </w:tc>
        <w:tc>
          <w:tcPr>
            <w:tcW w:w="1430" w:type="dxa"/>
            <w:shd w:val="clear" w:color="auto" w:fill="F2F2F2"/>
            <w:vAlign w:val="center"/>
          </w:tcPr>
          <w:p w:rsidR="0061195B" w:rsidRPr="002A5734" w:rsidRDefault="0061195B" w:rsidP="00E811AA">
            <w:pPr>
              <w:pStyle w:val="NoSpacing"/>
              <w:bidi w:val="0"/>
              <w:jc w:val="center"/>
              <w:rPr>
                <w:b/>
                <w:bCs/>
              </w:rPr>
            </w:pPr>
            <w:r w:rsidRPr="002A5734">
              <w:rPr>
                <w:b/>
                <w:bCs/>
              </w:rPr>
              <w:t>No</w:t>
            </w:r>
          </w:p>
        </w:tc>
        <w:tc>
          <w:tcPr>
            <w:tcW w:w="1298" w:type="dxa"/>
            <w:shd w:val="clear" w:color="auto" w:fill="auto"/>
            <w:vAlign w:val="center"/>
          </w:tcPr>
          <w:p w:rsidR="0061195B" w:rsidRPr="002A5734" w:rsidRDefault="0061195B" w:rsidP="00E811AA">
            <w:pPr>
              <w:pStyle w:val="NoSpacing"/>
              <w:bidi w:val="0"/>
              <w:jc w:val="center"/>
            </w:pPr>
            <w:r w:rsidRPr="002A5734">
              <w:t>90(69.2)</w:t>
            </w:r>
          </w:p>
        </w:tc>
        <w:tc>
          <w:tcPr>
            <w:tcW w:w="1214" w:type="dxa"/>
            <w:shd w:val="clear" w:color="auto" w:fill="auto"/>
            <w:vAlign w:val="center"/>
          </w:tcPr>
          <w:p w:rsidR="0061195B" w:rsidRPr="002A5734" w:rsidRDefault="0061195B" w:rsidP="00E811AA">
            <w:pPr>
              <w:pStyle w:val="NoSpacing"/>
              <w:bidi w:val="0"/>
              <w:jc w:val="center"/>
            </w:pPr>
            <w:r w:rsidRPr="002A5734">
              <w:t>74(82.2)</w:t>
            </w:r>
          </w:p>
        </w:tc>
        <w:tc>
          <w:tcPr>
            <w:tcW w:w="685" w:type="dxa"/>
            <w:shd w:val="clear" w:color="auto" w:fill="auto"/>
            <w:vAlign w:val="center"/>
          </w:tcPr>
          <w:p w:rsidR="0061195B" w:rsidRPr="002A5734" w:rsidRDefault="0061195B" w:rsidP="00E811AA">
            <w:pPr>
              <w:pStyle w:val="NoSpacing"/>
              <w:bidi w:val="0"/>
              <w:jc w:val="center"/>
            </w:pPr>
            <w:r w:rsidRPr="002A5734">
              <w:t>1.07</w:t>
            </w:r>
          </w:p>
        </w:tc>
        <w:tc>
          <w:tcPr>
            <w:tcW w:w="1165" w:type="dxa"/>
            <w:shd w:val="clear" w:color="auto" w:fill="auto"/>
            <w:vAlign w:val="center"/>
          </w:tcPr>
          <w:p w:rsidR="0061195B" w:rsidRPr="002A5734" w:rsidRDefault="0061195B" w:rsidP="00E811AA">
            <w:pPr>
              <w:pStyle w:val="NoSpacing"/>
              <w:bidi w:val="0"/>
              <w:jc w:val="center"/>
            </w:pPr>
            <w:r w:rsidRPr="002A5734">
              <w:t>0.93-1.24</w:t>
            </w:r>
          </w:p>
        </w:tc>
        <w:tc>
          <w:tcPr>
            <w:tcW w:w="754" w:type="dxa"/>
            <w:shd w:val="clear" w:color="auto" w:fill="auto"/>
            <w:vAlign w:val="center"/>
          </w:tcPr>
          <w:p w:rsidR="0061195B" w:rsidRPr="002A5734" w:rsidRDefault="0061195B" w:rsidP="00E811AA">
            <w:pPr>
              <w:pStyle w:val="NoSpacing"/>
              <w:bidi w:val="0"/>
              <w:jc w:val="center"/>
            </w:pPr>
            <w:r w:rsidRPr="002A5734">
              <w:t>0.85</w:t>
            </w:r>
          </w:p>
        </w:tc>
        <w:tc>
          <w:tcPr>
            <w:tcW w:w="1219" w:type="dxa"/>
            <w:shd w:val="clear" w:color="auto" w:fill="auto"/>
            <w:vAlign w:val="center"/>
          </w:tcPr>
          <w:p w:rsidR="0061195B" w:rsidRPr="002A5734" w:rsidRDefault="0061195B" w:rsidP="00E811AA">
            <w:pPr>
              <w:pStyle w:val="NoSpacing"/>
              <w:bidi w:val="0"/>
              <w:jc w:val="center"/>
            </w:pPr>
            <w:r w:rsidRPr="002A5734">
              <w:t>0.35</w:t>
            </w:r>
          </w:p>
        </w:tc>
      </w:tr>
      <w:tr w:rsidR="0061195B" w:rsidRPr="002A5734" w:rsidTr="00155E24">
        <w:trPr>
          <w:trHeight w:val="232"/>
          <w:jc w:val="center"/>
        </w:trPr>
        <w:tc>
          <w:tcPr>
            <w:tcW w:w="1615" w:type="dxa"/>
            <w:vMerge w:val="restart"/>
            <w:shd w:val="clear" w:color="auto" w:fill="F2F2F2"/>
          </w:tcPr>
          <w:p w:rsidR="0061195B" w:rsidRPr="002A5734" w:rsidRDefault="0061195B" w:rsidP="00E811AA">
            <w:pPr>
              <w:pStyle w:val="NoSpacing"/>
              <w:bidi w:val="0"/>
              <w:rPr>
                <w:b/>
                <w:bCs/>
              </w:rPr>
            </w:pPr>
            <w:r w:rsidRPr="002A5734">
              <w:rPr>
                <w:b/>
                <w:bCs/>
              </w:rPr>
              <w:t>Family history for rubella</w:t>
            </w:r>
          </w:p>
        </w:tc>
        <w:tc>
          <w:tcPr>
            <w:tcW w:w="1430" w:type="dxa"/>
            <w:shd w:val="clear" w:color="auto" w:fill="F2F2F2"/>
            <w:vAlign w:val="center"/>
          </w:tcPr>
          <w:p w:rsidR="0061195B" w:rsidRPr="002A5734" w:rsidRDefault="0061195B" w:rsidP="00E811AA">
            <w:pPr>
              <w:bidi w:val="0"/>
              <w:ind w:right="42"/>
              <w:jc w:val="center"/>
              <w:rPr>
                <w:b/>
                <w:bCs/>
              </w:rPr>
            </w:pPr>
            <w:r w:rsidRPr="002A5734">
              <w:rPr>
                <w:b/>
                <w:bCs/>
              </w:rPr>
              <w:t>Yes</w:t>
            </w:r>
          </w:p>
        </w:tc>
        <w:tc>
          <w:tcPr>
            <w:tcW w:w="1298" w:type="dxa"/>
            <w:shd w:val="clear" w:color="auto" w:fill="auto"/>
            <w:vAlign w:val="center"/>
          </w:tcPr>
          <w:p w:rsidR="0061195B" w:rsidRPr="002A5734" w:rsidRDefault="0061195B" w:rsidP="00E811AA">
            <w:pPr>
              <w:bidi w:val="0"/>
              <w:ind w:right="42"/>
              <w:jc w:val="center"/>
            </w:pPr>
            <w:r w:rsidRPr="002A5734">
              <w:t>34(12.6)</w:t>
            </w:r>
          </w:p>
        </w:tc>
        <w:tc>
          <w:tcPr>
            <w:tcW w:w="1214" w:type="dxa"/>
            <w:shd w:val="clear" w:color="auto" w:fill="auto"/>
            <w:vAlign w:val="center"/>
          </w:tcPr>
          <w:p w:rsidR="0061195B" w:rsidRPr="002A5734" w:rsidRDefault="0061195B" w:rsidP="00E811AA">
            <w:pPr>
              <w:bidi w:val="0"/>
              <w:ind w:right="42"/>
              <w:jc w:val="center"/>
            </w:pPr>
            <w:r w:rsidRPr="002A5734">
              <w:t>25(73.5)</w:t>
            </w:r>
          </w:p>
        </w:tc>
        <w:tc>
          <w:tcPr>
            <w:tcW w:w="685" w:type="dxa"/>
            <w:shd w:val="clear" w:color="auto" w:fill="auto"/>
            <w:vAlign w:val="center"/>
          </w:tcPr>
          <w:p w:rsidR="0061195B" w:rsidRPr="002A5734" w:rsidRDefault="0061195B" w:rsidP="00E811AA">
            <w:pPr>
              <w:bidi w:val="0"/>
              <w:ind w:right="42"/>
              <w:jc w:val="center"/>
            </w:pPr>
            <w:r w:rsidRPr="002A5734">
              <w:t>1.01</w:t>
            </w:r>
          </w:p>
        </w:tc>
        <w:tc>
          <w:tcPr>
            <w:tcW w:w="1165" w:type="dxa"/>
            <w:shd w:val="clear" w:color="auto" w:fill="auto"/>
            <w:vAlign w:val="center"/>
          </w:tcPr>
          <w:p w:rsidR="0061195B" w:rsidRPr="002A5734" w:rsidRDefault="0061195B" w:rsidP="00E811AA">
            <w:pPr>
              <w:bidi w:val="0"/>
              <w:ind w:right="42"/>
              <w:jc w:val="center"/>
            </w:pPr>
            <w:r w:rsidRPr="002A5734">
              <w:t>0.81-125</w:t>
            </w:r>
          </w:p>
        </w:tc>
        <w:tc>
          <w:tcPr>
            <w:tcW w:w="754" w:type="dxa"/>
            <w:shd w:val="clear" w:color="auto" w:fill="auto"/>
            <w:vAlign w:val="center"/>
          </w:tcPr>
          <w:p w:rsidR="0061195B" w:rsidRPr="002A5734" w:rsidRDefault="0061195B" w:rsidP="00E811AA">
            <w:pPr>
              <w:bidi w:val="0"/>
              <w:ind w:right="42"/>
              <w:jc w:val="center"/>
            </w:pPr>
            <w:r w:rsidRPr="002A5734">
              <w:t>0.01</w:t>
            </w:r>
          </w:p>
        </w:tc>
        <w:tc>
          <w:tcPr>
            <w:tcW w:w="1219" w:type="dxa"/>
            <w:shd w:val="clear" w:color="auto" w:fill="auto"/>
            <w:vAlign w:val="center"/>
          </w:tcPr>
          <w:p w:rsidR="0061195B" w:rsidRPr="002A5734" w:rsidRDefault="0061195B" w:rsidP="00E811AA">
            <w:pPr>
              <w:bidi w:val="0"/>
              <w:ind w:right="42"/>
              <w:jc w:val="center"/>
            </w:pPr>
            <w:r w:rsidRPr="002A5734">
              <w:t>0.93</w:t>
            </w:r>
          </w:p>
        </w:tc>
      </w:tr>
      <w:tr w:rsidR="0061195B" w:rsidRPr="002A5734" w:rsidTr="00155E24">
        <w:trPr>
          <w:trHeight w:val="232"/>
          <w:jc w:val="center"/>
        </w:trPr>
        <w:tc>
          <w:tcPr>
            <w:tcW w:w="1615" w:type="dxa"/>
            <w:vMerge/>
            <w:shd w:val="clear" w:color="auto" w:fill="F2F2F2"/>
          </w:tcPr>
          <w:p w:rsidR="0061195B" w:rsidRPr="002A5734" w:rsidRDefault="0061195B" w:rsidP="00E811AA">
            <w:pPr>
              <w:pStyle w:val="NoSpacing"/>
              <w:bidi w:val="0"/>
              <w:rPr>
                <w:b/>
                <w:bCs/>
              </w:rPr>
            </w:pPr>
          </w:p>
        </w:tc>
        <w:tc>
          <w:tcPr>
            <w:tcW w:w="1430" w:type="dxa"/>
            <w:shd w:val="clear" w:color="auto" w:fill="F2F2F2"/>
            <w:vAlign w:val="center"/>
          </w:tcPr>
          <w:p w:rsidR="0061195B" w:rsidRPr="002A5734" w:rsidRDefault="0061195B" w:rsidP="00E811AA">
            <w:pPr>
              <w:bidi w:val="0"/>
              <w:ind w:right="42"/>
              <w:jc w:val="center"/>
              <w:rPr>
                <w:b/>
                <w:bCs/>
              </w:rPr>
            </w:pPr>
            <w:r w:rsidRPr="002A5734">
              <w:rPr>
                <w:b/>
                <w:bCs/>
              </w:rPr>
              <w:t>No</w:t>
            </w:r>
          </w:p>
        </w:tc>
        <w:tc>
          <w:tcPr>
            <w:tcW w:w="1298" w:type="dxa"/>
            <w:shd w:val="clear" w:color="auto" w:fill="auto"/>
            <w:vAlign w:val="center"/>
          </w:tcPr>
          <w:p w:rsidR="0061195B" w:rsidRPr="002A5734" w:rsidRDefault="0061195B" w:rsidP="00E811AA">
            <w:pPr>
              <w:bidi w:val="0"/>
              <w:ind w:right="42"/>
              <w:jc w:val="center"/>
            </w:pPr>
            <w:r w:rsidRPr="002A5734">
              <w:t>236(87.4)</w:t>
            </w:r>
          </w:p>
        </w:tc>
        <w:tc>
          <w:tcPr>
            <w:tcW w:w="1214" w:type="dxa"/>
            <w:shd w:val="clear" w:color="auto" w:fill="auto"/>
            <w:vAlign w:val="center"/>
          </w:tcPr>
          <w:p w:rsidR="0061195B" w:rsidRPr="002A5734" w:rsidRDefault="0061195B" w:rsidP="00E811AA">
            <w:pPr>
              <w:bidi w:val="0"/>
              <w:ind w:right="42"/>
              <w:jc w:val="center"/>
            </w:pPr>
            <w:r w:rsidRPr="002A5734">
              <w:t>172(72.9)</w:t>
            </w:r>
          </w:p>
        </w:tc>
        <w:tc>
          <w:tcPr>
            <w:tcW w:w="685" w:type="dxa"/>
            <w:shd w:val="clear" w:color="auto" w:fill="auto"/>
            <w:vAlign w:val="center"/>
          </w:tcPr>
          <w:p w:rsidR="0061195B" w:rsidRPr="002A5734" w:rsidRDefault="0061195B" w:rsidP="00E811AA">
            <w:pPr>
              <w:bidi w:val="0"/>
              <w:ind w:right="42"/>
              <w:jc w:val="center"/>
            </w:pPr>
            <w:r w:rsidRPr="002A5734">
              <w:t>0.99</w:t>
            </w:r>
          </w:p>
        </w:tc>
        <w:tc>
          <w:tcPr>
            <w:tcW w:w="1165" w:type="dxa"/>
            <w:shd w:val="clear" w:color="auto" w:fill="auto"/>
            <w:vAlign w:val="center"/>
          </w:tcPr>
          <w:p w:rsidR="0061195B" w:rsidRPr="002A5734" w:rsidRDefault="0061195B" w:rsidP="00E811AA">
            <w:pPr>
              <w:bidi w:val="0"/>
              <w:ind w:right="42"/>
              <w:jc w:val="center"/>
            </w:pPr>
            <w:r w:rsidRPr="002A5734">
              <w:t>0.8-1.23</w:t>
            </w:r>
          </w:p>
        </w:tc>
        <w:tc>
          <w:tcPr>
            <w:tcW w:w="754" w:type="dxa"/>
            <w:shd w:val="clear" w:color="auto" w:fill="auto"/>
            <w:vAlign w:val="center"/>
          </w:tcPr>
          <w:p w:rsidR="0061195B" w:rsidRPr="002A5734" w:rsidRDefault="0061195B" w:rsidP="00E811AA">
            <w:pPr>
              <w:bidi w:val="0"/>
              <w:ind w:right="42"/>
              <w:jc w:val="center"/>
              <w:rPr>
                <w:rtl/>
              </w:rPr>
            </w:pPr>
            <w:r w:rsidRPr="002A5734">
              <w:t>0.01</w:t>
            </w:r>
          </w:p>
        </w:tc>
        <w:tc>
          <w:tcPr>
            <w:tcW w:w="1219" w:type="dxa"/>
            <w:shd w:val="clear" w:color="auto" w:fill="auto"/>
            <w:vAlign w:val="center"/>
          </w:tcPr>
          <w:p w:rsidR="0061195B" w:rsidRPr="002A5734" w:rsidRDefault="0061195B" w:rsidP="00E811AA">
            <w:pPr>
              <w:bidi w:val="0"/>
              <w:ind w:right="42"/>
              <w:jc w:val="center"/>
            </w:pPr>
            <w:r w:rsidRPr="002A5734">
              <w:t>0.93</w:t>
            </w:r>
          </w:p>
        </w:tc>
      </w:tr>
    </w:tbl>
    <w:p w:rsidR="00155E24" w:rsidRPr="002A5734" w:rsidRDefault="00155E24" w:rsidP="00155E24">
      <w:pPr>
        <w:pStyle w:val="NoSpacing"/>
        <w:bidi w:val="0"/>
      </w:pPr>
      <w:r w:rsidRPr="002A5734">
        <w:rPr>
          <w:b/>
          <w:bCs/>
          <w:noProof/>
        </w:rPr>
        <w:t>RR</w:t>
      </w:r>
      <w:r w:rsidRPr="002A5734">
        <w:rPr>
          <w:noProof/>
        </w:rPr>
        <w:t xml:space="preserve"> Relative risk ˃1 (at risk); </w:t>
      </w:r>
      <w:r w:rsidRPr="002A5734">
        <w:rPr>
          <w:b/>
          <w:bCs/>
          <w:noProof/>
        </w:rPr>
        <w:t>CI</w:t>
      </w:r>
      <w:r w:rsidRPr="002A5734">
        <w:rPr>
          <w:noProof/>
        </w:rPr>
        <w:t xml:space="preserve"> Confidence intervals; </w:t>
      </w:r>
      <w:r w:rsidRPr="002A5734">
        <w:rPr>
          <w:b/>
          <w:bCs/>
        </w:rPr>
        <w:t>χ</w:t>
      </w:r>
      <w:r w:rsidRPr="002A5734">
        <w:rPr>
          <w:b/>
          <w:bCs/>
          <w:vertAlign w:val="superscript"/>
        </w:rPr>
        <w:t>2</w:t>
      </w:r>
      <w:r w:rsidRPr="002A5734">
        <w:t>Chi-square ≥3.84</w:t>
      </w:r>
      <w:r w:rsidRPr="002A5734">
        <w:rPr>
          <w:noProof/>
        </w:rPr>
        <w:t xml:space="preserve">; </w:t>
      </w:r>
      <w:r w:rsidRPr="002A5734">
        <w:rPr>
          <w:i/>
          <w:iCs/>
        </w:rPr>
        <w:t>P</w:t>
      </w:r>
      <w:r w:rsidRPr="002A5734">
        <w:t>&lt;0.01 (significant)</w:t>
      </w:r>
    </w:p>
    <w:p w:rsidR="00A7166A" w:rsidRPr="002A5734" w:rsidRDefault="00A7166A" w:rsidP="00A7166A">
      <w:pPr>
        <w:bidi w:val="0"/>
        <w:ind w:right="42" w:firstLine="540"/>
        <w:jc w:val="both"/>
      </w:pPr>
    </w:p>
    <w:p w:rsidR="00A7166A" w:rsidRPr="002A5734" w:rsidRDefault="00A7166A" w:rsidP="009A5F0A">
      <w:pPr>
        <w:bidi w:val="0"/>
        <w:ind w:right="42"/>
        <w:jc w:val="both"/>
      </w:pPr>
    </w:p>
    <w:p w:rsidR="00402BA1" w:rsidRPr="002A5734" w:rsidRDefault="00402BA1" w:rsidP="00402BA1">
      <w:pPr>
        <w:bidi w:val="0"/>
        <w:ind w:right="42"/>
        <w:jc w:val="both"/>
        <w:rPr>
          <w:b/>
          <w:bCs/>
        </w:rPr>
      </w:pPr>
      <w:commentRangeStart w:id="24"/>
      <w:r w:rsidRPr="002A5734">
        <w:rPr>
          <w:b/>
          <w:bCs/>
        </w:rPr>
        <w:t>DISCUSSION</w:t>
      </w:r>
      <w:commentRangeEnd w:id="24"/>
      <w:r w:rsidR="008F5701">
        <w:rPr>
          <w:rStyle w:val="CommentReference"/>
        </w:rPr>
        <w:commentReference w:id="24"/>
      </w:r>
    </w:p>
    <w:p w:rsidR="00836E9B" w:rsidRPr="002A5734" w:rsidRDefault="00856D71" w:rsidP="00836E9B">
      <w:pPr>
        <w:bidi w:val="0"/>
        <w:ind w:right="-19"/>
        <w:jc w:val="both"/>
      </w:pPr>
      <w:commentRangeStart w:id="25"/>
      <w:r w:rsidRPr="002A5734">
        <w:t>Rubella has a world</w:t>
      </w:r>
      <w:r w:rsidR="00051EC5" w:rsidRPr="002A5734">
        <w:t>wide distribution with the infection being endemic in all countries that had not a highly successful infant immunization policy or no immunization policy at all. An outbreak of rubella usually occurs in winter, spring</w:t>
      </w:r>
      <w:r w:rsidRPr="002A5734">
        <w:t>,</w:t>
      </w:r>
      <w:r w:rsidR="00051EC5" w:rsidRPr="002A5734">
        <w:t xml:space="preserve"> and early summer and </w:t>
      </w:r>
      <w:r w:rsidRPr="002A5734">
        <w:t>spreads very easily through air</w:t>
      </w:r>
      <w:r w:rsidR="00051EC5" w:rsidRPr="002A5734">
        <w:t>borne droplets within the community</w:t>
      </w:r>
      <w:r w:rsidR="00B543BE" w:rsidRPr="002A5734">
        <w:rPr>
          <w:vertAlign w:val="superscript"/>
        </w:rPr>
        <w:t>16</w:t>
      </w:r>
      <w:r w:rsidR="00051EC5" w:rsidRPr="002A5734">
        <w:t>.</w:t>
      </w:r>
    </w:p>
    <w:p w:rsidR="0000682D" w:rsidRPr="002A5734" w:rsidRDefault="00051EC5" w:rsidP="00836E9B">
      <w:pPr>
        <w:bidi w:val="0"/>
        <w:ind w:right="-19"/>
        <w:jc w:val="both"/>
      </w:pPr>
      <w:r w:rsidRPr="002A5734">
        <w:t xml:space="preserve">The </w:t>
      </w:r>
      <w:r w:rsidR="00F14078" w:rsidRPr="002A5734">
        <w:rPr>
          <w:lang w:eastAsia="zh-CN"/>
        </w:rPr>
        <w:t xml:space="preserve">current </w:t>
      </w:r>
      <w:r w:rsidR="00F14078" w:rsidRPr="002A5734">
        <w:t>study</w:t>
      </w:r>
      <w:r w:rsidRPr="002A5734">
        <w:t xml:space="preserve"> revealed</w:t>
      </w:r>
      <w:r w:rsidR="00F14078" w:rsidRPr="002A5734">
        <w:rPr>
          <w:lang w:eastAsia="zh-CN"/>
        </w:rPr>
        <w:t xml:space="preserve"> that</w:t>
      </w:r>
      <w:r w:rsidR="00FA6F08" w:rsidRPr="002A5734">
        <w:t xml:space="preserve"> 73</w:t>
      </w:r>
      <w:r w:rsidRPr="002A5734">
        <w:t>% of total females</w:t>
      </w:r>
      <w:r w:rsidR="00E545A1" w:rsidRPr="00E545A1">
        <w:rPr>
          <w:color w:val="548DD4" w:themeColor="text2" w:themeTint="99"/>
        </w:rPr>
        <w:t>(studied</w:t>
      </w:r>
      <w:r w:rsidR="00E545A1">
        <w:t>)</w:t>
      </w:r>
      <w:r w:rsidR="00F14078" w:rsidRPr="009E1E87">
        <w:rPr>
          <w:strike/>
          <w:color w:val="FF0000"/>
          <w:lang w:eastAsia="zh-CN"/>
        </w:rPr>
        <w:t>were</w:t>
      </w:r>
      <w:r w:rsidR="00F14078" w:rsidRPr="002A5734">
        <w:rPr>
          <w:lang w:eastAsia="zh-CN"/>
        </w:rPr>
        <w:t xml:space="preserve"> showed positive for </w:t>
      </w:r>
      <w:r w:rsidRPr="002A5734">
        <w:t xml:space="preserve">rubella </w:t>
      </w:r>
      <w:r w:rsidR="00F14078" w:rsidRPr="002A5734">
        <w:rPr>
          <w:lang w:eastAsia="zh-CN"/>
        </w:rPr>
        <w:t>IgG</w:t>
      </w:r>
      <w:r w:rsidR="00F14078" w:rsidRPr="002A5734">
        <w:t>antibod</w:t>
      </w:r>
      <w:r w:rsidR="00F14078" w:rsidRPr="002A5734">
        <w:rPr>
          <w:lang w:eastAsia="zh-CN"/>
        </w:rPr>
        <w:t>y</w:t>
      </w:r>
      <w:r w:rsidR="006A3375" w:rsidRPr="002A5734">
        <w:rPr>
          <w:lang w:eastAsia="zh-CN"/>
        </w:rPr>
        <w:t xml:space="preserve">while 27% of females were </w:t>
      </w:r>
      <w:r w:rsidR="00265681" w:rsidRPr="002A5734">
        <w:rPr>
          <w:lang w:eastAsia="zh-CN"/>
        </w:rPr>
        <w:t>negative</w:t>
      </w:r>
      <w:r w:rsidR="00265681" w:rsidRPr="002A5734">
        <w:t>.</w:t>
      </w:r>
      <w:r w:rsidR="00265681" w:rsidRPr="002A5734">
        <w:rPr>
          <w:rFonts w:eastAsia="DengXian"/>
          <w:lang w:eastAsia="zh-CN"/>
        </w:rPr>
        <w:t xml:space="preserve"> These</w:t>
      </w:r>
      <w:r w:rsidR="00331944" w:rsidRPr="002A5734">
        <w:rPr>
          <w:lang w:eastAsia="zh-CN"/>
        </w:rPr>
        <w:t>findings</w:t>
      </w:r>
      <w:r w:rsidR="00331944" w:rsidRPr="002A5734">
        <w:rPr>
          <w:rFonts w:eastAsia="DengXian"/>
          <w:lang w:eastAsia="zh-CN"/>
        </w:rPr>
        <w:t xml:space="preserve"> are lower than the rates </w:t>
      </w:r>
      <w:r w:rsidR="00331944" w:rsidRPr="002A5734">
        <w:rPr>
          <w:lang w:eastAsia="zh-CN"/>
        </w:rPr>
        <w:t>recorded</w:t>
      </w:r>
      <w:r w:rsidR="00331944" w:rsidRPr="002A5734">
        <w:rPr>
          <w:rFonts w:eastAsia="DengXian"/>
          <w:lang w:eastAsia="zh-CN"/>
        </w:rPr>
        <w:t xml:space="preserve"> from </w:t>
      </w:r>
      <w:r w:rsidR="00752689" w:rsidRPr="002A5734">
        <w:rPr>
          <w:lang w:eastAsia="zh-CN"/>
        </w:rPr>
        <w:t>several</w:t>
      </w:r>
      <w:r w:rsidR="00331944" w:rsidRPr="002A5734">
        <w:rPr>
          <w:rFonts w:eastAsia="DengXian"/>
          <w:lang w:eastAsia="zh-CN"/>
        </w:rPr>
        <w:t xml:space="preserve"> studiesamong </w:t>
      </w:r>
      <w:r w:rsidR="00752689" w:rsidRPr="002A5734">
        <w:rPr>
          <w:lang w:eastAsia="zh-CN"/>
        </w:rPr>
        <w:t>women</w:t>
      </w:r>
      <w:r w:rsidR="00331944" w:rsidRPr="009E1E87">
        <w:rPr>
          <w:strike/>
          <w:color w:val="FF0000"/>
        </w:rPr>
        <w:t>that</w:t>
      </w:r>
      <w:r w:rsidR="00331944" w:rsidRPr="002A5734">
        <w:rPr>
          <w:rFonts w:eastAsia="DengXian"/>
          <w:shd w:val="clear" w:color="auto" w:fill="FFFFFF"/>
          <w:lang w:eastAsia="zh-CN"/>
        </w:rPr>
        <w:t>where the prevalence rates of</w:t>
      </w:r>
      <w:r w:rsidR="00B86688" w:rsidRPr="002A5734">
        <w:rPr>
          <w:shd w:val="clear" w:color="auto" w:fill="FFFFFF"/>
          <w:lang w:eastAsia="zh-CN"/>
        </w:rPr>
        <w:t>rubella IgG</w:t>
      </w:r>
      <w:r w:rsidR="00B86688" w:rsidRPr="002A5734">
        <w:rPr>
          <w:rFonts w:eastAsia="DengXian"/>
          <w:shd w:val="clear" w:color="auto" w:fill="FFFFFF"/>
          <w:lang w:eastAsia="zh-CN"/>
        </w:rPr>
        <w:t xml:space="preserve"> </w:t>
      </w:r>
      <w:r w:rsidR="00B86688" w:rsidRPr="002A5734">
        <w:rPr>
          <w:rFonts w:eastAsia="DengXian"/>
          <w:shd w:val="clear" w:color="auto" w:fill="FFFFFF"/>
          <w:lang w:eastAsia="zh-CN"/>
        </w:rPr>
        <w:lastRenderedPageBreak/>
        <w:t>antibod</w:t>
      </w:r>
      <w:r w:rsidR="00DA481E" w:rsidRPr="002A5734">
        <w:rPr>
          <w:shd w:val="clear" w:color="auto" w:fill="FFFFFF"/>
          <w:lang w:eastAsia="zh-CN"/>
        </w:rPr>
        <w:t>y</w:t>
      </w:r>
      <w:r w:rsidR="00DA481E" w:rsidRPr="002A5734">
        <w:rPr>
          <w:rFonts w:eastAsia="DengXian"/>
          <w:shd w:val="clear" w:color="auto" w:fill="FFFFFF"/>
          <w:lang w:eastAsia="zh-CN"/>
        </w:rPr>
        <w:t xml:space="preserve"> w</w:t>
      </w:r>
      <w:r w:rsidR="00DA481E" w:rsidRPr="002A5734">
        <w:rPr>
          <w:shd w:val="clear" w:color="auto" w:fill="FFFFFF"/>
          <w:lang w:eastAsia="zh-CN"/>
        </w:rPr>
        <w:t>as</w:t>
      </w:r>
      <w:r w:rsidR="00DA481E" w:rsidRPr="002A5734">
        <w:rPr>
          <w:rFonts w:eastAsia="DengXian"/>
          <w:shd w:val="clear" w:color="auto" w:fill="FFFFFF"/>
          <w:lang w:eastAsia="zh-CN"/>
        </w:rPr>
        <w:t xml:space="preserve"> re</w:t>
      </w:r>
      <w:r w:rsidR="00DA481E" w:rsidRPr="002A5734">
        <w:rPr>
          <w:shd w:val="clear" w:color="auto" w:fill="FFFFFF"/>
          <w:lang w:eastAsia="zh-CN"/>
        </w:rPr>
        <w:t>port</w:t>
      </w:r>
      <w:r w:rsidR="00331944" w:rsidRPr="002A5734">
        <w:rPr>
          <w:rFonts w:eastAsia="DengXian"/>
          <w:shd w:val="clear" w:color="auto" w:fill="FFFFFF"/>
          <w:lang w:eastAsia="zh-CN"/>
        </w:rPr>
        <w:t>ed</w:t>
      </w:r>
      <w:r w:rsidR="00E545A1" w:rsidRPr="00E545A1">
        <w:rPr>
          <w:rFonts w:eastAsia="DengXian"/>
          <w:color w:val="00B0F0"/>
          <w:shd w:val="clear" w:color="auto" w:fill="FFFFFF"/>
          <w:lang w:eastAsia="zh-CN"/>
        </w:rPr>
        <w:t>(as)</w:t>
      </w:r>
      <w:r w:rsidR="00DA481E" w:rsidRPr="002A5734">
        <w:rPr>
          <w:shd w:val="clear" w:color="auto" w:fill="FFFFFF"/>
          <w:lang w:eastAsia="zh-CN"/>
        </w:rPr>
        <w:t>91.64</w:t>
      </w:r>
      <w:r w:rsidR="00331944" w:rsidRPr="002A5734">
        <w:rPr>
          <w:rFonts w:eastAsia="DengXian"/>
          <w:shd w:val="clear" w:color="auto" w:fill="FFFFFF"/>
          <w:lang w:eastAsia="zh-CN"/>
        </w:rPr>
        <w:t>%</w:t>
      </w:r>
      <w:r w:rsidR="007F09E2" w:rsidRPr="002A5734">
        <w:rPr>
          <w:lang w:eastAsia="zh-CN"/>
        </w:rPr>
        <w:t>in</w:t>
      </w:r>
      <w:r w:rsidR="00F62AF4" w:rsidRPr="002A5734">
        <w:rPr>
          <w:lang w:eastAsia="zh-CN"/>
        </w:rPr>
        <w:t xml:space="preserve"> Sana’a city</w:t>
      </w:r>
      <w:r w:rsidR="003428F6" w:rsidRPr="002A5734">
        <w:rPr>
          <w:shd w:val="clear" w:color="auto" w:fill="FFFFFF"/>
          <w:vertAlign w:val="superscript"/>
          <w:lang w:eastAsia="zh-CN"/>
        </w:rPr>
        <w:t>14</w:t>
      </w:r>
      <w:r w:rsidR="00EB7C8C" w:rsidRPr="002A5734">
        <w:rPr>
          <w:lang w:eastAsia="zh-CN"/>
        </w:rPr>
        <w:t>,</w:t>
      </w:r>
      <w:r w:rsidR="00711A51" w:rsidRPr="002A5734">
        <w:t xml:space="preserve">89.5 % in Poland </w:t>
      </w:r>
      <w:r w:rsidR="00B543BE" w:rsidRPr="002A5734">
        <w:rPr>
          <w:vertAlign w:val="superscript"/>
        </w:rPr>
        <w:t>17</w:t>
      </w:r>
      <w:r w:rsidR="00711A51" w:rsidRPr="002A5734">
        <w:t xml:space="preserve">, </w:t>
      </w:r>
      <w:r w:rsidR="00F62AF4" w:rsidRPr="002A5734">
        <w:rPr>
          <w:shd w:val="clear" w:color="auto" w:fill="FFFFFF"/>
          <w:lang w:eastAsia="zh-CN"/>
        </w:rPr>
        <w:t>85.4</w:t>
      </w:r>
      <w:r w:rsidR="00F62AF4" w:rsidRPr="002A5734">
        <w:rPr>
          <w:rFonts w:eastAsia="DengXian"/>
          <w:shd w:val="clear" w:color="auto" w:fill="FFFFFF"/>
          <w:lang w:eastAsia="zh-CN"/>
        </w:rPr>
        <w:t xml:space="preserve">%in </w:t>
      </w:r>
      <w:r w:rsidR="00F62AF4" w:rsidRPr="002A5734">
        <w:t>Sana’a governorate</w:t>
      </w:r>
      <w:r w:rsidR="00B84A20" w:rsidRPr="002A5734">
        <w:rPr>
          <w:rFonts w:eastAsia="DengXian"/>
          <w:shd w:val="clear" w:color="auto" w:fill="FFFFFF"/>
          <w:vertAlign w:val="superscript"/>
          <w:lang w:eastAsia="zh-CN"/>
        </w:rPr>
        <w:t>8</w:t>
      </w:r>
      <w:r w:rsidR="00EB7C8C" w:rsidRPr="002A5734">
        <w:rPr>
          <w:shd w:val="clear" w:color="auto" w:fill="FFFFFF"/>
          <w:lang w:eastAsia="zh-CN"/>
        </w:rPr>
        <w:t xml:space="preserve">, </w:t>
      </w:r>
      <w:r w:rsidR="00711A51" w:rsidRPr="002A5734">
        <w:t xml:space="preserve">94.4% in Turkey </w:t>
      </w:r>
      <w:r w:rsidR="00EA5066" w:rsidRPr="002A5734">
        <w:rPr>
          <w:vertAlign w:val="superscript"/>
        </w:rPr>
        <w:t>18</w:t>
      </w:r>
      <w:r w:rsidR="00711A51" w:rsidRPr="002A5734">
        <w:t xml:space="preserve">, </w:t>
      </w:r>
      <w:r w:rsidR="00752689" w:rsidRPr="002A5734">
        <w:t xml:space="preserve">92% in Saudi Arabia </w:t>
      </w:r>
      <w:r w:rsidR="00561BBC" w:rsidRPr="002A5734">
        <w:rPr>
          <w:vertAlign w:val="superscript"/>
        </w:rPr>
        <w:t>9</w:t>
      </w:r>
      <w:r w:rsidR="00EB7C8C" w:rsidRPr="002A5734">
        <w:rPr>
          <w:lang w:eastAsia="zh-CN"/>
        </w:rPr>
        <w:t>,</w:t>
      </w:r>
      <w:r w:rsidR="00752689" w:rsidRPr="002A5734">
        <w:t xml:space="preserve"> and 94.6% in Iran </w:t>
      </w:r>
      <w:r w:rsidR="00003FF5" w:rsidRPr="002A5734">
        <w:rPr>
          <w:vertAlign w:val="superscript"/>
        </w:rPr>
        <w:t>10</w:t>
      </w:r>
      <w:r w:rsidR="00752689" w:rsidRPr="002A5734">
        <w:t>.</w:t>
      </w:r>
    </w:p>
    <w:p w:rsidR="00F664D7" w:rsidRPr="002A5734" w:rsidRDefault="008840FB" w:rsidP="00BE7D75">
      <w:pPr>
        <w:pStyle w:val="NoSpacing"/>
        <w:bidi w:val="0"/>
        <w:jc w:val="both"/>
      </w:pPr>
      <w:r w:rsidRPr="002A5734">
        <w:t>However, t</w:t>
      </w:r>
      <w:r w:rsidR="00330149" w:rsidRPr="002A5734">
        <w:t xml:space="preserve">he lower rate </w:t>
      </w:r>
      <w:r w:rsidR="00E545A1" w:rsidRPr="00E545A1">
        <w:rPr>
          <w:color w:val="FF0000"/>
        </w:rPr>
        <w:t>of</w:t>
      </w:r>
      <w:r w:rsidR="00E545A1">
        <w:t>(</w:t>
      </w:r>
      <w:r w:rsidR="00E545A1" w:rsidRPr="00E545A1">
        <w:rPr>
          <w:color w:val="00B0F0"/>
        </w:rPr>
        <w:t>than</w:t>
      </w:r>
      <w:r w:rsidR="00E545A1">
        <w:t xml:space="preserve">) </w:t>
      </w:r>
      <w:r w:rsidR="00330149" w:rsidRPr="002A5734">
        <w:t xml:space="preserve">this study was reported </w:t>
      </w:r>
      <w:r w:rsidR="002D5C43" w:rsidRPr="002A5734">
        <w:t xml:space="preserve">by </w:t>
      </w:r>
      <w:r w:rsidR="00265681" w:rsidRPr="002A5734">
        <w:t>Olajide</w:t>
      </w:r>
      <w:r w:rsidR="00771442" w:rsidRPr="002A5734">
        <w:rPr>
          <w:i/>
          <w:iCs/>
        </w:rPr>
        <w:t xml:space="preserve"> al.</w:t>
      </w:r>
      <w:r w:rsidR="003D473F" w:rsidRPr="002A5734">
        <w:rPr>
          <w:vertAlign w:val="superscript"/>
        </w:rPr>
        <w:t>19</w:t>
      </w:r>
      <w:r w:rsidR="002D5C43" w:rsidRPr="002A5734">
        <w:t>i</w:t>
      </w:r>
      <w:r w:rsidR="00330149" w:rsidRPr="002A5734">
        <w:t>n Nigeria,</w:t>
      </w:r>
      <w:r w:rsidR="002D5C43" w:rsidRPr="002A5734">
        <w:t xml:space="preserve"> reveal</w:t>
      </w:r>
      <w:r w:rsidR="003F235E" w:rsidRPr="002A5734">
        <w:t>ing</w:t>
      </w:r>
      <w:r w:rsidR="002D5C43" w:rsidRPr="009E1E87">
        <w:rPr>
          <w:strike/>
          <w:color w:val="FF0000"/>
        </w:rPr>
        <w:t>the</w:t>
      </w:r>
      <w:r w:rsidR="00E545A1" w:rsidRPr="00E545A1">
        <w:rPr>
          <w:color w:val="00B0F0"/>
        </w:rPr>
        <w:t>(that)</w:t>
      </w:r>
      <w:r w:rsidR="00A86A79" w:rsidRPr="002A5734">
        <w:t>anti-rubella IgG</w:t>
      </w:r>
      <w:r w:rsidR="00DA2357" w:rsidRPr="002A5734">
        <w:t xml:space="preserve">was </w:t>
      </w:r>
      <w:r w:rsidR="002D5C43" w:rsidRPr="002A5734">
        <w:t>38.8%</w:t>
      </w:r>
      <w:r w:rsidR="00DA2357" w:rsidRPr="009E1E87">
        <w:rPr>
          <w:strike/>
          <w:color w:val="FF0000"/>
        </w:rPr>
        <w:t>recorded</w:t>
      </w:r>
      <w:r w:rsidR="003F235E" w:rsidRPr="002A5734">
        <w:t xml:space="preserve">among pregnant and non-pregnant </w:t>
      </w:r>
      <w:r w:rsidR="00265681" w:rsidRPr="002A5734">
        <w:t>women. Despite</w:t>
      </w:r>
      <w:r w:rsidR="00F664D7" w:rsidRPr="002A5734">
        <w:t xml:space="preserve"> the fact that vaccination against rubella is not part of the expanded program of immunization in Yemen, the present data showed that most studied females had antibodies to rubella virus, suggesting a previous exposure rather than vaccination.</w:t>
      </w:r>
      <w:r w:rsidR="00F664D7" w:rsidRPr="002A5734">
        <w:rPr>
          <w:lang w:eastAsia="zh-CN"/>
        </w:rPr>
        <w:t xml:space="preserve"> Consequently</w:t>
      </w:r>
      <w:r w:rsidR="00F664D7" w:rsidRPr="002A5734">
        <w:t>, the presence of IgG antibody is a sero</w:t>
      </w:r>
      <w:r w:rsidR="00F664D7" w:rsidRPr="002A5734">
        <w:rPr>
          <w:lang w:eastAsia="zh-CN"/>
        </w:rPr>
        <w:t>-</w:t>
      </w:r>
      <w:r w:rsidR="00F664D7" w:rsidRPr="002A5734">
        <w:t>marker of immunity against rubella virus</w:t>
      </w:r>
      <w:r w:rsidR="00ED4EFE" w:rsidRPr="002A5734">
        <w:rPr>
          <w:vertAlign w:val="superscript"/>
          <w:lang w:eastAsia="zh-CN"/>
        </w:rPr>
        <w:t>20,21</w:t>
      </w:r>
      <w:r w:rsidR="00F664D7" w:rsidRPr="002A5734">
        <w:rPr>
          <w:lang w:eastAsia="zh-CN"/>
        </w:rPr>
        <w:t>.Also, the absence IgG an</w:t>
      </w:r>
      <w:r w:rsidR="00586938" w:rsidRPr="002A5734">
        <w:rPr>
          <w:lang w:eastAsia="zh-CN"/>
        </w:rPr>
        <w:t xml:space="preserve">tibody indicates </w:t>
      </w:r>
      <w:r w:rsidR="00265681" w:rsidRPr="002A5734">
        <w:rPr>
          <w:lang w:eastAsia="zh-CN"/>
        </w:rPr>
        <w:t>susceptibility to</w:t>
      </w:r>
      <w:r w:rsidR="00F664D7" w:rsidRPr="002A5734">
        <w:rPr>
          <w:lang w:eastAsia="zh-CN"/>
        </w:rPr>
        <w:t xml:space="preserve"> acquiring rubella infection</w:t>
      </w:r>
      <w:r w:rsidR="001312AE" w:rsidRPr="002A5734">
        <w:rPr>
          <w:lang w:eastAsia="zh-CN"/>
        </w:rPr>
        <w:t xml:space="preserve"> particularly </w:t>
      </w:r>
      <w:r w:rsidR="00586938" w:rsidRPr="002A5734">
        <w:rPr>
          <w:lang w:eastAsia="zh-CN"/>
        </w:rPr>
        <w:t xml:space="preserve">unimmunized women </w:t>
      </w:r>
      <w:r w:rsidR="001312AE" w:rsidRPr="002A5734">
        <w:rPr>
          <w:lang w:eastAsia="zh-CN"/>
        </w:rPr>
        <w:t xml:space="preserve">during the pregnancy statue </w:t>
      </w:r>
      <w:r w:rsidR="002850BD" w:rsidRPr="002A5734">
        <w:rPr>
          <w:lang w:eastAsia="zh-CN"/>
        </w:rPr>
        <w:t>and tra</w:t>
      </w:r>
      <w:r w:rsidR="0042247A" w:rsidRPr="002A5734">
        <w:rPr>
          <w:lang w:eastAsia="zh-CN"/>
        </w:rPr>
        <w:t xml:space="preserve">nsmit it </w:t>
      </w:r>
      <w:r w:rsidR="002850BD" w:rsidRPr="002A5734">
        <w:rPr>
          <w:lang w:eastAsia="zh-CN"/>
        </w:rPr>
        <w:t xml:space="preserve">vertically </w:t>
      </w:r>
      <w:r w:rsidR="00856D71" w:rsidRPr="002A5734">
        <w:rPr>
          <w:lang w:eastAsia="zh-CN"/>
        </w:rPr>
        <w:t xml:space="preserve">to </w:t>
      </w:r>
      <w:r w:rsidR="0042247A" w:rsidRPr="002A5734">
        <w:rPr>
          <w:lang w:eastAsia="zh-CN"/>
        </w:rPr>
        <w:t xml:space="preserve">her fetus. The </w:t>
      </w:r>
      <w:r w:rsidR="003A0EBF" w:rsidRPr="002A5734">
        <w:rPr>
          <w:lang w:eastAsia="zh-CN"/>
        </w:rPr>
        <w:t xml:space="preserve">incidence of rubella </w:t>
      </w:r>
      <w:r w:rsidR="00265681" w:rsidRPr="002A5734">
        <w:rPr>
          <w:lang w:eastAsia="zh-CN"/>
        </w:rPr>
        <w:t>infection through</w:t>
      </w:r>
      <w:r w:rsidR="003A0EBF" w:rsidRPr="002A5734">
        <w:rPr>
          <w:lang w:eastAsia="zh-CN"/>
        </w:rPr>
        <w:t xml:space="preserve"> the first trimester or second trimester </w:t>
      </w:r>
      <w:r w:rsidR="00E75F8F" w:rsidRPr="009E1E87">
        <w:rPr>
          <w:strike/>
          <w:color w:val="FF0000"/>
          <w:lang w:eastAsia="zh-CN"/>
        </w:rPr>
        <w:t xml:space="preserve">is </w:t>
      </w:r>
      <w:r w:rsidR="009E1E87" w:rsidRPr="009E1E87">
        <w:rPr>
          <w:strike/>
          <w:color w:val="FF0000"/>
          <w:lang w:eastAsia="zh-CN"/>
        </w:rPr>
        <w:t>representing</w:t>
      </w:r>
      <w:r w:rsidR="009E1E87">
        <w:rPr>
          <w:color w:val="FF0000"/>
          <w:lang w:eastAsia="zh-CN"/>
        </w:rPr>
        <w:t>(</w:t>
      </w:r>
      <w:r w:rsidR="009E1E87" w:rsidRPr="009E1E87">
        <w:rPr>
          <w:color w:val="00B0F0"/>
          <w:lang w:eastAsia="zh-CN"/>
        </w:rPr>
        <w:t>represents)</w:t>
      </w:r>
      <w:r w:rsidR="00856D71" w:rsidRPr="002A5734">
        <w:rPr>
          <w:lang w:eastAsia="zh-CN"/>
        </w:rPr>
        <w:t xml:space="preserve">a </w:t>
      </w:r>
      <w:r w:rsidR="000411CC" w:rsidRPr="002A5734">
        <w:rPr>
          <w:lang w:eastAsia="zh-CN"/>
        </w:rPr>
        <w:t xml:space="preserve">risk </w:t>
      </w:r>
      <w:r w:rsidR="00CD4834" w:rsidRPr="002A5734">
        <w:rPr>
          <w:lang w:eastAsia="zh-CN"/>
        </w:rPr>
        <w:t xml:space="preserve">for </w:t>
      </w:r>
      <w:r w:rsidR="009E1E87" w:rsidRPr="009E1E87">
        <w:rPr>
          <w:color w:val="00B0F0"/>
          <w:lang w:eastAsia="zh-CN"/>
        </w:rPr>
        <w:t>(the</w:t>
      </w:r>
      <w:r w:rsidR="009E1E87">
        <w:rPr>
          <w:lang w:eastAsia="zh-CN"/>
        </w:rPr>
        <w:t xml:space="preserve">) </w:t>
      </w:r>
      <w:r w:rsidR="00CD4834" w:rsidRPr="002A5734">
        <w:rPr>
          <w:lang w:eastAsia="zh-CN"/>
        </w:rPr>
        <w:t xml:space="preserve">developing </w:t>
      </w:r>
      <w:r w:rsidR="00CD4834" w:rsidRPr="009E1E87">
        <w:rPr>
          <w:strike/>
          <w:color w:val="FF0000"/>
          <w:lang w:eastAsia="zh-CN"/>
        </w:rPr>
        <w:t>the</w:t>
      </w:r>
      <w:r w:rsidR="00CD4834" w:rsidRPr="002A5734">
        <w:rPr>
          <w:lang w:eastAsia="zh-CN"/>
        </w:rPr>
        <w:t xml:space="preserve"> fetus resulting </w:t>
      </w:r>
      <w:r w:rsidR="00BE7D75" w:rsidRPr="002A5734">
        <w:rPr>
          <w:lang w:eastAsia="zh-CN"/>
        </w:rPr>
        <w:t>in</w:t>
      </w:r>
      <w:r w:rsidR="002C72ED" w:rsidRPr="002A5734">
        <w:rPr>
          <w:lang w:eastAsia="zh-CN"/>
        </w:rPr>
        <w:t xml:space="preserve"> congenital rubella syndrome</w:t>
      </w:r>
      <w:r w:rsidR="008E7C0B" w:rsidRPr="002A5734">
        <w:rPr>
          <w:vertAlign w:val="superscript"/>
          <w:lang w:eastAsia="zh-CN"/>
        </w:rPr>
        <w:t>5</w:t>
      </w:r>
      <w:r w:rsidR="00286416" w:rsidRPr="002A5734">
        <w:rPr>
          <w:vertAlign w:val="superscript"/>
          <w:lang w:eastAsia="zh-CN"/>
        </w:rPr>
        <w:t>,6</w:t>
      </w:r>
      <w:r w:rsidR="004726F5" w:rsidRPr="002A5734">
        <w:t>.</w:t>
      </w:r>
    </w:p>
    <w:commentRangeEnd w:id="25"/>
    <w:p w:rsidR="00474944" w:rsidRPr="002A5734" w:rsidRDefault="00A95559" w:rsidP="00474944">
      <w:pPr>
        <w:autoSpaceDE w:val="0"/>
        <w:autoSpaceDN w:val="0"/>
        <w:bidi w:val="0"/>
        <w:adjustRightInd w:val="0"/>
        <w:ind w:right="-19"/>
        <w:jc w:val="both"/>
      </w:pPr>
      <w:r>
        <w:rPr>
          <w:rStyle w:val="CommentReference"/>
        </w:rPr>
        <w:commentReference w:id="25"/>
      </w:r>
      <w:r w:rsidR="00051EC5" w:rsidRPr="002A5734">
        <w:t xml:space="preserve">The antibody </w:t>
      </w:r>
      <w:commentRangeStart w:id="26"/>
      <w:r w:rsidR="00051EC5" w:rsidRPr="002A5734">
        <w:t xml:space="preserve">prevalence ranged between 69.2% and 74.3% for the different age groups. The relatively low prevalence in the older age group (31-35 years) may indicate an age association, </w:t>
      </w:r>
      <w:commentRangeStart w:id="27"/>
      <w:r w:rsidR="00051EC5" w:rsidRPr="002A5734">
        <w:t>therefore a possible clearly age association could be determined by an additional future study that include</w:t>
      </w:r>
      <w:r w:rsidR="00BE7D75" w:rsidRPr="002A5734">
        <w:t>s</w:t>
      </w:r>
      <w:r w:rsidR="00051EC5" w:rsidRPr="002A5734">
        <w:t xml:space="preserve"> fem</w:t>
      </w:r>
      <w:r w:rsidR="004E7FF9" w:rsidRPr="002A5734">
        <w:t>ales ranging between &lt;15 and &gt;</w:t>
      </w:r>
      <w:r w:rsidR="00051EC5" w:rsidRPr="002A5734">
        <w:t xml:space="preserve">35 years of </w:t>
      </w:r>
      <w:r w:rsidR="00EC276D" w:rsidRPr="002A5734">
        <w:t>age</w:t>
      </w:r>
      <w:commentRangeEnd w:id="27"/>
      <w:r w:rsidR="001E7619">
        <w:rPr>
          <w:rStyle w:val="CommentReference"/>
        </w:rPr>
        <w:commentReference w:id="27"/>
      </w:r>
      <w:r w:rsidR="00EC276D" w:rsidRPr="002A5734">
        <w:t>. Also</w:t>
      </w:r>
      <w:r w:rsidR="00474944" w:rsidRPr="002A5734">
        <w:t xml:space="preserve">, the statistical analysis showed there </w:t>
      </w:r>
      <w:r w:rsidR="00CF62D1" w:rsidRPr="002A5734">
        <w:t xml:space="preserve">no significant statistical difference between the age groups and the IgG positive results. </w:t>
      </w:r>
    </w:p>
    <w:p w:rsidR="00012EEA" w:rsidRPr="002A5734" w:rsidRDefault="00273FD3" w:rsidP="00BE7D75">
      <w:pPr>
        <w:autoSpaceDE w:val="0"/>
        <w:autoSpaceDN w:val="0"/>
        <w:bidi w:val="0"/>
        <w:adjustRightInd w:val="0"/>
        <w:ind w:right="-19"/>
        <w:jc w:val="both"/>
      </w:pPr>
      <w:r w:rsidRPr="002A5734">
        <w:t>Previous reports</w:t>
      </w:r>
      <w:r w:rsidRPr="00EC276D">
        <w:rPr>
          <w:strike/>
          <w:color w:val="FF0000"/>
        </w:rPr>
        <w:t>were</w:t>
      </w:r>
      <w:r w:rsidRPr="002A5734">
        <w:t>revealed that the high rate of rubella IgG antibod</w:t>
      </w:r>
      <w:r w:rsidR="00F118F1" w:rsidRPr="002A5734">
        <w:t xml:space="preserve">y was recorded among </w:t>
      </w:r>
      <w:r w:rsidR="00BE7D75" w:rsidRPr="002A5734">
        <w:t xml:space="preserve">the </w:t>
      </w:r>
      <w:r w:rsidR="00F118F1" w:rsidRPr="002A5734">
        <w:t>age group of 5-8 years in Sana’a</w:t>
      </w:r>
      <w:r w:rsidR="0089794E" w:rsidRPr="002A5734">
        <w:t>, Yemen</w:t>
      </w:r>
      <w:r w:rsidR="00B84A20" w:rsidRPr="002A5734">
        <w:rPr>
          <w:vertAlign w:val="superscript"/>
        </w:rPr>
        <w:t xml:space="preserve"> 8</w:t>
      </w:r>
      <w:r w:rsidR="00F118F1" w:rsidRPr="002A5734">
        <w:t xml:space="preserve">, 15-19 years </w:t>
      </w:r>
      <w:r w:rsidR="00265681" w:rsidRPr="002A5734">
        <w:t>in Jeddah</w:t>
      </w:r>
      <w:r w:rsidR="00661B22" w:rsidRPr="002A5734">
        <w:t>,</w:t>
      </w:r>
      <w:r w:rsidR="00F118F1" w:rsidRPr="002A5734">
        <w:t xml:space="preserve"> Saudi</w:t>
      </w:r>
      <w:r w:rsidR="00661B22" w:rsidRPr="002A5734">
        <w:t xml:space="preserve"> Arabia</w:t>
      </w:r>
      <w:r w:rsidR="00561BBC" w:rsidRPr="002A5734">
        <w:rPr>
          <w:vertAlign w:val="superscript"/>
        </w:rPr>
        <w:t>9</w:t>
      </w:r>
      <w:r w:rsidR="00661B22" w:rsidRPr="002A5734">
        <w:t xml:space="preserve">, </w:t>
      </w:r>
      <w:r w:rsidR="00071132" w:rsidRPr="002A5734">
        <w:t xml:space="preserve">26-30 years </w:t>
      </w:r>
      <w:r w:rsidR="00AF26DC" w:rsidRPr="002A5734">
        <w:t>in E</w:t>
      </w:r>
      <w:r w:rsidR="00071132" w:rsidRPr="002A5734">
        <w:t>gypt</w:t>
      </w:r>
      <w:r w:rsidR="007039D7" w:rsidRPr="002A5734">
        <w:rPr>
          <w:vertAlign w:val="superscript"/>
        </w:rPr>
        <w:t>22</w:t>
      </w:r>
      <w:r w:rsidR="00071132" w:rsidRPr="002A5734">
        <w:t xml:space="preserve">, </w:t>
      </w:r>
      <w:r w:rsidR="00661B22" w:rsidRPr="002A5734">
        <w:t xml:space="preserve">26-35 </w:t>
      </w:r>
      <w:r w:rsidR="00265681" w:rsidRPr="002A5734">
        <w:t>years in</w:t>
      </w:r>
      <w:r w:rsidR="00F118F1" w:rsidRPr="002A5734">
        <w:t xml:space="preserve"> Mosul City, Iraq</w:t>
      </w:r>
      <w:r w:rsidR="007039D7" w:rsidRPr="002A5734">
        <w:rPr>
          <w:vertAlign w:val="superscript"/>
        </w:rPr>
        <w:t>23</w:t>
      </w:r>
      <w:r w:rsidR="00137FBD" w:rsidRPr="002A5734">
        <w:t>.</w:t>
      </w:r>
      <w:r w:rsidR="00012EEA" w:rsidRPr="002A5734">
        <w:t xml:space="preserve"> The vibration on </w:t>
      </w:r>
      <w:r w:rsidR="00EC276D">
        <w:t xml:space="preserve">increase </w:t>
      </w:r>
      <w:r w:rsidR="00012EEA" w:rsidRPr="00EC276D">
        <w:rPr>
          <w:strike/>
          <w:color w:val="FF0000"/>
        </w:rPr>
        <w:t>ing</w:t>
      </w:r>
      <w:r w:rsidR="00012EEA" w:rsidRPr="002A5734">
        <w:t xml:space="preserve"> in different age group</w:t>
      </w:r>
      <w:r w:rsidR="006F55D2" w:rsidRPr="002A5734">
        <w:t>s</w:t>
      </w:r>
      <w:r w:rsidR="00012EEA" w:rsidRPr="002A5734">
        <w:t xml:space="preserve"> doesn’t</w:t>
      </w:r>
      <w:r w:rsidR="00BE7D75" w:rsidRPr="002A5734">
        <w:t xml:space="preserve"> seem</w:t>
      </w:r>
      <w:r w:rsidR="006F55D2" w:rsidRPr="002A5734">
        <w:t xml:space="preserve"> to represent </w:t>
      </w:r>
      <w:r w:rsidR="00BE7D75" w:rsidRPr="002A5734">
        <w:t>a</w:t>
      </w:r>
      <w:r w:rsidR="006F55D2" w:rsidRPr="002A5734">
        <w:t xml:space="preserve"> risk factor.</w:t>
      </w:r>
    </w:p>
    <w:p w:rsidR="008004BA" w:rsidRPr="002A5734" w:rsidRDefault="00051EC5" w:rsidP="00711A51">
      <w:pPr>
        <w:autoSpaceDE w:val="0"/>
        <w:autoSpaceDN w:val="0"/>
        <w:bidi w:val="0"/>
        <w:adjustRightInd w:val="0"/>
        <w:ind w:right="-19"/>
        <w:jc w:val="both"/>
      </w:pPr>
      <w:r w:rsidRPr="002A5734">
        <w:t xml:space="preserve">The seroprevalence rate for </w:t>
      </w:r>
      <w:r w:rsidR="00BE7D75" w:rsidRPr="002A5734">
        <w:t xml:space="preserve">the </w:t>
      </w:r>
      <w:r w:rsidRPr="002A5734">
        <w:t xml:space="preserve">rubella </w:t>
      </w:r>
      <w:r w:rsidR="00D60933" w:rsidRPr="002A5734">
        <w:t xml:space="preserve">antibody </w:t>
      </w:r>
      <w:r w:rsidRPr="002A5734">
        <w:t xml:space="preserve">in this study </w:t>
      </w:r>
      <w:r w:rsidR="00D60933" w:rsidRPr="002A5734">
        <w:t>showed an increase</w:t>
      </w:r>
      <w:r w:rsidR="00BE7D75" w:rsidRPr="002A5734">
        <w:t>d</w:t>
      </w:r>
      <w:r w:rsidR="00D60933" w:rsidRPr="002A5734">
        <w:t xml:space="preserve"> rate among women coming from </w:t>
      </w:r>
      <w:r w:rsidR="00BE7D75" w:rsidRPr="002A5734">
        <w:t xml:space="preserve">the </w:t>
      </w:r>
      <w:r w:rsidR="007D7298" w:rsidRPr="002A5734">
        <w:t>urban area</w:t>
      </w:r>
      <w:r w:rsidR="00A00223" w:rsidRPr="002A5734">
        <w:t xml:space="preserve">, but no statistical differences were reported </w:t>
      </w:r>
      <w:r w:rsidR="00265681" w:rsidRPr="002A5734">
        <w:t>between the</w:t>
      </w:r>
      <w:r w:rsidR="008C6CC5" w:rsidRPr="00EC276D">
        <w:rPr>
          <w:color w:val="FF0000"/>
        </w:rPr>
        <w:t>resident group</w:t>
      </w:r>
      <w:r w:rsidR="00520624" w:rsidRPr="00EC276D">
        <w:rPr>
          <w:color w:val="FF0000"/>
        </w:rPr>
        <w:t xml:space="preserve"> and </w:t>
      </w:r>
      <w:r w:rsidR="00C53950" w:rsidRPr="00EC276D">
        <w:rPr>
          <w:color w:val="FF0000"/>
        </w:rPr>
        <w:t xml:space="preserve">the </w:t>
      </w:r>
      <w:r w:rsidR="00520624" w:rsidRPr="00EC276D">
        <w:rPr>
          <w:color w:val="FF0000"/>
        </w:rPr>
        <w:t xml:space="preserve">prevalence of anti-rubella </w:t>
      </w:r>
      <w:r w:rsidR="008C6CC5" w:rsidRPr="00EC276D">
        <w:rPr>
          <w:color w:val="FF0000"/>
        </w:rPr>
        <w:t>IgG</w:t>
      </w:r>
      <w:r w:rsidR="008C6CC5" w:rsidRPr="002A5734">
        <w:t>.</w:t>
      </w:r>
      <w:r w:rsidR="008004BA" w:rsidRPr="002A5734">
        <w:t xml:space="preserve"> Similarly, </w:t>
      </w:r>
      <w:r w:rsidR="002B0453" w:rsidRPr="00EC276D">
        <w:rPr>
          <w:strike/>
          <w:color w:val="FF0000"/>
        </w:rPr>
        <w:t>the</w:t>
      </w:r>
      <w:r w:rsidR="002B0453" w:rsidRPr="002A5734">
        <w:t xml:space="preserve"> higher rate of IgG anti-rubella prevalen</w:t>
      </w:r>
      <w:r w:rsidR="00EC276D">
        <w:t xml:space="preserve">ce </w:t>
      </w:r>
      <w:r w:rsidR="002B0453" w:rsidRPr="00EC276D">
        <w:rPr>
          <w:color w:val="FF0000"/>
        </w:rPr>
        <w:t>t</w:t>
      </w:r>
      <w:r w:rsidR="002B0453" w:rsidRPr="002A5734">
        <w:t xml:space="preserve"> was </w:t>
      </w:r>
      <w:r w:rsidR="00863BC2" w:rsidRPr="002A5734">
        <w:t>recorded among female</w:t>
      </w:r>
      <w:r w:rsidR="00863BC2" w:rsidRPr="00EC276D">
        <w:rPr>
          <w:color w:val="FF0000"/>
        </w:rPr>
        <w:t>s</w:t>
      </w:r>
      <w:r w:rsidR="00863BC2" w:rsidRPr="002A5734">
        <w:t xml:space="preserve"> resident</w:t>
      </w:r>
      <w:r w:rsidR="00C53950" w:rsidRPr="00EC276D">
        <w:rPr>
          <w:color w:val="FF0000"/>
        </w:rPr>
        <w:t>s</w:t>
      </w:r>
      <w:r w:rsidR="00863BC2" w:rsidRPr="002A5734">
        <w:t xml:space="preserve"> in </w:t>
      </w:r>
      <w:r w:rsidR="00C53950" w:rsidRPr="002A5734">
        <w:t xml:space="preserve">the </w:t>
      </w:r>
      <w:r w:rsidR="00863BC2" w:rsidRPr="002A5734">
        <w:t>urban area in Mosul city, Iraq</w:t>
      </w:r>
      <w:r w:rsidR="007039D7" w:rsidRPr="002A5734">
        <w:rPr>
          <w:vertAlign w:val="superscript"/>
        </w:rPr>
        <w:t>23</w:t>
      </w:r>
      <w:r w:rsidR="008004BA" w:rsidRPr="002A5734">
        <w:t>.</w:t>
      </w:r>
      <w:r w:rsidR="004C63BB" w:rsidRPr="002A5734">
        <w:t xml:space="preserve"> Also, it was found that the </w:t>
      </w:r>
      <w:r w:rsidR="006A469F" w:rsidRPr="002A5734">
        <w:t>high rate was recorded among assayed women for rubella IgG antibody l</w:t>
      </w:r>
      <w:r w:rsidR="00C53950" w:rsidRPr="002A5734">
        <w:t>iving in urban ar</w:t>
      </w:r>
      <w:r w:rsidR="00FD3004" w:rsidRPr="002A5734">
        <w:t>e</w:t>
      </w:r>
      <w:r w:rsidR="00C53950" w:rsidRPr="002A5734">
        <w:t>a</w:t>
      </w:r>
      <w:r w:rsidR="004C63BB" w:rsidRPr="002A5734">
        <w:t xml:space="preserve"> in Ethiopia</w:t>
      </w:r>
      <w:r w:rsidR="007166A4" w:rsidRPr="002A5734">
        <w:rPr>
          <w:vertAlign w:val="superscript"/>
        </w:rPr>
        <w:t>24</w:t>
      </w:r>
      <w:r w:rsidR="004C63BB" w:rsidRPr="002A5734">
        <w:t>.</w:t>
      </w:r>
    </w:p>
    <w:p w:rsidR="007737C6" w:rsidRPr="002A5734" w:rsidRDefault="00565367" w:rsidP="00D63A5F">
      <w:pPr>
        <w:autoSpaceDE w:val="0"/>
        <w:autoSpaceDN w:val="0"/>
        <w:bidi w:val="0"/>
        <w:adjustRightInd w:val="0"/>
        <w:ind w:right="-19"/>
        <w:jc w:val="both"/>
      </w:pPr>
      <w:r w:rsidRPr="002A5734">
        <w:t xml:space="preserve">Conversely, </w:t>
      </w:r>
      <w:r w:rsidR="005B4BB9" w:rsidRPr="002A5734">
        <w:t>a</w:t>
      </w:r>
      <w:r w:rsidR="006428C7" w:rsidRPr="002A5734">
        <w:t xml:space="preserve"> study by Sallam</w:t>
      </w:r>
      <w:r w:rsidR="006428C7" w:rsidRPr="002A5734">
        <w:rPr>
          <w:i/>
          <w:iCs/>
          <w:lang w:eastAsia="zh-CN"/>
        </w:rPr>
        <w:t>et al</w:t>
      </w:r>
      <w:r w:rsidR="006428C7" w:rsidRPr="002A5734">
        <w:rPr>
          <w:lang w:eastAsia="zh-CN"/>
        </w:rPr>
        <w:t>.</w:t>
      </w:r>
      <w:r w:rsidR="00B84A20" w:rsidRPr="002A5734">
        <w:rPr>
          <w:vertAlign w:val="superscript"/>
          <w:lang w:eastAsia="zh-CN"/>
        </w:rPr>
        <w:t>8</w:t>
      </w:r>
      <w:r w:rsidR="006428C7" w:rsidRPr="002A5734">
        <w:rPr>
          <w:lang w:eastAsia="zh-CN"/>
        </w:rPr>
        <w:t xml:space="preserve"> observed that the participants from </w:t>
      </w:r>
      <w:r w:rsidR="00E71E40" w:rsidRPr="002A5734">
        <w:rPr>
          <w:lang w:eastAsia="zh-CN"/>
        </w:rPr>
        <w:t xml:space="preserve">the </w:t>
      </w:r>
      <w:r w:rsidR="006428C7" w:rsidRPr="002A5734">
        <w:rPr>
          <w:lang w:eastAsia="zh-CN"/>
        </w:rPr>
        <w:t xml:space="preserve">rural area had </w:t>
      </w:r>
      <w:r w:rsidR="00265681" w:rsidRPr="002A5734">
        <w:rPr>
          <w:lang w:eastAsia="zh-CN"/>
        </w:rPr>
        <w:t>a higher</w:t>
      </w:r>
      <w:r w:rsidR="006428C7" w:rsidRPr="002A5734">
        <w:rPr>
          <w:lang w:eastAsia="zh-CN"/>
        </w:rPr>
        <w:t xml:space="preserve"> prevalence rate of rubella IgG antibody than </w:t>
      </w:r>
      <w:r w:rsidR="00E71E40" w:rsidRPr="002A5734">
        <w:rPr>
          <w:lang w:eastAsia="zh-CN"/>
        </w:rPr>
        <w:t xml:space="preserve">the </w:t>
      </w:r>
      <w:r w:rsidR="006428C7" w:rsidRPr="002A5734">
        <w:rPr>
          <w:lang w:eastAsia="zh-CN"/>
        </w:rPr>
        <w:t>urban area.</w:t>
      </w:r>
      <w:r w:rsidR="000F6B83" w:rsidRPr="002A5734">
        <w:rPr>
          <w:lang w:eastAsia="zh-CN"/>
        </w:rPr>
        <w:t xml:space="preserve"> Also, </w:t>
      </w:r>
      <w:commentRangeStart w:id="28"/>
      <w:r w:rsidR="003E288A" w:rsidRPr="002A5734">
        <w:t>Gadallah</w:t>
      </w:r>
      <w:r w:rsidR="003E288A" w:rsidRPr="002A5734">
        <w:rPr>
          <w:i/>
          <w:iCs/>
        </w:rPr>
        <w:t>et</w:t>
      </w:r>
      <w:commentRangeEnd w:id="28"/>
      <w:r w:rsidR="009F4214">
        <w:rPr>
          <w:rStyle w:val="CommentReference"/>
        </w:rPr>
        <w:commentReference w:id="28"/>
      </w:r>
      <w:r w:rsidR="003E288A" w:rsidRPr="002A5734">
        <w:rPr>
          <w:i/>
          <w:iCs/>
        </w:rPr>
        <w:t xml:space="preserve"> al.</w:t>
      </w:r>
      <w:r w:rsidR="007039D7" w:rsidRPr="002A5734">
        <w:rPr>
          <w:vertAlign w:val="superscript"/>
        </w:rPr>
        <w:t>22</w:t>
      </w:r>
      <w:r w:rsidRPr="002A5734">
        <w:t xml:space="preserve">noticed </w:t>
      </w:r>
      <w:r w:rsidRPr="00EC276D">
        <w:rPr>
          <w:color w:val="FF0000"/>
        </w:rPr>
        <w:t xml:space="preserve">that the </w:t>
      </w:r>
      <w:r w:rsidR="008D2D23" w:rsidRPr="00EC276D">
        <w:rPr>
          <w:color w:val="FF0000"/>
        </w:rPr>
        <w:t xml:space="preserve">participants </w:t>
      </w:r>
      <w:r w:rsidR="00265681" w:rsidRPr="00EC276D">
        <w:rPr>
          <w:color w:val="FF0000"/>
        </w:rPr>
        <w:t>belong to</w:t>
      </w:r>
      <w:r w:rsidR="00E71E40" w:rsidRPr="00EC276D">
        <w:rPr>
          <w:color w:val="FF0000"/>
        </w:rPr>
        <w:t xml:space="preserve">a </w:t>
      </w:r>
      <w:r w:rsidR="008D2D23" w:rsidRPr="00EC276D">
        <w:rPr>
          <w:color w:val="FF0000"/>
        </w:rPr>
        <w:t xml:space="preserve">rural area having </w:t>
      </w:r>
      <w:r w:rsidR="00D63A5F" w:rsidRPr="00EC276D">
        <w:rPr>
          <w:color w:val="FF0000"/>
        </w:rPr>
        <w:t xml:space="preserve">a </w:t>
      </w:r>
      <w:r w:rsidR="000D211A" w:rsidRPr="00EC276D">
        <w:rPr>
          <w:color w:val="FF0000"/>
        </w:rPr>
        <w:t xml:space="preserve">high rate than </w:t>
      </w:r>
      <w:r w:rsidR="00F04F18" w:rsidRPr="00EC276D">
        <w:rPr>
          <w:color w:val="FF0000"/>
        </w:rPr>
        <w:t xml:space="preserve">participated women coming from </w:t>
      </w:r>
      <w:r w:rsidR="00CA29CD" w:rsidRPr="00EC276D">
        <w:rPr>
          <w:color w:val="FF0000"/>
        </w:rPr>
        <w:t xml:space="preserve">an </w:t>
      </w:r>
      <w:r w:rsidR="00F04F18" w:rsidRPr="00EC276D">
        <w:rPr>
          <w:color w:val="FF0000"/>
        </w:rPr>
        <w:t>urban area</w:t>
      </w:r>
      <w:r w:rsidR="00F04F18" w:rsidRPr="002A5734">
        <w:t>.</w:t>
      </w:r>
      <w:r w:rsidR="00265681" w:rsidRPr="002A5734">
        <w:t>Olajide</w:t>
      </w:r>
      <w:r w:rsidR="007737C6" w:rsidRPr="002A5734">
        <w:rPr>
          <w:i/>
          <w:iCs/>
        </w:rPr>
        <w:t xml:space="preserve"> al.</w:t>
      </w:r>
      <w:r w:rsidR="003D473F" w:rsidRPr="002A5734">
        <w:rPr>
          <w:vertAlign w:val="superscript"/>
        </w:rPr>
        <w:t>19</w:t>
      </w:r>
      <w:r w:rsidR="007737C6" w:rsidRPr="002A5734">
        <w:t xml:space="preserve"> found that </w:t>
      </w:r>
      <w:r w:rsidR="00CA29CD" w:rsidRPr="002A5734">
        <w:t xml:space="preserve">the </w:t>
      </w:r>
      <w:r w:rsidR="007737C6" w:rsidRPr="002A5734">
        <w:t xml:space="preserve">prevalence rate of rubella IgG was </w:t>
      </w:r>
      <w:r w:rsidR="007737C6" w:rsidRPr="00EC276D">
        <w:rPr>
          <w:strike/>
          <w:color w:val="FF0000"/>
        </w:rPr>
        <w:t>recorded</w:t>
      </w:r>
      <w:r w:rsidR="007737C6" w:rsidRPr="002A5734">
        <w:t xml:space="preserve"> 93.8% and 90.3% in urban and rural areas, respectively. </w:t>
      </w:r>
    </w:p>
    <w:p w:rsidR="00EE2616" w:rsidRPr="002A5734" w:rsidRDefault="00EE2616" w:rsidP="00EE2616">
      <w:pPr>
        <w:autoSpaceDE w:val="0"/>
        <w:autoSpaceDN w:val="0"/>
        <w:bidi w:val="0"/>
        <w:adjustRightInd w:val="0"/>
        <w:ind w:right="-19"/>
        <w:jc w:val="both"/>
      </w:pPr>
      <w:r w:rsidRPr="002A5734">
        <w:t xml:space="preserve">The differences in </w:t>
      </w:r>
      <w:r w:rsidR="00CA29CD" w:rsidRPr="002A5734">
        <w:t xml:space="preserve">the </w:t>
      </w:r>
      <w:r w:rsidRPr="002A5734">
        <w:t xml:space="preserve">prevalence rate of anti-rubella IgG in this </w:t>
      </w:r>
      <w:r w:rsidR="002419A0" w:rsidRPr="002A5734">
        <w:t xml:space="preserve">study might be attributed to </w:t>
      </w:r>
      <w:r w:rsidRPr="002A5734">
        <w:t xml:space="preserve">variance population density. In </w:t>
      </w:r>
      <w:r w:rsidR="002419A0" w:rsidRPr="002A5734">
        <w:t xml:space="preserve">the </w:t>
      </w:r>
      <w:r w:rsidRPr="002A5734">
        <w:t xml:space="preserve">urban area, the high density of </w:t>
      </w:r>
      <w:r w:rsidR="002419A0" w:rsidRPr="002A5734">
        <w:t xml:space="preserve">the </w:t>
      </w:r>
      <w:r w:rsidRPr="002A5734">
        <w:t>population might increase the transmission rate and female</w:t>
      </w:r>
      <w:r w:rsidRPr="00AA1747">
        <w:rPr>
          <w:color w:val="FF0000"/>
        </w:rPr>
        <w:t>s</w:t>
      </w:r>
      <w:r w:rsidR="00AA1747" w:rsidRPr="00AA1747">
        <w:rPr>
          <w:color w:val="FF0000"/>
        </w:rPr>
        <w:t xml:space="preserve">didn’t </w:t>
      </w:r>
      <w:r w:rsidR="00AA1747">
        <w:rPr>
          <w:color w:val="FF0000"/>
        </w:rPr>
        <w:t>(</w:t>
      </w:r>
      <w:r w:rsidR="00AA1747" w:rsidRPr="00AA1747">
        <w:rPr>
          <w:color w:val="00B0F0"/>
        </w:rPr>
        <w:t xml:space="preserve">who do not) </w:t>
      </w:r>
      <w:r w:rsidRPr="002A5734">
        <w:t>have protective levels o</w:t>
      </w:r>
      <w:r w:rsidR="002419A0" w:rsidRPr="002A5734">
        <w:t xml:space="preserve">f rubella immunity might </w:t>
      </w:r>
      <w:r w:rsidR="002419A0" w:rsidRPr="00AA1747">
        <w:rPr>
          <w:strike/>
          <w:color w:val="FF0000"/>
        </w:rPr>
        <w:t>obtain</w:t>
      </w:r>
      <w:r w:rsidR="00AA1747" w:rsidRPr="00AA1747">
        <w:rPr>
          <w:color w:val="00B050"/>
        </w:rPr>
        <w:t xml:space="preserve">(get) </w:t>
      </w:r>
      <w:r w:rsidR="002419A0" w:rsidRPr="002A5734">
        <w:t xml:space="preserve">the </w:t>
      </w:r>
      <w:r w:rsidRPr="002A5734">
        <w:t>infection</w:t>
      </w:r>
      <w:r w:rsidRPr="00AA1747">
        <w:rPr>
          <w:color w:val="FF0000"/>
        </w:rPr>
        <w:t>s</w:t>
      </w:r>
      <w:r w:rsidRPr="002A5734">
        <w:t>.</w:t>
      </w:r>
    </w:p>
    <w:p w:rsidR="00F94B1B" w:rsidRPr="002A5734" w:rsidRDefault="00CE5337" w:rsidP="00E064BD">
      <w:pPr>
        <w:autoSpaceDE w:val="0"/>
        <w:autoSpaceDN w:val="0"/>
        <w:bidi w:val="0"/>
        <w:adjustRightInd w:val="0"/>
        <w:ind w:right="-19"/>
        <w:jc w:val="both"/>
      </w:pPr>
      <w:r w:rsidRPr="002A5734">
        <w:t>In t</w:t>
      </w:r>
      <w:r w:rsidR="004E3789" w:rsidRPr="002A5734">
        <w:t xml:space="preserve">he </w:t>
      </w:r>
      <w:r w:rsidRPr="002A5734">
        <w:t xml:space="preserve">current </w:t>
      </w:r>
      <w:r w:rsidR="004E3789" w:rsidRPr="002A5734">
        <w:t xml:space="preserve">result </w:t>
      </w:r>
      <w:r w:rsidR="0009153B" w:rsidRPr="002A5734">
        <w:t xml:space="preserve">according </w:t>
      </w:r>
      <w:r w:rsidR="00265681" w:rsidRPr="002A5734">
        <w:t>to the</w:t>
      </w:r>
      <w:r w:rsidR="004E3789" w:rsidRPr="002A5734">
        <w:t>occupation</w:t>
      </w:r>
      <w:r w:rsidRPr="002A5734">
        <w:t>, it was</w:t>
      </w:r>
      <w:r w:rsidR="004E3789" w:rsidRPr="002A5734">
        <w:t xml:space="preserve"> observed that the high prevalence rate of rubella IgG antibody </w:t>
      </w:r>
      <w:commentRangeEnd w:id="26"/>
      <w:r w:rsidR="00F22EDE">
        <w:rPr>
          <w:rStyle w:val="CommentReference"/>
        </w:rPr>
        <w:commentReference w:id="26"/>
      </w:r>
      <w:r w:rsidR="004E3789" w:rsidRPr="002A5734">
        <w:t>was recorded among employ</w:t>
      </w:r>
      <w:r w:rsidR="004E3789" w:rsidRPr="00AA1747">
        <w:rPr>
          <w:color w:val="FF0000"/>
        </w:rPr>
        <w:t>ee</w:t>
      </w:r>
      <w:r w:rsidR="00AA1747" w:rsidRPr="00AA1747">
        <w:rPr>
          <w:color w:val="00B0F0"/>
        </w:rPr>
        <w:t>(employed)</w:t>
      </w:r>
      <w:r w:rsidR="004E3789" w:rsidRPr="002A5734">
        <w:t>females fol</w:t>
      </w:r>
      <w:r w:rsidRPr="002A5734">
        <w:t xml:space="preserve">lowed by </w:t>
      </w:r>
      <w:r w:rsidR="002419A0" w:rsidRPr="002A5734">
        <w:t xml:space="preserve">the </w:t>
      </w:r>
      <w:r w:rsidRPr="002A5734">
        <w:t>student, and house-wife</w:t>
      </w:r>
      <w:r w:rsidR="00E064BD" w:rsidRPr="002A5734">
        <w:t>,</w:t>
      </w:r>
      <w:r w:rsidRPr="002A5734">
        <w:t xml:space="preserve"> and there</w:t>
      </w:r>
      <w:r w:rsidRPr="00AA1747">
        <w:rPr>
          <w:strike/>
          <w:color w:val="FF0000"/>
        </w:rPr>
        <w:t>also</w:t>
      </w:r>
      <w:r w:rsidR="00E064BD" w:rsidRPr="00AA1747">
        <w:rPr>
          <w:color w:val="FF0000"/>
        </w:rPr>
        <w:t>were</w:t>
      </w:r>
      <w:r w:rsidR="00AA1747" w:rsidRPr="00AA1747">
        <w:rPr>
          <w:color w:val="00B0F0"/>
        </w:rPr>
        <w:t>(was</w:t>
      </w:r>
      <w:r w:rsidR="00AA1747">
        <w:rPr>
          <w:color w:val="FF0000"/>
        </w:rPr>
        <w:t>)</w:t>
      </w:r>
      <w:r w:rsidR="004E3789" w:rsidRPr="002A5734">
        <w:t xml:space="preserve"> no statistically significant</w:t>
      </w:r>
      <w:r w:rsidR="00265681" w:rsidRPr="002A5734">
        <w:t>differences. In</w:t>
      </w:r>
      <w:r w:rsidR="00E064BD" w:rsidRPr="002A5734">
        <w:t xml:space="preserve">a </w:t>
      </w:r>
      <w:r w:rsidR="0009153B" w:rsidRPr="002A5734">
        <w:t>similar</w:t>
      </w:r>
      <w:r w:rsidR="00701D3A" w:rsidRPr="002A5734">
        <w:t xml:space="preserve"> </w:t>
      </w:r>
      <w:commentRangeStart w:id="29"/>
      <w:r w:rsidR="00701D3A" w:rsidRPr="002A5734">
        <w:t xml:space="preserve">investigation by </w:t>
      </w:r>
      <w:r w:rsidR="0089661B" w:rsidRPr="002A5734">
        <w:t>Olajide</w:t>
      </w:r>
      <w:r w:rsidR="0089661B" w:rsidRPr="002A5734">
        <w:rPr>
          <w:i/>
          <w:iCs/>
        </w:rPr>
        <w:t>et al.</w:t>
      </w:r>
      <w:r w:rsidR="003D473F" w:rsidRPr="002A5734">
        <w:rPr>
          <w:vertAlign w:val="superscript"/>
        </w:rPr>
        <w:t>19</w:t>
      </w:r>
      <w:r w:rsidR="0089661B" w:rsidRPr="002A5734">
        <w:t xml:space="preserve"> reported that </w:t>
      </w:r>
      <w:r w:rsidR="00E064BD" w:rsidRPr="002A5734">
        <w:t xml:space="preserve">the </w:t>
      </w:r>
      <w:r w:rsidR="0089661B" w:rsidRPr="002A5734">
        <w:t>prevalence rate of rubella IgG was 93.2%,93.4%, and 92.5%, respectively, among student, worker, and house</w:t>
      </w:r>
      <w:r w:rsidR="0089661B" w:rsidRPr="00AA1747">
        <w:rPr>
          <w:color w:val="FF0000"/>
        </w:rPr>
        <w:t>wife</w:t>
      </w:r>
      <w:r w:rsidR="00AA1747">
        <w:rPr>
          <w:color w:val="FF0000"/>
        </w:rPr>
        <w:t xml:space="preserve"> (</w:t>
      </w:r>
      <w:r w:rsidR="00AA1747" w:rsidRPr="00AA1747">
        <w:rPr>
          <w:color w:val="00B0F0"/>
        </w:rPr>
        <w:t>housewives</w:t>
      </w:r>
      <w:r w:rsidR="00AA1747">
        <w:rPr>
          <w:color w:val="FF0000"/>
        </w:rPr>
        <w:t>)</w:t>
      </w:r>
      <w:r w:rsidR="0089661B" w:rsidRPr="00AA1747">
        <w:rPr>
          <w:strike/>
          <w:color w:val="FF0000"/>
        </w:rPr>
        <w:t>women</w:t>
      </w:r>
      <w:r w:rsidR="0089661B" w:rsidRPr="00AA1747">
        <w:rPr>
          <w:color w:val="FF0000"/>
        </w:rPr>
        <w:t xml:space="preserve">. </w:t>
      </w:r>
      <w:r w:rsidR="0089661B" w:rsidRPr="002A5734">
        <w:t xml:space="preserve">Also, </w:t>
      </w:r>
      <w:commentRangeStart w:id="30"/>
      <w:r w:rsidR="00701D3A" w:rsidRPr="002A5734">
        <w:t>Wondimeneh</w:t>
      </w:r>
      <w:r w:rsidR="00701D3A" w:rsidRPr="002A5734">
        <w:rPr>
          <w:i/>
          <w:iCs/>
        </w:rPr>
        <w:t>et</w:t>
      </w:r>
      <w:commentRangeEnd w:id="30"/>
      <w:r w:rsidR="009F4214">
        <w:rPr>
          <w:rStyle w:val="CommentReference"/>
        </w:rPr>
        <w:commentReference w:id="30"/>
      </w:r>
      <w:r w:rsidR="00701D3A" w:rsidRPr="002A5734">
        <w:rPr>
          <w:i/>
          <w:iCs/>
        </w:rPr>
        <w:t xml:space="preserve"> al</w:t>
      </w:r>
      <w:r w:rsidR="00701D3A" w:rsidRPr="002A5734">
        <w:t xml:space="preserve">. </w:t>
      </w:r>
      <w:r w:rsidR="007166A4" w:rsidRPr="002A5734">
        <w:rPr>
          <w:vertAlign w:val="superscript"/>
        </w:rPr>
        <w:t>24</w:t>
      </w:r>
      <w:r w:rsidR="00701D3A" w:rsidRPr="002A5734">
        <w:t xml:space="preserve"> revealed that </w:t>
      </w:r>
      <w:r w:rsidR="00E064BD" w:rsidRPr="002A5734">
        <w:t>most frequen</w:t>
      </w:r>
      <w:r w:rsidR="00E064BD" w:rsidRPr="00AA1747">
        <w:rPr>
          <w:color w:val="FF0000"/>
        </w:rPr>
        <w:t>c</w:t>
      </w:r>
      <w:r w:rsidR="00C30A51" w:rsidRPr="00AA1747">
        <w:rPr>
          <w:color w:val="FF0000"/>
        </w:rPr>
        <w:t>y</w:t>
      </w:r>
      <w:r w:rsidR="00AA1747" w:rsidRPr="00AA1747">
        <w:rPr>
          <w:color w:val="00B0F0"/>
        </w:rPr>
        <w:t>(frequent</w:t>
      </w:r>
      <w:r w:rsidR="00AA1747">
        <w:rPr>
          <w:color w:val="FF0000"/>
        </w:rPr>
        <w:t>)</w:t>
      </w:r>
      <w:r w:rsidR="00F94B1B" w:rsidRPr="00AA1747">
        <w:rPr>
          <w:strike/>
          <w:color w:val="FF0000"/>
        </w:rPr>
        <w:t xml:space="preserve"> of</w:t>
      </w:r>
      <w:r w:rsidR="00F94B1B" w:rsidRPr="002A5734">
        <w:t xml:space="preserve">rubella IgG antibody was </w:t>
      </w:r>
      <w:r w:rsidR="00E25051" w:rsidRPr="002A5734">
        <w:t xml:space="preserve">recorded among </w:t>
      </w:r>
      <w:r w:rsidR="00F94B1B" w:rsidRPr="002A5734">
        <w:t>student (88.9%), farmer (</w:t>
      </w:r>
      <w:r w:rsidR="00C30A51" w:rsidRPr="002A5734">
        <w:t>88.6%), merchant (88.1%), civil</w:t>
      </w:r>
      <w:r w:rsidR="00F94B1B" w:rsidRPr="002A5734">
        <w:t xml:space="preserve"> servant (77.8%</w:t>
      </w:r>
      <w:r w:rsidR="00E83B8D" w:rsidRPr="002A5734">
        <w:t>), housewife (77.3%), and daily</w:t>
      </w:r>
      <w:r w:rsidR="00F94B1B" w:rsidRPr="002A5734">
        <w:t xml:space="preserve"> laborer (74%)</w:t>
      </w:r>
      <w:r w:rsidR="00BD6939" w:rsidRPr="002A5734">
        <w:t>.</w:t>
      </w:r>
    </w:p>
    <w:p w:rsidR="006A3939" w:rsidRPr="002A5734" w:rsidRDefault="00051EC5" w:rsidP="00BF290F">
      <w:pPr>
        <w:autoSpaceDE w:val="0"/>
        <w:autoSpaceDN w:val="0"/>
        <w:bidi w:val="0"/>
        <w:adjustRightInd w:val="0"/>
        <w:ind w:right="-19"/>
        <w:jc w:val="both"/>
      </w:pPr>
      <w:r w:rsidRPr="002A5734">
        <w:t xml:space="preserve">In this study, the seroprevalence of rubella in association with the educational level </w:t>
      </w:r>
      <w:r w:rsidR="00DF07F4" w:rsidRPr="002A5734">
        <w:t>showed</w:t>
      </w:r>
      <w:r w:rsidR="00F61028" w:rsidRPr="002A5734">
        <w:t xml:space="preserve"> that the </w:t>
      </w:r>
      <w:r w:rsidRPr="002A5734">
        <w:t xml:space="preserve">highest positive results were </w:t>
      </w:r>
      <w:r w:rsidR="00DF07F4" w:rsidRPr="002A5734">
        <w:t xml:space="preserve">most frequently reported </w:t>
      </w:r>
      <w:r w:rsidRPr="002A5734">
        <w:t>at the secondary level, followed by the illiterate, university, elementary</w:t>
      </w:r>
      <w:r w:rsidR="00D109D5" w:rsidRPr="002A5734">
        <w:t>,</w:t>
      </w:r>
      <w:r w:rsidRPr="002A5734">
        <w:t xml:space="preserve"> and finally the primary level</w:t>
      </w:r>
      <w:r w:rsidR="00DF07F4" w:rsidRPr="002A5734">
        <w:t>.</w:t>
      </w:r>
      <w:r w:rsidR="00663E66" w:rsidRPr="002A5734">
        <w:t xml:space="preserve"> Also, t</w:t>
      </w:r>
      <w:r w:rsidRPr="002A5734">
        <w:t xml:space="preserve">he </w:t>
      </w:r>
      <w:r w:rsidR="00663E66" w:rsidRPr="002A5734">
        <w:t xml:space="preserve">statistical </w:t>
      </w:r>
      <w:r w:rsidR="00B963EA" w:rsidRPr="002A5734">
        <w:t xml:space="preserve">analysis </w:t>
      </w:r>
      <w:r w:rsidRPr="002A5734">
        <w:t xml:space="preserve">results </w:t>
      </w:r>
      <w:r w:rsidR="00B963EA" w:rsidRPr="002A5734">
        <w:t xml:space="preserve">showed the </w:t>
      </w:r>
      <w:r w:rsidR="00437CC9" w:rsidRPr="002A5734">
        <w:t>highly significant</w:t>
      </w:r>
      <w:r w:rsidR="00666994" w:rsidRPr="00666994">
        <w:rPr>
          <w:color w:val="FF0000"/>
        </w:rPr>
        <w:t>(p</w:t>
      </w:r>
      <w:r w:rsidR="00666994">
        <w:rPr>
          <w:color w:val="FF0000"/>
        </w:rPr>
        <w:t>&lt;</w:t>
      </w:r>
      <w:r w:rsidR="00666994" w:rsidRPr="00666994">
        <w:rPr>
          <w:color w:val="FF0000"/>
        </w:rPr>
        <w:t>??)</w:t>
      </w:r>
      <w:r w:rsidR="00B963EA" w:rsidRPr="002A5734">
        <w:t>differences between</w:t>
      </w:r>
      <w:r w:rsidR="00B963EA" w:rsidRPr="00265681">
        <w:rPr>
          <w:color w:val="FF0000"/>
        </w:rPr>
        <w:t>anit</w:t>
      </w:r>
      <w:r w:rsidR="00B963EA" w:rsidRPr="002A5734">
        <w:t>-rubella prevalence and</w:t>
      </w:r>
      <w:r w:rsidR="00F35457" w:rsidRPr="002A5734">
        <w:t xml:space="preserve"> most of </w:t>
      </w:r>
      <w:r w:rsidR="00D109D5" w:rsidRPr="002A5734">
        <w:t xml:space="preserve">the </w:t>
      </w:r>
      <w:r w:rsidR="00F35457" w:rsidRPr="002A5734">
        <w:t xml:space="preserve">educational level except </w:t>
      </w:r>
      <w:r w:rsidR="00BC5E8E" w:rsidRPr="002A5734">
        <w:t xml:space="preserve">individuals having </w:t>
      </w:r>
      <w:r w:rsidR="00D109D5" w:rsidRPr="002A5734">
        <w:t xml:space="preserve">a </w:t>
      </w:r>
      <w:commentRangeStart w:id="31"/>
      <w:r w:rsidR="00437CC9" w:rsidRPr="002A5734">
        <w:t>university</w:t>
      </w:r>
      <w:r w:rsidR="00265681" w:rsidRPr="002A5734">
        <w:t>degre</w:t>
      </w:r>
      <w:commentRangeEnd w:id="31"/>
      <w:r w:rsidR="009F4214">
        <w:rPr>
          <w:rStyle w:val="CommentReference"/>
        </w:rPr>
        <w:commentReference w:id="31"/>
      </w:r>
      <w:r w:rsidR="00265681" w:rsidRPr="002A5734">
        <w:t>e. These</w:t>
      </w:r>
      <w:r w:rsidR="00F06576" w:rsidRPr="002A5734">
        <w:t xml:space="preserve"> results are in agreement with </w:t>
      </w:r>
      <w:r w:rsidR="006A3939" w:rsidRPr="002A5734">
        <w:t xml:space="preserve">Wang </w:t>
      </w:r>
      <w:r w:rsidR="006A3939" w:rsidRPr="002A5734">
        <w:rPr>
          <w:i/>
          <w:iCs/>
        </w:rPr>
        <w:t>et al.</w:t>
      </w:r>
      <w:r w:rsidR="008432DD" w:rsidRPr="002A5734">
        <w:rPr>
          <w:vertAlign w:val="superscript"/>
        </w:rPr>
        <w:t>25</w:t>
      </w:r>
      <w:r w:rsidR="00F06576" w:rsidRPr="002A5734">
        <w:t xml:space="preserve">in Taiwan, </w:t>
      </w:r>
      <w:r w:rsidR="00666994" w:rsidRPr="00666994">
        <w:rPr>
          <w:color w:val="548DD4" w:themeColor="text2" w:themeTint="99"/>
        </w:rPr>
        <w:t>(that</w:t>
      </w:r>
      <w:r w:rsidR="00666994">
        <w:t xml:space="preserve">) </w:t>
      </w:r>
      <w:r w:rsidR="00F06576" w:rsidRPr="002A5734">
        <w:t>revealed</w:t>
      </w:r>
      <w:r w:rsidR="006A3939" w:rsidRPr="002A5734">
        <w:t xml:space="preserve"> that</w:t>
      </w:r>
      <w:r w:rsidR="00147993" w:rsidRPr="002A5734">
        <w:t xml:space="preserve"> there was</w:t>
      </w:r>
      <w:r w:rsidR="00666994" w:rsidRPr="00666994">
        <w:rPr>
          <w:color w:val="548DD4" w:themeColor="text2" w:themeTint="99"/>
        </w:rPr>
        <w:t>(statistically</w:t>
      </w:r>
      <w:r w:rsidR="00666994">
        <w:t xml:space="preserve">) </w:t>
      </w:r>
      <w:r w:rsidR="00147993" w:rsidRPr="002A5734">
        <w:t>significant</w:t>
      </w:r>
      <w:r w:rsidR="00147993" w:rsidRPr="00666994">
        <w:rPr>
          <w:color w:val="FF0000"/>
        </w:rPr>
        <w:t>ly</w:t>
      </w:r>
      <w:r w:rsidR="00666994">
        <w:t xml:space="preserve"> (</w:t>
      </w:r>
      <w:r w:rsidR="00666994" w:rsidRPr="00666994">
        <w:rPr>
          <w:color w:val="FF0000"/>
        </w:rPr>
        <w:t xml:space="preserve">p&gt;??) </w:t>
      </w:r>
      <w:r w:rsidR="00147993" w:rsidRPr="002A5734">
        <w:t>associat</w:t>
      </w:r>
      <w:r w:rsidR="00147993" w:rsidRPr="00666994">
        <w:rPr>
          <w:color w:val="FF0000"/>
        </w:rPr>
        <w:t>ed</w:t>
      </w:r>
      <w:r w:rsidR="00666994" w:rsidRPr="00666994">
        <w:rPr>
          <w:color w:val="548DD4" w:themeColor="text2" w:themeTint="99"/>
        </w:rPr>
        <w:t>(association)</w:t>
      </w:r>
      <w:r w:rsidR="00147993" w:rsidRPr="002A5734">
        <w:t xml:space="preserve">between the </w:t>
      </w:r>
      <w:r w:rsidR="006A3939" w:rsidRPr="002A5734">
        <w:t xml:space="preserve">low educational level </w:t>
      </w:r>
      <w:r w:rsidR="00147993" w:rsidRPr="002A5734">
        <w:t>and</w:t>
      </w:r>
      <w:r w:rsidR="00F75F99" w:rsidRPr="002A5734">
        <w:t>se</w:t>
      </w:r>
      <w:r w:rsidR="006A3939" w:rsidRPr="002A5734">
        <w:t>ro</w:t>
      </w:r>
      <w:r w:rsidR="00265681">
        <w:t>-</w:t>
      </w:r>
      <w:r w:rsidR="006A3939" w:rsidRPr="002A5734">
        <w:t>negativity to rubella</w:t>
      </w:r>
      <w:r w:rsidR="00BF290F" w:rsidRPr="002A5734">
        <w:t>.</w:t>
      </w:r>
    </w:p>
    <w:p w:rsidR="002D424D" w:rsidRPr="002A5734" w:rsidRDefault="00D109D5" w:rsidP="00BA4D7F">
      <w:pPr>
        <w:autoSpaceDE w:val="0"/>
        <w:autoSpaceDN w:val="0"/>
        <w:bidi w:val="0"/>
        <w:adjustRightInd w:val="0"/>
        <w:ind w:right="-19"/>
        <w:jc w:val="both"/>
      </w:pPr>
      <w:r w:rsidRPr="002A5734">
        <w:t>A</w:t>
      </w:r>
      <w:r w:rsidR="00FA26D0" w:rsidRPr="002A5734">
        <w:t xml:space="preserve"> similar study by </w:t>
      </w:r>
      <w:commentRangeStart w:id="32"/>
      <w:r w:rsidR="00FA26D0" w:rsidRPr="002A5734">
        <w:t>Wondimeneh</w:t>
      </w:r>
      <w:r w:rsidR="00FA26D0" w:rsidRPr="002A5734">
        <w:rPr>
          <w:i/>
          <w:iCs/>
        </w:rPr>
        <w:t>et al</w:t>
      </w:r>
      <w:r w:rsidR="00FA26D0" w:rsidRPr="002A5734">
        <w:t xml:space="preserve">. </w:t>
      </w:r>
      <w:commentRangeEnd w:id="32"/>
      <w:r w:rsidR="009F4214">
        <w:rPr>
          <w:rStyle w:val="CommentReference"/>
        </w:rPr>
        <w:commentReference w:id="32"/>
      </w:r>
      <w:r w:rsidR="007166A4" w:rsidRPr="002A5734">
        <w:rPr>
          <w:vertAlign w:val="superscript"/>
        </w:rPr>
        <w:t>24</w:t>
      </w:r>
      <w:r w:rsidR="00FA26D0" w:rsidRPr="002A5734">
        <w:t xml:space="preserve"> observed that no formal education participants had </w:t>
      </w:r>
      <w:r w:rsidRPr="002A5734">
        <w:t xml:space="preserve">a </w:t>
      </w:r>
      <w:r w:rsidR="00FA26D0" w:rsidRPr="002A5734">
        <w:t xml:space="preserve">slightly high rate of </w:t>
      </w:r>
      <w:commentRangeEnd w:id="29"/>
      <w:r w:rsidR="00F22EDE">
        <w:rPr>
          <w:rStyle w:val="CommentReference"/>
        </w:rPr>
        <w:commentReference w:id="29"/>
      </w:r>
      <w:r w:rsidR="00FA26D0" w:rsidRPr="002A5734">
        <w:t>anti-rubella IgG. In Iraq, Al-Mukhtar</w:t>
      </w:r>
      <w:r w:rsidR="00FA26D0" w:rsidRPr="002A5734">
        <w:rPr>
          <w:i/>
          <w:iCs/>
        </w:rPr>
        <w:t>et al</w:t>
      </w:r>
      <w:r w:rsidR="007039D7" w:rsidRPr="002A5734">
        <w:t xml:space="preserve">. </w:t>
      </w:r>
      <w:r w:rsidR="007039D7" w:rsidRPr="002A5734">
        <w:rPr>
          <w:vertAlign w:val="superscript"/>
        </w:rPr>
        <w:t>23</w:t>
      </w:r>
      <w:r w:rsidR="00FA26D0" w:rsidRPr="002A5734">
        <w:t xml:space="preserve"> recorded that the higher prevalence was among individual</w:t>
      </w:r>
      <w:r w:rsidRPr="002A5734">
        <w:t>s</w:t>
      </w:r>
      <w:r w:rsidR="00FA26D0" w:rsidRPr="002A5734">
        <w:t xml:space="preserve"> with </w:t>
      </w:r>
      <w:r w:rsidRPr="002A5734">
        <w:t xml:space="preserve">the </w:t>
      </w:r>
      <w:r w:rsidR="00FA26D0" w:rsidRPr="002A5734">
        <w:t xml:space="preserve">education of diploma or college and illiterate while </w:t>
      </w:r>
      <w:r w:rsidR="00FA26D0" w:rsidRPr="002A5734">
        <w:lastRenderedPageBreak/>
        <w:t xml:space="preserve">the lower rate was among the high school individual. </w:t>
      </w:r>
      <w:r w:rsidR="007A389C" w:rsidRPr="002A5734">
        <w:t xml:space="preserve">Also, </w:t>
      </w:r>
      <w:r w:rsidR="00265681" w:rsidRPr="002A5734">
        <w:t>Olajide</w:t>
      </w:r>
      <w:r w:rsidR="007A389C" w:rsidRPr="002A5734">
        <w:rPr>
          <w:i/>
          <w:iCs/>
        </w:rPr>
        <w:t xml:space="preserve"> al.</w:t>
      </w:r>
      <w:r w:rsidR="003D473F" w:rsidRPr="002A5734">
        <w:rPr>
          <w:vertAlign w:val="superscript"/>
        </w:rPr>
        <w:t>19</w:t>
      </w:r>
      <w:r w:rsidR="007A389C" w:rsidRPr="002A5734">
        <w:t xml:space="preserve"> registered the illiterate and primary school females showing</w:t>
      </w:r>
      <w:r w:rsidR="007A389C" w:rsidRPr="00666994">
        <w:rPr>
          <w:color w:val="FF0000"/>
        </w:rPr>
        <w:t xml:space="preserve"> completely</w:t>
      </w:r>
      <w:r w:rsidR="00666994">
        <w:rPr>
          <w:color w:val="FF0000"/>
        </w:rPr>
        <w:t>??</w:t>
      </w:r>
      <w:r w:rsidR="007A389C" w:rsidRPr="002A5734">
        <w:t xml:space="preserve">IgG-positive while the secondary and tertiary ranging from 90% to 93.2%. </w:t>
      </w:r>
      <w:r w:rsidR="00497135" w:rsidRPr="002A5734">
        <w:t xml:space="preserve">Conversely, </w:t>
      </w:r>
      <w:r w:rsidR="00FA26D0" w:rsidRPr="002A5734">
        <w:t>Gadallah</w:t>
      </w:r>
      <w:r w:rsidR="00FA26D0" w:rsidRPr="002A5734">
        <w:rPr>
          <w:i/>
          <w:iCs/>
        </w:rPr>
        <w:t>et al.</w:t>
      </w:r>
      <w:r w:rsidR="007039D7" w:rsidRPr="002A5734">
        <w:rPr>
          <w:vertAlign w:val="superscript"/>
        </w:rPr>
        <w:t>22</w:t>
      </w:r>
      <w:r w:rsidR="00FA26D0" w:rsidRPr="002A5734">
        <w:t xml:space="preserve"> illustrated the university grade and primary to secondary school individuals show</w:t>
      </w:r>
      <w:r w:rsidR="00FA26D0" w:rsidRPr="00666994">
        <w:rPr>
          <w:strike/>
          <w:color w:val="FF0000"/>
        </w:rPr>
        <w:t>ing</w:t>
      </w:r>
      <w:r w:rsidR="00FA26D0" w:rsidRPr="002A5734">
        <w:t xml:space="preserve"> nearly similar</w:t>
      </w:r>
      <w:r w:rsidR="00FA26D0" w:rsidRPr="00666994">
        <w:rPr>
          <w:strike/>
          <w:color w:val="FF0000"/>
        </w:rPr>
        <w:t xml:space="preserve"> in</w:t>
      </w:r>
      <w:r w:rsidR="00497135" w:rsidRPr="002A5734">
        <w:t xml:space="preserve">anti-rubella prevalence and </w:t>
      </w:r>
      <w:r w:rsidRPr="002A5734">
        <w:t xml:space="preserve">no </w:t>
      </w:r>
      <w:r w:rsidR="00666994">
        <w:t xml:space="preserve"> statistically </w:t>
      </w:r>
      <w:r w:rsidRPr="002A5734">
        <w:t>significant</w:t>
      </w:r>
      <w:r w:rsidR="00666994">
        <w:t>(</w:t>
      </w:r>
      <w:r w:rsidR="00666994" w:rsidRPr="00666994">
        <w:rPr>
          <w:color w:val="FF0000"/>
        </w:rPr>
        <w:t>p</w:t>
      </w:r>
      <w:r w:rsidR="00BA50AD">
        <w:rPr>
          <w:color w:val="FF0000"/>
        </w:rPr>
        <w:t>&gt;</w:t>
      </w:r>
      <w:r w:rsidR="00666994" w:rsidRPr="00666994">
        <w:rPr>
          <w:color w:val="FF0000"/>
        </w:rPr>
        <w:t xml:space="preserve">??) </w:t>
      </w:r>
      <w:r w:rsidR="00167C9E" w:rsidRPr="002A5734">
        <w:t>differences</w:t>
      </w:r>
      <w:r w:rsidR="00F75F99" w:rsidRPr="002A5734">
        <w:t>.</w:t>
      </w:r>
    </w:p>
    <w:p w:rsidR="006A3939" w:rsidRPr="002A5734" w:rsidRDefault="00C24A4D" w:rsidP="002D424D">
      <w:pPr>
        <w:autoSpaceDE w:val="0"/>
        <w:autoSpaceDN w:val="0"/>
        <w:bidi w:val="0"/>
        <w:adjustRightInd w:val="0"/>
        <w:ind w:right="-19"/>
        <w:jc w:val="both"/>
      </w:pPr>
      <w:commentRangeStart w:id="33"/>
      <w:r w:rsidRPr="002A5734">
        <w:t>The variation in prev</w:t>
      </w:r>
      <w:r w:rsidR="009639E1" w:rsidRPr="002A5734">
        <w:t xml:space="preserve">ious results to this result </w:t>
      </w:r>
      <w:r w:rsidR="00D94D45" w:rsidRPr="002A5734">
        <w:t>may be</w:t>
      </w:r>
      <w:r w:rsidR="009639E1" w:rsidRPr="002A5734">
        <w:t>referred</w:t>
      </w:r>
      <w:r w:rsidRPr="002A5734">
        <w:t xml:space="preserve"> to </w:t>
      </w:r>
      <w:r w:rsidR="00FC457E" w:rsidRPr="002A5734">
        <w:t xml:space="preserve">as </w:t>
      </w:r>
      <w:r w:rsidRPr="002A5734">
        <w:t>many factor</w:t>
      </w:r>
      <w:r w:rsidR="009639E1" w:rsidRPr="002A5734">
        <w:t>s</w:t>
      </w:r>
      <w:r w:rsidRPr="002A5734">
        <w:t xml:space="preserve"> that play a minor role in</w:t>
      </w:r>
      <w:r w:rsidR="007C26D0" w:rsidRPr="002A5734">
        <w:t xml:space="preserve"> rubella virus infection. these factors including </w:t>
      </w:r>
      <w:r w:rsidR="009468F8" w:rsidRPr="002A5734">
        <w:t xml:space="preserve">frequency of exposure, </w:t>
      </w:r>
      <w:r w:rsidR="00123CB0" w:rsidRPr="002A5734">
        <w:t>diagnosis methods</w:t>
      </w:r>
      <w:r w:rsidR="009468F8" w:rsidRPr="002A5734">
        <w:t xml:space="preserve">, the social variations such as </w:t>
      </w:r>
      <w:r w:rsidR="009639E1" w:rsidRPr="002A5734">
        <w:t xml:space="preserve">the </w:t>
      </w:r>
      <w:r w:rsidR="00123CB0" w:rsidRPr="002A5734">
        <w:t xml:space="preserve">behavior of </w:t>
      </w:r>
      <w:r w:rsidR="009639E1" w:rsidRPr="002A5734">
        <w:t xml:space="preserve">the </w:t>
      </w:r>
      <w:r w:rsidR="009468F8" w:rsidRPr="002A5734">
        <w:t xml:space="preserve">population, </w:t>
      </w:r>
      <w:r w:rsidR="00123CB0" w:rsidRPr="002A5734">
        <w:t>environmental hygiene</w:t>
      </w:r>
      <w:r w:rsidR="009468F8" w:rsidRPr="002A5734">
        <w:t xml:space="preserve">, cultural </w:t>
      </w:r>
      <w:r w:rsidR="002D424D" w:rsidRPr="002A5734">
        <w:t>variances</w:t>
      </w:r>
      <w:r w:rsidR="009468F8" w:rsidRPr="002A5734">
        <w:t xml:space="preserve"> related to feeding habits, </w:t>
      </w:r>
      <w:r w:rsidR="002D424D" w:rsidRPr="002A5734">
        <w:t xml:space="preserve">levels of </w:t>
      </w:r>
      <w:r w:rsidR="009639E1" w:rsidRPr="002A5734">
        <w:t xml:space="preserve">the </w:t>
      </w:r>
      <w:r w:rsidR="009468F8" w:rsidRPr="002A5734">
        <w:t xml:space="preserve">educational, </w:t>
      </w:r>
      <w:r w:rsidR="002D424D" w:rsidRPr="002A5734">
        <w:t>and primary health</w:t>
      </w:r>
      <w:r w:rsidR="009468F8" w:rsidRPr="002A5734">
        <w:t>care program</w:t>
      </w:r>
      <w:r w:rsidR="002D424D" w:rsidRPr="002A5734">
        <w:t>.</w:t>
      </w:r>
    </w:p>
    <w:p w:rsidR="0064774C" w:rsidRPr="002A5734" w:rsidRDefault="00CD2B37" w:rsidP="00704DB9">
      <w:pPr>
        <w:autoSpaceDE w:val="0"/>
        <w:autoSpaceDN w:val="0"/>
        <w:bidi w:val="0"/>
        <w:adjustRightInd w:val="0"/>
        <w:ind w:right="-19"/>
        <w:jc w:val="both"/>
      </w:pPr>
      <w:r w:rsidRPr="002A5734">
        <w:t>In the p</w:t>
      </w:r>
      <w:r w:rsidR="00245C6C" w:rsidRPr="002A5734">
        <w:t>resent</w:t>
      </w:r>
      <w:r w:rsidR="0021785C" w:rsidRPr="002A5734">
        <w:t xml:space="preserve"> result</w:t>
      </w:r>
      <w:r w:rsidRPr="002A5734">
        <w:t>,</w:t>
      </w:r>
      <w:r w:rsidR="00BC3300" w:rsidRPr="002A5734">
        <w:t xml:space="preserve">the </w:t>
      </w:r>
      <w:r w:rsidRPr="002A5734">
        <w:t xml:space="preserve">single, married, and divorced females showed nearly similar </w:t>
      </w:r>
      <w:r w:rsidR="004261B3" w:rsidRPr="002A5734">
        <w:t>results for anti-rubella IgG that ranged between 72.3% to 75%.</w:t>
      </w:r>
      <w:r w:rsidR="00F23239" w:rsidRPr="00BA50AD">
        <w:rPr>
          <w:color w:val="FF0000"/>
        </w:rPr>
        <w:t xml:space="preserve">Whereas, </w:t>
      </w:r>
      <w:r w:rsidR="00F23239" w:rsidRPr="002A5734">
        <w:t xml:space="preserve">the two of </w:t>
      </w:r>
      <w:r w:rsidR="00704DB9" w:rsidRPr="002A5734">
        <w:t xml:space="preserve">the </w:t>
      </w:r>
      <w:r w:rsidR="00F23239" w:rsidRPr="002A5734">
        <w:t>participat</w:t>
      </w:r>
      <w:r w:rsidR="00F23239" w:rsidRPr="00BA50AD">
        <w:rPr>
          <w:color w:val="FF0000"/>
        </w:rPr>
        <w:t>ed</w:t>
      </w:r>
      <w:r w:rsidR="00BA50AD" w:rsidRPr="00BA50AD">
        <w:rPr>
          <w:color w:val="00B0F0"/>
        </w:rPr>
        <w:t xml:space="preserve">(participants who were </w:t>
      </w:r>
      <w:r w:rsidR="00BA50AD" w:rsidRPr="002A5734">
        <w:t>widow</w:t>
      </w:r>
      <w:r w:rsidR="00BA50AD" w:rsidRPr="00BA50AD">
        <w:rPr>
          <w:color w:val="00B0F0"/>
        </w:rPr>
        <w:t>s</w:t>
      </w:r>
      <w:r w:rsidR="00F23239" w:rsidRPr="00BA50AD">
        <w:rPr>
          <w:strike/>
          <w:color w:val="FF0000"/>
        </w:rPr>
        <w:t>females</w:t>
      </w:r>
      <w:r w:rsidR="00F23239" w:rsidRPr="002A5734">
        <w:t xml:space="preserve"> showed </w:t>
      </w:r>
      <w:r w:rsidR="00F23239" w:rsidRPr="00BA50AD">
        <w:rPr>
          <w:color w:val="FF0000"/>
        </w:rPr>
        <w:t>completely</w:t>
      </w:r>
      <w:r w:rsidR="00BA50AD">
        <w:rPr>
          <w:color w:val="FF0000"/>
        </w:rPr>
        <w:t>??</w:t>
      </w:r>
      <w:r w:rsidR="00BA50AD" w:rsidRPr="00BA50AD">
        <w:rPr>
          <w:color w:val="92D050"/>
        </w:rPr>
        <w:t>(comparatively)</w:t>
      </w:r>
      <w:r w:rsidR="00F23239" w:rsidRPr="002A5734">
        <w:t xml:space="preserve">positive for </w:t>
      </w:r>
      <w:r w:rsidR="00704DB9" w:rsidRPr="002A5734">
        <w:t xml:space="preserve">the </w:t>
      </w:r>
      <w:r w:rsidR="00F23239" w:rsidRPr="002A5734">
        <w:t xml:space="preserve">rubella IgG antibody. </w:t>
      </w:r>
      <w:r w:rsidR="00333384" w:rsidRPr="002A5734">
        <w:t xml:space="preserve">This finding is </w:t>
      </w:r>
      <w:r w:rsidR="004E2A74" w:rsidRPr="002A5734">
        <w:t>in agree</w:t>
      </w:r>
      <w:r w:rsidR="00ED4EFE" w:rsidRPr="002A5734">
        <w:t>ment with G</w:t>
      </w:r>
      <w:commentRangeStart w:id="34"/>
      <w:r w:rsidR="00ED4EFE" w:rsidRPr="002A5734">
        <w:t>adallah</w:t>
      </w:r>
      <w:r w:rsidR="00ED4EFE" w:rsidRPr="002A5734">
        <w:rPr>
          <w:i/>
          <w:iCs/>
        </w:rPr>
        <w:t>et</w:t>
      </w:r>
      <w:commentRangeEnd w:id="34"/>
      <w:r w:rsidR="009F4214">
        <w:rPr>
          <w:rStyle w:val="CommentReference"/>
        </w:rPr>
        <w:commentReference w:id="34"/>
      </w:r>
      <w:r w:rsidR="00ED4EFE" w:rsidRPr="002A5734">
        <w:rPr>
          <w:i/>
          <w:iCs/>
        </w:rPr>
        <w:t xml:space="preserve"> al</w:t>
      </w:r>
      <w:r w:rsidR="00ED4EFE" w:rsidRPr="002A5734">
        <w:t>.</w:t>
      </w:r>
      <w:r w:rsidR="007039D7" w:rsidRPr="002A5734">
        <w:rPr>
          <w:vertAlign w:val="superscript"/>
        </w:rPr>
        <w:t>22</w:t>
      </w:r>
      <w:r w:rsidR="00BA50AD">
        <w:t xml:space="preserve"> (</w:t>
      </w:r>
      <w:r w:rsidR="00BA50AD" w:rsidRPr="00BA50AD">
        <w:rPr>
          <w:color w:val="00B0F0"/>
        </w:rPr>
        <w:t>who</w:t>
      </w:r>
      <w:r w:rsidR="00BA50AD">
        <w:t>)</w:t>
      </w:r>
      <w:r w:rsidR="008C1305" w:rsidRPr="002A5734">
        <w:t xml:space="preserve"> observed that </w:t>
      </w:r>
      <w:commentRangeStart w:id="35"/>
      <w:r w:rsidR="008C1305" w:rsidRPr="002A5734">
        <w:t>the</w:t>
      </w:r>
      <w:r w:rsidR="00BB3D03" w:rsidRPr="002A5734">
        <w:t>prevalenc</w:t>
      </w:r>
      <w:commentRangeEnd w:id="35"/>
      <w:r w:rsidR="009F4214">
        <w:rPr>
          <w:rStyle w:val="CommentReference"/>
        </w:rPr>
        <w:commentReference w:id="35"/>
      </w:r>
      <w:r w:rsidR="00BB3D03" w:rsidRPr="002A5734">
        <w:t xml:space="preserve">e rate of anti-rubella IgGwas 84.6% and 80.3%, respectively, among </w:t>
      </w:r>
      <w:r w:rsidR="008C1305" w:rsidRPr="002A5734">
        <w:t xml:space="preserve">married and </w:t>
      </w:r>
      <w:r w:rsidR="00BB3D03" w:rsidRPr="002A5734">
        <w:t xml:space="preserve">single women. </w:t>
      </w:r>
      <w:r w:rsidR="00170D27" w:rsidRPr="002A5734">
        <w:t>In contrast</w:t>
      </w:r>
      <w:r w:rsidR="00BB3D03" w:rsidRPr="002A5734">
        <w:t>,</w:t>
      </w:r>
      <w:r w:rsidR="005D68A5" w:rsidRPr="002A5734">
        <w:t>Wondimeneh</w:t>
      </w:r>
      <w:r w:rsidR="005D68A5" w:rsidRPr="002A5734">
        <w:rPr>
          <w:i/>
          <w:iCs/>
        </w:rPr>
        <w:t>et al</w:t>
      </w:r>
      <w:r w:rsidR="005D68A5" w:rsidRPr="002A5734">
        <w:t>.</w:t>
      </w:r>
      <w:r w:rsidR="007166A4" w:rsidRPr="002A5734">
        <w:rPr>
          <w:vertAlign w:val="superscript"/>
        </w:rPr>
        <w:t>24</w:t>
      </w:r>
      <w:r w:rsidR="00C10E93" w:rsidRPr="002A5734">
        <w:t xml:space="preserve"> noticed </w:t>
      </w:r>
      <w:r w:rsidR="00696F0D" w:rsidRPr="002A5734">
        <w:t xml:space="preserve">that </w:t>
      </w:r>
      <w:r w:rsidR="00C10E93" w:rsidRPr="002A5734">
        <w:t>the high</w:t>
      </w:r>
      <w:r w:rsidR="00696F0D" w:rsidRPr="002A5734">
        <w:t>est</w:t>
      </w:r>
      <w:r w:rsidR="00C10E93" w:rsidRPr="002A5734">
        <w:t xml:space="preserve"> rate </w:t>
      </w:r>
      <w:r w:rsidR="00696F0D" w:rsidRPr="002A5734">
        <w:t xml:space="preserve">was among married and lowest among single and divorced women. </w:t>
      </w:r>
      <w:r w:rsidR="00D94D45" w:rsidRPr="002A5734">
        <w:t>Also, it</w:t>
      </w:r>
      <w:r w:rsidR="00E957F7" w:rsidRPr="002A5734">
        <w:t xml:space="preserve"> was found </w:t>
      </w:r>
      <w:r w:rsidR="00B523B4" w:rsidRPr="002A5734">
        <w:t xml:space="preserve">the rubella IgG antibody among unmarried </w:t>
      </w:r>
      <w:r w:rsidR="00B523B4" w:rsidRPr="00BA50AD">
        <w:rPr>
          <w:color w:val="FF0000"/>
        </w:rPr>
        <w:t>women</w:t>
      </w:r>
      <w:r w:rsidR="00BA50AD" w:rsidRPr="00BA50AD">
        <w:rPr>
          <w:color w:val="548DD4" w:themeColor="text2" w:themeTint="99"/>
        </w:rPr>
        <w:t>(were)</w:t>
      </w:r>
      <w:r w:rsidR="00E957F7" w:rsidRPr="00BA50AD">
        <w:rPr>
          <w:color w:val="FF0000"/>
        </w:rPr>
        <w:t xml:space="preserve">more </w:t>
      </w:r>
      <w:r w:rsidR="00E957F7" w:rsidRPr="002A5734">
        <w:t>than in married women</w:t>
      </w:r>
      <w:r w:rsidR="007039D7" w:rsidRPr="002A5734">
        <w:rPr>
          <w:vertAlign w:val="superscript"/>
        </w:rPr>
        <w:t>23</w:t>
      </w:r>
      <w:r w:rsidR="00E957F7" w:rsidRPr="002A5734">
        <w:t>.</w:t>
      </w:r>
      <w:r w:rsidR="00BD6BE8" w:rsidRPr="002A5734">
        <w:t xml:space="preserve">In fact, all women are susceptible to rubella virus infection and the high </w:t>
      </w:r>
      <w:r w:rsidR="00D161C2" w:rsidRPr="002A5734">
        <w:t>potential risks</w:t>
      </w:r>
      <w:r w:rsidR="00BD6BE8" w:rsidRPr="002A5734">
        <w:t xml:space="preserve"> present during pregnancy </w:t>
      </w:r>
      <w:r w:rsidR="0064774C" w:rsidRPr="002A5734">
        <w:t>period.</w:t>
      </w:r>
    </w:p>
    <w:commentRangeEnd w:id="33"/>
    <w:p w:rsidR="00CD6670" w:rsidRPr="002A5734" w:rsidRDefault="00462AFA" w:rsidP="00184EC4">
      <w:pPr>
        <w:pStyle w:val="NoSpacing"/>
        <w:bidi w:val="0"/>
        <w:jc w:val="both"/>
      </w:pPr>
      <w:r>
        <w:rPr>
          <w:rStyle w:val="CommentReference"/>
        </w:rPr>
        <w:commentReference w:id="33"/>
      </w:r>
      <w:commentRangeStart w:id="36"/>
      <w:r w:rsidR="00B5326D" w:rsidRPr="002A5734">
        <w:t xml:space="preserve">In the current work, </w:t>
      </w:r>
      <w:r w:rsidR="001D1295" w:rsidRPr="002A5734">
        <w:t xml:space="preserve">out of the 130 married </w:t>
      </w:r>
      <w:r w:rsidR="00D161C2" w:rsidRPr="002A5734">
        <w:t>females, it</w:t>
      </w:r>
      <w:r w:rsidR="00B5326D" w:rsidRPr="002A5734">
        <w:t xml:space="preserve"> was reported that </w:t>
      </w:r>
      <w:r w:rsidR="000F3B2E" w:rsidRPr="002A5734">
        <w:t>the highest prevalence of</w:t>
      </w:r>
      <w:r w:rsidR="00C45E8D" w:rsidRPr="002A5734">
        <w:t xml:space="preserve"> anti-rubella IgG </w:t>
      </w:r>
      <w:commentRangeStart w:id="37"/>
      <w:r w:rsidR="00C45E8D" w:rsidRPr="002A5734">
        <w:t xml:space="preserve">were </w:t>
      </w:r>
      <w:r w:rsidR="000F3B2E" w:rsidRPr="002A5734">
        <w:t>(73.7%) among non-</w:t>
      </w:r>
      <w:r w:rsidR="000521CC" w:rsidRPr="002A5734">
        <w:t xml:space="preserve">pregnant women and </w:t>
      </w:r>
      <w:r w:rsidR="000F3B2E" w:rsidRPr="002A5734">
        <w:t xml:space="preserve">the lowest was 66.7% among pregnant </w:t>
      </w:r>
      <w:r w:rsidR="00D161C2" w:rsidRPr="002A5734">
        <w:t>women. In</w:t>
      </w:r>
      <w:r w:rsidR="00184EC4" w:rsidRPr="002A5734">
        <w:t xml:space="preserve">a </w:t>
      </w:r>
      <w:r w:rsidR="006147E9" w:rsidRPr="002A5734">
        <w:t>s</w:t>
      </w:r>
      <w:r w:rsidR="00051EC5" w:rsidRPr="002A5734">
        <w:t xml:space="preserve">imilar </w:t>
      </w:r>
      <w:r w:rsidR="006147E9" w:rsidRPr="002A5734">
        <w:t xml:space="preserve">study </w:t>
      </w:r>
      <w:r w:rsidR="00051EC5" w:rsidRPr="002A5734">
        <w:t>conducted in Poland</w:t>
      </w:r>
      <w:r w:rsidR="00BA50AD" w:rsidRPr="005B66B4">
        <w:rPr>
          <w:color w:val="548DD4" w:themeColor="text2" w:themeTint="99"/>
        </w:rPr>
        <w:t>(it was</w:t>
      </w:r>
      <w:r w:rsidR="00BA50AD">
        <w:t>)</w:t>
      </w:r>
      <w:r w:rsidR="006147E9" w:rsidRPr="002A5734">
        <w:t xml:space="preserve">found that up to 90% </w:t>
      </w:r>
      <w:r w:rsidR="005A7C20" w:rsidRPr="002A5734">
        <w:t>of healthy pregnant females were</w:t>
      </w:r>
      <w:r w:rsidR="00051EC5" w:rsidRPr="002A5734">
        <w:t xml:space="preserve"> positive </w:t>
      </w:r>
      <w:r w:rsidR="005A7C20" w:rsidRPr="002A5734">
        <w:t>for rubella antibody</w:t>
      </w:r>
      <w:r w:rsidR="00B543BE" w:rsidRPr="002A5734">
        <w:rPr>
          <w:vertAlign w:val="superscript"/>
        </w:rPr>
        <w:t>17</w:t>
      </w:r>
      <w:r w:rsidR="00051EC5" w:rsidRPr="002A5734">
        <w:t>.</w:t>
      </w:r>
      <w:r w:rsidR="003E2EA4" w:rsidRPr="002A5734">
        <w:t>In Nigeria, Olajide</w:t>
      </w:r>
      <w:r w:rsidR="003E2EA4" w:rsidRPr="002A5734">
        <w:rPr>
          <w:i/>
          <w:iCs/>
        </w:rPr>
        <w:t>et al.</w:t>
      </w:r>
      <w:r w:rsidR="00EA5066" w:rsidRPr="002A5734">
        <w:rPr>
          <w:vertAlign w:val="superscript"/>
        </w:rPr>
        <w:t>19</w:t>
      </w:r>
      <w:r w:rsidR="003E2EA4" w:rsidRPr="002A5734">
        <w:t xml:space="preserve"> observed that anti-rubella IgG prevalence was 93.75% among pregnant women and </w:t>
      </w:r>
      <w:r w:rsidR="000A2436" w:rsidRPr="002A5734">
        <w:t xml:space="preserve">90% among non-pregnant </w:t>
      </w:r>
      <w:r w:rsidR="00D161C2" w:rsidRPr="002A5734">
        <w:t>women. Also</w:t>
      </w:r>
      <w:r w:rsidR="00CD6670" w:rsidRPr="002A5734">
        <w:t xml:space="preserve">, in a study conducted in Iran among pregnant women that 15% of them were positive for rubella antibody </w:t>
      </w:r>
      <w:r w:rsidR="00AD4231" w:rsidRPr="002A5734">
        <w:rPr>
          <w:vertAlign w:val="superscript"/>
        </w:rPr>
        <w:t>26</w:t>
      </w:r>
      <w:r w:rsidR="00CD6670" w:rsidRPr="002A5734">
        <w:t>.</w:t>
      </w:r>
    </w:p>
    <w:p w:rsidR="00082DB6" w:rsidRPr="002A5734" w:rsidRDefault="000C7CB1" w:rsidP="00184EC4">
      <w:pPr>
        <w:autoSpaceDE w:val="0"/>
        <w:autoSpaceDN w:val="0"/>
        <w:bidi w:val="0"/>
        <w:adjustRightInd w:val="0"/>
        <w:ind w:right="-19"/>
        <w:jc w:val="both"/>
      </w:pPr>
      <w:r w:rsidRPr="002A5734">
        <w:t xml:space="preserve">The </w:t>
      </w:r>
      <w:r w:rsidR="001759EC" w:rsidRPr="002A5734">
        <w:t>current result</w:t>
      </w:r>
      <w:r w:rsidRPr="002A5734">
        <w:t xml:space="preserve"> according to the history of stillbirth</w:t>
      </w:r>
      <w:r w:rsidR="001759EC" w:rsidRPr="002A5734">
        <w:t>,  found that 82.2% of</w:t>
      </w:r>
      <w:r w:rsidR="00081BAE" w:rsidRPr="002A5734">
        <w:t>IgG-positive study p</w:t>
      </w:r>
      <w:commentRangeStart w:id="38"/>
      <w:r w:rsidR="00081BAE" w:rsidRPr="002A5734">
        <w:t>articipants</w:t>
      </w:r>
      <w:r w:rsidR="005B66B4" w:rsidRPr="005B66B4">
        <w:rPr>
          <w:color w:val="548DD4" w:themeColor="text2" w:themeTint="99"/>
        </w:rPr>
        <w:t>wit</w:t>
      </w:r>
      <w:commentRangeEnd w:id="38"/>
      <w:r w:rsidR="009F4214">
        <w:rPr>
          <w:rStyle w:val="CommentReference"/>
        </w:rPr>
        <w:commentReference w:id="38"/>
      </w:r>
      <w:r w:rsidR="005B66B4" w:rsidRPr="005B66B4">
        <w:rPr>
          <w:color w:val="548DD4" w:themeColor="text2" w:themeTint="99"/>
        </w:rPr>
        <w:t>h</w:t>
      </w:r>
      <w:r w:rsidR="00081BAE" w:rsidRPr="002A5734">
        <w:t xml:space="preserve"> no </w:t>
      </w:r>
      <w:r w:rsidR="00184EC4" w:rsidRPr="002A5734">
        <w:t xml:space="preserve">a </w:t>
      </w:r>
      <w:r w:rsidR="00081BAE" w:rsidRPr="002A5734">
        <w:t xml:space="preserve">had history </w:t>
      </w:r>
      <w:r w:rsidR="00115E91" w:rsidRPr="002A5734">
        <w:t xml:space="preserve">of stillbirth were positive, </w:t>
      </w:r>
      <w:r w:rsidR="004B7D61" w:rsidRPr="002A5734">
        <w:t xml:space="preserve">whereas 65% of </w:t>
      </w:r>
      <w:r w:rsidR="00081BAE" w:rsidRPr="002A5734">
        <w:t xml:space="preserve">IgG-positive </w:t>
      </w:r>
      <w:r w:rsidR="004B7D61" w:rsidRPr="002A5734">
        <w:t xml:space="preserve">women had </w:t>
      </w:r>
      <w:r w:rsidR="00184EC4" w:rsidRPr="002A5734">
        <w:t xml:space="preserve">a </w:t>
      </w:r>
      <w:r w:rsidR="004B7D61" w:rsidRPr="002A5734">
        <w:t xml:space="preserve">history of </w:t>
      </w:r>
      <w:r w:rsidR="00D161C2" w:rsidRPr="002A5734">
        <w:t>stillbirth. In</w:t>
      </w:r>
      <w:r w:rsidR="00184EC4" w:rsidRPr="002A5734">
        <w:t xml:space="preserve">a </w:t>
      </w:r>
      <w:r w:rsidR="00082DB6" w:rsidRPr="002A5734">
        <w:t xml:space="preserve">similar study, </w:t>
      </w:r>
      <w:r w:rsidR="009357A4" w:rsidRPr="002A5734">
        <w:t>O</w:t>
      </w:r>
      <w:commentRangeStart w:id="39"/>
      <w:r w:rsidR="009357A4" w:rsidRPr="002A5734">
        <w:t>lajide</w:t>
      </w:r>
      <w:r w:rsidR="00EA5066" w:rsidRPr="002A5734">
        <w:rPr>
          <w:i/>
          <w:iCs/>
        </w:rPr>
        <w:t>e</w:t>
      </w:r>
      <w:commentRangeEnd w:id="39"/>
      <w:r w:rsidR="009F4214">
        <w:rPr>
          <w:rStyle w:val="CommentReference"/>
        </w:rPr>
        <w:commentReference w:id="39"/>
      </w:r>
      <w:r w:rsidR="00EA5066" w:rsidRPr="002A5734">
        <w:rPr>
          <w:i/>
          <w:iCs/>
        </w:rPr>
        <w:t>t al</w:t>
      </w:r>
      <w:r w:rsidR="00EA5066" w:rsidRPr="002A5734">
        <w:t xml:space="preserve">. </w:t>
      </w:r>
      <w:r w:rsidR="00EA5066" w:rsidRPr="002A5734">
        <w:rPr>
          <w:vertAlign w:val="superscript"/>
        </w:rPr>
        <w:t>19</w:t>
      </w:r>
      <w:r w:rsidR="00E14BDF" w:rsidRPr="002A5734">
        <w:t xml:space="preserve"> showed that 92.5% of </w:t>
      </w:r>
      <w:r w:rsidR="00291438" w:rsidRPr="002A5734">
        <w:t>females</w:t>
      </w:r>
      <w:r w:rsidR="005B66B4" w:rsidRPr="005B66B4">
        <w:rPr>
          <w:color w:val="00B050"/>
        </w:rPr>
        <w:t xml:space="preserve"> with </w:t>
      </w:r>
      <w:r w:rsidR="005B66B4" w:rsidRPr="005B66B4">
        <w:rPr>
          <w:color w:val="00B0F0"/>
        </w:rPr>
        <w:t>no</w:t>
      </w:r>
      <w:r w:rsidR="000F23BA" w:rsidRPr="005B66B4">
        <w:rPr>
          <w:strike/>
          <w:color w:val="FF0000"/>
        </w:rPr>
        <w:t>non-had</w:t>
      </w:r>
      <w:r w:rsidR="00E14BDF" w:rsidRPr="002A5734">
        <w:t>history of stillbirth</w:t>
      </w:r>
      <w:r w:rsidR="00291438" w:rsidRPr="002A5734">
        <w:t xml:space="preserve"> were</w:t>
      </w:r>
      <w:r w:rsidR="000F23BA" w:rsidRPr="002A5734">
        <w:t>IgG-</w:t>
      </w:r>
      <w:r w:rsidR="00E14BDF" w:rsidRPr="002A5734">
        <w:t>positive</w:t>
      </w:r>
      <w:r w:rsidR="00D27788" w:rsidRPr="002A5734">
        <w:t xml:space="preserve"> for rubella and 100% of </w:t>
      </w:r>
      <w:r w:rsidR="003926AD" w:rsidRPr="002A5734">
        <w:t xml:space="preserve">IgG-positive females had </w:t>
      </w:r>
      <w:r w:rsidR="00C75E2A" w:rsidRPr="002A5734">
        <w:t xml:space="preserve">a </w:t>
      </w:r>
      <w:r w:rsidR="003926AD" w:rsidRPr="002A5734">
        <w:t xml:space="preserve">history of one to four stillbirth. </w:t>
      </w:r>
      <w:r w:rsidR="009357A4" w:rsidRPr="002A5734">
        <w:t xml:space="preserve">Also, </w:t>
      </w:r>
      <w:commentRangeStart w:id="40"/>
      <w:r w:rsidR="00082DB6" w:rsidRPr="002A5734">
        <w:t>Wondimeneh</w:t>
      </w:r>
      <w:r w:rsidR="00082DB6" w:rsidRPr="002A5734">
        <w:rPr>
          <w:i/>
          <w:iCs/>
        </w:rPr>
        <w:t xml:space="preserve">et </w:t>
      </w:r>
      <w:commentRangeEnd w:id="40"/>
      <w:r w:rsidR="009F4214">
        <w:rPr>
          <w:rStyle w:val="CommentReference"/>
        </w:rPr>
        <w:commentReference w:id="40"/>
      </w:r>
      <w:r w:rsidR="00082DB6" w:rsidRPr="002A5734">
        <w:rPr>
          <w:i/>
          <w:iCs/>
        </w:rPr>
        <w:t>al.</w:t>
      </w:r>
      <w:r w:rsidR="007166A4" w:rsidRPr="002A5734">
        <w:rPr>
          <w:vertAlign w:val="superscript"/>
        </w:rPr>
        <w:t>24</w:t>
      </w:r>
      <w:r w:rsidR="00082DB6" w:rsidRPr="002A5734">
        <w:t xml:space="preserve"> reported that </w:t>
      </w:r>
      <w:r w:rsidR="00531342" w:rsidRPr="002A5734">
        <w:t xml:space="preserve">79.2% of IgG-positive </w:t>
      </w:r>
      <w:r w:rsidR="00DE1A3D" w:rsidRPr="002A5734">
        <w:t>without a history of stillbirth</w:t>
      </w:r>
      <w:r w:rsidR="00AF402B" w:rsidRPr="002A5734">
        <w:t>,</w:t>
      </w:r>
      <w:r w:rsidR="00DE1A3D" w:rsidRPr="002A5734">
        <w:t xml:space="preserve"> and 82.4% of </w:t>
      </w:r>
      <w:r w:rsidR="00B408D3" w:rsidRPr="002A5734">
        <w:t xml:space="preserve">IgG-positive females had a history of </w:t>
      </w:r>
      <w:r w:rsidR="00AD4231" w:rsidRPr="002A5734">
        <w:t xml:space="preserve">one to </w:t>
      </w:r>
      <w:commentRangeStart w:id="41"/>
      <w:r w:rsidR="00B408D3" w:rsidRPr="002A5734">
        <w:t>threes</w:t>
      </w:r>
      <w:r w:rsidR="007E51BB" w:rsidRPr="002A5734">
        <w:t>tillbirth</w:t>
      </w:r>
      <w:commentRangeEnd w:id="41"/>
      <w:r w:rsidR="009F4214">
        <w:rPr>
          <w:rStyle w:val="CommentReference"/>
        </w:rPr>
        <w:commentReference w:id="41"/>
      </w:r>
      <w:r w:rsidR="007E51BB" w:rsidRPr="002A5734">
        <w:t>.</w:t>
      </w:r>
    </w:p>
    <w:p w:rsidR="000C7CB1" w:rsidRPr="002A5734" w:rsidRDefault="004B7D61" w:rsidP="00B23363">
      <w:pPr>
        <w:bidi w:val="0"/>
        <w:ind w:right="-19"/>
        <w:jc w:val="both"/>
      </w:pPr>
      <w:r w:rsidRPr="002A5734">
        <w:t xml:space="preserve">However, </w:t>
      </w:r>
      <w:r w:rsidR="00EA3097" w:rsidRPr="002A5734">
        <w:t xml:space="preserve">the result in this study revealed that 73.5% of females </w:t>
      </w:r>
      <w:r w:rsidR="00082DB6" w:rsidRPr="002A5734">
        <w:t xml:space="preserve">IgG-positive </w:t>
      </w:r>
      <w:r w:rsidR="00EA3097" w:rsidRPr="002A5734">
        <w:t xml:space="preserve">had </w:t>
      </w:r>
      <w:r w:rsidR="00A67868" w:rsidRPr="002A5734">
        <w:t xml:space="preserve">a </w:t>
      </w:r>
      <w:r w:rsidR="00EA3097" w:rsidRPr="002A5734">
        <w:t xml:space="preserve">family history for rubella infection and </w:t>
      </w:r>
      <w:r w:rsidR="006846BE" w:rsidRPr="002A5734">
        <w:t xml:space="preserve">72.9% of </w:t>
      </w:r>
      <w:r w:rsidR="00082DB6" w:rsidRPr="002A5734">
        <w:t xml:space="preserve">IgG-positive </w:t>
      </w:r>
      <w:r w:rsidR="006846BE" w:rsidRPr="002A5734">
        <w:t xml:space="preserve">females had no family history for rubella </w:t>
      </w:r>
      <w:r w:rsidR="00D161C2" w:rsidRPr="002A5734">
        <w:t>infection. It</w:t>
      </w:r>
      <w:r w:rsidR="000C7CB1" w:rsidRPr="002A5734">
        <w:t xml:space="preserve"> is noticed </w:t>
      </w:r>
      <w:r w:rsidR="00A73DD6" w:rsidRPr="002A5734">
        <w:t>from this result that, there were</w:t>
      </w:r>
      <w:r w:rsidR="000C7CB1" w:rsidRPr="002A5734">
        <w:t xml:space="preserve"> no</w:t>
      </w:r>
      <w:r w:rsidR="000C7CB1" w:rsidRPr="005B66B4">
        <w:rPr>
          <w:strike/>
          <w:color w:val="FF0000"/>
        </w:rPr>
        <w:t>great</w:t>
      </w:r>
      <w:r w:rsidR="005B66B4" w:rsidRPr="005B66B4">
        <w:rPr>
          <w:color w:val="00B0F0"/>
        </w:rPr>
        <w:t xml:space="preserve">statistically significant </w:t>
      </w:r>
      <w:r w:rsidR="000C7CB1" w:rsidRPr="002A5734">
        <w:t xml:space="preserve">differences between the families </w:t>
      </w:r>
      <w:commentRangeEnd w:id="37"/>
      <w:r w:rsidR="00F22EDE">
        <w:rPr>
          <w:rStyle w:val="CommentReference"/>
        </w:rPr>
        <w:commentReference w:id="37"/>
      </w:r>
      <w:r w:rsidR="000C7CB1" w:rsidRPr="002A5734">
        <w:t xml:space="preserve">with history for rubella and the families without rubella, indicating that previous history for rubella does not </w:t>
      </w:r>
      <w:r w:rsidR="005B66B4">
        <w:t xml:space="preserve">(somehow) </w:t>
      </w:r>
      <w:r w:rsidR="000C7CB1" w:rsidRPr="002A5734">
        <w:t xml:space="preserve">influence </w:t>
      </w:r>
      <w:r w:rsidR="000C7CB1" w:rsidRPr="005B66B4">
        <w:rPr>
          <w:strike/>
          <w:color w:val="FF0000"/>
        </w:rPr>
        <w:t>in someh</w:t>
      </w:r>
      <w:r w:rsidR="00B23363" w:rsidRPr="005B66B4">
        <w:rPr>
          <w:strike/>
          <w:color w:val="FF0000"/>
        </w:rPr>
        <w:t>ow</w:t>
      </w:r>
      <w:r w:rsidR="00B23363" w:rsidRPr="002A5734">
        <w:t>the prevalence of infection.</w:t>
      </w:r>
    </w:p>
    <w:commentRangeEnd w:id="36"/>
    <w:p w:rsidR="00FA26D0" w:rsidRPr="002A5734" w:rsidRDefault="00462AFA" w:rsidP="006D69A8">
      <w:pPr>
        <w:bidi w:val="0"/>
        <w:ind w:right="42"/>
        <w:jc w:val="both"/>
      </w:pPr>
      <w:r>
        <w:rPr>
          <w:rStyle w:val="CommentReference"/>
        </w:rPr>
        <w:commentReference w:id="36"/>
      </w:r>
    </w:p>
    <w:p w:rsidR="00402BA1" w:rsidRPr="002A5734" w:rsidRDefault="00E87840" w:rsidP="00B23363">
      <w:pPr>
        <w:bidi w:val="0"/>
        <w:ind w:right="42"/>
        <w:jc w:val="both"/>
        <w:rPr>
          <w:b/>
          <w:bCs/>
        </w:rPr>
      </w:pPr>
      <w:commentRangeStart w:id="42"/>
      <w:r w:rsidRPr="002A5734">
        <w:rPr>
          <w:b/>
          <w:bCs/>
        </w:rPr>
        <w:t>CONC</w:t>
      </w:r>
      <w:r w:rsidR="00402BA1" w:rsidRPr="002A5734">
        <w:rPr>
          <w:b/>
          <w:bCs/>
        </w:rPr>
        <w:t>LUSION</w:t>
      </w:r>
    </w:p>
    <w:p w:rsidR="00BE408E" w:rsidRPr="002A5734" w:rsidRDefault="006D69A8" w:rsidP="00253872">
      <w:pPr>
        <w:bidi w:val="0"/>
        <w:ind w:right="42"/>
        <w:jc w:val="both"/>
      </w:pPr>
      <w:r w:rsidRPr="002A5734">
        <w:t>The high preval</w:t>
      </w:r>
      <w:r w:rsidR="00E96C01" w:rsidRPr="002A5734">
        <w:t xml:space="preserve">ence of rubellaIgG antibody among </w:t>
      </w:r>
      <w:r w:rsidR="00510713" w:rsidRPr="002A5734">
        <w:t xml:space="preserve">enrolled </w:t>
      </w:r>
      <w:r w:rsidR="00E96C01" w:rsidRPr="002A5734">
        <w:t>fe</w:t>
      </w:r>
      <w:r w:rsidR="00870C72" w:rsidRPr="002A5734">
        <w:t xml:space="preserve">males </w:t>
      </w:r>
      <w:r w:rsidR="00510713" w:rsidRPr="002A5734">
        <w:t>indicate</w:t>
      </w:r>
      <w:r w:rsidR="00E930B0" w:rsidRPr="002A5734">
        <w:t>s</w:t>
      </w:r>
      <w:r w:rsidR="00510713" w:rsidRPr="002A5734">
        <w:t xml:space="preserve"> that they had immunity against rubella virus</w:t>
      </w:r>
      <w:r w:rsidR="00B8568D" w:rsidRPr="002A5734">
        <w:t xml:space="preserve">. </w:t>
      </w:r>
      <w:r w:rsidR="005B66B4" w:rsidRPr="002A5734">
        <w:t>But</w:t>
      </w:r>
      <w:r w:rsidR="00B8568D" w:rsidRPr="002A5734">
        <w:t xml:space="preserve"> there are about </w:t>
      </w:r>
      <w:r w:rsidR="00E930B0" w:rsidRPr="002A5734">
        <w:t xml:space="preserve">a </w:t>
      </w:r>
      <w:r w:rsidR="00B8568D" w:rsidRPr="002A5734">
        <w:t xml:space="preserve">quarter of assayed </w:t>
      </w:r>
      <w:r w:rsidR="007E5BDE" w:rsidRPr="002A5734">
        <w:t xml:space="preserve">females remain </w:t>
      </w:r>
      <w:r w:rsidR="0051068E" w:rsidRPr="002A5734">
        <w:t>susceptible to rubella virus infection</w:t>
      </w:r>
      <w:r w:rsidR="00E930B0" w:rsidRPr="002A5734">
        <w:t xml:space="preserve"> and cause</w:t>
      </w:r>
      <w:r w:rsidR="00DC6ADE" w:rsidRPr="002A5734">
        <w:t xml:space="preserve"> the complications antenatal</w:t>
      </w:r>
      <w:r w:rsidR="00DB6A22" w:rsidRPr="002A5734">
        <w:t xml:space="preserve"> during </w:t>
      </w:r>
      <w:r w:rsidR="00D161C2" w:rsidRPr="002A5734">
        <w:t>development resulting</w:t>
      </w:r>
      <w:r w:rsidR="00DB6A22" w:rsidRPr="002A5734">
        <w:t xml:space="preserve"> in </w:t>
      </w:r>
      <w:r w:rsidR="00DB6A22" w:rsidRPr="005B66B4">
        <w:rPr>
          <w:color w:val="FF0000"/>
        </w:rPr>
        <w:t>CR</w:t>
      </w:r>
      <w:r w:rsidR="0071696F" w:rsidRPr="005B66B4">
        <w:rPr>
          <w:color w:val="FF0000"/>
        </w:rPr>
        <w:t>S</w:t>
      </w:r>
      <w:r w:rsidR="0051068E" w:rsidRPr="002A5734">
        <w:t>.</w:t>
      </w:r>
      <w:r w:rsidR="0071696F" w:rsidRPr="002A5734">
        <w:t xml:space="preserve"> Therefore, </w:t>
      </w:r>
      <w:r w:rsidR="00EE268B" w:rsidRPr="002A5734">
        <w:t xml:space="preserve">all females should be vaccinated early </w:t>
      </w:r>
      <w:r w:rsidR="00BE408E" w:rsidRPr="002A5734">
        <w:t xml:space="preserve">for reducing the risk </w:t>
      </w:r>
      <w:commentRangeEnd w:id="42"/>
      <w:r w:rsidR="00F22EDE">
        <w:rPr>
          <w:rStyle w:val="CommentReference"/>
        </w:rPr>
        <w:commentReference w:id="42"/>
      </w:r>
      <w:r w:rsidR="00BE408E" w:rsidRPr="002A5734">
        <w:t>of rubella</w:t>
      </w:r>
      <w:r w:rsidR="00D161C2" w:rsidRPr="002A5734">
        <w:t>virus infection</w:t>
      </w:r>
      <w:r w:rsidR="00253872" w:rsidRPr="002A5734">
        <w:t xml:space="preserve"> during pregnancy stage </w:t>
      </w:r>
      <w:r w:rsidR="00BE408E" w:rsidRPr="002A5734">
        <w:t>and CRS in infants</w:t>
      </w:r>
      <w:r w:rsidR="00253872" w:rsidRPr="002A5734">
        <w:t>.</w:t>
      </w:r>
    </w:p>
    <w:p w:rsidR="00A92356" w:rsidRPr="002A5734" w:rsidRDefault="00A92356" w:rsidP="00A92356">
      <w:pPr>
        <w:bidi w:val="0"/>
        <w:ind w:right="42"/>
        <w:jc w:val="both"/>
      </w:pPr>
    </w:p>
    <w:p w:rsidR="00050164" w:rsidRPr="002A5734" w:rsidRDefault="00050164" w:rsidP="00050164">
      <w:pPr>
        <w:bidi w:val="0"/>
        <w:ind w:right="42"/>
        <w:jc w:val="both"/>
        <w:rPr>
          <w:b/>
          <w:bCs/>
        </w:rPr>
      </w:pPr>
      <w:r w:rsidRPr="002A5734">
        <w:rPr>
          <w:b/>
          <w:bCs/>
        </w:rPr>
        <w:t xml:space="preserve">ACKNOWLEDGMENTS </w:t>
      </w:r>
    </w:p>
    <w:p w:rsidR="00C8232A" w:rsidRPr="002A5734" w:rsidRDefault="00886401" w:rsidP="00C8232A">
      <w:pPr>
        <w:bidi w:val="0"/>
        <w:ind w:right="42"/>
        <w:jc w:val="both"/>
      </w:pPr>
      <w:r w:rsidRPr="002A5734">
        <w:t xml:space="preserve">The author forwards special thanks to </w:t>
      </w:r>
      <w:r w:rsidR="00E930B0" w:rsidRPr="002A5734">
        <w:t xml:space="preserve">the </w:t>
      </w:r>
      <w:r w:rsidR="00511F18" w:rsidRPr="002A5734">
        <w:t xml:space="preserve">Health and Education Offices </w:t>
      </w:r>
      <w:r w:rsidR="00C8232A" w:rsidRPr="002A5734">
        <w:t>of the governorate</w:t>
      </w:r>
      <w:r w:rsidR="00511F18" w:rsidRPr="002A5734">
        <w:t xml:space="preserve"> of Al-Mahweet</w:t>
      </w:r>
      <w:r w:rsidR="00C8232A" w:rsidRPr="002A5734">
        <w:t>for their invaluable help and coordination</w:t>
      </w:r>
      <w:r w:rsidR="00DD795B" w:rsidRPr="002A5734">
        <w:t>.</w:t>
      </w:r>
    </w:p>
    <w:p w:rsidR="00DD795B" w:rsidRPr="002A5734" w:rsidRDefault="00DD795B" w:rsidP="00EE3D14">
      <w:pPr>
        <w:bidi w:val="0"/>
        <w:ind w:right="42"/>
        <w:jc w:val="both"/>
      </w:pPr>
    </w:p>
    <w:p w:rsidR="00DD795B" w:rsidRPr="002A5734" w:rsidRDefault="00DD795B" w:rsidP="00DD795B">
      <w:pPr>
        <w:bidi w:val="0"/>
        <w:spacing w:line="276" w:lineRule="auto"/>
        <w:ind w:right="42"/>
        <w:jc w:val="both"/>
        <w:rPr>
          <w:b/>
          <w:bCs/>
        </w:rPr>
      </w:pPr>
      <w:r w:rsidRPr="002A5734">
        <w:rPr>
          <w:b/>
          <w:bCs/>
        </w:rPr>
        <w:t xml:space="preserve">AUTHOR’S CONTRIBUTION </w:t>
      </w:r>
    </w:p>
    <w:p w:rsidR="00DD795B" w:rsidRPr="002A5734" w:rsidRDefault="00DD795B" w:rsidP="00DD795B">
      <w:pPr>
        <w:bidi w:val="0"/>
        <w:ind w:right="42"/>
        <w:jc w:val="both"/>
      </w:pPr>
      <w:r w:rsidRPr="002A5734">
        <w:t xml:space="preserve">The manuscript was carried out, written, and approved in collaboration with all authors. </w:t>
      </w:r>
    </w:p>
    <w:p w:rsidR="00DD795B" w:rsidRPr="002A5734" w:rsidRDefault="00DD795B" w:rsidP="00DD795B">
      <w:pPr>
        <w:bidi w:val="0"/>
        <w:ind w:right="42"/>
        <w:jc w:val="both"/>
        <w:rPr>
          <w:rtl/>
        </w:rPr>
      </w:pPr>
    </w:p>
    <w:p w:rsidR="00DD795B" w:rsidRPr="002A5734" w:rsidRDefault="00DD795B" w:rsidP="00DD795B">
      <w:pPr>
        <w:bidi w:val="0"/>
        <w:spacing w:line="276" w:lineRule="auto"/>
        <w:ind w:right="42"/>
        <w:jc w:val="both"/>
        <w:rPr>
          <w:b/>
          <w:bCs/>
        </w:rPr>
      </w:pPr>
      <w:r w:rsidRPr="002A5734">
        <w:rPr>
          <w:b/>
          <w:bCs/>
        </w:rPr>
        <w:t xml:space="preserve">CONFLICT OF INTEREST   </w:t>
      </w:r>
    </w:p>
    <w:p w:rsidR="00050164" w:rsidRPr="002A5734" w:rsidRDefault="00DD795B" w:rsidP="00DD795B">
      <w:pPr>
        <w:bidi w:val="0"/>
        <w:ind w:right="42"/>
        <w:jc w:val="both"/>
      </w:pPr>
      <w:r w:rsidRPr="002A5734">
        <w:t>No conflict of interest associated with this work.</w:t>
      </w:r>
      <w:r w:rsidR="008F5701">
        <w:t xml:space="preserve"> </w:t>
      </w:r>
    </w:p>
    <w:p w:rsidR="00EE3D14" w:rsidRPr="002A5734" w:rsidRDefault="00EE3D14" w:rsidP="00EE3D14">
      <w:pPr>
        <w:bidi w:val="0"/>
        <w:ind w:right="42"/>
        <w:jc w:val="both"/>
      </w:pPr>
    </w:p>
    <w:p w:rsidR="00402BA1" w:rsidRPr="002A5734" w:rsidRDefault="00402BA1" w:rsidP="00CE5F32">
      <w:pPr>
        <w:bidi w:val="0"/>
        <w:spacing w:line="276" w:lineRule="auto"/>
        <w:ind w:right="42"/>
        <w:jc w:val="both"/>
        <w:rPr>
          <w:b/>
          <w:bCs/>
        </w:rPr>
      </w:pPr>
      <w:commentRangeStart w:id="43"/>
      <w:r w:rsidRPr="002A5734">
        <w:rPr>
          <w:b/>
          <w:bCs/>
        </w:rPr>
        <w:t>REFERENCES</w:t>
      </w:r>
      <w:commentRangeEnd w:id="43"/>
      <w:r w:rsidR="008F5701">
        <w:rPr>
          <w:rStyle w:val="CommentReference"/>
        </w:rPr>
        <w:commentReference w:id="43"/>
      </w:r>
    </w:p>
    <w:p w:rsidR="00C53C9F" w:rsidRPr="002A5734" w:rsidRDefault="00A7166A" w:rsidP="00035BEF">
      <w:pPr>
        <w:pStyle w:val="NoSpacing"/>
        <w:numPr>
          <w:ilvl w:val="0"/>
          <w:numId w:val="8"/>
        </w:numPr>
        <w:bidi w:val="0"/>
        <w:jc w:val="both"/>
      </w:pPr>
      <w:r w:rsidRPr="002A5734">
        <w:t>Bauman WR, Cosby</w:t>
      </w:r>
      <w:r w:rsidR="00FF3CB9" w:rsidRPr="002A5734">
        <w:t xml:space="preserve"> DC, Fulks J, Lammert MJ</w:t>
      </w:r>
      <w:r w:rsidRPr="002A5734">
        <w:t>. Microbiology wi</w:t>
      </w:r>
      <w:r w:rsidR="00FF3CB9" w:rsidRPr="002A5734">
        <w:t>th diseases by body system. 4</w:t>
      </w:r>
      <w:r w:rsidRPr="002A5734">
        <w:rPr>
          <w:vertAlign w:val="superscript"/>
        </w:rPr>
        <w:t>th</w:t>
      </w:r>
      <w:r w:rsidR="00FF3CB9" w:rsidRPr="002A5734">
        <w:t xml:space="preserve"> ed</w:t>
      </w:r>
      <w:r w:rsidRPr="002A5734">
        <w:t xml:space="preserve">.  2009 Pearson Education, New York, US. </w:t>
      </w:r>
      <w:r w:rsidR="00FF3CB9" w:rsidRPr="002A5734">
        <w:t xml:space="preserve">2019; </w:t>
      </w:r>
      <w:r w:rsidRPr="002A5734">
        <w:t>582-583.</w:t>
      </w:r>
    </w:p>
    <w:p w:rsidR="00186D7F" w:rsidRPr="002A5734" w:rsidRDefault="00C53C9F" w:rsidP="00035BEF">
      <w:pPr>
        <w:pStyle w:val="NoSpacing"/>
        <w:numPr>
          <w:ilvl w:val="0"/>
          <w:numId w:val="8"/>
        </w:numPr>
        <w:bidi w:val="0"/>
        <w:jc w:val="both"/>
      </w:pPr>
      <w:r w:rsidRPr="002A5734">
        <w:t xml:space="preserve">Mounerou S, Maléwé K, Anoumou DY, Sami N, Kofﬁ A, </w:t>
      </w:r>
      <w:r w:rsidR="008C7131" w:rsidRPr="002A5734">
        <w:t>Mir</w:t>
      </w:r>
      <w:r w:rsidRPr="002A5734">
        <w:t>eille P. Seroprevalence</w:t>
      </w:r>
      <w:r w:rsidR="008C7131" w:rsidRPr="002A5734">
        <w:t xml:space="preserve"> of</w:t>
      </w:r>
      <w:r w:rsidRPr="002A5734">
        <w:t xml:space="preserve"> rubella IgG antibody among</w:t>
      </w:r>
      <w:r w:rsidR="008C7131" w:rsidRPr="002A5734">
        <w:t xml:space="preserve"> pregna</w:t>
      </w:r>
      <w:r w:rsidRPr="002A5734">
        <w:t>nt women attending antenatal clinic</w:t>
      </w:r>
      <w:r w:rsidR="008C7131" w:rsidRPr="002A5734">
        <w:t>in</w:t>
      </w:r>
      <w:r w:rsidRPr="002A5734">
        <w:t>Lomé,</w:t>
      </w:r>
      <w:r w:rsidR="008C7131" w:rsidRPr="002A5734">
        <w:t xml:space="preserve"> Togo.</w:t>
      </w:r>
      <w:r w:rsidRPr="002A5734">
        <w:t xml:space="preserve"> Am J Infect Dis Microbiol</w:t>
      </w:r>
      <w:r w:rsidR="008C7131" w:rsidRPr="002A5734">
        <w:t xml:space="preserve"> 2015;3(4):134–</w:t>
      </w:r>
      <w:r w:rsidRPr="002A5734">
        <w:t>13</w:t>
      </w:r>
      <w:r w:rsidR="008C7131" w:rsidRPr="002A5734">
        <w:t>6.</w:t>
      </w:r>
      <w:r w:rsidR="00635EEC" w:rsidRPr="002A5734">
        <w:t xml:space="preserve"> </w:t>
      </w:r>
      <w:commentRangeStart w:id="44"/>
      <w:r w:rsidR="00635EEC" w:rsidRPr="002A5734">
        <w:t>DOI:10.12691/ajidm-3-4-3</w:t>
      </w:r>
      <w:commentRangeEnd w:id="44"/>
      <w:r w:rsidR="008F5701">
        <w:rPr>
          <w:rStyle w:val="CommentReference"/>
        </w:rPr>
        <w:commentReference w:id="44"/>
      </w:r>
    </w:p>
    <w:p w:rsidR="00186D7F" w:rsidRPr="002A5734" w:rsidRDefault="00186D7F" w:rsidP="00035BEF">
      <w:pPr>
        <w:pStyle w:val="NoSpacing"/>
        <w:numPr>
          <w:ilvl w:val="0"/>
          <w:numId w:val="8"/>
        </w:numPr>
        <w:bidi w:val="0"/>
        <w:jc w:val="both"/>
      </w:pPr>
      <w:r w:rsidRPr="002A5734">
        <w:t>Al-Rubai B, Aboud M, Hamza W. Evaluation of anti-rubella antibodies among childbearing age women in Babylon Governorate. Med J Babylon 2010;7:2.</w:t>
      </w:r>
    </w:p>
    <w:p w:rsidR="008E7C0B" w:rsidRPr="002A5734" w:rsidRDefault="00186D7F" w:rsidP="00035BEF">
      <w:pPr>
        <w:pStyle w:val="NoSpacing"/>
        <w:numPr>
          <w:ilvl w:val="0"/>
          <w:numId w:val="8"/>
        </w:numPr>
        <w:bidi w:val="0"/>
        <w:jc w:val="both"/>
      </w:pPr>
      <w:r w:rsidRPr="002A5734">
        <w:t xml:space="preserve">Lezan MM. Prevalence of rubella virus in pregnant women in Kirkuk City-Iraq. KirkutUniv J Sci Stud </w:t>
      </w:r>
      <w:commentRangeStart w:id="45"/>
      <w:r w:rsidRPr="002A5734">
        <w:t>2015</w:t>
      </w:r>
      <w:commentRangeEnd w:id="45"/>
      <w:r w:rsidR="008F5701">
        <w:rPr>
          <w:rStyle w:val="CommentReference"/>
        </w:rPr>
        <w:commentReference w:id="45"/>
      </w:r>
      <w:r w:rsidRPr="002A5734">
        <w:t>;10(1):47–57.</w:t>
      </w:r>
    </w:p>
    <w:p w:rsidR="00690B42" w:rsidRPr="002A5734" w:rsidRDefault="00A1792C" w:rsidP="00035BEF">
      <w:pPr>
        <w:pStyle w:val="NoSpacing"/>
        <w:numPr>
          <w:ilvl w:val="0"/>
          <w:numId w:val="8"/>
        </w:numPr>
        <w:bidi w:val="0"/>
        <w:jc w:val="both"/>
      </w:pPr>
      <w:r w:rsidRPr="002A5734">
        <w:t>Centers for Disease Control and Prevention (CDC). Elimination of rubella an</w:t>
      </w:r>
      <w:r w:rsidR="00C71DE6" w:rsidRPr="002A5734">
        <w:t>d congenital rubella syndrome-</w:t>
      </w:r>
      <w:r w:rsidRPr="002A5734">
        <w:t>United States, 1969-2004. MMWR Mo</w:t>
      </w:r>
      <w:r w:rsidR="000B20E4" w:rsidRPr="002A5734">
        <w:t xml:space="preserve">rb Mortal Wkly Rep 2005; </w:t>
      </w:r>
      <w:r w:rsidRPr="002A5734">
        <w:t>54(11):279-</w:t>
      </w:r>
      <w:r w:rsidR="00960864" w:rsidRPr="002A5734">
        <w:t>2</w:t>
      </w:r>
      <w:r w:rsidRPr="002A5734">
        <w:t>82.</w:t>
      </w:r>
    </w:p>
    <w:p w:rsidR="00690B42" w:rsidRPr="002A5734" w:rsidRDefault="00690B42" w:rsidP="00035BEF">
      <w:pPr>
        <w:pStyle w:val="NoSpacing"/>
        <w:numPr>
          <w:ilvl w:val="0"/>
          <w:numId w:val="8"/>
        </w:numPr>
        <w:bidi w:val="0"/>
        <w:jc w:val="both"/>
      </w:pPr>
      <w:r w:rsidRPr="002A5734">
        <w:t>World Health Organization (WHO).</w:t>
      </w:r>
      <w:r w:rsidR="00EB3C0C" w:rsidRPr="002A5734">
        <w:t xml:space="preserve"> Status report on progress towards measles and rubella elimination SAGE working group on measles and r</w:t>
      </w:r>
      <w:r w:rsidR="00960864" w:rsidRPr="002A5734">
        <w:t>ubella (22 October 2012) 2012</w:t>
      </w:r>
      <w:r w:rsidRPr="002A5734">
        <w:t xml:space="preserve"> [Available from: </w:t>
      </w:r>
      <w:hyperlink r:id="rId11" w:history="1">
        <w:r w:rsidRPr="002A5734">
          <w:rPr>
            <w:rStyle w:val="Hyperlink"/>
          </w:rPr>
          <w:t>https://www.who.int/immunization/sage/meetings/2012/november/1_Status_Report_Measles_Rubella_22_Oct.pdf</w:t>
        </w:r>
      </w:hyperlink>
    </w:p>
    <w:p w:rsidR="00286416" w:rsidRPr="002A5734" w:rsidRDefault="00286416" w:rsidP="00035BEF">
      <w:pPr>
        <w:pStyle w:val="NoSpacing"/>
        <w:numPr>
          <w:ilvl w:val="0"/>
          <w:numId w:val="8"/>
        </w:numPr>
        <w:bidi w:val="0"/>
        <w:jc w:val="both"/>
        <w:rPr>
          <w:color w:val="FF0000"/>
        </w:rPr>
      </w:pPr>
      <w:r w:rsidRPr="002A5734">
        <w:t xml:space="preserve">World Health Organization (WHO). </w:t>
      </w:r>
      <w:r w:rsidR="00BC1675" w:rsidRPr="002A5734">
        <w:t>Global measles and rubella: S</w:t>
      </w:r>
      <w:r w:rsidRPr="002A5734">
        <w:t>trategic plan 2012-202</w:t>
      </w:r>
      <w:r w:rsidR="00960864" w:rsidRPr="002A5734">
        <w:t>0 [Internet]. Geneva: WHO; 2012</w:t>
      </w:r>
      <w:r w:rsidRPr="002A5734">
        <w:t xml:space="preserve">. Available from: </w:t>
      </w:r>
      <w:hyperlink r:id="rId12" w:history="1">
        <w:r w:rsidRPr="002A5734">
          <w:rPr>
            <w:rStyle w:val="Hyperlink"/>
          </w:rPr>
          <w:t>http://www.who.int/immunization/newsroom/Measles_Rubella_StrategicPlan_2012_2020.pdf</w:t>
        </w:r>
      </w:hyperlink>
    </w:p>
    <w:p w:rsidR="00B84A20" w:rsidRPr="002A5734" w:rsidRDefault="00B84A20" w:rsidP="00035BEF">
      <w:pPr>
        <w:pStyle w:val="ListParagraph"/>
        <w:numPr>
          <w:ilvl w:val="0"/>
          <w:numId w:val="8"/>
        </w:numPr>
        <w:bidi w:val="0"/>
        <w:jc w:val="both"/>
      </w:pPr>
      <w:r w:rsidRPr="002A5734">
        <w:t>Sallam TA, Al-Jaufy AY, Al-Shaiban</w:t>
      </w:r>
      <w:r w:rsidR="00960864" w:rsidRPr="002A5734">
        <w:t>y KS, Bin Ghauth A, Best JM</w:t>
      </w:r>
      <w:r w:rsidRPr="002A5734">
        <w:t>. Prevalence of antibodies to measles and rubella in S</w:t>
      </w:r>
      <w:r w:rsidR="00960864" w:rsidRPr="002A5734">
        <w:t>ana’a, Yemen. Vaccine 2006; 24:</w:t>
      </w:r>
      <w:r w:rsidRPr="002A5734">
        <w:t xml:space="preserve"> 6304–6308. doi:10.1016/j.vaccine.2006.05.083 </w:t>
      </w:r>
    </w:p>
    <w:p w:rsidR="00561BBC" w:rsidRPr="002A5734" w:rsidRDefault="0024099C" w:rsidP="0025628F">
      <w:pPr>
        <w:pStyle w:val="ListParagraph"/>
        <w:numPr>
          <w:ilvl w:val="0"/>
          <w:numId w:val="8"/>
        </w:numPr>
        <w:bidi w:val="0"/>
        <w:ind w:right="42"/>
        <w:jc w:val="both"/>
      </w:pPr>
      <w:r w:rsidRPr="002A5734">
        <w:t>Alsibiani AS</w:t>
      </w:r>
      <w:r w:rsidR="00561BBC" w:rsidRPr="002A5734">
        <w:t>.</w:t>
      </w:r>
      <w:r w:rsidR="00AE49A5" w:rsidRPr="002A5734">
        <w:t xml:space="preserve"> Rubella immunity among pregnant women in Jeddah, Western r</w:t>
      </w:r>
      <w:r w:rsidR="00561BBC" w:rsidRPr="002A5734">
        <w:t>egion of Saudi Arabia. Obstetri</w:t>
      </w:r>
      <w:r w:rsidRPr="002A5734">
        <w:t>cs and Gynecology International 2014.</w:t>
      </w:r>
      <w:hyperlink r:id="rId13" w:history="1">
        <w:r w:rsidR="00FF0D07" w:rsidRPr="002A5734">
          <w:rPr>
            <w:rStyle w:val="Hyperlink"/>
          </w:rPr>
          <w:t>https://doi.org/10.1155/2014/659838</w:t>
        </w:r>
      </w:hyperlink>
    </w:p>
    <w:p w:rsidR="001819F3" w:rsidRPr="002A5734" w:rsidRDefault="00E45035" w:rsidP="00C01DD3">
      <w:pPr>
        <w:pStyle w:val="ListParagraph"/>
        <w:numPr>
          <w:ilvl w:val="0"/>
          <w:numId w:val="8"/>
        </w:numPr>
        <w:tabs>
          <w:tab w:val="left" w:pos="851"/>
        </w:tabs>
        <w:bidi w:val="0"/>
        <w:ind w:right="42"/>
        <w:jc w:val="both"/>
      </w:pPr>
      <w:r w:rsidRPr="002A5734">
        <w:t xml:space="preserve">Ganjooie TA, Mohammadi MM. </w:t>
      </w:r>
      <w:r w:rsidR="001819F3" w:rsidRPr="002A5734">
        <w:t>The prevalence of antibodies against rubella in pregnant women in Kerman, Iran</w:t>
      </w:r>
      <w:r w:rsidRPr="002A5734">
        <w:t>. Saudi Med J 2003;24:1270–1271.</w:t>
      </w:r>
      <w:r w:rsidR="001819F3" w:rsidRPr="002A5734">
        <w:rPr>
          <w:rFonts w:eastAsia="Times New Roman"/>
          <w:lang w:eastAsia="zh-CN"/>
        </w:rPr>
        <w:t>PMID: 14647572</w:t>
      </w:r>
    </w:p>
    <w:p w:rsidR="00DE28B3" w:rsidRPr="002A5734" w:rsidRDefault="00003FF5" w:rsidP="00C01DD3">
      <w:pPr>
        <w:pStyle w:val="ListParagraph"/>
        <w:numPr>
          <w:ilvl w:val="0"/>
          <w:numId w:val="8"/>
        </w:numPr>
        <w:tabs>
          <w:tab w:val="left" w:pos="851"/>
        </w:tabs>
        <w:bidi w:val="0"/>
        <w:ind w:right="42"/>
        <w:jc w:val="both"/>
        <w:rPr>
          <w:color w:val="FF0000"/>
        </w:rPr>
      </w:pPr>
      <w:r w:rsidRPr="002A5734">
        <w:t>Lawn JE, Reef S, Baffoe-Bonnie B, Adadevoh S, Caul EO, Grifﬁn GE. Unseen blindness, unheard deafness, and un</w:t>
      </w:r>
      <w:r w:rsidR="00AD1890" w:rsidRPr="002A5734">
        <w:t>recorded death and disability: C</w:t>
      </w:r>
      <w:r w:rsidRPr="002A5734">
        <w:t>ongenital rubella in Kumasi, Ghana. Am J Public Health 2000;90:1555–15561.</w:t>
      </w:r>
      <w:r w:rsidR="00DE28B3" w:rsidRPr="002A5734">
        <w:rPr>
          <w:color w:val="000000"/>
          <w:shd w:val="clear" w:color="auto" w:fill="FFFFFF"/>
        </w:rPr>
        <w:t>doi: </w:t>
      </w:r>
      <w:hyperlink r:id="rId14" w:tgtFrame="pmc_ext" w:history="1">
        <w:r w:rsidR="00DE28B3" w:rsidRPr="002A5734">
          <w:rPr>
            <w:rStyle w:val="Hyperlink"/>
            <w:color w:val="642A8F"/>
            <w:shd w:val="clear" w:color="auto" w:fill="FFFFFF"/>
          </w:rPr>
          <w:t>10.2105/ajph.90.10.1555</w:t>
        </w:r>
      </w:hyperlink>
    </w:p>
    <w:p w:rsidR="00DE28B3" w:rsidRPr="002A5734" w:rsidRDefault="00003FF5" w:rsidP="00C01DD3">
      <w:pPr>
        <w:pStyle w:val="ListParagraph"/>
        <w:numPr>
          <w:ilvl w:val="0"/>
          <w:numId w:val="8"/>
        </w:numPr>
        <w:tabs>
          <w:tab w:val="left" w:pos="851"/>
        </w:tabs>
        <w:bidi w:val="0"/>
        <w:ind w:right="42"/>
        <w:jc w:val="both"/>
        <w:rPr>
          <w:color w:val="FF0000"/>
        </w:rPr>
      </w:pPr>
      <w:r w:rsidRPr="002A5734">
        <w:t xml:space="preserve">Cutts FT, Abebe A, Messele T, Dejene A, Enquselassie F, Nigatu W, </w:t>
      </w:r>
      <w:r w:rsidRPr="002A5734">
        <w:rPr>
          <w:i/>
          <w:iCs/>
        </w:rPr>
        <w:t>et al</w:t>
      </w:r>
      <w:r w:rsidRPr="002A5734">
        <w:t>. Sero-epidemiology of rubella in the urban population of Addis Ababa, Ethiopia. Epidemiol Infect 2000;124:467–479.</w:t>
      </w:r>
      <w:r w:rsidR="00DE28B3" w:rsidRPr="002A5734">
        <w:rPr>
          <w:rStyle w:val="id-label"/>
          <w:color w:val="212121"/>
        </w:rPr>
        <w:t>DOI: </w:t>
      </w:r>
      <w:hyperlink r:id="rId15" w:tgtFrame="_blank" w:history="1">
        <w:r w:rsidR="00DE28B3" w:rsidRPr="002A5734">
          <w:rPr>
            <w:rStyle w:val="Hyperlink"/>
            <w:color w:val="0071BC"/>
          </w:rPr>
          <w:t>10.1017/s0950268899003532</w:t>
        </w:r>
      </w:hyperlink>
    </w:p>
    <w:p w:rsidR="003428F6" w:rsidRPr="002A5734" w:rsidRDefault="006514F7" w:rsidP="00C01DD3">
      <w:pPr>
        <w:pStyle w:val="ListParagraph"/>
        <w:numPr>
          <w:ilvl w:val="0"/>
          <w:numId w:val="8"/>
        </w:numPr>
        <w:tabs>
          <w:tab w:val="left" w:pos="851"/>
        </w:tabs>
        <w:bidi w:val="0"/>
        <w:ind w:right="42"/>
        <w:jc w:val="both"/>
      </w:pPr>
      <w:r w:rsidRPr="002A5734">
        <w:t>Almezgagi MM, Edrees WH, Al-Shehari WA, Al-Moyed K</w:t>
      </w:r>
      <w:r w:rsidR="003428F6" w:rsidRPr="002A5734">
        <w:t>, Al-</w:t>
      </w:r>
      <w:r w:rsidRPr="002A5734">
        <w:t>Khwlany RS, Abbas AB</w:t>
      </w:r>
      <w:r w:rsidR="00473E43" w:rsidRPr="002A5734">
        <w:t>. Prevalence of hepatitis B v</w:t>
      </w:r>
      <w:r w:rsidR="003428F6" w:rsidRPr="002A5734">
        <w:t xml:space="preserve">irus and </w:t>
      </w:r>
      <w:r w:rsidR="00473E43" w:rsidRPr="002A5734">
        <w:t>h</w:t>
      </w:r>
      <w:r w:rsidR="003428F6" w:rsidRPr="002A5734">
        <w:t>e</w:t>
      </w:r>
      <w:r w:rsidR="00473E43" w:rsidRPr="002A5734">
        <w:t>patitis C virus and associated risk factors among hemodialysis p</w:t>
      </w:r>
      <w:r w:rsidR="003428F6" w:rsidRPr="002A5734">
        <w:t>atients in</w:t>
      </w:r>
      <w:r w:rsidR="00473E43" w:rsidRPr="002A5734">
        <w:t>Ibb c</w:t>
      </w:r>
      <w:r w:rsidRPr="002A5734">
        <w:t xml:space="preserve">ity-Yemen. PSM Microbiol2020; </w:t>
      </w:r>
      <w:r w:rsidR="003428F6" w:rsidRPr="002A5734">
        <w:t>5(2): 32-40.</w:t>
      </w:r>
    </w:p>
    <w:p w:rsidR="003428F6" w:rsidRPr="002A5734" w:rsidRDefault="003428F6" w:rsidP="00C01DD3">
      <w:pPr>
        <w:pStyle w:val="ListParagraph"/>
        <w:numPr>
          <w:ilvl w:val="0"/>
          <w:numId w:val="8"/>
        </w:numPr>
        <w:tabs>
          <w:tab w:val="left" w:pos="851"/>
        </w:tabs>
        <w:bidi w:val="0"/>
        <w:ind w:right="42"/>
        <w:jc w:val="both"/>
      </w:pPr>
      <w:r w:rsidRPr="002A5734">
        <w:t>Sallam TA, Raja’a YA, Benbrake MS, Al-Shaibani KS, Al-hababi AA. Prevalence of rubella antibodies among schoolgirls in the city of Sana’a, Yemen. East Mediterr Health J 2003;9:148–151.</w:t>
      </w:r>
    </w:p>
    <w:p w:rsidR="003428F6" w:rsidRPr="002A5734" w:rsidRDefault="003428F6" w:rsidP="00C01DD3">
      <w:pPr>
        <w:pStyle w:val="ListParagraph"/>
        <w:numPr>
          <w:ilvl w:val="0"/>
          <w:numId w:val="8"/>
        </w:numPr>
        <w:tabs>
          <w:tab w:val="left" w:pos="851"/>
        </w:tabs>
        <w:bidi w:val="0"/>
        <w:ind w:right="42"/>
        <w:jc w:val="both"/>
      </w:pPr>
      <w:r w:rsidRPr="002A5734">
        <w:t>Al-Qadasi AR, Rukeimi AA, Shamahy AH, A</w:t>
      </w:r>
      <w:r w:rsidR="00E35557" w:rsidRPr="002A5734">
        <w:t>l-Jaufy YA, Al-Rukeimi AR</w:t>
      </w:r>
      <w:r w:rsidR="00387472" w:rsidRPr="002A5734">
        <w:t>. Association of Cytomegalo-virus and rubella virus i</w:t>
      </w:r>
      <w:r w:rsidRPr="002A5734">
        <w:t>nfections i</w:t>
      </w:r>
      <w:r w:rsidR="00387472" w:rsidRPr="002A5734">
        <w:t>n pregnant w</w:t>
      </w:r>
      <w:r w:rsidR="00E35557" w:rsidRPr="002A5734">
        <w:t>omen with bad o</w:t>
      </w:r>
      <w:r w:rsidR="00387472" w:rsidRPr="002A5734">
        <w:t>bstetric h</w:t>
      </w:r>
      <w:r w:rsidRPr="002A5734">
        <w:t>istory. World Journal</w:t>
      </w:r>
      <w:r w:rsidR="00E35557" w:rsidRPr="002A5734">
        <w:t xml:space="preserve"> of Gynecology and Women’s Health2019; </w:t>
      </w:r>
      <w:r w:rsidRPr="002A5734">
        <w:t>2(3):1-5.</w:t>
      </w:r>
      <w:hyperlink r:id="rId16" w:history="1">
        <w:r w:rsidR="00E827A0" w:rsidRPr="002A5734">
          <w:rPr>
            <w:rStyle w:val="Hyperlink"/>
            <w:color w:val="0071BC"/>
          </w:rPr>
          <w:t>DOI: 10.33552/WJGWH.2019.02.000538</w:t>
        </w:r>
      </w:hyperlink>
    </w:p>
    <w:p w:rsidR="00E827A0" w:rsidRPr="002A5734" w:rsidRDefault="00B543BE" w:rsidP="00C01DD3">
      <w:pPr>
        <w:pStyle w:val="ListParagraph"/>
        <w:numPr>
          <w:ilvl w:val="0"/>
          <w:numId w:val="8"/>
        </w:numPr>
        <w:tabs>
          <w:tab w:val="left" w:pos="851"/>
          <w:tab w:val="left" w:pos="6836"/>
          <w:tab w:val="right" w:pos="8306"/>
        </w:tabs>
        <w:bidi w:val="0"/>
        <w:ind w:right="84"/>
        <w:jc w:val="both"/>
        <w:rPr>
          <w:lang w:bidi="ar-YE"/>
        </w:rPr>
      </w:pPr>
      <w:r w:rsidRPr="002A5734">
        <w:t xml:space="preserve">Centers for Disease Control and Prevention </w:t>
      </w:r>
      <w:r w:rsidRPr="002A5734">
        <w:rPr>
          <w:lang w:bidi="ar-YE"/>
        </w:rPr>
        <w:t>(CDC). Health</w:t>
      </w:r>
      <w:r w:rsidR="00E35557" w:rsidRPr="002A5734">
        <w:rPr>
          <w:lang w:bidi="ar-YE"/>
        </w:rPr>
        <w:t xml:space="preserve"> information for international t</w:t>
      </w:r>
      <w:r w:rsidRPr="002A5734">
        <w:rPr>
          <w:lang w:bidi="ar-YE"/>
        </w:rPr>
        <w:t>ravel, Yellow Book. Prevention o</w:t>
      </w:r>
      <w:r w:rsidR="000234F7" w:rsidRPr="002A5734">
        <w:rPr>
          <w:lang w:bidi="ar-YE"/>
        </w:rPr>
        <w:t xml:space="preserve">f Specific Infectious Diseases </w:t>
      </w:r>
      <w:r w:rsidRPr="002A5734">
        <w:rPr>
          <w:lang w:bidi="ar-YE"/>
        </w:rPr>
        <w:t>2008;1-4.</w:t>
      </w:r>
    </w:p>
    <w:p w:rsidR="00E827A0" w:rsidRPr="002A5734" w:rsidRDefault="00B543BE" w:rsidP="00C01DD3">
      <w:pPr>
        <w:pStyle w:val="ListParagraph"/>
        <w:numPr>
          <w:ilvl w:val="0"/>
          <w:numId w:val="8"/>
        </w:numPr>
        <w:tabs>
          <w:tab w:val="left" w:pos="851"/>
          <w:tab w:val="left" w:pos="6836"/>
          <w:tab w:val="right" w:pos="8306"/>
        </w:tabs>
        <w:bidi w:val="0"/>
        <w:ind w:right="84"/>
        <w:jc w:val="both"/>
        <w:rPr>
          <w:color w:val="000000"/>
          <w:lang w:bidi="ar-YE"/>
        </w:rPr>
      </w:pPr>
      <w:r w:rsidRPr="002A5734">
        <w:rPr>
          <w:color w:val="000000"/>
        </w:rPr>
        <w:t>Wysokinska T, Janaszek W, BucholcB</w:t>
      </w:r>
      <w:r w:rsidR="000234F7" w:rsidRPr="002A5734">
        <w:rPr>
          <w:color w:val="000000"/>
        </w:rPr>
        <w:t>,</w:t>
      </w:r>
      <w:r w:rsidRPr="002A5734">
        <w:rPr>
          <w:i/>
          <w:iCs/>
          <w:color w:val="000000"/>
        </w:rPr>
        <w:t>et al</w:t>
      </w:r>
      <w:r w:rsidRPr="002A5734">
        <w:rPr>
          <w:color w:val="000000"/>
        </w:rPr>
        <w:t>. The prevalence of anti-rubella antibodies in women of childbearing age in Poland.Vaccine 2004</w:t>
      </w:r>
      <w:r w:rsidR="00636356" w:rsidRPr="002A5734">
        <w:rPr>
          <w:color w:val="000000"/>
        </w:rPr>
        <w:t>;</w:t>
      </w:r>
      <w:r w:rsidRPr="002A5734">
        <w:rPr>
          <w:color w:val="000000"/>
        </w:rPr>
        <w:t xml:space="preserve"> (22): 1899-1902.</w:t>
      </w:r>
      <w:r w:rsidR="00E827A0" w:rsidRPr="002A5734">
        <w:rPr>
          <w:rStyle w:val="id-label"/>
          <w:color w:val="212121"/>
        </w:rPr>
        <w:t xml:space="preserve"> DOI: </w:t>
      </w:r>
      <w:hyperlink r:id="rId17" w:tgtFrame="_blank" w:history="1">
        <w:r w:rsidR="00E827A0" w:rsidRPr="002A5734">
          <w:rPr>
            <w:rStyle w:val="Hyperlink"/>
            <w:color w:val="0071BC"/>
          </w:rPr>
          <w:t>10.1016/j.vaccine.2003.11.004</w:t>
        </w:r>
      </w:hyperlink>
    </w:p>
    <w:p w:rsidR="00EA5066" w:rsidRPr="002A5734" w:rsidRDefault="00636356" w:rsidP="00C01DD3">
      <w:pPr>
        <w:pStyle w:val="ListParagraph"/>
        <w:numPr>
          <w:ilvl w:val="0"/>
          <w:numId w:val="8"/>
        </w:numPr>
        <w:tabs>
          <w:tab w:val="left" w:pos="851"/>
          <w:tab w:val="left" w:pos="6836"/>
          <w:tab w:val="right" w:pos="8306"/>
        </w:tabs>
        <w:bidi w:val="0"/>
        <w:ind w:right="84"/>
        <w:jc w:val="both"/>
        <w:rPr>
          <w:color w:val="000000"/>
          <w:lang w:bidi="ar-YE"/>
        </w:rPr>
      </w:pPr>
      <w:r w:rsidRPr="002A5734">
        <w:rPr>
          <w:color w:val="000000"/>
          <w:lang w:bidi="ar-YE"/>
        </w:rPr>
        <w:t>Pehlivan E, Karaglu L, OzenM,</w:t>
      </w:r>
      <w:r w:rsidR="00EA5066" w:rsidRPr="002A5734">
        <w:rPr>
          <w:i/>
          <w:iCs/>
          <w:color w:val="000000"/>
          <w:lang w:bidi="ar-YE"/>
        </w:rPr>
        <w:t>et al</w:t>
      </w:r>
      <w:r w:rsidR="001F2A47" w:rsidRPr="002A5734">
        <w:rPr>
          <w:color w:val="000000"/>
          <w:lang w:bidi="ar-YE"/>
        </w:rPr>
        <w:t>.</w:t>
      </w:r>
      <w:r w:rsidR="00EA5066" w:rsidRPr="002A5734">
        <w:rPr>
          <w:color w:val="000000"/>
          <w:lang w:bidi="ar-YE"/>
        </w:rPr>
        <w:t xml:space="preserve"> Rubella seroprevalence in unvaccinated pregnant population in Malatya, Turkey. Public Health 2007</w:t>
      </w:r>
      <w:r w:rsidRPr="002A5734">
        <w:rPr>
          <w:color w:val="000000"/>
          <w:lang w:bidi="ar-YE"/>
        </w:rPr>
        <w:t>;</w:t>
      </w:r>
      <w:r w:rsidR="00EA5066" w:rsidRPr="002A5734">
        <w:rPr>
          <w:color w:val="000000"/>
          <w:lang w:bidi="ar-YE"/>
        </w:rPr>
        <w:t xml:space="preserve"> (121): 462-468. </w:t>
      </w:r>
      <w:hyperlink r:id="rId18" w:tgtFrame="_blank" w:tooltip="Persistent link using digital object identifier" w:history="1">
        <w:r w:rsidR="002869C4" w:rsidRPr="002A5734">
          <w:rPr>
            <w:rStyle w:val="Hyperlink"/>
            <w:color w:val="0C7DBB"/>
          </w:rPr>
          <w:t>https://doi.org/10.1016/j.puhe.2006.09.021</w:t>
        </w:r>
      </w:hyperlink>
    </w:p>
    <w:p w:rsidR="002869C4" w:rsidRPr="002A5734" w:rsidRDefault="00EA5066" w:rsidP="00C01DD3">
      <w:pPr>
        <w:pStyle w:val="ListParagraph"/>
        <w:numPr>
          <w:ilvl w:val="0"/>
          <w:numId w:val="8"/>
        </w:numPr>
        <w:tabs>
          <w:tab w:val="left" w:pos="851"/>
        </w:tabs>
        <w:autoSpaceDE w:val="0"/>
        <w:autoSpaceDN w:val="0"/>
        <w:bidi w:val="0"/>
        <w:adjustRightInd w:val="0"/>
        <w:ind w:right="-19"/>
        <w:jc w:val="both"/>
      </w:pPr>
      <w:r w:rsidRPr="002A5734">
        <w:lastRenderedPageBreak/>
        <w:t>Olajide MO, Am</w:t>
      </w:r>
      <w:r w:rsidR="00636356" w:rsidRPr="002A5734">
        <w:t>inu M, Randawa JA, Adejo SD</w:t>
      </w:r>
      <w:r w:rsidRPr="002A5734">
        <w:t>. Seroprevalence of rubella-specific IgM and IgG antibodies among pregnant women seen in a tertiary hospital in Nigeria. International Journal of Wom</w:t>
      </w:r>
      <w:r w:rsidR="00636356" w:rsidRPr="002A5734">
        <w:t>en’s Health 2015;</w:t>
      </w:r>
      <w:r w:rsidRPr="002A5734">
        <w:t xml:space="preserve"> 7: 75–83. </w:t>
      </w:r>
      <w:hyperlink r:id="rId19" w:history="1">
        <w:r w:rsidRPr="002A5734">
          <w:rPr>
            <w:rStyle w:val="Hyperlink"/>
          </w:rPr>
          <w:t>http://dx.doi.org/10.2147/IJWH.S68667</w:t>
        </w:r>
      </w:hyperlink>
    </w:p>
    <w:p w:rsidR="002869C4" w:rsidRPr="002A5734" w:rsidRDefault="00ED4EFE" w:rsidP="00C01DD3">
      <w:pPr>
        <w:pStyle w:val="ListParagraph"/>
        <w:numPr>
          <w:ilvl w:val="0"/>
          <w:numId w:val="8"/>
        </w:numPr>
        <w:tabs>
          <w:tab w:val="left" w:pos="851"/>
        </w:tabs>
        <w:autoSpaceDE w:val="0"/>
        <w:autoSpaceDN w:val="0"/>
        <w:bidi w:val="0"/>
        <w:adjustRightInd w:val="0"/>
        <w:ind w:right="-19"/>
        <w:jc w:val="both"/>
      </w:pPr>
      <w:r w:rsidRPr="002A5734">
        <w:t>Taneja DK, Sharma P. Targeting rubella for elimination. Indian J Public Health 2012;56(4):269–72.</w:t>
      </w:r>
      <w:r w:rsidR="002869C4" w:rsidRPr="002A5734">
        <w:rPr>
          <w:rStyle w:val="id-label"/>
          <w:color w:val="212121"/>
        </w:rPr>
        <w:t>DOI: </w:t>
      </w:r>
      <w:hyperlink r:id="rId20" w:tgtFrame="_blank" w:history="1">
        <w:r w:rsidR="002869C4" w:rsidRPr="002A5734">
          <w:rPr>
            <w:rStyle w:val="Hyperlink"/>
            <w:color w:val="0071BC"/>
          </w:rPr>
          <w:t>10.4103/0019-557X.106413</w:t>
        </w:r>
      </w:hyperlink>
    </w:p>
    <w:p w:rsidR="007D6E8B" w:rsidRPr="002A5734" w:rsidRDefault="00ED4EFE" w:rsidP="00C01DD3">
      <w:pPr>
        <w:pStyle w:val="ListParagraph"/>
        <w:numPr>
          <w:ilvl w:val="0"/>
          <w:numId w:val="8"/>
        </w:numPr>
        <w:tabs>
          <w:tab w:val="left" w:pos="851"/>
        </w:tabs>
        <w:bidi w:val="0"/>
        <w:jc w:val="both"/>
      </w:pPr>
      <w:r w:rsidRPr="002A5734">
        <w:t xml:space="preserve">Peter Lombardo. Dermatological manifestations </w:t>
      </w:r>
      <w:r w:rsidR="000179EB" w:rsidRPr="002A5734">
        <w:t>of rubella work up: Laboratory s</w:t>
      </w:r>
      <w:r w:rsidRPr="002A5734">
        <w:t xml:space="preserve">tudies.  MedScape. 2015 Available from: </w:t>
      </w:r>
      <w:hyperlink r:id="rId21" w:history="1">
        <w:r w:rsidRPr="002A5734">
          <w:rPr>
            <w:rStyle w:val="Hyperlink"/>
          </w:rPr>
          <w:t>http://emedicine.medscape.com/article/1133108-workup</w:t>
        </w:r>
      </w:hyperlink>
      <w:r w:rsidRPr="002A5734">
        <w:t xml:space="preserve"> [cited  July 28,  2020]</w:t>
      </w:r>
    </w:p>
    <w:p w:rsidR="007D6E8B" w:rsidRPr="002A5734" w:rsidRDefault="00ED4EFE" w:rsidP="00C01DD3">
      <w:pPr>
        <w:pStyle w:val="ListParagraph"/>
        <w:numPr>
          <w:ilvl w:val="0"/>
          <w:numId w:val="8"/>
        </w:numPr>
        <w:tabs>
          <w:tab w:val="left" w:pos="851"/>
        </w:tabs>
        <w:bidi w:val="0"/>
        <w:jc w:val="both"/>
      </w:pPr>
      <w:r w:rsidRPr="002A5734">
        <w:t xml:space="preserve">Gadallah M, El-Sayed N, Kandeel A, Moussa I, Mohsen A, Dewedar S. Seroprevalence of </w:t>
      </w:r>
      <w:r w:rsidR="00FB428B" w:rsidRPr="002A5734">
        <w:t>r</w:t>
      </w:r>
      <w:r w:rsidR="000179EB" w:rsidRPr="002A5734">
        <w:t xml:space="preserve">ubella antibodies among adult </w:t>
      </w:r>
      <w:r w:rsidR="00FB428B" w:rsidRPr="002A5734">
        <w:t>E</w:t>
      </w:r>
      <w:r w:rsidRPr="002A5734">
        <w:t>gyptian females aged 20</w:t>
      </w:r>
      <w:r w:rsidR="00FB428B" w:rsidRPr="002A5734">
        <w:t>-30 years. Is there a need for r</w:t>
      </w:r>
      <w:r w:rsidRPr="002A5734">
        <w:t>ubella vaccination? Cent Eur J Public Health 2014; 22: 282-286.</w:t>
      </w:r>
      <w:r w:rsidR="007D6E8B" w:rsidRPr="002A5734">
        <w:rPr>
          <w:rStyle w:val="id-label"/>
          <w:color w:val="212121"/>
        </w:rPr>
        <w:t>DOI: </w:t>
      </w:r>
      <w:hyperlink r:id="rId22" w:tgtFrame="_blank" w:history="1">
        <w:r w:rsidR="007D6E8B" w:rsidRPr="002A5734">
          <w:rPr>
            <w:rStyle w:val="Hyperlink"/>
            <w:color w:val="0071BC"/>
          </w:rPr>
          <w:t>10.21101/cejph.a4010</w:t>
        </w:r>
      </w:hyperlink>
    </w:p>
    <w:p w:rsidR="007039D7" w:rsidRPr="002A5734" w:rsidRDefault="007039D7" w:rsidP="00C01DD3">
      <w:pPr>
        <w:pStyle w:val="ListParagraph"/>
        <w:numPr>
          <w:ilvl w:val="0"/>
          <w:numId w:val="8"/>
        </w:numPr>
        <w:tabs>
          <w:tab w:val="left" w:pos="851"/>
        </w:tabs>
        <w:bidi w:val="0"/>
        <w:jc w:val="both"/>
      </w:pPr>
      <w:r w:rsidRPr="002A5734">
        <w:t>Al-Mu</w:t>
      </w:r>
      <w:r w:rsidR="00636356" w:rsidRPr="002A5734">
        <w:t>khtar HS, Ibrahim HR, Salih SH</w:t>
      </w:r>
      <w:r w:rsidRPr="002A5734">
        <w:t>. Seroprevalen</w:t>
      </w:r>
      <w:r w:rsidR="000179EB" w:rsidRPr="002A5734">
        <w:t>ce rubella a</w:t>
      </w:r>
      <w:r w:rsidRPr="002A5734">
        <w:t>ntibodies am</w:t>
      </w:r>
      <w:r w:rsidR="000179EB" w:rsidRPr="002A5734">
        <w:t>ong young females and women of r</w:t>
      </w:r>
      <w:r w:rsidRPr="002A5734">
        <w:t>eproductive age group and pregnant w</w:t>
      </w:r>
      <w:r w:rsidR="00636356" w:rsidRPr="002A5734">
        <w:t>omen in Mosul City, Iraq. PJMHS 2019;</w:t>
      </w:r>
      <w:r w:rsidRPr="002A5734">
        <w:t xml:space="preserve"> 13(1):271-276.</w:t>
      </w:r>
    </w:p>
    <w:p w:rsidR="007166A4" w:rsidRPr="002A5734" w:rsidRDefault="007166A4" w:rsidP="00C01DD3">
      <w:pPr>
        <w:pStyle w:val="ListParagraph"/>
        <w:numPr>
          <w:ilvl w:val="0"/>
          <w:numId w:val="8"/>
        </w:numPr>
        <w:tabs>
          <w:tab w:val="left" w:pos="851"/>
        </w:tabs>
        <w:bidi w:val="0"/>
        <w:jc w:val="both"/>
      </w:pPr>
      <w:r w:rsidRPr="002A5734">
        <w:t>Wondimeneh Y, Tiruneh M, Ferede G, Abera B, Workineh M, Birhanie M, Tessema B. Rubella virus infections and immune status among pregnant women before the introductio</w:t>
      </w:r>
      <w:r w:rsidR="00E12467" w:rsidRPr="002A5734">
        <w:t>n of rubella vaccine in Amhara regional s</w:t>
      </w:r>
      <w:r w:rsidRPr="002A5734">
        <w:t>tate, Ethiopia. International</w:t>
      </w:r>
      <w:r w:rsidR="00E12467" w:rsidRPr="002A5734">
        <w:t xml:space="preserve"> Journal of Infectious Diseases</w:t>
      </w:r>
      <w:r w:rsidR="002E31C5" w:rsidRPr="002A5734">
        <w:t xml:space="preserve">2018; </w:t>
      </w:r>
      <w:r w:rsidRPr="002A5734">
        <w:t xml:space="preserve">76: 14–22. </w:t>
      </w:r>
      <w:hyperlink r:id="rId23" w:history="1">
        <w:r w:rsidRPr="002A5734">
          <w:rPr>
            <w:rStyle w:val="Hyperlink"/>
          </w:rPr>
          <w:t>https://doi.org/10.1016/j.ijid.2018.07.024</w:t>
        </w:r>
      </w:hyperlink>
    </w:p>
    <w:p w:rsidR="008432DD" w:rsidRPr="002A5734" w:rsidRDefault="008432DD" w:rsidP="00C01DD3">
      <w:pPr>
        <w:pStyle w:val="NoSpacing"/>
        <w:numPr>
          <w:ilvl w:val="0"/>
          <w:numId w:val="8"/>
        </w:numPr>
        <w:tabs>
          <w:tab w:val="left" w:pos="851"/>
        </w:tabs>
        <w:bidi w:val="0"/>
        <w:jc w:val="both"/>
      </w:pPr>
      <w:r w:rsidRPr="002A5734">
        <w:t xml:space="preserve">Wang IJ, Huang LM, Chen HH, Hwang KC, Chen CJ. Seroprevalence of rubella infection after national immunization program in Taiwan: Vaccination status and </w:t>
      </w:r>
      <w:r w:rsidR="002E31C5" w:rsidRPr="002A5734">
        <w:t>immigration impact. J Med Virol</w:t>
      </w:r>
      <w:r w:rsidRPr="002A5734">
        <w:t xml:space="preserve"> 2007;79(1):97-103.</w:t>
      </w:r>
    </w:p>
    <w:p w:rsidR="007A389C" w:rsidRPr="002A5734" w:rsidRDefault="00AD4231" w:rsidP="00C01DD3">
      <w:pPr>
        <w:pStyle w:val="ListParagraph"/>
        <w:numPr>
          <w:ilvl w:val="0"/>
          <w:numId w:val="8"/>
        </w:numPr>
        <w:tabs>
          <w:tab w:val="left" w:pos="851"/>
        </w:tabs>
        <w:autoSpaceDE w:val="0"/>
        <w:autoSpaceDN w:val="0"/>
        <w:bidi w:val="0"/>
        <w:adjustRightInd w:val="0"/>
        <w:ind w:right="84"/>
        <w:jc w:val="both"/>
        <w:rPr>
          <w:color w:val="000000"/>
        </w:rPr>
      </w:pPr>
      <w:r w:rsidRPr="002A5734">
        <w:rPr>
          <w:color w:val="000000"/>
          <w:lang w:bidi="ar-YE"/>
        </w:rPr>
        <w:t xml:space="preserve">Hamker R, </w:t>
      </w:r>
      <w:r w:rsidRPr="002A5734">
        <w:rPr>
          <w:color w:val="000000"/>
        </w:rPr>
        <w:t>Jalilvand</w:t>
      </w:r>
      <w:r w:rsidRPr="002A5734">
        <w:rPr>
          <w:color w:val="000000"/>
          <w:lang w:bidi="ar-YE"/>
        </w:rPr>
        <w:t xml:space="preserve"> S, </w:t>
      </w:r>
      <w:r w:rsidRPr="002A5734">
        <w:rPr>
          <w:color w:val="000000"/>
        </w:rPr>
        <w:t>Abdolbaghi</w:t>
      </w:r>
      <w:r w:rsidRPr="002A5734">
        <w:rPr>
          <w:color w:val="000000"/>
          <w:lang w:bidi="ar-YE"/>
        </w:rPr>
        <w:t xml:space="preserve"> MH,</w:t>
      </w:r>
      <w:r w:rsidRPr="002A5734">
        <w:rPr>
          <w:i/>
          <w:iCs/>
          <w:color w:val="000000"/>
          <w:lang w:bidi="ar-YE"/>
        </w:rPr>
        <w:t xml:space="preserve"> et al</w:t>
      </w:r>
      <w:r w:rsidRPr="002A5734">
        <w:rPr>
          <w:color w:val="000000"/>
          <w:lang w:bidi="ar-YE"/>
        </w:rPr>
        <w:t>.</w:t>
      </w:r>
      <w:r w:rsidRPr="002A5734">
        <w:rPr>
          <w:color w:val="000000"/>
        </w:rPr>
        <w:t xml:space="preserve"> Inadvertent rubella vaccination of pregnant women: Evaluation of possible transplacental infection with</w:t>
      </w:r>
      <w:r w:rsidR="00E12467" w:rsidRPr="002A5734">
        <w:rPr>
          <w:color w:val="000000"/>
        </w:rPr>
        <w:t xml:space="preserve"> rubella vaccine. Vaccine 2006;</w:t>
      </w:r>
      <w:r w:rsidRPr="002A5734">
        <w:rPr>
          <w:color w:val="000000"/>
        </w:rPr>
        <w:t xml:space="preserve"> 24</w:t>
      </w:r>
      <w:r w:rsidR="00E12467" w:rsidRPr="002A5734">
        <w:rPr>
          <w:color w:val="000000"/>
        </w:rPr>
        <w:t>:</w:t>
      </w:r>
      <w:r w:rsidRPr="002A5734">
        <w:rPr>
          <w:color w:val="000000"/>
        </w:rPr>
        <w:t xml:space="preserve"> 3558–3563</w:t>
      </w:r>
      <w:r w:rsidR="004E7FF9" w:rsidRPr="002A5734">
        <w:rPr>
          <w:color w:val="000000"/>
        </w:rPr>
        <w:t>.</w:t>
      </w:r>
    </w:p>
    <w:sectPr w:rsidR="007A389C" w:rsidRPr="002A5734" w:rsidSect="002A5734">
      <w:headerReference w:type="even" r:id="rId24"/>
      <w:headerReference w:type="default" r:id="rId25"/>
      <w:footerReference w:type="even" r:id="rId26"/>
      <w:footerReference w:type="default" r:id="rId27"/>
      <w:headerReference w:type="first" r:id="rId28"/>
      <w:footerReference w:type="first" r:id="rId29"/>
      <w:pgSz w:w="11906" w:h="16838"/>
      <w:pgMar w:top="142" w:right="1361" w:bottom="568" w:left="1361" w:header="138" w:footer="0" w:gutter="0"/>
      <w:pgNumType w:start="1"/>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3T17:26:00Z" w:initials="K">
    <w:p w:rsidR="00193A40" w:rsidRDefault="00193A40" w:rsidP="00193A40">
      <w:pPr>
        <w:rPr>
          <w:highlight w:val="green"/>
        </w:rPr>
      </w:pPr>
      <w:r>
        <w:rPr>
          <w:rStyle w:val="CommentReference"/>
        </w:rPr>
        <w:annotationRef/>
      </w:r>
      <w:r w:rsidR="00F22EDE" w:rsidRPr="00F22EDE">
        <w:drawing>
          <wp:inline distT="0" distB="0" distL="0" distR="0">
            <wp:extent cx="895350" cy="2875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193A40" w:rsidRPr="00FC2004" w:rsidRDefault="00193A40" w:rsidP="00193A40">
      <w:r w:rsidRPr="00FC2004">
        <w:rPr>
          <w:highlight w:val="green"/>
        </w:rPr>
        <w:t xml:space="preserve">Similarity Index detected by </w:t>
      </w:r>
      <w:hyperlink r:id="rId2" w:history="1">
        <w:r w:rsidRPr="00FC2004">
          <w:rPr>
            <w:rStyle w:val="Hyperlink"/>
          </w:rPr>
          <w:t>Turnitin</w:t>
        </w:r>
      </w:hyperlink>
      <w:r>
        <w:rPr>
          <w:highlight w:val="green"/>
        </w:rPr>
        <w:t>=  29</w:t>
      </w:r>
      <w:r w:rsidRPr="00FC2004">
        <w:rPr>
          <w:highlight w:val="green"/>
        </w:rPr>
        <w:t>%</w:t>
      </w:r>
      <w:r w:rsidRPr="00FC2004">
        <w:t xml:space="preserve"> </w:t>
      </w:r>
    </w:p>
    <w:p w:rsidR="00193A40" w:rsidRPr="00EB3A96" w:rsidRDefault="00193A40" w:rsidP="00193A40">
      <w:pPr>
        <w:pStyle w:val="CommentText"/>
        <w:rPr>
          <w:b/>
          <w:i/>
        </w:rPr>
      </w:pPr>
      <w:r w:rsidRPr="00EB3A96">
        <w:rPr>
          <w:b/>
          <w:i/>
        </w:rPr>
        <w:t>Please revise your article according to the Turnitin report</w:t>
      </w:r>
    </w:p>
    <w:p w:rsidR="00193A40" w:rsidRDefault="00193A40">
      <w:pPr>
        <w:pStyle w:val="CommentText"/>
      </w:pPr>
    </w:p>
  </w:comment>
  <w:comment w:id="1" w:author="Kapil" w:date="2020-09-06T19:26:00Z" w:initials="K">
    <w:p w:rsidR="001E7619" w:rsidRDefault="001E7619" w:rsidP="001E7619">
      <w:r>
        <w:rPr>
          <w:rStyle w:val="CommentReference"/>
        </w:rPr>
        <w:annotationRef/>
      </w:r>
    </w:p>
    <w:p w:rsidR="001E7619" w:rsidRDefault="001E7619" w:rsidP="001E7619">
      <w:r>
        <w:t>The article is not written well and there are several statements that are incorrect due to English issues. The article needs re-writing and editing.</w:t>
      </w:r>
    </w:p>
    <w:p w:rsidR="001E7619" w:rsidRDefault="001E7619">
      <w:pPr>
        <w:pStyle w:val="CommentText"/>
      </w:pPr>
    </w:p>
  </w:comment>
  <w:comment w:id="2" w:author="Kapil" w:date="2020-09-06T19:29:00Z" w:initials="K">
    <w:p w:rsidR="007C578C" w:rsidRDefault="007C578C">
      <w:pPr>
        <w:pStyle w:val="CommentText"/>
      </w:pPr>
      <w:r>
        <w:rPr>
          <w:rStyle w:val="CommentReference"/>
        </w:rPr>
        <w:annotationRef/>
      </w:r>
      <w:r w:rsidRPr="00351DA9">
        <w:rPr>
          <w:rFonts w:ascii="Arial" w:hAnsi="Arial" w:cs="Arial"/>
          <w:sz w:val="24"/>
          <w:szCs w:val="24"/>
          <w:highlight w:val="green"/>
        </w:rPr>
        <w:t>It Is important to do general review for the language and the begining of the paragraphes</w:t>
      </w:r>
    </w:p>
  </w:comment>
  <w:comment w:id="4" w:author="Kapil" w:date="2021-05-13T17:57:00Z" w:initials="K">
    <w:p w:rsidR="00F22EDE" w:rsidRDefault="00F22EDE" w:rsidP="00F22EDE">
      <w:pPr>
        <w:rPr>
          <w:rFonts w:ascii="Bookman Old Style" w:hAnsi="Bookman Old Style"/>
        </w:rPr>
      </w:pPr>
      <w:r>
        <w:rPr>
          <w:rStyle w:val="CommentReference"/>
        </w:rPr>
        <w:annotationRef/>
      </w:r>
      <w:r w:rsidRPr="0098707B">
        <w:rPr>
          <w:rFonts w:ascii="Bookman Old Style" w:hAnsi="Bookman Old Style"/>
        </w:rPr>
        <w:t xml:space="preserve"> There are few grammatical mistakes. So it could be accepted but after the modifications.</w:t>
      </w:r>
    </w:p>
    <w:p w:rsidR="00F22EDE" w:rsidRDefault="00F22EDE">
      <w:pPr>
        <w:pStyle w:val="CommentText"/>
      </w:pPr>
    </w:p>
  </w:comment>
  <w:comment w:id="3" w:author="Kapil" w:date="2021-03-26T18:29:00Z" w:initials="K">
    <w:p w:rsidR="009F4214" w:rsidRDefault="009F4214">
      <w:pPr>
        <w:pStyle w:val="CommentText"/>
        <w:rPr>
          <w:rFonts w:ascii="Bookman Old Style" w:hAnsi="Bookman Old Style"/>
        </w:rPr>
      </w:pPr>
      <w:r>
        <w:rPr>
          <w:rStyle w:val="CommentReference"/>
        </w:rPr>
        <w:annotationRef/>
      </w:r>
    </w:p>
    <w:p w:rsidR="009F4214" w:rsidRDefault="009F4214">
      <w:pPr>
        <w:pStyle w:val="CommentText"/>
      </w:pPr>
      <w:r w:rsidRPr="006B3A13">
        <w:rPr>
          <w:rFonts w:ascii="Bookman Old Style" w:hAnsi="Bookman Old Style"/>
        </w:rPr>
        <w:t>Well designed and adequate</w:t>
      </w:r>
    </w:p>
  </w:comment>
  <w:comment w:id="6" w:author="Kapil" w:date="2020-09-06T19:27:00Z" w:initials="K">
    <w:p w:rsidR="001E7619" w:rsidRDefault="001E7619">
      <w:pPr>
        <w:pStyle w:val="CommentText"/>
      </w:pPr>
      <w:r>
        <w:rPr>
          <w:rStyle w:val="CommentReference"/>
        </w:rPr>
        <w:annotationRef/>
      </w:r>
      <w:r w:rsidRPr="00B4457F">
        <w:rPr>
          <w:rFonts w:asciiTheme="majorBidi" w:hAnsiTheme="majorBidi" w:cstheme="majorBidi"/>
          <w:bCs/>
        </w:rPr>
        <w:t>The introduction provides a good background of the topic. However the author may to provides  a reference  or report regarding CRS incidence rate or/ and  Rubella infection prevalence rate in Y</w:t>
      </w:r>
      <w:r>
        <w:rPr>
          <w:rFonts w:asciiTheme="majorBidi" w:hAnsiTheme="majorBidi" w:cstheme="majorBidi"/>
          <w:bCs/>
        </w:rPr>
        <w:t>e</w:t>
      </w:r>
      <w:r w:rsidRPr="00B4457F">
        <w:rPr>
          <w:rFonts w:asciiTheme="majorBidi" w:hAnsiTheme="majorBidi" w:cstheme="majorBidi"/>
          <w:bCs/>
        </w:rPr>
        <w:t>men</w:t>
      </w:r>
    </w:p>
  </w:comment>
  <w:comment w:id="5" w:author="Kapil" w:date="2020-09-06T19:29:00Z" w:initials="K">
    <w:p w:rsidR="007C578C" w:rsidRPr="007C578C" w:rsidRDefault="00C55837" w:rsidP="00C55837">
      <w:pPr>
        <w:numPr>
          <w:ilvl w:val="0"/>
          <w:numId w:val="14"/>
        </w:numPr>
        <w:bidi w:val="0"/>
        <w:jc w:val="both"/>
        <w:rPr>
          <w:rFonts w:ascii="Arial" w:eastAsia="Times New Roman" w:hAnsi="Arial" w:cs="Arial"/>
          <w:bCs/>
          <w:highlight w:val="green"/>
        </w:rPr>
      </w:pPr>
      <w:r>
        <w:rPr>
          <w:rStyle w:val="CommentReference"/>
        </w:rPr>
        <w:annotationRef/>
      </w:r>
      <w:r w:rsidR="007C578C" w:rsidRPr="00351DA9">
        <w:rPr>
          <w:rFonts w:ascii="Arial" w:hAnsi="Arial" w:cs="Arial"/>
          <w:highlight w:val="green"/>
        </w:rPr>
        <w:t>It is good , and related to the research but there is a need to add something about related studies from other researchers .</w:t>
      </w:r>
    </w:p>
    <w:p w:rsidR="00C55837" w:rsidRPr="001C42EF" w:rsidRDefault="00C55837" w:rsidP="007C578C">
      <w:pPr>
        <w:numPr>
          <w:ilvl w:val="0"/>
          <w:numId w:val="14"/>
        </w:numPr>
        <w:bidi w:val="0"/>
        <w:jc w:val="both"/>
        <w:rPr>
          <w:rFonts w:ascii="Arial" w:eastAsia="Times New Roman" w:hAnsi="Arial" w:cs="Arial"/>
          <w:bCs/>
          <w:highlight w:val="green"/>
        </w:rPr>
      </w:pPr>
      <w:r w:rsidRPr="001C42EF">
        <w:rPr>
          <w:rFonts w:ascii="Arial" w:eastAsia="Times New Roman" w:hAnsi="Arial" w:cs="Arial"/>
          <w:highlight w:val="green"/>
        </w:rPr>
        <w:t>Please revise Grammatical and English writing errors.</w:t>
      </w:r>
    </w:p>
    <w:p w:rsidR="00C55837" w:rsidRPr="001C42EF" w:rsidRDefault="00C55837" w:rsidP="00C55837">
      <w:pPr>
        <w:numPr>
          <w:ilvl w:val="0"/>
          <w:numId w:val="14"/>
        </w:numPr>
        <w:bidi w:val="0"/>
        <w:jc w:val="both"/>
        <w:rPr>
          <w:rFonts w:ascii="Arial" w:eastAsia="Times New Roman" w:hAnsi="Arial" w:cs="Arial"/>
          <w:bCs/>
          <w:highlight w:val="green"/>
        </w:rPr>
      </w:pPr>
      <w:r w:rsidRPr="001C42EF">
        <w:rPr>
          <w:rFonts w:ascii="Arial" w:eastAsia="Times New Roman" w:hAnsi="Arial" w:cs="Arial"/>
          <w:highlight w:val="green"/>
        </w:rPr>
        <w:t>You state the percentage of prevalence of rubella antibody in many countries, it is better to specify cities.</w:t>
      </w:r>
    </w:p>
    <w:p w:rsidR="00C55837" w:rsidRDefault="00C55837">
      <w:pPr>
        <w:pStyle w:val="CommentText"/>
      </w:pPr>
    </w:p>
  </w:comment>
  <w:comment w:id="8" w:author="Kapil" w:date="2020-08-12T13:39:00Z" w:initials="K">
    <w:p w:rsidR="00C55837" w:rsidRPr="001C42EF" w:rsidRDefault="00C55837" w:rsidP="00C55837">
      <w:pPr>
        <w:numPr>
          <w:ilvl w:val="0"/>
          <w:numId w:val="14"/>
        </w:numPr>
        <w:bidi w:val="0"/>
        <w:jc w:val="both"/>
        <w:rPr>
          <w:rFonts w:ascii="Arial" w:eastAsia="Times New Roman" w:hAnsi="Arial" w:cs="Arial"/>
          <w:bCs/>
          <w:highlight w:val="green"/>
        </w:rPr>
      </w:pPr>
      <w:r>
        <w:rPr>
          <w:rStyle w:val="CommentReference"/>
        </w:rPr>
        <w:annotationRef/>
      </w:r>
      <w:r w:rsidRPr="001C42EF">
        <w:rPr>
          <w:rFonts w:ascii="Arial" w:eastAsia="Times New Roman" w:hAnsi="Arial" w:cs="Arial"/>
          <w:bCs/>
          <w:highlight w:val="green"/>
        </w:rPr>
        <w:t>You state the prevalence of rubella antibody in many countries without referring to the date of the study mentioned this info. You cannot say the prevalence in a country in a specific percentage without specifying WHEN.</w:t>
      </w:r>
    </w:p>
    <w:p w:rsidR="00C55837" w:rsidRDefault="00C55837">
      <w:pPr>
        <w:pStyle w:val="CommentText"/>
      </w:pPr>
    </w:p>
  </w:comment>
  <w:comment w:id="9" w:author="Kapil" w:date="2020-08-12T13:41:00Z" w:initials="K">
    <w:p w:rsidR="008F5701" w:rsidRPr="001C42EF" w:rsidRDefault="008F5701" w:rsidP="008F5701">
      <w:pPr>
        <w:numPr>
          <w:ilvl w:val="0"/>
          <w:numId w:val="14"/>
        </w:numPr>
        <w:bidi w:val="0"/>
        <w:rPr>
          <w:rFonts w:ascii="Arial" w:eastAsia="Times New Roman" w:hAnsi="Arial" w:cs="Arial"/>
          <w:bCs/>
          <w:highlight w:val="green"/>
        </w:rPr>
      </w:pPr>
      <w:r>
        <w:rPr>
          <w:rStyle w:val="CommentReference"/>
        </w:rPr>
        <w:annotationRef/>
      </w:r>
      <w:r w:rsidRPr="001C42EF">
        <w:rPr>
          <w:rFonts w:ascii="Arial" w:eastAsia="Times New Roman" w:hAnsi="Arial" w:cs="Arial"/>
          <w:bCs/>
          <w:highlight w:val="green"/>
        </w:rPr>
        <w:t>You state the prevalence of rubella antibody in many countries in an unorganized way. If you mention the rate among pregnant women in a country then you should mention the rate among pregnant women in the other countries too. Same, if you specifies an age.</w:t>
      </w:r>
    </w:p>
    <w:p w:rsidR="008F5701" w:rsidRDefault="008F5701" w:rsidP="008F5701">
      <w:pPr>
        <w:pStyle w:val="CommentText"/>
      </w:pPr>
      <w:r w:rsidRPr="001C42EF">
        <w:rPr>
          <w:rFonts w:ascii="Arial" w:eastAsia="Times New Roman" w:hAnsi="Arial" w:cs="Arial"/>
          <w:bCs/>
          <w:highlight w:val="green"/>
        </w:rPr>
        <w:t>You should mention something on immunization and it’s impact of the disease prevalence</w:t>
      </w:r>
    </w:p>
  </w:comment>
  <w:comment w:id="11" w:author="Kapil" w:date="2021-03-26T18:32:00Z" w:initials="K">
    <w:p w:rsidR="009F4214" w:rsidRDefault="009F4214">
      <w:pPr>
        <w:pStyle w:val="CommentText"/>
      </w:pPr>
      <w:r>
        <w:rPr>
          <w:rStyle w:val="CommentReference"/>
        </w:rPr>
        <w:annotationRef/>
      </w:r>
      <w:r>
        <w:t>Spacing needed</w:t>
      </w:r>
    </w:p>
  </w:comment>
  <w:comment w:id="12" w:author="Kapil" w:date="2021-03-26T18:32:00Z" w:initials="K">
    <w:p w:rsidR="009F4214" w:rsidRDefault="009F4214">
      <w:pPr>
        <w:pStyle w:val="CommentText"/>
      </w:pPr>
      <w:r>
        <w:rPr>
          <w:rStyle w:val="CommentReference"/>
        </w:rPr>
        <w:annotationRef/>
      </w:r>
      <w:r>
        <w:t>Spacing needed</w:t>
      </w:r>
    </w:p>
  </w:comment>
  <w:comment w:id="10" w:author="Kapil" w:date="2021-03-26T18:30:00Z" w:initials="K">
    <w:p w:rsidR="009F4214" w:rsidRDefault="009F4214">
      <w:pPr>
        <w:pStyle w:val="CommentText"/>
      </w:pPr>
      <w:r>
        <w:rPr>
          <w:rStyle w:val="CommentReference"/>
        </w:rPr>
        <w:annotationRef/>
      </w:r>
      <w:r w:rsidRPr="006B3A13">
        <w:rPr>
          <w:rFonts w:ascii="Bookman Old Style" w:hAnsi="Bookman Old Style"/>
        </w:rPr>
        <w:t>Well designed and adequate</w:t>
      </w:r>
    </w:p>
  </w:comment>
  <w:comment w:id="15" w:author="Kapil" w:date="2020-09-06T19:30:00Z" w:initials="K">
    <w:p w:rsidR="007C578C" w:rsidRDefault="007C578C">
      <w:pPr>
        <w:pStyle w:val="CommentText"/>
      </w:pPr>
      <w:r>
        <w:rPr>
          <w:rStyle w:val="CommentReference"/>
        </w:rPr>
        <w:annotationRef/>
      </w:r>
      <w:r w:rsidRPr="00351DA9">
        <w:rPr>
          <w:rFonts w:ascii="Arial" w:hAnsi="Arial" w:cs="Arial"/>
          <w:highlight w:val="green"/>
        </w:rPr>
        <w:t>it is accepted and used by others, nothing used related to molecular tools,  sample number is accepted, and the statistical analysis also accepted.</w:t>
      </w:r>
    </w:p>
  </w:comment>
  <w:comment w:id="14" w:author="Kapil" w:date="2020-09-06T19:27:00Z" w:initials="K">
    <w:p w:rsidR="001E7619" w:rsidRDefault="001E7619">
      <w:pPr>
        <w:pStyle w:val="CommentText"/>
      </w:pPr>
      <w:r>
        <w:rPr>
          <w:rStyle w:val="CommentReference"/>
        </w:rPr>
        <w:annotationRef/>
      </w:r>
      <w:r w:rsidRPr="00B4457F">
        <w:rPr>
          <w:rFonts w:asciiTheme="majorBidi" w:hAnsiTheme="majorBidi" w:cstheme="majorBidi"/>
        </w:rPr>
        <w:t>The test used to determine rubella IgG is standard and appropriate for this study   however, in my opinion the determination of IgM is necessary to validate the results presented in this study especially in pregnant women</w:t>
      </w:r>
    </w:p>
  </w:comment>
  <w:comment w:id="13" w:author="Kapil" w:date="2020-08-12T13:42:00Z" w:initials="K">
    <w:p w:rsidR="008F5701" w:rsidRPr="001C42EF" w:rsidRDefault="008F5701" w:rsidP="008F5701">
      <w:pPr>
        <w:pStyle w:val="NormalWeb"/>
        <w:spacing w:before="0" w:beforeAutospacing="0" w:after="0" w:afterAutospacing="0"/>
        <w:rPr>
          <w:rFonts w:ascii="Arial" w:hAnsi="Arial" w:cs="Arial"/>
          <w:bCs/>
          <w:highlight w:val="yellow"/>
        </w:rPr>
      </w:pPr>
      <w:r>
        <w:rPr>
          <w:rStyle w:val="CommentReference"/>
        </w:rPr>
        <w:annotationRef/>
      </w:r>
      <w:r w:rsidRPr="001C42EF">
        <w:rPr>
          <w:rFonts w:ascii="Arial" w:hAnsi="Arial" w:cs="Arial"/>
          <w:bCs/>
          <w:highlight w:val="yellow"/>
        </w:rPr>
        <w:t>Please revise Grammatical and English writing errors.</w:t>
      </w:r>
    </w:p>
    <w:p w:rsidR="008F5701" w:rsidRPr="001C42EF" w:rsidRDefault="008F5701" w:rsidP="008F5701">
      <w:pPr>
        <w:pStyle w:val="NormalWeb"/>
        <w:spacing w:before="0" w:beforeAutospacing="0" w:after="0" w:afterAutospacing="0"/>
        <w:rPr>
          <w:rFonts w:ascii="Arial" w:hAnsi="Arial" w:cs="Arial"/>
          <w:bCs/>
          <w:highlight w:val="yellow"/>
        </w:rPr>
      </w:pPr>
      <w:r w:rsidRPr="001C42EF">
        <w:rPr>
          <w:rFonts w:ascii="Arial" w:hAnsi="Arial" w:cs="Arial"/>
          <w:bCs/>
          <w:highlight w:val="yellow"/>
        </w:rPr>
        <w:t>- On what basis you choose your subjects to avoid any bias in the results?. For example, have you specifies specific weight, smoker/non, presence of other pathological conditions, etc.</w:t>
      </w:r>
    </w:p>
    <w:p w:rsidR="008F5701" w:rsidRPr="001C42EF" w:rsidRDefault="008F5701" w:rsidP="008F5701">
      <w:pPr>
        <w:pStyle w:val="NormalWeb"/>
        <w:spacing w:before="0" w:beforeAutospacing="0" w:after="0" w:afterAutospacing="0"/>
        <w:rPr>
          <w:rFonts w:ascii="Arial" w:hAnsi="Arial" w:cs="Arial"/>
          <w:bCs/>
        </w:rPr>
      </w:pPr>
      <w:r w:rsidRPr="001C42EF">
        <w:rPr>
          <w:rFonts w:ascii="Arial" w:hAnsi="Arial" w:cs="Arial"/>
          <w:bCs/>
          <w:highlight w:val="yellow"/>
        </w:rPr>
        <w:t>- Number of subjects (Divorced and windowed) are very low, you can never reply on in a statistical method.</w:t>
      </w:r>
    </w:p>
    <w:p w:rsidR="008F5701" w:rsidRDefault="008F5701">
      <w:pPr>
        <w:pStyle w:val="CommentText"/>
      </w:pPr>
    </w:p>
  </w:comment>
  <w:comment w:id="16" w:author="Kapil" w:date="2021-03-26T18:32:00Z" w:initials="K">
    <w:p w:rsidR="009F4214" w:rsidRDefault="009F4214">
      <w:pPr>
        <w:pStyle w:val="CommentText"/>
      </w:pPr>
      <w:r>
        <w:rPr>
          <w:rStyle w:val="CommentReference"/>
        </w:rPr>
        <w:annotationRef/>
      </w:r>
      <w:r>
        <w:t>Spacing needed</w:t>
      </w:r>
    </w:p>
  </w:comment>
  <w:comment w:id="17" w:author="Kapil" w:date="2021-03-26T16:58:00Z" w:initials="K">
    <w:p w:rsidR="00A95559" w:rsidRDefault="00A95559">
      <w:pPr>
        <w:pStyle w:val="CommentText"/>
        <w:rPr>
          <w:color w:val="548DD4" w:themeColor="text2" w:themeTint="99"/>
        </w:rPr>
      </w:pPr>
      <w:r>
        <w:rPr>
          <w:rStyle w:val="CommentReference"/>
        </w:rPr>
        <w:annotationRef/>
      </w:r>
    </w:p>
    <w:p w:rsidR="00A95559" w:rsidRPr="00A95559" w:rsidRDefault="00A95559">
      <w:pPr>
        <w:pStyle w:val="CommentText"/>
      </w:pPr>
      <w:r w:rsidRPr="00A95559">
        <w:t>Was the questionnaire self- administered or filled as participants were interviewed?? State!</w:t>
      </w:r>
    </w:p>
  </w:comment>
  <w:comment w:id="18" w:author="Kapil" w:date="2021-05-13T17:58:00Z" w:initials="K">
    <w:p w:rsidR="00F22EDE" w:rsidRDefault="00F22EDE" w:rsidP="00F22EDE">
      <w:pPr>
        <w:rPr>
          <w:rFonts w:ascii="Bookman Old Style" w:hAnsi="Bookman Old Style"/>
        </w:rPr>
      </w:pPr>
      <w:r>
        <w:rPr>
          <w:rStyle w:val="CommentReference"/>
        </w:rPr>
        <w:annotationRef/>
      </w:r>
      <w:r>
        <w:rPr>
          <w:rFonts w:ascii="Bookman Old Style" w:hAnsi="Bookman Old Style"/>
        </w:rPr>
        <w:t xml:space="preserve">The </w:t>
      </w:r>
      <w:r w:rsidRPr="00AB42B9">
        <w:rPr>
          <w:rFonts w:ascii="Bookman Old Style" w:hAnsi="Bookman Old Style"/>
        </w:rPr>
        <w:t>statistical analyses used are appropriate and the methods used are properly referenced.</w:t>
      </w:r>
    </w:p>
    <w:p w:rsidR="00F22EDE" w:rsidRDefault="00F22EDE">
      <w:pPr>
        <w:pStyle w:val="CommentText"/>
      </w:pPr>
    </w:p>
  </w:comment>
  <w:comment w:id="19" w:author="Kapil" w:date="2020-09-06T19:30:00Z" w:initials="K">
    <w:p w:rsidR="007C578C" w:rsidRDefault="007C578C">
      <w:pPr>
        <w:pStyle w:val="CommentText"/>
      </w:pPr>
      <w:r>
        <w:rPr>
          <w:rStyle w:val="CommentReference"/>
        </w:rPr>
        <w:annotationRef/>
      </w:r>
      <w:r w:rsidRPr="00351DA9">
        <w:rPr>
          <w:rFonts w:ascii="Arial" w:hAnsi="Arial" w:cs="Arial"/>
          <w:highlight w:val="green"/>
        </w:rPr>
        <w:t>I suggest if there is addition to more paragraphs that reflects and support the data</w:t>
      </w:r>
    </w:p>
  </w:comment>
  <w:comment w:id="20" w:author="Kapil" w:date="2021-03-26T16:59:00Z" w:initials="K">
    <w:p w:rsidR="00A95559" w:rsidRPr="00A95559" w:rsidRDefault="00A95559">
      <w:pPr>
        <w:pStyle w:val="CommentText"/>
      </w:pPr>
      <w:r>
        <w:rPr>
          <w:rStyle w:val="CommentReference"/>
        </w:rPr>
        <w:annotationRef/>
      </w:r>
      <w:r w:rsidRPr="00A95559">
        <w:t>in what??)</w:t>
      </w:r>
    </w:p>
  </w:comment>
  <w:comment w:id="21" w:author="Kapil" w:date="2021-05-13T17:59:00Z" w:initials="K">
    <w:p w:rsidR="00A95559" w:rsidRDefault="00A95559" w:rsidP="00A95559">
      <w:pPr>
        <w:rPr>
          <w:rFonts w:ascii="Bookman Old Style" w:hAnsi="Bookman Old Style"/>
        </w:rPr>
      </w:pPr>
      <w:r>
        <w:rPr>
          <w:rStyle w:val="CommentReference"/>
        </w:rPr>
        <w:annotationRef/>
      </w:r>
    </w:p>
    <w:p w:rsidR="00F22EDE" w:rsidRPr="00BB0FA3" w:rsidRDefault="00F22EDE" w:rsidP="00F22EDE">
      <w:pPr>
        <w:rPr>
          <w:rFonts w:ascii="Bookman Old Style" w:hAnsi="Bookman Old Style"/>
        </w:rPr>
      </w:pPr>
      <w:r>
        <w:rPr>
          <w:rFonts w:ascii="Bookman Old Style" w:hAnsi="Bookman Old Style"/>
        </w:rPr>
        <w:t>The author</w:t>
      </w:r>
      <w:r w:rsidRPr="00BB0FA3">
        <w:rPr>
          <w:rFonts w:ascii="Bookman Old Style" w:hAnsi="Bookman Old Style"/>
        </w:rPr>
        <w:t xml:space="preserve"> has clearly given all the data in Table form, critically analysed and explained the results</w:t>
      </w:r>
      <w:r>
        <w:rPr>
          <w:rFonts w:ascii="Bookman Old Style" w:hAnsi="Bookman Old Style"/>
        </w:rPr>
        <w:t xml:space="preserve"> </w:t>
      </w:r>
      <w:r w:rsidRPr="00BB0FA3">
        <w:rPr>
          <w:rFonts w:ascii="Bookman Old Style" w:hAnsi="Bookman Old Style"/>
        </w:rPr>
        <w:t>with evidences.</w:t>
      </w:r>
    </w:p>
    <w:p w:rsidR="00A95559" w:rsidRDefault="00A95559">
      <w:pPr>
        <w:pStyle w:val="CommentText"/>
      </w:pPr>
    </w:p>
  </w:comment>
  <w:comment w:id="23" w:author="Kapil" w:date="2021-03-26T18:30:00Z" w:initials="K">
    <w:p w:rsidR="009F4214" w:rsidRDefault="009F4214">
      <w:pPr>
        <w:pStyle w:val="CommentText"/>
      </w:pPr>
      <w:r>
        <w:rPr>
          <w:rStyle w:val="CommentReference"/>
        </w:rPr>
        <w:annotationRef/>
      </w:r>
      <w:r>
        <w:t>Spacing needed</w:t>
      </w:r>
    </w:p>
  </w:comment>
  <w:comment w:id="22" w:author="Kapil" w:date="2021-05-13T17:59:00Z" w:initials="K">
    <w:p w:rsidR="00F22EDE" w:rsidRDefault="00F22EDE" w:rsidP="00F22EDE">
      <w:pPr>
        <w:rPr>
          <w:rFonts w:ascii="Bookman Old Style" w:hAnsi="Bookman Old Style"/>
        </w:rPr>
      </w:pPr>
      <w:r>
        <w:rPr>
          <w:rStyle w:val="CommentReference"/>
        </w:rPr>
        <w:annotationRef/>
      </w:r>
      <w:r w:rsidRPr="00CF1B05">
        <w:rPr>
          <w:rFonts w:ascii="Bookman Old Style" w:hAnsi="Bookman Old Style"/>
        </w:rPr>
        <w:t xml:space="preserve">The </w:t>
      </w:r>
      <w:r>
        <w:rPr>
          <w:rFonts w:ascii="Bookman Old Style" w:hAnsi="Bookman Old Style"/>
        </w:rPr>
        <w:t>author</w:t>
      </w:r>
      <w:r w:rsidRPr="00CF1B05">
        <w:rPr>
          <w:rFonts w:ascii="Bookman Old Style" w:hAnsi="Bookman Old Style"/>
        </w:rPr>
        <w:t xml:space="preserve"> has clea</w:t>
      </w:r>
      <w:r>
        <w:rPr>
          <w:rFonts w:ascii="Bookman Old Style" w:hAnsi="Bookman Old Style"/>
        </w:rPr>
        <w:t>rly given all the data in Table</w:t>
      </w:r>
      <w:r w:rsidRPr="00CF1B05">
        <w:rPr>
          <w:rFonts w:ascii="Bookman Old Style" w:hAnsi="Bookman Old Style"/>
        </w:rPr>
        <w:t xml:space="preserve"> form, critically ana</w:t>
      </w:r>
      <w:r>
        <w:rPr>
          <w:rFonts w:ascii="Bookman Old Style" w:hAnsi="Bookman Old Style"/>
        </w:rPr>
        <w:t xml:space="preserve">lysed and explained the results </w:t>
      </w:r>
      <w:r w:rsidRPr="00CF1B05">
        <w:rPr>
          <w:rFonts w:ascii="Bookman Old Style" w:hAnsi="Bookman Old Style"/>
        </w:rPr>
        <w:t>with evidences.</w:t>
      </w:r>
    </w:p>
    <w:p w:rsidR="00F22EDE" w:rsidRDefault="00F22EDE">
      <w:pPr>
        <w:pStyle w:val="CommentText"/>
      </w:pPr>
    </w:p>
  </w:comment>
  <w:comment w:id="24" w:author="Kapil" w:date="2020-09-06T19:28:00Z" w:initials="K">
    <w:p w:rsidR="008F5701" w:rsidRPr="001E7619" w:rsidRDefault="008F5701" w:rsidP="008F5701">
      <w:pPr>
        <w:numPr>
          <w:ilvl w:val="0"/>
          <w:numId w:val="14"/>
        </w:numPr>
        <w:bidi w:val="0"/>
        <w:jc w:val="both"/>
        <w:rPr>
          <w:rFonts w:ascii="Arial" w:eastAsia="Times New Roman" w:hAnsi="Arial" w:cs="Arial"/>
          <w:bCs/>
          <w:highlight w:val="green"/>
        </w:rPr>
      </w:pPr>
      <w:r>
        <w:rPr>
          <w:rStyle w:val="CommentReference"/>
        </w:rPr>
        <w:annotationRef/>
      </w:r>
      <w:r w:rsidRPr="001C42EF">
        <w:rPr>
          <w:rFonts w:ascii="Arial" w:eastAsia="Times New Roman" w:hAnsi="Arial" w:cs="Arial"/>
          <w:highlight w:val="green"/>
        </w:rPr>
        <w:t>Discussion part should be summarized.</w:t>
      </w:r>
    </w:p>
    <w:p w:rsidR="001E7619" w:rsidRPr="001C42EF" w:rsidRDefault="001E7619" w:rsidP="001E7619">
      <w:pPr>
        <w:numPr>
          <w:ilvl w:val="0"/>
          <w:numId w:val="14"/>
        </w:numPr>
        <w:bidi w:val="0"/>
        <w:jc w:val="both"/>
        <w:rPr>
          <w:rFonts w:ascii="Arial" w:eastAsia="Times New Roman" w:hAnsi="Arial" w:cs="Arial"/>
          <w:bCs/>
          <w:highlight w:val="green"/>
        </w:rPr>
      </w:pPr>
      <w:r w:rsidRPr="00B4457F">
        <w:rPr>
          <w:rFonts w:asciiTheme="majorBidi" w:hAnsiTheme="majorBidi" w:cstheme="majorBidi"/>
          <w:bCs/>
        </w:rPr>
        <w:t>discussion did not explain all the results sufficiently</w:t>
      </w:r>
      <w:r w:rsidRPr="00B4457F">
        <w:rPr>
          <w:rFonts w:ascii="Arial" w:hAnsi="Arial" w:cs="Arial"/>
          <w:bCs/>
        </w:rPr>
        <w:t>.</w:t>
      </w:r>
    </w:p>
    <w:p w:rsidR="008F5701" w:rsidRPr="008F5701" w:rsidRDefault="008F5701" w:rsidP="008F5701">
      <w:pPr>
        <w:pStyle w:val="CommentText"/>
        <w:rPr>
          <w:b/>
        </w:rPr>
      </w:pPr>
    </w:p>
    <w:p w:rsidR="008F5701" w:rsidRDefault="008F5701">
      <w:pPr>
        <w:pStyle w:val="CommentText"/>
      </w:pPr>
    </w:p>
  </w:comment>
  <w:comment w:id="25" w:author="Kapil" w:date="2021-05-13T17:59:00Z" w:initials="K">
    <w:p w:rsidR="00F22EDE" w:rsidRDefault="00A95559" w:rsidP="00F22EDE">
      <w:pPr>
        <w:rPr>
          <w:rFonts w:ascii="Bookman Old Style" w:hAnsi="Bookman Old Style"/>
        </w:rPr>
      </w:pPr>
      <w:r>
        <w:rPr>
          <w:rStyle w:val="CommentReference"/>
        </w:rPr>
        <w:annotationRef/>
      </w:r>
      <w:r w:rsidR="00F22EDE" w:rsidRPr="004C681D">
        <w:rPr>
          <w:rFonts w:ascii="Bookman Old Style" w:hAnsi="Bookman Old Style"/>
        </w:rPr>
        <w:t>Related published current studies need to be discussed with the results of this manuscript and referred properly.</w:t>
      </w:r>
    </w:p>
    <w:p w:rsidR="00A95559" w:rsidRDefault="00A95559" w:rsidP="00F22EDE"/>
  </w:comment>
  <w:comment w:id="27" w:author="Kapil" w:date="2020-09-06T19:25:00Z" w:initials="K">
    <w:p w:rsidR="001E7619" w:rsidRDefault="001E7619" w:rsidP="001E7619">
      <w:pPr>
        <w:pStyle w:val="CommentText"/>
      </w:pPr>
      <w:r>
        <w:rPr>
          <w:rStyle w:val="CommentReference"/>
        </w:rPr>
        <w:annotationRef/>
      </w:r>
      <w:r>
        <w:t>There is a contradiction with the subsequent paragraph, especially the sentences highlighted in blue</w:t>
      </w:r>
    </w:p>
    <w:p w:rsidR="001E7619" w:rsidRDefault="001E7619">
      <w:pPr>
        <w:pStyle w:val="CommentText"/>
      </w:pPr>
    </w:p>
  </w:comment>
  <w:comment w:id="28" w:author="Kapil" w:date="2021-03-26T18:30:00Z" w:initials="K">
    <w:p w:rsidR="009F4214" w:rsidRDefault="009F4214">
      <w:pPr>
        <w:pStyle w:val="CommentText"/>
      </w:pPr>
      <w:r>
        <w:rPr>
          <w:rStyle w:val="CommentReference"/>
        </w:rPr>
        <w:annotationRef/>
      </w:r>
      <w:r>
        <w:t>Spacing needed</w:t>
      </w:r>
    </w:p>
  </w:comment>
  <w:comment w:id="26" w:author="Kapil" w:date="2021-05-13T17:59:00Z" w:initials="K">
    <w:p w:rsidR="00F22EDE" w:rsidRDefault="00F22EDE" w:rsidP="00F22EDE">
      <w:pPr>
        <w:rPr>
          <w:rFonts w:asciiTheme="majorBidi" w:hAnsiTheme="majorBidi" w:cstheme="majorBidi"/>
        </w:rPr>
      </w:pPr>
      <w:r>
        <w:rPr>
          <w:rStyle w:val="CommentReference"/>
        </w:rPr>
        <w:annotationRef/>
      </w:r>
      <w:r w:rsidRPr="002227E6">
        <w:rPr>
          <w:rFonts w:asciiTheme="majorBidi" w:hAnsiTheme="majorBidi" w:cstheme="majorBidi"/>
        </w:rPr>
        <w:t>The author is advised to give more effort to the rephrasing of some parts</w:t>
      </w:r>
      <w:r>
        <w:rPr>
          <w:rFonts w:asciiTheme="majorBidi" w:hAnsiTheme="majorBidi" w:cstheme="majorBidi"/>
        </w:rPr>
        <w:t xml:space="preserve"> of this section.</w:t>
      </w:r>
    </w:p>
    <w:p w:rsidR="00F22EDE" w:rsidRDefault="00F22EDE">
      <w:pPr>
        <w:pStyle w:val="CommentText"/>
      </w:pPr>
    </w:p>
  </w:comment>
  <w:comment w:id="30" w:author="Kapil" w:date="2021-03-26T18:31:00Z" w:initials="K">
    <w:p w:rsidR="009F4214" w:rsidRDefault="009F4214">
      <w:pPr>
        <w:pStyle w:val="CommentText"/>
      </w:pPr>
      <w:r>
        <w:rPr>
          <w:rStyle w:val="CommentReference"/>
        </w:rPr>
        <w:annotationRef/>
      </w:r>
      <w:r>
        <w:t>Spacing needed</w:t>
      </w:r>
    </w:p>
  </w:comment>
  <w:comment w:id="31" w:author="Kapil" w:date="2021-03-26T18:31:00Z" w:initials="K">
    <w:p w:rsidR="009F4214" w:rsidRDefault="009F4214">
      <w:pPr>
        <w:pStyle w:val="CommentText"/>
      </w:pPr>
      <w:r>
        <w:rPr>
          <w:rStyle w:val="CommentReference"/>
        </w:rPr>
        <w:annotationRef/>
      </w:r>
      <w:r>
        <w:t>Spacing needed</w:t>
      </w:r>
    </w:p>
  </w:comment>
  <w:comment w:id="32" w:author="Kapil" w:date="2021-03-26T18:31:00Z" w:initials="K">
    <w:p w:rsidR="009F4214" w:rsidRDefault="009F4214">
      <w:pPr>
        <w:pStyle w:val="CommentText"/>
      </w:pPr>
      <w:r>
        <w:rPr>
          <w:rStyle w:val="CommentReference"/>
        </w:rPr>
        <w:annotationRef/>
      </w:r>
      <w:r>
        <w:t>Spacing needed</w:t>
      </w:r>
    </w:p>
  </w:comment>
  <w:comment w:id="29" w:author="Kapil" w:date="2021-05-13T18:00:00Z" w:initials="K">
    <w:p w:rsidR="00F22EDE" w:rsidRDefault="00F22EDE" w:rsidP="00F22EDE">
      <w:pPr>
        <w:rPr>
          <w:rFonts w:ascii="Bookman Old Style" w:hAnsi="Bookman Old Style"/>
        </w:rPr>
      </w:pPr>
      <w:r>
        <w:rPr>
          <w:rStyle w:val="CommentReference"/>
        </w:rPr>
        <w:annotationRef/>
      </w:r>
      <w:r w:rsidRPr="002718AD">
        <w:rPr>
          <w:rFonts w:ascii="Bookman Old Style" w:hAnsi="Bookman Old Style"/>
        </w:rPr>
        <w:t>The authors didn’t describe the results properly neither the justification !!!</w:t>
      </w:r>
    </w:p>
    <w:p w:rsidR="00F22EDE" w:rsidRDefault="00F22EDE">
      <w:pPr>
        <w:pStyle w:val="CommentText"/>
      </w:pPr>
    </w:p>
  </w:comment>
  <w:comment w:id="34" w:author="Kapil" w:date="2021-03-26T18:32:00Z" w:initials="K">
    <w:p w:rsidR="009F4214" w:rsidRDefault="009F4214">
      <w:pPr>
        <w:pStyle w:val="CommentText"/>
      </w:pPr>
      <w:r>
        <w:rPr>
          <w:rStyle w:val="CommentReference"/>
        </w:rPr>
        <w:annotationRef/>
      </w:r>
      <w:r>
        <w:t>Spacing needed</w:t>
      </w:r>
    </w:p>
  </w:comment>
  <w:comment w:id="35" w:author="Kapil" w:date="2021-03-26T18:31:00Z" w:initials="K">
    <w:p w:rsidR="009F4214" w:rsidRDefault="009F4214">
      <w:pPr>
        <w:pStyle w:val="CommentText"/>
      </w:pPr>
      <w:r>
        <w:rPr>
          <w:rStyle w:val="CommentReference"/>
        </w:rPr>
        <w:annotationRef/>
      </w:r>
      <w:r>
        <w:t>Spacing needed</w:t>
      </w:r>
    </w:p>
  </w:comment>
  <w:comment w:id="33" w:author="Kapil" w:date="2021-05-13T18:00:00Z" w:initials="K">
    <w:p w:rsidR="00462AFA" w:rsidRDefault="00462AFA" w:rsidP="00462AFA">
      <w:pPr>
        <w:rPr>
          <w:rFonts w:ascii="Bookman Old Style" w:hAnsi="Bookman Old Style"/>
        </w:rPr>
      </w:pPr>
      <w:r>
        <w:rPr>
          <w:rStyle w:val="CommentReference"/>
        </w:rPr>
        <w:annotationRef/>
      </w:r>
    </w:p>
    <w:p w:rsidR="00F22EDE" w:rsidRDefault="00F22EDE" w:rsidP="00F22EDE">
      <w:pPr>
        <w:rPr>
          <w:rFonts w:ascii="Bookman Old Style" w:hAnsi="Bookman Old Style"/>
        </w:rPr>
      </w:pPr>
      <w:r w:rsidRPr="00C91010">
        <w:rPr>
          <w:rFonts w:ascii="Bookman Old Style" w:hAnsi="Bookman Old Style"/>
        </w:rPr>
        <w:t>Too long detail. It should be reduced</w:t>
      </w:r>
      <w:r>
        <w:rPr>
          <w:rFonts w:ascii="Bookman Old Style" w:hAnsi="Bookman Old Style"/>
        </w:rPr>
        <w:t>.</w:t>
      </w:r>
    </w:p>
    <w:p w:rsidR="00462AFA" w:rsidRDefault="00462AFA" w:rsidP="00462AFA">
      <w:pPr>
        <w:rPr>
          <w:rFonts w:ascii="Bookman Old Style" w:hAnsi="Bookman Old Style"/>
        </w:rPr>
      </w:pPr>
    </w:p>
    <w:p w:rsidR="00462AFA" w:rsidRDefault="00462AFA">
      <w:pPr>
        <w:pStyle w:val="CommentText"/>
      </w:pPr>
    </w:p>
  </w:comment>
  <w:comment w:id="38" w:author="Kapil" w:date="2021-03-26T18:33:00Z" w:initials="K">
    <w:p w:rsidR="009F4214" w:rsidRDefault="009F4214">
      <w:pPr>
        <w:pStyle w:val="CommentText"/>
      </w:pPr>
      <w:r>
        <w:rPr>
          <w:rStyle w:val="CommentReference"/>
        </w:rPr>
        <w:annotationRef/>
      </w:r>
      <w:r>
        <w:t>Spacing needed</w:t>
      </w:r>
    </w:p>
  </w:comment>
  <w:comment w:id="39" w:author="Kapil" w:date="2021-03-26T18:33:00Z" w:initials="K">
    <w:p w:rsidR="009F4214" w:rsidRDefault="009F4214">
      <w:pPr>
        <w:pStyle w:val="CommentText"/>
      </w:pPr>
      <w:r>
        <w:rPr>
          <w:rStyle w:val="CommentReference"/>
        </w:rPr>
        <w:annotationRef/>
      </w:r>
      <w:r>
        <w:t>Spacing needed</w:t>
      </w:r>
    </w:p>
  </w:comment>
  <w:comment w:id="40" w:author="Kapil" w:date="2021-03-26T18:31:00Z" w:initials="K">
    <w:p w:rsidR="009F4214" w:rsidRDefault="009F4214">
      <w:pPr>
        <w:pStyle w:val="CommentText"/>
      </w:pPr>
      <w:r>
        <w:rPr>
          <w:rStyle w:val="CommentReference"/>
        </w:rPr>
        <w:annotationRef/>
      </w:r>
      <w:r>
        <w:t>Spacing needed</w:t>
      </w:r>
    </w:p>
  </w:comment>
  <w:comment w:id="41" w:author="Kapil" w:date="2021-03-26T18:33:00Z" w:initials="K">
    <w:p w:rsidR="009F4214" w:rsidRDefault="009F4214">
      <w:pPr>
        <w:pStyle w:val="CommentText"/>
      </w:pPr>
      <w:r>
        <w:rPr>
          <w:rStyle w:val="CommentReference"/>
        </w:rPr>
        <w:annotationRef/>
      </w:r>
      <w:r>
        <w:t>Spacing needed</w:t>
      </w:r>
    </w:p>
  </w:comment>
  <w:comment w:id="37" w:author="Kapil" w:date="2021-05-13T18:00:00Z" w:initials="K">
    <w:p w:rsidR="00F22EDE" w:rsidRDefault="00F22EDE" w:rsidP="00F22EDE">
      <w:pPr>
        <w:rPr>
          <w:rFonts w:ascii="Bookman Old Style" w:hAnsi="Bookman Old Style"/>
        </w:rPr>
      </w:pPr>
      <w:r>
        <w:rPr>
          <w:rStyle w:val="CommentReference"/>
        </w:rPr>
        <w:annotationRef/>
      </w:r>
      <w:r w:rsidRPr="00C91010">
        <w:rPr>
          <w:rFonts w:ascii="Bookman Old Style" w:hAnsi="Bookman Old Style"/>
        </w:rPr>
        <w:t>Too long detail. It should be reduced</w:t>
      </w:r>
      <w:r>
        <w:rPr>
          <w:rFonts w:ascii="Bookman Old Style" w:hAnsi="Bookman Old Style"/>
        </w:rPr>
        <w:t>.</w:t>
      </w:r>
    </w:p>
    <w:p w:rsidR="00F22EDE" w:rsidRDefault="00F22EDE">
      <w:pPr>
        <w:pStyle w:val="CommentText"/>
      </w:pPr>
    </w:p>
  </w:comment>
  <w:comment w:id="36" w:author="Kapil" w:date="2021-03-26T17:02:00Z" w:initials="K">
    <w:p w:rsidR="00462AFA" w:rsidRDefault="00462AFA" w:rsidP="00462AFA">
      <w:pPr>
        <w:rPr>
          <w:rFonts w:ascii="Bookman Old Style" w:hAnsi="Bookman Old Style"/>
        </w:rPr>
      </w:pPr>
      <w:r>
        <w:rPr>
          <w:rStyle w:val="CommentReference"/>
        </w:rPr>
        <w:annotationRef/>
      </w:r>
    </w:p>
    <w:p w:rsidR="00462AFA" w:rsidRDefault="00462AFA" w:rsidP="00462AFA">
      <w:pPr>
        <w:rPr>
          <w:rFonts w:ascii="Bookman Old Style" w:hAnsi="Bookman Old Style"/>
        </w:rPr>
      </w:pPr>
      <w:r w:rsidRPr="006B3A13">
        <w:rPr>
          <w:rFonts w:ascii="Bookman Old Style" w:hAnsi="Bookman Old Style"/>
        </w:rPr>
        <w:t>Well designed and adequate</w:t>
      </w:r>
    </w:p>
    <w:p w:rsidR="00462AFA" w:rsidRDefault="00462AFA">
      <w:pPr>
        <w:pStyle w:val="CommentText"/>
      </w:pPr>
    </w:p>
  </w:comment>
  <w:comment w:id="42" w:author="Kapil" w:date="2021-05-13T18:00:00Z" w:initials="K">
    <w:p w:rsidR="00F22EDE" w:rsidRPr="00B4457F" w:rsidRDefault="00F22EDE" w:rsidP="00F22EDE">
      <w:pPr>
        <w:rPr>
          <w:highlight w:val="yellow"/>
        </w:rPr>
      </w:pPr>
      <w:r>
        <w:rPr>
          <w:rStyle w:val="CommentReference"/>
        </w:rPr>
        <w:annotationRef/>
      </w:r>
      <w:r w:rsidRPr="00B4457F">
        <w:rPr>
          <w:szCs w:val="20"/>
          <w:highlight w:val="yellow"/>
        </w:rPr>
        <w:t xml:space="preserve">In the conclusion paragraph, the author recommends administering the vaccine to females to prevent them from rubella infection </w:t>
      </w:r>
      <w:r w:rsidRPr="00B4457F">
        <w:rPr>
          <w:highlight w:val="yellow"/>
        </w:rPr>
        <w:t>during pregnancy.</w:t>
      </w:r>
    </w:p>
    <w:p w:rsidR="00F22EDE" w:rsidRPr="00B4457F" w:rsidRDefault="00F22EDE" w:rsidP="00F22EDE">
      <w:pPr>
        <w:rPr>
          <w:szCs w:val="20"/>
        </w:rPr>
      </w:pPr>
      <w:r w:rsidRPr="00B4457F">
        <w:rPr>
          <w:highlight w:val="yellow"/>
        </w:rPr>
        <w:t>As the non-immunized females were only 27% , wouldn't it better (economically) to recommend performing  ru</w:t>
      </w:r>
      <w:r w:rsidRPr="00B4457F">
        <w:rPr>
          <w:szCs w:val="20"/>
          <w:highlight w:val="yellow"/>
        </w:rPr>
        <w:t>bella IgG titration upon marriage and then give her the vaccine if she is not immunized?</w:t>
      </w:r>
    </w:p>
    <w:p w:rsidR="00F22EDE" w:rsidRDefault="00F22EDE" w:rsidP="00F22EDE">
      <w:pPr>
        <w:pStyle w:val="CommentText"/>
      </w:pPr>
    </w:p>
    <w:p w:rsidR="00F22EDE" w:rsidRDefault="00F22EDE">
      <w:pPr>
        <w:pStyle w:val="CommentText"/>
      </w:pPr>
    </w:p>
  </w:comment>
  <w:comment w:id="43" w:author="Kapil" w:date="2020-08-12T13:45:00Z" w:initials="K">
    <w:p w:rsidR="008F5701" w:rsidRDefault="008F5701" w:rsidP="008F5701">
      <w:pPr>
        <w:pStyle w:val="CommentText"/>
      </w:pPr>
      <w:r>
        <w:rPr>
          <w:rStyle w:val="CommentReference"/>
        </w:rPr>
        <w:annotationRef/>
      </w:r>
    </w:p>
    <w:p w:rsidR="008F5701" w:rsidRDefault="008F5701" w:rsidP="008F5701">
      <w:pPr>
        <w:pStyle w:val="CommentText"/>
      </w:pPr>
      <w:r>
        <w:t xml:space="preserve">Please follow the journal specifications for references </w:t>
      </w:r>
    </w:p>
    <w:p w:rsidR="008F5701" w:rsidRDefault="008F5701" w:rsidP="008F5701">
      <w:pPr>
        <w:pStyle w:val="CommentText"/>
      </w:pPr>
      <w:r>
        <w:t>For example</w:t>
      </w:r>
    </w:p>
    <w:p w:rsidR="008F5701" w:rsidRDefault="008F5701" w:rsidP="008F5701">
      <w:pPr>
        <w:pStyle w:val="CommentText"/>
      </w:pPr>
      <w:r>
        <w:rPr>
          <w:rStyle w:val="fontstyle01"/>
        </w:rPr>
        <w:t>Al-Sharani AA, Al-Hajj W, Al-Shamahy HA, Jaadan BM. The effect of nanosilver and chlorhexidine</w:t>
      </w:r>
      <w:r>
        <w:rPr>
          <w:color w:val="000000"/>
          <w:sz w:val="18"/>
          <w:szCs w:val="18"/>
        </w:rPr>
        <w:br/>
      </w:r>
      <w:r>
        <w:rPr>
          <w:rStyle w:val="fontstyle01"/>
        </w:rPr>
        <w:t>mouthwash on anaerobic periodontal pathogens counts. Univ J Pharm Res 2019;</w:t>
      </w:r>
      <w:r>
        <w:rPr>
          <w:color w:val="000000"/>
          <w:sz w:val="18"/>
          <w:szCs w:val="18"/>
        </w:rPr>
        <w:br/>
      </w:r>
      <w:r>
        <w:rPr>
          <w:rStyle w:val="fontstyle01"/>
        </w:rPr>
        <w:t xml:space="preserve">4(5): 1-6. </w:t>
      </w:r>
      <w:hyperlink r:id="rId3" w:history="1">
        <w:r>
          <w:rPr>
            <w:rStyle w:val="Hyperlink"/>
          </w:rPr>
          <w:t xml:space="preserve">https://doi.org/10.22270/ujpr.v4i5.309 </w:t>
        </w:r>
      </w:hyperlink>
    </w:p>
  </w:comment>
  <w:comment w:id="44" w:author="Kapil" w:date="2020-08-12T13:45:00Z" w:initials="K">
    <w:p w:rsidR="008F5701" w:rsidRDefault="008F5701" w:rsidP="008F5701">
      <w:pPr>
        <w:pStyle w:val="CommentText"/>
        <w:spacing w:before="240"/>
      </w:pPr>
      <w:r>
        <w:rPr>
          <w:rStyle w:val="CommentReference"/>
        </w:rPr>
        <w:annotationRef/>
      </w:r>
    </w:p>
    <w:p w:rsidR="008F5701" w:rsidRDefault="008F5701" w:rsidP="008F5701">
      <w:pPr>
        <w:pStyle w:val="CommentText"/>
        <w:spacing w:before="240"/>
      </w:pPr>
      <w:r>
        <w:t>Please add DOI ids to each reference if available like below</w:t>
      </w:r>
    </w:p>
    <w:p w:rsidR="008F5701" w:rsidRDefault="008F5701" w:rsidP="008F5701">
      <w:pPr>
        <w:pStyle w:val="CommentText"/>
        <w:spacing w:before="240"/>
      </w:pPr>
    </w:p>
    <w:p w:rsidR="008F5701" w:rsidRDefault="00BB3E26" w:rsidP="008F5701">
      <w:pPr>
        <w:pStyle w:val="CommentText"/>
      </w:pPr>
      <w:hyperlink r:id="rId4" w:history="1">
        <w:r w:rsidR="008F5701" w:rsidRPr="00010237">
          <w:rPr>
            <w:rStyle w:val="Hyperlink"/>
            <w:color w:val="1F497D"/>
            <w:sz w:val="17"/>
            <w:szCs w:val="17"/>
          </w:rPr>
          <w:t>https://doi.org/10.4103/jos.JOS_104_18</w:t>
        </w:r>
      </w:hyperlink>
    </w:p>
    <w:p w:rsidR="008F5701" w:rsidRDefault="008F5701">
      <w:pPr>
        <w:pStyle w:val="CommentText"/>
      </w:pPr>
    </w:p>
  </w:comment>
  <w:comment w:id="45" w:author="Kapil" w:date="2020-08-12T13:47:00Z" w:initials="K">
    <w:p w:rsidR="008F5701" w:rsidRDefault="008F5701">
      <w:pPr>
        <w:pStyle w:val="CommentText"/>
        <w:rPr>
          <w:rtl/>
        </w:rPr>
      </w:pPr>
      <w:r>
        <w:rPr>
          <w:rStyle w:val="CommentReference"/>
        </w:rPr>
        <w:annotationRef/>
      </w:r>
    </w:p>
    <w:p w:rsidR="008F5701" w:rsidRPr="002A5734" w:rsidRDefault="008F5701" w:rsidP="008F5701">
      <w:pPr>
        <w:bidi w:val="0"/>
        <w:ind w:right="42"/>
        <w:jc w:val="both"/>
      </w:pPr>
      <w:r w:rsidRPr="008F5701">
        <w:rPr>
          <w:highlight w:val="yellow"/>
        </w:rPr>
        <w:t>Mostly are old references, please add some latest references of 2015-2020</w:t>
      </w:r>
    </w:p>
    <w:p w:rsidR="008F5701" w:rsidRDefault="008F5701">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519" w:rsidRDefault="00167519">
      <w:r>
        <w:separator/>
      </w:r>
    </w:p>
  </w:endnote>
  <w:endnote w:type="continuationSeparator" w:id="1">
    <w:p w:rsidR="00167519" w:rsidRDefault="00167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81" w:rsidRDefault="00BB3E26" w:rsidP="002024A6">
    <w:pPr>
      <w:pStyle w:val="a0"/>
      <w:framePr w:wrap="around" w:vAnchor="text" w:hAnchor="text" w:xAlign="center" w:y="1"/>
      <w:rPr>
        <w:rStyle w:val="a1"/>
      </w:rPr>
    </w:pPr>
    <w:r>
      <w:rPr>
        <w:rStyle w:val="a1"/>
        <w:rtl/>
      </w:rPr>
      <w:fldChar w:fldCharType="begin"/>
    </w:r>
    <w:r w:rsidR="00265681">
      <w:rPr>
        <w:rStyle w:val="a1"/>
      </w:rPr>
      <w:instrText xml:space="preserve">PAGE  </w:instrText>
    </w:r>
    <w:r>
      <w:rPr>
        <w:rStyle w:val="a1"/>
        <w:rtl/>
      </w:rPr>
      <w:fldChar w:fldCharType="end"/>
    </w:r>
  </w:p>
  <w:p w:rsidR="00265681" w:rsidRDefault="00265681">
    <w:pPr>
      <w:pStyle w:val="a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81" w:rsidRDefault="00265681">
    <w:pPr>
      <w:pStyle w:val="a0"/>
      <w:jc w:val="center"/>
    </w:pPr>
  </w:p>
  <w:p w:rsidR="00265681" w:rsidRPr="00E008A3" w:rsidRDefault="00265681">
    <w:pPr>
      <w:pStyle w:val="a0"/>
      <w:rPr>
        <w:b/>
        <w:b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81" w:rsidRDefault="002656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519" w:rsidRDefault="00167519">
      <w:r>
        <w:separator/>
      </w:r>
    </w:p>
  </w:footnote>
  <w:footnote w:type="continuationSeparator" w:id="1">
    <w:p w:rsidR="00167519" w:rsidRDefault="00167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81" w:rsidRDefault="00BB3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6026" o:spid="_x0000_s2050" type="#_x0000_t136" style="position:absolute;left:0;text-align:left;margin-left:0;margin-top:0;width:377.25pt;height:50.25pt;rotation:315;z-index:-251654144;mso-position-horizontal:center;mso-position-horizontal-relative:margin;mso-position-vertical:center;mso-position-vertical-relative:margin" o:allowincell="f" fillcolor="#002060" stroked="f">
          <v:fill opacity=".5"/>
          <v:textpath style="font-family:&quot;Times New Roman&quot;;font-size:44pt" string="Revi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81" w:rsidRDefault="00BB3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6027" o:spid="_x0000_s2051" type="#_x0000_t136" style="position:absolute;left:0;text-align:left;margin-left:0;margin-top:0;width:377.25pt;height:50.25pt;rotation:315;z-index:-251652096;mso-position-horizontal:center;mso-position-horizontal-relative:margin;mso-position-vertical:center;mso-position-vertical-relative:margin" o:allowincell="f" fillcolor="#002060" stroked="f">
          <v:fill opacity=".5"/>
          <v:textpath style="font-family:&quot;Times New Roman&quot;;font-size:44pt" string="Revi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681" w:rsidRDefault="00BB3E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6025" o:spid="_x0000_s2049" type="#_x0000_t136" style="position:absolute;left:0;text-align:left;margin-left:0;margin-top:0;width:377.25pt;height:50.25pt;rotation:315;z-index:-251656192;mso-position-horizontal:center;mso-position-horizontal-relative:margin;mso-position-vertical:center;mso-position-vertical-relative:margin" o:allowincell="f" fillcolor="#002060" stroked="f">
          <v:fill opacity=".5"/>
          <v:textpath style="font-family:&quot;Times New Roman&quot;;font-size:44pt" string="Revi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363"/>
    <w:multiLevelType w:val="multilevel"/>
    <w:tmpl w:val="D29E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12F01"/>
    <w:multiLevelType w:val="hybridMultilevel"/>
    <w:tmpl w:val="0C6CDC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D67510"/>
    <w:multiLevelType w:val="hybridMultilevel"/>
    <w:tmpl w:val="8F3A2DE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35716633"/>
    <w:multiLevelType w:val="hybridMultilevel"/>
    <w:tmpl w:val="A240E5A0"/>
    <w:lvl w:ilvl="0" w:tplc="04090009">
      <w:start w:val="1"/>
      <w:numFmt w:val="bullet"/>
      <w:lvlText w:val=""/>
      <w:lvlJc w:val="left"/>
      <w:pPr>
        <w:tabs>
          <w:tab w:val="num" w:pos="900"/>
        </w:tabs>
        <w:ind w:left="90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A54130"/>
    <w:multiLevelType w:val="multilevel"/>
    <w:tmpl w:val="0F32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40F04"/>
    <w:multiLevelType w:val="hybridMultilevel"/>
    <w:tmpl w:val="F53E00E8"/>
    <w:lvl w:ilvl="0" w:tplc="1A9AD6B0">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56CC0"/>
    <w:multiLevelType w:val="hybridMultilevel"/>
    <w:tmpl w:val="1804A3D8"/>
    <w:lvl w:ilvl="0" w:tplc="339062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C627CF"/>
    <w:multiLevelType w:val="hybridMultilevel"/>
    <w:tmpl w:val="B4BC1336"/>
    <w:lvl w:ilvl="0" w:tplc="F926D2FC">
      <w:start w:val="1"/>
      <w:numFmt w:val="low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A419B6"/>
    <w:multiLevelType w:val="multilevel"/>
    <w:tmpl w:val="3740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3249B5"/>
    <w:multiLevelType w:val="hybridMultilevel"/>
    <w:tmpl w:val="F5F2F8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D36E19"/>
    <w:multiLevelType w:val="hybridMultilevel"/>
    <w:tmpl w:val="FB4C6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4476E3"/>
    <w:multiLevelType w:val="multilevel"/>
    <w:tmpl w:val="7344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275EE"/>
    <w:multiLevelType w:val="hybridMultilevel"/>
    <w:tmpl w:val="23585014"/>
    <w:lvl w:ilvl="0" w:tplc="6FC8C5AA">
      <w:start w:val="1"/>
      <w:numFmt w:val="bullet"/>
      <w:lvlText w:val=""/>
      <w:lvlJc w:val="left"/>
      <w:pPr>
        <w:ind w:left="786" w:hanging="360"/>
      </w:pPr>
      <w:rPr>
        <w:rFonts w:ascii="Wingdings" w:hAnsi="Wingdings" w:hint="default"/>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7569144D"/>
    <w:multiLevelType w:val="multilevel"/>
    <w:tmpl w:val="039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9"/>
  </w:num>
  <w:num w:numId="4">
    <w:abstractNumId w:val="1"/>
  </w:num>
  <w:num w:numId="5">
    <w:abstractNumId w:val="2"/>
  </w:num>
  <w:num w:numId="6">
    <w:abstractNumId w:val="7"/>
  </w:num>
  <w:num w:numId="7">
    <w:abstractNumId w:val="10"/>
  </w:num>
  <w:num w:numId="8">
    <w:abstractNumId w:val="5"/>
  </w:num>
  <w:num w:numId="9">
    <w:abstractNumId w:val="0"/>
  </w:num>
  <w:num w:numId="10">
    <w:abstractNumId w:val="8"/>
  </w:num>
  <w:num w:numId="11">
    <w:abstractNumId w:val="11"/>
  </w:num>
  <w:num w:numId="12">
    <w:abstractNumId w:val="4"/>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hdrShapeDefaults>
    <o:shapedefaults v:ext="edit" spidmax="10242" fillcolor="#f9c" stroke="f">
      <v:fill color="#f9c"/>
      <v:stroke on="f"/>
    </o:shapedefaults>
    <o:shapelayout v:ext="edit">
      <o:idmap v:ext="edit" data="2"/>
    </o:shapelayout>
  </w:hdrShapeDefaults>
  <w:footnotePr>
    <w:footnote w:id="0"/>
    <w:footnote w:id="1"/>
  </w:footnotePr>
  <w:endnotePr>
    <w:endnote w:id="0"/>
    <w:endnote w:id="1"/>
  </w:endnotePr>
  <w:compat>
    <w:useFELayout/>
  </w:compat>
  <w:rsids>
    <w:rsidRoot w:val="001E1C30"/>
    <w:rsid w:val="000009DB"/>
    <w:rsid w:val="00000DEB"/>
    <w:rsid w:val="00003FF5"/>
    <w:rsid w:val="00004466"/>
    <w:rsid w:val="00005303"/>
    <w:rsid w:val="000055FF"/>
    <w:rsid w:val="0000682D"/>
    <w:rsid w:val="00010024"/>
    <w:rsid w:val="0001066B"/>
    <w:rsid w:val="0001067C"/>
    <w:rsid w:val="0001090A"/>
    <w:rsid w:val="00010EAC"/>
    <w:rsid w:val="000110CC"/>
    <w:rsid w:val="00012EEA"/>
    <w:rsid w:val="000137AC"/>
    <w:rsid w:val="00014C17"/>
    <w:rsid w:val="00014D85"/>
    <w:rsid w:val="00016904"/>
    <w:rsid w:val="000179EB"/>
    <w:rsid w:val="00022B93"/>
    <w:rsid w:val="000234F7"/>
    <w:rsid w:val="00025673"/>
    <w:rsid w:val="000257F0"/>
    <w:rsid w:val="00025831"/>
    <w:rsid w:val="000300FE"/>
    <w:rsid w:val="000304BE"/>
    <w:rsid w:val="000315C1"/>
    <w:rsid w:val="00032F00"/>
    <w:rsid w:val="00035BBB"/>
    <w:rsid w:val="00035BEF"/>
    <w:rsid w:val="000411CC"/>
    <w:rsid w:val="0004296A"/>
    <w:rsid w:val="00042A07"/>
    <w:rsid w:val="00050164"/>
    <w:rsid w:val="00051EC5"/>
    <w:rsid w:val="000521CC"/>
    <w:rsid w:val="00052361"/>
    <w:rsid w:val="00052E43"/>
    <w:rsid w:val="0005559B"/>
    <w:rsid w:val="00063B6D"/>
    <w:rsid w:val="0006560E"/>
    <w:rsid w:val="000703B1"/>
    <w:rsid w:val="00071132"/>
    <w:rsid w:val="000712B9"/>
    <w:rsid w:val="00071F5B"/>
    <w:rsid w:val="00073C88"/>
    <w:rsid w:val="00080EE3"/>
    <w:rsid w:val="00081AF0"/>
    <w:rsid w:val="00081BAE"/>
    <w:rsid w:val="00082DB6"/>
    <w:rsid w:val="000871F3"/>
    <w:rsid w:val="00090833"/>
    <w:rsid w:val="0009153B"/>
    <w:rsid w:val="00093378"/>
    <w:rsid w:val="000968EE"/>
    <w:rsid w:val="00097178"/>
    <w:rsid w:val="0009771F"/>
    <w:rsid w:val="000A198C"/>
    <w:rsid w:val="000A1D9D"/>
    <w:rsid w:val="000A2436"/>
    <w:rsid w:val="000A7342"/>
    <w:rsid w:val="000B0810"/>
    <w:rsid w:val="000B20E4"/>
    <w:rsid w:val="000B3CDC"/>
    <w:rsid w:val="000C1591"/>
    <w:rsid w:val="000C5581"/>
    <w:rsid w:val="000C56C9"/>
    <w:rsid w:val="000C63A7"/>
    <w:rsid w:val="000C6534"/>
    <w:rsid w:val="000C7CB1"/>
    <w:rsid w:val="000C7FBA"/>
    <w:rsid w:val="000D211A"/>
    <w:rsid w:val="000D2FE2"/>
    <w:rsid w:val="000D437B"/>
    <w:rsid w:val="000D5F09"/>
    <w:rsid w:val="000D635F"/>
    <w:rsid w:val="000D7DB1"/>
    <w:rsid w:val="000E061F"/>
    <w:rsid w:val="000E118C"/>
    <w:rsid w:val="000E164F"/>
    <w:rsid w:val="000E1ECF"/>
    <w:rsid w:val="000E264B"/>
    <w:rsid w:val="000E578E"/>
    <w:rsid w:val="000E75D6"/>
    <w:rsid w:val="000F1E01"/>
    <w:rsid w:val="000F23BA"/>
    <w:rsid w:val="000F391B"/>
    <w:rsid w:val="000F3B2E"/>
    <w:rsid w:val="000F579B"/>
    <w:rsid w:val="000F6B83"/>
    <w:rsid w:val="000F6E5E"/>
    <w:rsid w:val="001000F5"/>
    <w:rsid w:val="00103E55"/>
    <w:rsid w:val="00106511"/>
    <w:rsid w:val="00106DDD"/>
    <w:rsid w:val="00110A31"/>
    <w:rsid w:val="00115E91"/>
    <w:rsid w:val="001229E0"/>
    <w:rsid w:val="0012311A"/>
    <w:rsid w:val="00123CB0"/>
    <w:rsid w:val="00124892"/>
    <w:rsid w:val="001266D6"/>
    <w:rsid w:val="00126B8F"/>
    <w:rsid w:val="001312AE"/>
    <w:rsid w:val="0013694B"/>
    <w:rsid w:val="00137F00"/>
    <w:rsid w:val="00137FBD"/>
    <w:rsid w:val="00141082"/>
    <w:rsid w:val="0014393D"/>
    <w:rsid w:val="00147993"/>
    <w:rsid w:val="00147BDE"/>
    <w:rsid w:val="00151559"/>
    <w:rsid w:val="00151C49"/>
    <w:rsid w:val="001520B3"/>
    <w:rsid w:val="00152C88"/>
    <w:rsid w:val="00153518"/>
    <w:rsid w:val="00154784"/>
    <w:rsid w:val="00155E24"/>
    <w:rsid w:val="00156E3A"/>
    <w:rsid w:val="00157ED3"/>
    <w:rsid w:val="00161A0E"/>
    <w:rsid w:val="001645B3"/>
    <w:rsid w:val="00166A46"/>
    <w:rsid w:val="00167519"/>
    <w:rsid w:val="00167C9E"/>
    <w:rsid w:val="00170D27"/>
    <w:rsid w:val="001754A5"/>
    <w:rsid w:val="001759EC"/>
    <w:rsid w:val="00175A55"/>
    <w:rsid w:val="00176E64"/>
    <w:rsid w:val="00177F92"/>
    <w:rsid w:val="0018163A"/>
    <w:rsid w:val="001819F3"/>
    <w:rsid w:val="00183411"/>
    <w:rsid w:val="0018347C"/>
    <w:rsid w:val="00183E4F"/>
    <w:rsid w:val="00184EC4"/>
    <w:rsid w:val="00186D7F"/>
    <w:rsid w:val="00187F7F"/>
    <w:rsid w:val="001904A4"/>
    <w:rsid w:val="001909C0"/>
    <w:rsid w:val="001928AB"/>
    <w:rsid w:val="00193A40"/>
    <w:rsid w:val="001963FA"/>
    <w:rsid w:val="001A2F21"/>
    <w:rsid w:val="001A3CB4"/>
    <w:rsid w:val="001A47BF"/>
    <w:rsid w:val="001A66F2"/>
    <w:rsid w:val="001A7694"/>
    <w:rsid w:val="001B3184"/>
    <w:rsid w:val="001B45C8"/>
    <w:rsid w:val="001B48E6"/>
    <w:rsid w:val="001B5B56"/>
    <w:rsid w:val="001B5C28"/>
    <w:rsid w:val="001B7380"/>
    <w:rsid w:val="001B79C6"/>
    <w:rsid w:val="001C05CD"/>
    <w:rsid w:val="001C0833"/>
    <w:rsid w:val="001C18F3"/>
    <w:rsid w:val="001C3FAF"/>
    <w:rsid w:val="001C5692"/>
    <w:rsid w:val="001D04F2"/>
    <w:rsid w:val="001D0CC0"/>
    <w:rsid w:val="001D1295"/>
    <w:rsid w:val="001D27B1"/>
    <w:rsid w:val="001D2F2D"/>
    <w:rsid w:val="001D73D0"/>
    <w:rsid w:val="001E1C30"/>
    <w:rsid w:val="001E2250"/>
    <w:rsid w:val="001E2DDE"/>
    <w:rsid w:val="001E39DC"/>
    <w:rsid w:val="001E406B"/>
    <w:rsid w:val="001E75B8"/>
    <w:rsid w:val="001E7619"/>
    <w:rsid w:val="001F2A47"/>
    <w:rsid w:val="001F2E3F"/>
    <w:rsid w:val="001F3207"/>
    <w:rsid w:val="001F392F"/>
    <w:rsid w:val="001F413B"/>
    <w:rsid w:val="001F5DDC"/>
    <w:rsid w:val="001F5FFD"/>
    <w:rsid w:val="001F7098"/>
    <w:rsid w:val="001F7EF7"/>
    <w:rsid w:val="00201427"/>
    <w:rsid w:val="002024A6"/>
    <w:rsid w:val="00202571"/>
    <w:rsid w:val="00202D3A"/>
    <w:rsid w:val="00204023"/>
    <w:rsid w:val="00204595"/>
    <w:rsid w:val="00204716"/>
    <w:rsid w:val="0020477D"/>
    <w:rsid w:val="00205E0B"/>
    <w:rsid w:val="0020638A"/>
    <w:rsid w:val="0020734B"/>
    <w:rsid w:val="00207E4B"/>
    <w:rsid w:val="00216494"/>
    <w:rsid w:val="00216AB3"/>
    <w:rsid w:val="00217319"/>
    <w:rsid w:val="002174B9"/>
    <w:rsid w:val="0021785C"/>
    <w:rsid w:val="00220BEF"/>
    <w:rsid w:val="00221092"/>
    <w:rsid w:val="0022165C"/>
    <w:rsid w:val="0022277C"/>
    <w:rsid w:val="0022278E"/>
    <w:rsid w:val="002227BE"/>
    <w:rsid w:val="002325AF"/>
    <w:rsid w:val="00232C20"/>
    <w:rsid w:val="002346DE"/>
    <w:rsid w:val="00236716"/>
    <w:rsid w:val="002374BB"/>
    <w:rsid w:val="0024099C"/>
    <w:rsid w:val="002419A0"/>
    <w:rsid w:val="0024277A"/>
    <w:rsid w:val="002439D9"/>
    <w:rsid w:val="00243A08"/>
    <w:rsid w:val="00243C64"/>
    <w:rsid w:val="00243F27"/>
    <w:rsid w:val="00244A82"/>
    <w:rsid w:val="00245C6C"/>
    <w:rsid w:val="00245F71"/>
    <w:rsid w:val="002473E2"/>
    <w:rsid w:val="00253872"/>
    <w:rsid w:val="00253C9F"/>
    <w:rsid w:val="002549A3"/>
    <w:rsid w:val="00255296"/>
    <w:rsid w:val="0025628F"/>
    <w:rsid w:val="0025777A"/>
    <w:rsid w:val="002615B6"/>
    <w:rsid w:val="002617E4"/>
    <w:rsid w:val="00265681"/>
    <w:rsid w:val="00271EF7"/>
    <w:rsid w:val="00272367"/>
    <w:rsid w:val="002729DA"/>
    <w:rsid w:val="00273A13"/>
    <w:rsid w:val="00273FD3"/>
    <w:rsid w:val="002758B5"/>
    <w:rsid w:val="00276477"/>
    <w:rsid w:val="0028317B"/>
    <w:rsid w:val="002850BD"/>
    <w:rsid w:val="00286416"/>
    <w:rsid w:val="002869C4"/>
    <w:rsid w:val="00291181"/>
    <w:rsid w:val="00291438"/>
    <w:rsid w:val="00292143"/>
    <w:rsid w:val="002930F6"/>
    <w:rsid w:val="002947D0"/>
    <w:rsid w:val="00295B94"/>
    <w:rsid w:val="00297732"/>
    <w:rsid w:val="002A1E64"/>
    <w:rsid w:val="002A2114"/>
    <w:rsid w:val="002A3468"/>
    <w:rsid w:val="002A3F62"/>
    <w:rsid w:val="002A5734"/>
    <w:rsid w:val="002A5EDD"/>
    <w:rsid w:val="002A6237"/>
    <w:rsid w:val="002B0453"/>
    <w:rsid w:val="002B46C8"/>
    <w:rsid w:val="002B5028"/>
    <w:rsid w:val="002C197D"/>
    <w:rsid w:val="002C2BCE"/>
    <w:rsid w:val="002C3865"/>
    <w:rsid w:val="002C3B6F"/>
    <w:rsid w:val="002C404D"/>
    <w:rsid w:val="002C418E"/>
    <w:rsid w:val="002C647D"/>
    <w:rsid w:val="002C72ED"/>
    <w:rsid w:val="002D1F38"/>
    <w:rsid w:val="002D31B4"/>
    <w:rsid w:val="002D424D"/>
    <w:rsid w:val="002D4A51"/>
    <w:rsid w:val="002D5C43"/>
    <w:rsid w:val="002E29E3"/>
    <w:rsid w:val="002E31C5"/>
    <w:rsid w:val="002E3492"/>
    <w:rsid w:val="002E357B"/>
    <w:rsid w:val="002E3B95"/>
    <w:rsid w:val="002E5403"/>
    <w:rsid w:val="002F03D5"/>
    <w:rsid w:val="00302078"/>
    <w:rsid w:val="00306612"/>
    <w:rsid w:val="00307302"/>
    <w:rsid w:val="00316D32"/>
    <w:rsid w:val="00323C5E"/>
    <w:rsid w:val="003260F5"/>
    <w:rsid w:val="00330149"/>
    <w:rsid w:val="00330BD6"/>
    <w:rsid w:val="00331636"/>
    <w:rsid w:val="00331944"/>
    <w:rsid w:val="00333384"/>
    <w:rsid w:val="00334B72"/>
    <w:rsid w:val="00335E9A"/>
    <w:rsid w:val="00341B5B"/>
    <w:rsid w:val="003428F6"/>
    <w:rsid w:val="003436C6"/>
    <w:rsid w:val="00343ECD"/>
    <w:rsid w:val="00345184"/>
    <w:rsid w:val="0034683E"/>
    <w:rsid w:val="00346C73"/>
    <w:rsid w:val="00347C82"/>
    <w:rsid w:val="003657F9"/>
    <w:rsid w:val="00365860"/>
    <w:rsid w:val="00366D1C"/>
    <w:rsid w:val="00367456"/>
    <w:rsid w:val="00367C82"/>
    <w:rsid w:val="00370319"/>
    <w:rsid w:val="003718AA"/>
    <w:rsid w:val="00372396"/>
    <w:rsid w:val="00372C7C"/>
    <w:rsid w:val="003749AE"/>
    <w:rsid w:val="00376BA0"/>
    <w:rsid w:val="00376C59"/>
    <w:rsid w:val="0037700F"/>
    <w:rsid w:val="0038113E"/>
    <w:rsid w:val="003813C5"/>
    <w:rsid w:val="00382F0A"/>
    <w:rsid w:val="00385A6C"/>
    <w:rsid w:val="00387472"/>
    <w:rsid w:val="00387767"/>
    <w:rsid w:val="00387CF9"/>
    <w:rsid w:val="00391467"/>
    <w:rsid w:val="00391EE6"/>
    <w:rsid w:val="003926AD"/>
    <w:rsid w:val="00392F4F"/>
    <w:rsid w:val="00393F18"/>
    <w:rsid w:val="00394AEF"/>
    <w:rsid w:val="003A0EBF"/>
    <w:rsid w:val="003A4E79"/>
    <w:rsid w:val="003B3325"/>
    <w:rsid w:val="003B3F5A"/>
    <w:rsid w:val="003B41A6"/>
    <w:rsid w:val="003B4C09"/>
    <w:rsid w:val="003B5385"/>
    <w:rsid w:val="003B6916"/>
    <w:rsid w:val="003B6CC4"/>
    <w:rsid w:val="003B737A"/>
    <w:rsid w:val="003B7C26"/>
    <w:rsid w:val="003C4810"/>
    <w:rsid w:val="003C4BAD"/>
    <w:rsid w:val="003C5025"/>
    <w:rsid w:val="003C5571"/>
    <w:rsid w:val="003C6DD4"/>
    <w:rsid w:val="003D0EA4"/>
    <w:rsid w:val="003D2209"/>
    <w:rsid w:val="003D473F"/>
    <w:rsid w:val="003E0295"/>
    <w:rsid w:val="003E288A"/>
    <w:rsid w:val="003E2EA4"/>
    <w:rsid w:val="003E353E"/>
    <w:rsid w:val="003E77BD"/>
    <w:rsid w:val="003E78E0"/>
    <w:rsid w:val="003F0C01"/>
    <w:rsid w:val="003F235E"/>
    <w:rsid w:val="003F4394"/>
    <w:rsid w:val="003F493A"/>
    <w:rsid w:val="003F7655"/>
    <w:rsid w:val="003F7CD3"/>
    <w:rsid w:val="00400E02"/>
    <w:rsid w:val="00401860"/>
    <w:rsid w:val="00402131"/>
    <w:rsid w:val="00402BA1"/>
    <w:rsid w:val="00402F47"/>
    <w:rsid w:val="00405548"/>
    <w:rsid w:val="0040764A"/>
    <w:rsid w:val="00410CA8"/>
    <w:rsid w:val="00411659"/>
    <w:rsid w:val="00415A60"/>
    <w:rsid w:val="00420E1B"/>
    <w:rsid w:val="0042247A"/>
    <w:rsid w:val="00424B72"/>
    <w:rsid w:val="004261B3"/>
    <w:rsid w:val="00427896"/>
    <w:rsid w:val="004279AE"/>
    <w:rsid w:val="004312D9"/>
    <w:rsid w:val="004325FF"/>
    <w:rsid w:val="004344B1"/>
    <w:rsid w:val="00436642"/>
    <w:rsid w:val="00436C07"/>
    <w:rsid w:val="00437CC9"/>
    <w:rsid w:val="004450F8"/>
    <w:rsid w:val="0044677D"/>
    <w:rsid w:val="004479BD"/>
    <w:rsid w:val="00447F5B"/>
    <w:rsid w:val="004509E6"/>
    <w:rsid w:val="00451CF7"/>
    <w:rsid w:val="00452FAC"/>
    <w:rsid w:val="00453379"/>
    <w:rsid w:val="00456C52"/>
    <w:rsid w:val="004619EF"/>
    <w:rsid w:val="00462754"/>
    <w:rsid w:val="00462AFA"/>
    <w:rsid w:val="00462B9B"/>
    <w:rsid w:val="00463D61"/>
    <w:rsid w:val="00470EBD"/>
    <w:rsid w:val="004714B6"/>
    <w:rsid w:val="004719D0"/>
    <w:rsid w:val="0047265B"/>
    <w:rsid w:val="004726F5"/>
    <w:rsid w:val="00473E43"/>
    <w:rsid w:val="00474944"/>
    <w:rsid w:val="00474B5C"/>
    <w:rsid w:val="00475403"/>
    <w:rsid w:val="00476ADE"/>
    <w:rsid w:val="00476FE3"/>
    <w:rsid w:val="00480C4D"/>
    <w:rsid w:val="004836CC"/>
    <w:rsid w:val="00485925"/>
    <w:rsid w:val="00486D84"/>
    <w:rsid w:val="00486F30"/>
    <w:rsid w:val="004871F9"/>
    <w:rsid w:val="0049280B"/>
    <w:rsid w:val="00496112"/>
    <w:rsid w:val="00496592"/>
    <w:rsid w:val="00497135"/>
    <w:rsid w:val="004A3F11"/>
    <w:rsid w:val="004A522B"/>
    <w:rsid w:val="004A5A1B"/>
    <w:rsid w:val="004A6B9B"/>
    <w:rsid w:val="004A724D"/>
    <w:rsid w:val="004B16AE"/>
    <w:rsid w:val="004B3412"/>
    <w:rsid w:val="004B3B40"/>
    <w:rsid w:val="004B7D61"/>
    <w:rsid w:val="004C0194"/>
    <w:rsid w:val="004C1FC9"/>
    <w:rsid w:val="004C4E3D"/>
    <w:rsid w:val="004C63BB"/>
    <w:rsid w:val="004C70E5"/>
    <w:rsid w:val="004C722D"/>
    <w:rsid w:val="004D1110"/>
    <w:rsid w:val="004D17EB"/>
    <w:rsid w:val="004D187F"/>
    <w:rsid w:val="004D1C8D"/>
    <w:rsid w:val="004D31EE"/>
    <w:rsid w:val="004E2802"/>
    <w:rsid w:val="004E2A74"/>
    <w:rsid w:val="004E2F86"/>
    <w:rsid w:val="004E3789"/>
    <w:rsid w:val="004E6285"/>
    <w:rsid w:val="004E6A2B"/>
    <w:rsid w:val="004E7FF9"/>
    <w:rsid w:val="004F019C"/>
    <w:rsid w:val="004F06AB"/>
    <w:rsid w:val="004F0E63"/>
    <w:rsid w:val="004F2DC7"/>
    <w:rsid w:val="004F488D"/>
    <w:rsid w:val="004F4982"/>
    <w:rsid w:val="004F4C34"/>
    <w:rsid w:val="004F4D2B"/>
    <w:rsid w:val="004F4EBD"/>
    <w:rsid w:val="004F60C2"/>
    <w:rsid w:val="004F7E9B"/>
    <w:rsid w:val="0050173F"/>
    <w:rsid w:val="0050634D"/>
    <w:rsid w:val="005068D2"/>
    <w:rsid w:val="0051068E"/>
    <w:rsid w:val="00510713"/>
    <w:rsid w:val="00510F01"/>
    <w:rsid w:val="00511F18"/>
    <w:rsid w:val="00512396"/>
    <w:rsid w:val="00512FC3"/>
    <w:rsid w:val="00516192"/>
    <w:rsid w:val="00516A74"/>
    <w:rsid w:val="00517947"/>
    <w:rsid w:val="005204C0"/>
    <w:rsid w:val="005204F7"/>
    <w:rsid w:val="00520624"/>
    <w:rsid w:val="0052137E"/>
    <w:rsid w:val="00525BDC"/>
    <w:rsid w:val="00527890"/>
    <w:rsid w:val="00531342"/>
    <w:rsid w:val="00531B4F"/>
    <w:rsid w:val="0053338A"/>
    <w:rsid w:val="0053490C"/>
    <w:rsid w:val="005369C6"/>
    <w:rsid w:val="005414FA"/>
    <w:rsid w:val="00547590"/>
    <w:rsid w:val="0055024F"/>
    <w:rsid w:val="0055079F"/>
    <w:rsid w:val="00551750"/>
    <w:rsid w:val="0055180F"/>
    <w:rsid w:val="00552630"/>
    <w:rsid w:val="0055505F"/>
    <w:rsid w:val="00561BBC"/>
    <w:rsid w:val="00562B06"/>
    <w:rsid w:val="00564165"/>
    <w:rsid w:val="00565367"/>
    <w:rsid w:val="00565D4A"/>
    <w:rsid w:val="00570F4A"/>
    <w:rsid w:val="005737A6"/>
    <w:rsid w:val="00573AC6"/>
    <w:rsid w:val="00574D1B"/>
    <w:rsid w:val="005822F1"/>
    <w:rsid w:val="0058332B"/>
    <w:rsid w:val="00583F93"/>
    <w:rsid w:val="005853B6"/>
    <w:rsid w:val="005854D7"/>
    <w:rsid w:val="00586938"/>
    <w:rsid w:val="0058777A"/>
    <w:rsid w:val="00590ED7"/>
    <w:rsid w:val="00593A50"/>
    <w:rsid w:val="00595708"/>
    <w:rsid w:val="005A277E"/>
    <w:rsid w:val="005A638F"/>
    <w:rsid w:val="005A7C20"/>
    <w:rsid w:val="005B179E"/>
    <w:rsid w:val="005B3111"/>
    <w:rsid w:val="005B3DE5"/>
    <w:rsid w:val="005B3DE6"/>
    <w:rsid w:val="005B3FCB"/>
    <w:rsid w:val="005B4BB9"/>
    <w:rsid w:val="005B4EC8"/>
    <w:rsid w:val="005B66B4"/>
    <w:rsid w:val="005B688B"/>
    <w:rsid w:val="005B6DFE"/>
    <w:rsid w:val="005B6E24"/>
    <w:rsid w:val="005B6E66"/>
    <w:rsid w:val="005C05EA"/>
    <w:rsid w:val="005C2F0A"/>
    <w:rsid w:val="005C34AD"/>
    <w:rsid w:val="005C40FF"/>
    <w:rsid w:val="005C4237"/>
    <w:rsid w:val="005C6191"/>
    <w:rsid w:val="005D2643"/>
    <w:rsid w:val="005D28BE"/>
    <w:rsid w:val="005D68A5"/>
    <w:rsid w:val="005D6FE0"/>
    <w:rsid w:val="005D7C7A"/>
    <w:rsid w:val="005D7DA1"/>
    <w:rsid w:val="005E000F"/>
    <w:rsid w:val="005E107E"/>
    <w:rsid w:val="005E1DFD"/>
    <w:rsid w:val="005E213A"/>
    <w:rsid w:val="005E3AF4"/>
    <w:rsid w:val="005F194D"/>
    <w:rsid w:val="005F2EEB"/>
    <w:rsid w:val="005F6DD2"/>
    <w:rsid w:val="005F7D89"/>
    <w:rsid w:val="006009A1"/>
    <w:rsid w:val="006025D9"/>
    <w:rsid w:val="0060267E"/>
    <w:rsid w:val="00604348"/>
    <w:rsid w:val="00604C77"/>
    <w:rsid w:val="00607511"/>
    <w:rsid w:val="006111D3"/>
    <w:rsid w:val="0061195B"/>
    <w:rsid w:val="006124E9"/>
    <w:rsid w:val="0061427C"/>
    <w:rsid w:val="006147E9"/>
    <w:rsid w:val="0062402C"/>
    <w:rsid w:val="006240DA"/>
    <w:rsid w:val="00624929"/>
    <w:rsid w:val="00627582"/>
    <w:rsid w:val="006307EF"/>
    <w:rsid w:val="00632473"/>
    <w:rsid w:val="00635D2E"/>
    <w:rsid w:val="00635EEC"/>
    <w:rsid w:val="00636356"/>
    <w:rsid w:val="006368C1"/>
    <w:rsid w:val="00636E79"/>
    <w:rsid w:val="006428C7"/>
    <w:rsid w:val="00643D68"/>
    <w:rsid w:val="00643EE9"/>
    <w:rsid w:val="00644C46"/>
    <w:rsid w:val="00645B3E"/>
    <w:rsid w:val="006465B5"/>
    <w:rsid w:val="00646C47"/>
    <w:rsid w:val="00647565"/>
    <w:rsid w:val="0064774C"/>
    <w:rsid w:val="006502A7"/>
    <w:rsid w:val="00651072"/>
    <w:rsid w:val="006514F7"/>
    <w:rsid w:val="00651FFE"/>
    <w:rsid w:val="00653CBB"/>
    <w:rsid w:val="00653FCC"/>
    <w:rsid w:val="00654513"/>
    <w:rsid w:val="00657C9A"/>
    <w:rsid w:val="00660D5B"/>
    <w:rsid w:val="00660F6D"/>
    <w:rsid w:val="00661B22"/>
    <w:rsid w:val="00663E66"/>
    <w:rsid w:val="00664925"/>
    <w:rsid w:val="00664F28"/>
    <w:rsid w:val="006668A1"/>
    <w:rsid w:val="00666994"/>
    <w:rsid w:val="00667487"/>
    <w:rsid w:val="0066756B"/>
    <w:rsid w:val="0067038A"/>
    <w:rsid w:val="00680FC4"/>
    <w:rsid w:val="00683B8A"/>
    <w:rsid w:val="006846BE"/>
    <w:rsid w:val="00685425"/>
    <w:rsid w:val="006909CB"/>
    <w:rsid w:val="00690B42"/>
    <w:rsid w:val="00691319"/>
    <w:rsid w:val="00692EB2"/>
    <w:rsid w:val="00692F85"/>
    <w:rsid w:val="00694053"/>
    <w:rsid w:val="0069595C"/>
    <w:rsid w:val="00696F0D"/>
    <w:rsid w:val="00697D49"/>
    <w:rsid w:val="006A1AF3"/>
    <w:rsid w:val="006A3375"/>
    <w:rsid w:val="006A3939"/>
    <w:rsid w:val="006A469F"/>
    <w:rsid w:val="006A48D7"/>
    <w:rsid w:val="006B0C6C"/>
    <w:rsid w:val="006B0DA4"/>
    <w:rsid w:val="006B18DF"/>
    <w:rsid w:val="006B21AB"/>
    <w:rsid w:val="006B3A64"/>
    <w:rsid w:val="006C3104"/>
    <w:rsid w:val="006C3CE8"/>
    <w:rsid w:val="006C5310"/>
    <w:rsid w:val="006D19B4"/>
    <w:rsid w:val="006D2A7C"/>
    <w:rsid w:val="006D46EE"/>
    <w:rsid w:val="006D69A8"/>
    <w:rsid w:val="006D6B66"/>
    <w:rsid w:val="006D7069"/>
    <w:rsid w:val="006E25FE"/>
    <w:rsid w:val="006E3203"/>
    <w:rsid w:val="006E422F"/>
    <w:rsid w:val="006F1362"/>
    <w:rsid w:val="006F2592"/>
    <w:rsid w:val="006F2E20"/>
    <w:rsid w:val="006F55D2"/>
    <w:rsid w:val="006F5976"/>
    <w:rsid w:val="006F660B"/>
    <w:rsid w:val="006F7A52"/>
    <w:rsid w:val="00700CBE"/>
    <w:rsid w:val="00701871"/>
    <w:rsid w:val="00701D3A"/>
    <w:rsid w:val="00703453"/>
    <w:rsid w:val="007039D7"/>
    <w:rsid w:val="00704529"/>
    <w:rsid w:val="00704DB9"/>
    <w:rsid w:val="00705D7E"/>
    <w:rsid w:val="00707AAB"/>
    <w:rsid w:val="007102ED"/>
    <w:rsid w:val="0071105E"/>
    <w:rsid w:val="00711667"/>
    <w:rsid w:val="00711A51"/>
    <w:rsid w:val="00711E2A"/>
    <w:rsid w:val="0071611B"/>
    <w:rsid w:val="007166A4"/>
    <w:rsid w:val="0071696F"/>
    <w:rsid w:val="00720880"/>
    <w:rsid w:val="00721E4F"/>
    <w:rsid w:val="0072242C"/>
    <w:rsid w:val="0072276E"/>
    <w:rsid w:val="00722DB6"/>
    <w:rsid w:val="00724F9C"/>
    <w:rsid w:val="00725C02"/>
    <w:rsid w:val="00730639"/>
    <w:rsid w:val="00733418"/>
    <w:rsid w:val="00741155"/>
    <w:rsid w:val="007413FE"/>
    <w:rsid w:val="00747DEB"/>
    <w:rsid w:val="00752076"/>
    <w:rsid w:val="007521D4"/>
    <w:rsid w:val="00752689"/>
    <w:rsid w:val="00753876"/>
    <w:rsid w:val="007538AB"/>
    <w:rsid w:val="00753F87"/>
    <w:rsid w:val="00757031"/>
    <w:rsid w:val="0076038B"/>
    <w:rsid w:val="00760D89"/>
    <w:rsid w:val="007620CC"/>
    <w:rsid w:val="0076266E"/>
    <w:rsid w:val="00762F79"/>
    <w:rsid w:val="007648E9"/>
    <w:rsid w:val="00770487"/>
    <w:rsid w:val="0077103E"/>
    <w:rsid w:val="00771442"/>
    <w:rsid w:val="00771F4E"/>
    <w:rsid w:val="007737C6"/>
    <w:rsid w:val="00774C5E"/>
    <w:rsid w:val="00777B67"/>
    <w:rsid w:val="007803BD"/>
    <w:rsid w:val="007824B0"/>
    <w:rsid w:val="0078262C"/>
    <w:rsid w:val="0078325D"/>
    <w:rsid w:val="007875D6"/>
    <w:rsid w:val="00787698"/>
    <w:rsid w:val="007900EF"/>
    <w:rsid w:val="00791924"/>
    <w:rsid w:val="00792C95"/>
    <w:rsid w:val="00793C64"/>
    <w:rsid w:val="007A389C"/>
    <w:rsid w:val="007A3D41"/>
    <w:rsid w:val="007A599A"/>
    <w:rsid w:val="007A5FD4"/>
    <w:rsid w:val="007A7DF7"/>
    <w:rsid w:val="007B01BA"/>
    <w:rsid w:val="007B074E"/>
    <w:rsid w:val="007B0DF1"/>
    <w:rsid w:val="007B13BD"/>
    <w:rsid w:val="007B2022"/>
    <w:rsid w:val="007B43E6"/>
    <w:rsid w:val="007B66DB"/>
    <w:rsid w:val="007B776B"/>
    <w:rsid w:val="007B7B51"/>
    <w:rsid w:val="007C0CDD"/>
    <w:rsid w:val="007C26D0"/>
    <w:rsid w:val="007C32D8"/>
    <w:rsid w:val="007C41C8"/>
    <w:rsid w:val="007C4C6D"/>
    <w:rsid w:val="007C4D83"/>
    <w:rsid w:val="007C578C"/>
    <w:rsid w:val="007D0939"/>
    <w:rsid w:val="007D2A9E"/>
    <w:rsid w:val="007D2CBB"/>
    <w:rsid w:val="007D5294"/>
    <w:rsid w:val="007D6E8B"/>
    <w:rsid w:val="007D6F56"/>
    <w:rsid w:val="007D7298"/>
    <w:rsid w:val="007E09B8"/>
    <w:rsid w:val="007E16E0"/>
    <w:rsid w:val="007E2DBF"/>
    <w:rsid w:val="007E3E0F"/>
    <w:rsid w:val="007E3E8D"/>
    <w:rsid w:val="007E44FB"/>
    <w:rsid w:val="007E490E"/>
    <w:rsid w:val="007E51BB"/>
    <w:rsid w:val="007E5BB3"/>
    <w:rsid w:val="007E5BDE"/>
    <w:rsid w:val="007E5C28"/>
    <w:rsid w:val="007F09E2"/>
    <w:rsid w:val="007F0E57"/>
    <w:rsid w:val="007F3431"/>
    <w:rsid w:val="007F6253"/>
    <w:rsid w:val="007F62F6"/>
    <w:rsid w:val="007F6C16"/>
    <w:rsid w:val="008004BA"/>
    <w:rsid w:val="0080146B"/>
    <w:rsid w:val="008014CF"/>
    <w:rsid w:val="008023B2"/>
    <w:rsid w:val="00802855"/>
    <w:rsid w:val="0080381F"/>
    <w:rsid w:val="00803944"/>
    <w:rsid w:val="0080488F"/>
    <w:rsid w:val="00805140"/>
    <w:rsid w:val="008066F4"/>
    <w:rsid w:val="0080796A"/>
    <w:rsid w:val="008079E6"/>
    <w:rsid w:val="008102F6"/>
    <w:rsid w:val="0081263C"/>
    <w:rsid w:val="008152EB"/>
    <w:rsid w:val="008158A2"/>
    <w:rsid w:val="00817538"/>
    <w:rsid w:val="008176D6"/>
    <w:rsid w:val="008221ED"/>
    <w:rsid w:val="0082233F"/>
    <w:rsid w:val="00823A43"/>
    <w:rsid w:val="00823BBF"/>
    <w:rsid w:val="00823E3F"/>
    <w:rsid w:val="00826AA3"/>
    <w:rsid w:val="00826FBE"/>
    <w:rsid w:val="008279CC"/>
    <w:rsid w:val="00830785"/>
    <w:rsid w:val="00830EA3"/>
    <w:rsid w:val="00832E6E"/>
    <w:rsid w:val="00834402"/>
    <w:rsid w:val="00836E9B"/>
    <w:rsid w:val="00840D73"/>
    <w:rsid w:val="00840DD6"/>
    <w:rsid w:val="008432DD"/>
    <w:rsid w:val="00846EF3"/>
    <w:rsid w:val="00850A1F"/>
    <w:rsid w:val="00850DE6"/>
    <w:rsid w:val="0085175F"/>
    <w:rsid w:val="00854939"/>
    <w:rsid w:val="00856C7F"/>
    <w:rsid w:val="00856D71"/>
    <w:rsid w:val="00856FD2"/>
    <w:rsid w:val="00860210"/>
    <w:rsid w:val="00862DD4"/>
    <w:rsid w:val="00863BC2"/>
    <w:rsid w:val="00863C09"/>
    <w:rsid w:val="00865A66"/>
    <w:rsid w:val="00866C80"/>
    <w:rsid w:val="00870B82"/>
    <w:rsid w:val="00870C72"/>
    <w:rsid w:val="008722C2"/>
    <w:rsid w:val="00874112"/>
    <w:rsid w:val="00874D98"/>
    <w:rsid w:val="00875D18"/>
    <w:rsid w:val="0088077F"/>
    <w:rsid w:val="00882FFF"/>
    <w:rsid w:val="0088360A"/>
    <w:rsid w:val="008836EC"/>
    <w:rsid w:val="008840FB"/>
    <w:rsid w:val="00884610"/>
    <w:rsid w:val="00884A0F"/>
    <w:rsid w:val="00884D14"/>
    <w:rsid w:val="008863F7"/>
    <w:rsid w:val="00886401"/>
    <w:rsid w:val="00887EF4"/>
    <w:rsid w:val="008910E6"/>
    <w:rsid w:val="008911C7"/>
    <w:rsid w:val="00891580"/>
    <w:rsid w:val="008920A1"/>
    <w:rsid w:val="008924D5"/>
    <w:rsid w:val="00892B55"/>
    <w:rsid w:val="00893C31"/>
    <w:rsid w:val="008942B6"/>
    <w:rsid w:val="00895364"/>
    <w:rsid w:val="00895911"/>
    <w:rsid w:val="00895960"/>
    <w:rsid w:val="0089661B"/>
    <w:rsid w:val="0089794E"/>
    <w:rsid w:val="008A0BDB"/>
    <w:rsid w:val="008A1BA2"/>
    <w:rsid w:val="008B3931"/>
    <w:rsid w:val="008B58FF"/>
    <w:rsid w:val="008B651C"/>
    <w:rsid w:val="008C0153"/>
    <w:rsid w:val="008C02A8"/>
    <w:rsid w:val="008C0421"/>
    <w:rsid w:val="008C1305"/>
    <w:rsid w:val="008C2B23"/>
    <w:rsid w:val="008C6CC5"/>
    <w:rsid w:val="008C7131"/>
    <w:rsid w:val="008D1F4F"/>
    <w:rsid w:val="008D2D23"/>
    <w:rsid w:val="008D3726"/>
    <w:rsid w:val="008D4025"/>
    <w:rsid w:val="008E14DD"/>
    <w:rsid w:val="008E2CCB"/>
    <w:rsid w:val="008E599B"/>
    <w:rsid w:val="008E7C0B"/>
    <w:rsid w:val="008F0DF8"/>
    <w:rsid w:val="008F2550"/>
    <w:rsid w:val="008F2563"/>
    <w:rsid w:val="008F38A1"/>
    <w:rsid w:val="008F5701"/>
    <w:rsid w:val="00901476"/>
    <w:rsid w:val="009034EC"/>
    <w:rsid w:val="00906F07"/>
    <w:rsid w:val="00907391"/>
    <w:rsid w:val="009073B4"/>
    <w:rsid w:val="00913D9E"/>
    <w:rsid w:val="009141D6"/>
    <w:rsid w:val="00922916"/>
    <w:rsid w:val="009268BE"/>
    <w:rsid w:val="00926BBE"/>
    <w:rsid w:val="00927FA8"/>
    <w:rsid w:val="00930682"/>
    <w:rsid w:val="00932E65"/>
    <w:rsid w:val="009330EA"/>
    <w:rsid w:val="009357A4"/>
    <w:rsid w:val="00941F9A"/>
    <w:rsid w:val="009421A4"/>
    <w:rsid w:val="00943AAC"/>
    <w:rsid w:val="009468F8"/>
    <w:rsid w:val="0095184B"/>
    <w:rsid w:val="00952D83"/>
    <w:rsid w:val="00960864"/>
    <w:rsid w:val="009621CC"/>
    <w:rsid w:val="00962511"/>
    <w:rsid w:val="00962930"/>
    <w:rsid w:val="009639E1"/>
    <w:rsid w:val="0096522E"/>
    <w:rsid w:val="00966E95"/>
    <w:rsid w:val="00970229"/>
    <w:rsid w:val="009707D3"/>
    <w:rsid w:val="00971510"/>
    <w:rsid w:val="009720F7"/>
    <w:rsid w:val="00974D57"/>
    <w:rsid w:val="00974F7F"/>
    <w:rsid w:val="0097634C"/>
    <w:rsid w:val="00976B10"/>
    <w:rsid w:val="00977808"/>
    <w:rsid w:val="009804EE"/>
    <w:rsid w:val="009832D0"/>
    <w:rsid w:val="00983414"/>
    <w:rsid w:val="0098451B"/>
    <w:rsid w:val="0099078A"/>
    <w:rsid w:val="00990BAC"/>
    <w:rsid w:val="009917E0"/>
    <w:rsid w:val="00993874"/>
    <w:rsid w:val="009946A0"/>
    <w:rsid w:val="0099484B"/>
    <w:rsid w:val="00995FF1"/>
    <w:rsid w:val="00996F0A"/>
    <w:rsid w:val="00997C51"/>
    <w:rsid w:val="009A3435"/>
    <w:rsid w:val="009A5F0A"/>
    <w:rsid w:val="009A6D31"/>
    <w:rsid w:val="009A7ACC"/>
    <w:rsid w:val="009B0284"/>
    <w:rsid w:val="009B20EF"/>
    <w:rsid w:val="009B3276"/>
    <w:rsid w:val="009B414B"/>
    <w:rsid w:val="009B6887"/>
    <w:rsid w:val="009C321C"/>
    <w:rsid w:val="009C7D3E"/>
    <w:rsid w:val="009D3B29"/>
    <w:rsid w:val="009D5B40"/>
    <w:rsid w:val="009D60A2"/>
    <w:rsid w:val="009E0783"/>
    <w:rsid w:val="009E1E87"/>
    <w:rsid w:val="009E3979"/>
    <w:rsid w:val="009E520A"/>
    <w:rsid w:val="009E5776"/>
    <w:rsid w:val="009F0587"/>
    <w:rsid w:val="009F1D11"/>
    <w:rsid w:val="009F392A"/>
    <w:rsid w:val="009F4214"/>
    <w:rsid w:val="009F4547"/>
    <w:rsid w:val="009F5183"/>
    <w:rsid w:val="009F5934"/>
    <w:rsid w:val="00A00223"/>
    <w:rsid w:val="00A01125"/>
    <w:rsid w:val="00A021E6"/>
    <w:rsid w:val="00A03D32"/>
    <w:rsid w:val="00A05BFF"/>
    <w:rsid w:val="00A06ABF"/>
    <w:rsid w:val="00A070FE"/>
    <w:rsid w:val="00A07E79"/>
    <w:rsid w:val="00A11257"/>
    <w:rsid w:val="00A11A45"/>
    <w:rsid w:val="00A14D8B"/>
    <w:rsid w:val="00A177B4"/>
    <w:rsid w:val="00A1792C"/>
    <w:rsid w:val="00A202DB"/>
    <w:rsid w:val="00A220E1"/>
    <w:rsid w:val="00A25548"/>
    <w:rsid w:val="00A2651A"/>
    <w:rsid w:val="00A321C2"/>
    <w:rsid w:val="00A34A19"/>
    <w:rsid w:val="00A34A8C"/>
    <w:rsid w:val="00A3613E"/>
    <w:rsid w:val="00A3684C"/>
    <w:rsid w:val="00A373F3"/>
    <w:rsid w:val="00A37948"/>
    <w:rsid w:val="00A37AB7"/>
    <w:rsid w:val="00A42F28"/>
    <w:rsid w:val="00A475EB"/>
    <w:rsid w:val="00A50F61"/>
    <w:rsid w:val="00A520B0"/>
    <w:rsid w:val="00A53169"/>
    <w:rsid w:val="00A5570B"/>
    <w:rsid w:val="00A57775"/>
    <w:rsid w:val="00A5782D"/>
    <w:rsid w:val="00A6223D"/>
    <w:rsid w:val="00A641D3"/>
    <w:rsid w:val="00A64B77"/>
    <w:rsid w:val="00A65291"/>
    <w:rsid w:val="00A67868"/>
    <w:rsid w:val="00A71554"/>
    <w:rsid w:val="00A71644"/>
    <w:rsid w:val="00A7166A"/>
    <w:rsid w:val="00A73A3F"/>
    <w:rsid w:val="00A73CA7"/>
    <w:rsid w:val="00A73DD6"/>
    <w:rsid w:val="00A74A75"/>
    <w:rsid w:val="00A75D53"/>
    <w:rsid w:val="00A77B1C"/>
    <w:rsid w:val="00A81A6A"/>
    <w:rsid w:val="00A823D7"/>
    <w:rsid w:val="00A82DC3"/>
    <w:rsid w:val="00A83B9A"/>
    <w:rsid w:val="00A83EB3"/>
    <w:rsid w:val="00A852F7"/>
    <w:rsid w:val="00A865E3"/>
    <w:rsid w:val="00A86A79"/>
    <w:rsid w:val="00A906E8"/>
    <w:rsid w:val="00A91F0D"/>
    <w:rsid w:val="00A92356"/>
    <w:rsid w:val="00A9246A"/>
    <w:rsid w:val="00A93E58"/>
    <w:rsid w:val="00A95559"/>
    <w:rsid w:val="00AA112B"/>
    <w:rsid w:val="00AA1747"/>
    <w:rsid w:val="00AA4682"/>
    <w:rsid w:val="00AA66A1"/>
    <w:rsid w:val="00AA6AAE"/>
    <w:rsid w:val="00AA6E30"/>
    <w:rsid w:val="00AA7155"/>
    <w:rsid w:val="00AB425A"/>
    <w:rsid w:val="00AB53ED"/>
    <w:rsid w:val="00AB5655"/>
    <w:rsid w:val="00AB6BFA"/>
    <w:rsid w:val="00AB79C4"/>
    <w:rsid w:val="00AC2968"/>
    <w:rsid w:val="00AC2A9A"/>
    <w:rsid w:val="00AC3FB1"/>
    <w:rsid w:val="00AC5450"/>
    <w:rsid w:val="00AC602B"/>
    <w:rsid w:val="00AC7B0F"/>
    <w:rsid w:val="00AD0197"/>
    <w:rsid w:val="00AD1890"/>
    <w:rsid w:val="00AD2C24"/>
    <w:rsid w:val="00AD4231"/>
    <w:rsid w:val="00AD6A24"/>
    <w:rsid w:val="00AD72F8"/>
    <w:rsid w:val="00AD7353"/>
    <w:rsid w:val="00AE03AE"/>
    <w:rsid w:val="00AE1F13"/>
    <w:rsid w:val="00AE49A5"/>
    <w:rsid w:val="00AE4FF2"/>
    <w:rsid w:val="00AE59EA"/>
    <w:rsid w:val="00AE7F73"/>
    <w:rsid w:val="00AF13CF"/>
    <w:rsid w:val="00AF26DC"/>
    <w:rsid w:val="00AF402B"/>
    <w:rsid w:val="00AF5F5F"/>
    <w:rsid w:val="00AF60AC"/>
    <w:rsid w:val="00AF6D1A"/>
    <w:rsid w:val="00B001AE"/>
    <w:rsid w:val="00B0336F"/>
    <w:rsid w:val="00B03A3C"/>
    <w:rsid w:val="00B04159"/>
    <w:rsid w:val="00B05521"/>
    <w:rsid w:val="00B06C3C"/>
    <w:rsid w:val="00B0750D"/>
    <w:rsid w:val="00B11D4C"/>
    <w:rsid w:val="00B15090"/>
    <w:rsid w:val="00B16C72"/>
    <w:rsid w:val="00B17026"/>
    <w:rsid w:val="00B20C81"/>
    <w:rsid w:val="00B23363"/>
    <w:rsid w:val="00B25FE9"/>
    <w:rsid w:val="00B26366"/>
    <w:rsid w:val="00B26997"/>
    <w:rsid w:val="00B26CD9"/>
    <w:rsid w:val="00B2709A"/>
    <w:rsid w:val="00B27651"/>
    <w:rsid w:val="00B310BF"/>
    <w:rsid w:val="00B408D3"/>
    <w:rsid w:val="00B43321"/>
    <w:rsid w:val="00B443CE"/>
    <w:rsid w:val="00B45675"/>
    <w:rsid w:val="00B47D45"/>
    <w:rsid w:val="00B523B4"/>
    <w:rsid w:val="00B5326D"/>
    <w:rsid w:val="00B535F5"/>
    <w:rsid w:val="00B543BE"/>
    <w:rsid w:val="00B5765A"/>
    <w:rsid w:val="00B614F3"/>
    <w:rsid w:val="00B62A15"/>
    <w:rsid w:val="00B63335"/>
    <w:rsid w:val="00B63A9B"/>
    <w:rsid w:val="00B63EC6"/>
    <w:rsid w:val="00B64537"/>
    <w:rsid w:val="00B656E9"/>
    <w:rsid w:val="00B65DE0"/>
    <w:rsid w:val="00B664ED"/>
    <w:rsid w:val="00B67175"/>
    <w:rsid w:val="00B67196"/>
    <w:rsid w:val="00B720B1"/>
    <w:rsid w:val="00B727F7"/>
    <w:rsid w:val="00B736D7"/>
    <w:rsid w:val="00B76B77"/>
    <w:rsid w:val="00B80DED"/>
    <w:rsid w:val="00B834DF"/>
    <w:rsid w:val="00B84A20"/>
    <w:rsid w:val="00B8568D"/>
    <w:rsid w:val="00B86688"/>
    <w:rsid w:val="00B879F3"/>
    <w:rsid w:val="00B90763"/>
    <w:rsid w:val="00B91239"/>
    <w:rsid w:val="00B93EC3"/>
    <w:rsid w:val="00B94939"/>
    <w:rsid w:val="00B951E9"/>
    <w:rsid w:val="00B957D5"/>
    <w:rsid w:val="00B963EA"/>
    <w:rsid w:val="00B9659C"/>
    <w:rsid w:val="00B966A9"/>
    <w:rsid w:val="00B96DDD"/>
    <w:rsid w:val="00B96F12"/>
    <w:rsid w:val="00B97EC0"/>
    <w:rsid w:val="00BA09FA"/>
    <w:rsid w:val="00BA4D7F"/>
    <w:rsid w:val="00BA50AD"/>
    <w:rsid w:val="00BA6373"/>
    <w:rsid w:val="00BA664D"/>
    <w:rsid w:val="00BA6918"/>
    <w:rsid w:val="00BA7A62"/>
    <w:rsid w:val="00BA7E1A"/>
    <w:rsid w:val="00BB153D"/>
    <w:rsid w:val="00BB236A"/>
    <w:rsid w:val="00BB2A6F"/>
    <w:rsid w:val="00BB3D03"/>
    <w:rsid w:val="00BB3E26"/>
    <w:rsid w:val="00BB3F16"/>
    <w:rsid w:val="00BB48FE"/>
    <w:rsid w:val="00BB69AD"/>
    <w:rsid w:val="00BC1675"/>
    <w:rsid w:val="00BC3094"/>
    <w:rsid w:val="00BC31E2"/>
    <w:rsid w:val="00BC3300"/>
    <w:rsid w:val="00BC5D55"/>
    <w:rsid w:val="00BC5E8E"/>
    <w:rsid w:val="00BC7C1B"/>
    <w:rsid w:val="00BC7F7A"/>
    <w:rsid w:val="00BD0605"/>
    <w:rsid w:val="00BD3BF2"/>
    <w:rsid w:val="00BD3D8D"/>
    <w:rsid w:val="00BD5E9D"/>
    <w:rsid w:val="00BD62BF"/>
    <w:rsid w:val="00BD6939"/>
    <w:rsid w:val="00BD6BE8"/>
    <w:rsid w:val="00BE1D16"/>
    <w:rsid w:val="00BE2FA4"/>
    <w:rsid w:val="00BE33F5"/>
    <w:rsid w:val="00BE408E"/>
    <w:rsid w:val="00BE48D4"/>
    <w:rsid w:val="00BE5FA6"/>
    <w:rsid w:val="00BE71B3"/>
    <w:rsid w:val="00BE7D75"/>
    <w:rsid w:val="00BF021D"/>
    <w:rsid w:val="00BF0A3E"/>
    <w:rsid w:val="00BF290F"/>
    <w:rsid w:val="00BF323B"/>
    <w:rsid w:val="00BF5281"/>
    <w:rsid w:val="00BF5E52"/>
    <w:rsid w:val="00BF68EB"/>
    <w:rsid w:val="00BF76C2"/>
    <w:rsid w:val="00C00E20"/>
    <w:rsid w:val="00C01DD3"/>
    <w:rsid w:val="00C02984"/>
    <w:rsid w:val="00C0362E"/>
    <w:rsid w:val="00C03A01"/>
    <w:rsid w:val="00C03E31"/>
    <w:rsid w:val="00C040ED"/>
    <w:rsid w:val="00C05331"/>
    <w:rsid w:val="00C05745"/>
    <w:rsid w:val="00C10B74"/>
    <w:rsid w:val="00C10E93"/>
    <w:rsid w:val="00C1434C"/>
    <w:rsid w:val="00C15B56"/>
    <w:rsid w:val="00C20B11"/>
    <w:rsid w:val="00C2385D"/>
    <w:rsid w:val="00C23B0F"/>
    <w:rsid w:val="00C24039"/>
    <w:rsid w:val="00C2480E"/>
    <w:rsid w:val="00C24A4D"/>
    <w:rsid w:val="00C273B4"/>
    <w:rsid w:val="00C27E13"/>
    <w:rsid w:val="00C3033F"/>
    <w:rsid w:val="00C308FB"/>
    <w:rsid w:val="00C30A51"/>
    <w:rsid w:val="00C31129"/>
    <w:rsid w:val="00C31F99"/>
    <w:rsid w:val="00C335B3"/>
    <w:rsid w:val="00C41F06"/>
    <w:rsid w:val="00C4210A"/>
    <w:rsid w:val="00C45AF0"/>
    <w:rsid w:val="00C45E8D"/>
    <w:rsid w:val="00C470CD"/>
    <w:rsid w:val="00C53950"/>
    <w:rsid w:val="00C53C9F"/>
    <w:rsid w:val="00C54A2E"/>
    <w:rsid w:val="00C55837"/>
    <w:rsid w:val="00C56D91"/>
    <w:rsid w:val="00C622E3"/>
    <w:rsid w:val="00C635AC"/>
    <w:rsid w:val="00C636A6"/>
    <w:rsid w:val="00C63D40"/>
    <w:rsid w:val="00C65354"/>
    <w:rsid w:val="00C70C59"/>
    <w:rsid w:val="00C71DE6"/>
    <w:rsid w:val="00C750F2"/>
    <w:rsid w:val="00C75E2A"/>
    <w:rsid w:val="00C764E5"/>
    <w:rsid w:val="00C81617"/>
    <w:rsid w:val="00C8232A"/>
    <w:rsid w:val="00C84008"/>
    <w:rsid w:val="00C91BFE"/>
    <w:rsid w:val="00C92E93"/>
    <w:rsid w:val="00C93CFF"/>
    <w:rsid w:val="00C94FF1"/>
    <w:rsid w:val="00C963ED"/>
    <w:rsid w:val="00C96727"/>
    <w:rsid w:val="00CA29CD"/>
    <w:rsid w:val="00CA2A3F"/>
    <w:rsid w:val="00CA330D"/>
    <w:rsid w:val="00CA3ADC"/>
    <w:rsid w:val="00CA3D12"/>
    <w:rsid w:val="00CA40CA"/>
    <w:rsid w:val="00CA67A3"/>
    <w:rsid w:val="00CA6E2A"/>
    <w:rsid w:val="00CA7568"/>
    <w:rsid w:val="00CA7AED"/>
    <w:rsid w:val="00CB5F6B"/>
    <w:rsid w:val="00CB7D62"/>
    <w:rsid w:val="00CC00AB"/>
    <w:rsid w:val="00CC3C87"/>
    <w:rsid w:val="00CC78ED"/>
    <w:rsid w:val="00CD2B37"/>
    <w:rsid w:val="00CD3225"/>
    <w:rsid w:val="00CD4834"/>
    <w:rsid w:val="00CD6670"/>
    <w:rsid w:val="00CE11B7"/>
    <w:rsid w:val="00CE12BC"/>
    <w:rsid w:val="00CE15FC"/>
    <w:rsid w:val="00CE1DF6"/>
    <w:rsid w:val="00CE27CC"/>
    <w:rsid w:val="00CE3630"/>
    <w:rsid w:val="00CE4A51"/>
    <w:rsid w:val="00CE4F5A"/>
    <w:rsid w:val="00CE4F9D"/>
    <w:rsid w:val="00CE5337"/>
    <w:rsid w:val="00CE54FB"/>
    <w:rsid w:val="00CE5908"/>
    <w:rsid w:val="00CE5F32"/>
    <w:rsid w:val="00CF1BF2"/>
    <w:rsid w:val="00CF4FCD"/>
    <w:rsid w:val="00CF625C"/>
    <w:rsid w:val="00CF62D1"/>
    <w:rsid w:val="00D00C2B"/>
    <w:rsid w:val="00D00F52"/>
    <w:rsid w:val="00D03743"/>
    <w:rsid w:val="00D068A0"/>
    <w:rsid w:val="00D10488"/>
    <w:rsid w:val="00D109D5"/>
    <w:rsid w:val="00D11653"/>
    <w:rsid w:val="00D144AF"/>
    <w:rsid w:val="00D15EA3"/>
    <w:rsid w:val="00D161C2"/>
    <w:rsid w:val="00D206C0"/>
    <w:rsid w:val="00D20F26"/>
    <w:rsid w:val="00D21D93"/>
    <w:rsid w:val="00D21DC4"/>
    <w:rsid w:val="00D238FA"/>
    <w:rsid w:val="00D2409C"/>
    <w:rsid w:val="00D27788"/>
    <w:rsid w:val="00D30255"/>
    <w:rsid w:val="00D4334A"/>
    <w:rsid w:val="00D435FE"/>
    <w:rsid w:val="00D44A5E"/>
    <w:rsid w:val="00D516AF"/>
    <w:rsid w:val="00D530C6"/>
    <w:rsid w:val="00D53D95"/>
    <w:rsid w:val="00D56BB1"/>
    <w:rsid w:val="00D60933"/>
    <w:rsid w:val="00D61204"/>
    <w:rsid w:val="00D633E0"/>
    <w:rsid w:val="00D63A5F"/>
    <w:rsid w:val="00D646D6"/>
    <w:rsid w:val="00D64E6F"/>
    <w:rsid w:val="00D676CD"/>
    <w:rsid w:val="00D72501"/>
    <w:rsid w:val="00D81041"/>
    <w:rsid w:val="00D824F7"/>
    <w:rsid w:val="00D839D6"/>
    <w:rsid w:val="00D904F1"/>
    <w:rsid w:val="00D90C07"/>
    <w:rsid w:val="00D90CE0"/>
    <w:rsid w:val="00D9151C"/>
    <w:rsid w:val="00D94BDE"/>
    <w:rsid w:val="00D94D45"/>
    <w:rsid w:val="00D955AD"/>
    <w:rsid w:val="00D970E7"/>
    <w:rsid w:val="00D97795"/>
    <w:rsid w:val="00DA2357"/>
    <w:rsid w:val="00DA28F2"/>
    <w:rsid w:val="00DA460D"/>
    <w:rsid w:val="00DA481E"/>
    <w:rsid w:val="00DA6286"/>
    <w:rsid w:val="00DA6B60"/>
    <w:rsid w:val="00DA6C31"/>
    <w:rsid w:val="00DA6C64"/>
    <w:rsid w:val="00DA77D7"/>
    <w:rsid w:val="00DB1D0D"/>
    <w:rsid w:val="00DB3279"/>
    <w:rsid w:val="00DB5717"/>
    <w:rsid w:val="00DB6A22"/>
    <w:rsid w:val="00DC0326"/>
    <w:rsid w:val="00DC0AAF"/>
    <w:rsid w:val="00DC1370"/>
    <w:rsid w:val="00DC27B6"/>
    <w:rsid w:val="00DC3651"/>
    <w:rsid w:val="00DC4019"/>
    <w:rsid w:val="00DC5756"/>
    <w:rsid w:val="00DC587A"/>
    <w:rsid w:val="00DC6ADE"/>
    <w:rsid w:val="00DD1A0A"/>
    <w:rsid w:val="00DD2E39"/>
    <w:rsid w:val="00DD55EC"/>
    <w:rsid w:val="00DD7819"/>
    <w:rsid w:val="00DD795B"/>
    <w:rsid w:val="00DE1A3D"/>
    <w:rsid w:val="00DE28B3"/>
    <w:rsid w:val="00DE32F2"/>
    <w:rsid w:val="00DE438C"/>
    <w:rsid w:val="00DE65B8"/>
    <w:rsid w:val="00DF07F4"/>
    <w:rsid w:val="00DF3A15"/>
    <w:rsid w:val="00DF44D9"/>
    <w:rsid w:val="00DF66A3"/>
    <w:rsid w:val="00DF7F5F"/>
    <w:rsid w:val="00E008A3"/>
    <w:rsid w:val="00E03A2B"/>
    <w:rsid w:val="00E042F6"/>
    <w:rsid w:val="00E04715"/>
    <w:rsid w:val="00E064BD"/>
    <w:rsid w:val="00E07CA4"/>
    <w:rsid w:val="00E103E0"/>
    <w:rsid w:val="00E1230B"/>
    <w:rsid w:val="00E12467"/>
    <w:rsid w:val="00E1263C"/>
    <w:rsid w:val="00E128D2"/>
    <w:rsid w:val="00E12A54"/>
    <w:rsid w:val="00E14BDF"/>
    <w:rsid w:val="00E15F18"/>
    <w:rsid w:val="00E208B2"/>
    <w:rsid w:val="00E20DE5"/>
    <w:rsid w:val="00E22D3E"/>
    <w:rsid w:val="00E242FA"/>
    <w:rsid w:val="00E24754"/>
    <w:rsid w:val="00E25051"/>
    <w:rsid w:val="00E252E6"/>
    <w:rsid w:val="00E25902"/>
    <w:rsid w:val="00E27BE3"/>
    <w:rsid w:val="00E31441"/>
    <w:rsid w:val="00E31C8B"/>
    <w:rsid w:val="00E32A60"/>
    <w:rsid w:val="00E330F5"/>
    <w:rsid w:val="00E339E9"/>
    <w:rsid w:val="00E33AFB"/>
    <w:rsid w:val="00E35557"/>
    <w:rsid w:val="00E357B3"/>
    <w:rsid w:val="00E3669C"/>
    <w:rsid w:val="00E37431"/>
    <w:rsid w:val="00E41386"/>
    <w:rsid w:val="00E41B50"/>
    <w:rsid w:val="00E41D94"/>
    <w:rsid w:val="00E439A9"/>
    <w:rsid w:val="00E44C42"/>
    <w:rsid w:val="00E45035"/>
    <w:rsid w:val="00E45683"/>
    <w:rsid w:val="00E472A0"/>
    <w:rsid w:val="00E501FB"/>
    <w:rsid w:val="00E5024D"/>
    <w:rsid w:val="00E522E0"/>
    <w:rsid w:val="00E545A1"/>
    <w:rsid w:val="00E553E0"/>
    <w:rsid w:val="00E6124D"/>
    <w:rsid w:val="00E62C56"/>
    <w:rsid w:val="00E63864"/>
    <w:rsid w:val="00E6427F"/>
    <w:rsid w:val="00E651F0"/>
    <w:rsid w:val="00E65B7E"/>
    <w:rsid w:val="00E669F3"/>
    <w:rsid w:val="00E66A6C"/>
    <w:rsid w:val="00E66C45"/>
    <w:rsid w:val="00E6711B"/>
    <w:rsid w:val="00E675D0"/>
    <w:rsid w:val="00E7099D"/>
    <w:rsid w:val="00E71E40"/>
    <w:rsid w:val="00E73261"/>
    <w:rsid w:val="00E7547A"/>
    <w:rsid w:val="00E75560"/>
    <w:rsid w:val="00E75F8F"/>
    <w:rsid w:val="00E7686E"/>
    <w:rsid w:val="00E811AA"/>
    <w:rsid w:val="00E81D33"/>
    <w:rsid w:val="00E827A0"/>
    <w:rsid w:val="00E83B8D"/>
    <w:rsid w:val="00E86559"/>
    <w:rsid w:val="00E87775"/>
    <w:rsid w:val="00E87840"/>
    <w:rsid w:val="00E91C70"/>
    <w:rsid w:val="00E930B0"/>
    <w:rsid w:val="00E957F7"/>
    <w:rsid w:val="00E96C01"/>
    <w:rsid w:val="00E97679"/>
    <w:rsid w:val="00E978B2"/>
    <w:rsid w:val="00E97E39"/>
    <w:rsid w:val="00E97E67"/>
    <w:rsid w:val="00EA0AB8"/>
    <w:rsid w:val="00EA111B"/>
    <w:rsid w:val="00EA1695"/>
    <w:rsid w:val="00EA3097"/>
    <w:rsid w:val="00EA5066"/>
    <w:rsid w:val="00EA7699"/>
    <w:rsid w:val="00EB1C08"/>
    <w:rsid w:val="00EB287A"/>
    <w:rsid w:val="00EB3C0C"/>
    <w:rsid w:val="00EB3FE9"/>
    <w:rsid w:val="00EB50F8"/>
    <w:rsid w:val="00EB685C"/>
    <w:rsid w:val="00EB7C8C"/>
    <w:rsid w:val="00EC07D4"/>
    <w:rsid w:val="00EC0CFF"/>
    <w:rsid w:val="00EC12D1"/>
    <w:rsid w:val="00EC1EA0"/>
    <w:rsid w:val="00EC2751"/>
    <w:rsid w:val="00EC276D"/>
    <w:rsid w:val="00EC3437"/>
    <w:rsid w:val="00EC45F4"/>
    <w:rsid w:val="00EC4E9C"/>
    <w:rsid w:val="00EC5682"/>
    <w:rsid w:val="00EC5D60"/>
    <w:rsid w:val="00EC6C38"/>
    <w:rsid w:val="00EC7EB0"/>
    <w:rsid w:val="00ED3A52"/>
    <w:rsid w:val="00ED4EFE"/>
    <w:rsid w:val="00ED51B5"/>
    <w:rsid w:val="00ED623D"/>
    <w:rsid w:val="00EE1871"/>
    <w:rsid w:val="00EE2616"/>
    <w:rsid w:val="00EE268B"/>
    <w:rsid w:val="00EE3D14"/>
    <w:rsid w:val="00EE5BAF"/>
    <w:rsid w:val="00EE6C14"/>
    <w:rsid w:val="00EF3B23"/>
    <w:rsid w:val="00EF4A8C"/>
    <w:rsid w:val="00EF51C0"/>
    <w:rsid w:val="00EF6E92"/>
    <w:rsid w:val="00EF79FF"/>
    <w:rsid w:val="00F04F18"/>
    <w:rsid w:val="00F06576"/>
    <w:rsid w:val="00F11891"/>
    <w:rsid w:val="00F118F1"/>
    <w:rsid w:val="00F11DA1"/>
    <w:rsid w:val="00F121CA"/>
    <w:rsid w:val="00F122DC"/>
    <w:rsid w:val="00F14078"/>
    <w:rsid w:val="00F1428A"/>
    <w:rsid w:val="00F1473C"/>
    <w:rsid w:val="00F159B7"/>
    <w:rsid w:val="00F15B21"/>
    <w:rsid w:val="00F163AB"/>
    <w:rsid w:val="00F16717"/>
    <w:rsid w:val="00F17FB8"/>
    <w:rsid w:val="00F208DB"/>
    <w:rsid w:val="00F22EDE"/>
    <w:rsid w:val="00F23239"/>
    <w:rsid w:val="00F23D07"/>
    <w:rsid w:val="00F26E63"/>
    <w:rsid w:val="00F30187"/>
    <w:rsid w:val="00F31A53"/>
    <w:rsid w:val="00F35054"/>
    <w:rsid w:val="00F35457"/>
    <w:rsid w:val="00F37B98"/>
    <w:rsid w:val="00F4081F"/>
    <w:rsid w:val="00F440B6"/>
    <w:rsid w:val="00F454DD"/>
    <w:rsid w:val="00F4771B"/>
    <w:rsid w:val="00F5154E"/>
    <w:rsid w:val="00F51649"/>
    <w:rsid w:val="00F522A2"/>
    <w:rsid w:val="00F553FC"/>
    <w:rsid w:val="00F556A4"/>
    <w:rsid w:val="00F61028"/>
    <w:rsid w:val="00F611AC"/>
    <w:rsid w:val="00F6138F"/>
    <w:rsid w:val="00F622B1"/>
    <w:rsid w:val="00F62AF4"/>
    <w:rsid w:val="00F64273"/>
    <w:rsid w:val="00F65AE4"/>
    <w:rsid w:val="00F65F7E"/>
    <w:rsid w:val="00F664D7"/>
    <w:rsid w:val="00F66851"/>
    <w:rsid w:val="00F742AF"/>
    <w:rsid w:val="00F7572C"/>
    <w:rsid w:val="00F75D6B"/>
    <w:rsid w:val="00F75F99"/>
    <w:rsid w:val="00F76826"/>
    <w:rsid w:val="00F83B2C"/>
    <w:rsid w:val="00F84E19"/>
    <w:rsid w:val="00F85A4E"/>
    <w:rsid w:val="00F90080"/>
    <w:rsid w:val="00F90FCC"/>
    <w:rsid w:val="00F91BD9"/>
    <w:rsid w:val="00F936AF"/>
    <w:rsid w:val="00F9376C"/>
    <w:rsid w:val="00F947C1"/>
    <w:rsid w:val="00F94B1B"/>
    <w:rsid w:val="00F956BA"/>
    <w:rsid w:val="00F96B30"/>
    <w:rsid w:val="00FA15F9"/>
    <w:rsid w:val="00FA26D0"/>
    <w:rsid w:val="00FA5A79"/>
    <w:rsid w:val="00FA6F08"/>
    <w:rsid w:val="00FB083D"/>
    <w:rsid w:val="00FB2DA1"/>
    <w:rsid w:val="00FB2E07"/>
    <w:rsid w:val="00FB349D"/>
    <w:rsid w:val="00FB37A0"/>
    <w:rsid w:val="00FB428B"/>
    <w:rsid w:val="00FB538E"/>
    <w:rsid w:val="00FB6C7B"/>
    <w:rsid w:val="00FC3645"/>
    <w:rsid w:val="00FC3797"/>
    <w:rsid w:val="00FC382D"/>
    <w:rsid w:val="00FC457E"/>
    <w:rsid w:val="00FC5BA8"/>
    <w:rsid w:val="00FD29B3"/>
    <w:rsid w:val="00FD3004"/>
    <w:rsid w:val="00FE1964"/>
    <w:rsid w:val="00FE3AC0"/>
    <w:rsid w:val="00FE43A6"/>
    <w:rsid w:val="00FF01AA"/>
    <w:rsid w:val="00FF0D07"/>
    <w:rsid w:val="00FF0DBE"/>
    <w:rsid w:val="00FF21D1"/>
    <w:rsid w:val="00FF3527"/>
    <w:rsid w:val="00FF3CB9"/>
    <w:rsid w:val="00FF5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f9c" stroke="f">
      <v:fill color="#f9c"/>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2F7"/>
    <w:pPr>
      <w:bidi/>
    </w:pPr>
    <w:rPr>
      <w:sz w:val="24"/>
      <w:szCs w:val="24"/>
      <w:lang w:eastAsia="en-US"/>
    </w:rPr>
  </w:style>
  <w:style w:type="paragraph" w:styleId="Heading1">
    <w:name w:val="heading 1"/>
    <w:basedOn w:val="Normal"/>
    <w:next w:val="Normal"/>
    <w:link w:val="Heading1Char"/>
    <w:qFormat/>
    <w:rsid w:val="005B688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341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رأس صفحة"/>
    <w:basedOn w:val="Normal"/>
    <w:rsid w:val="00B17026"/>
    <w:pPr>
      <w:tabs>
        <w:tab w:val="center" w:pos="4153"/>
        <w:tab w:val="right" w:pos="8306"/>
      </w:tabs>
    </w:pPr>
  </w:style>
  <w:style w:type="paragraph" w:customStyle="1" w:styleId="a0">
    <w:name w:val="تذييل صفحة"/>
    <w:basedOn w:val="Normal"/>
    <w:link w:val="Char"/>
    <w:uiPriority w:val="99"/>
    <w:rsid w:val="00B17026"/>
    <w:pPr>
      <w:tabs>
        <w:tab w:val="center" w:pos="4153"/>
        <w:tab w:val="right" w:pos="8306"/>
      </w:tabs>
    </w:pPr>
  </w:style>
  <w:style w:type="character" w:customStyle="1" w:styleId="a1">
    <w:name w:val="رقم صفحة"/>
    <w:basedOn w:val="DefaultParagraphFont"/>
    <w:rsid w:val="00966E95"/>
  </w:style>
  <w:style w:type="paragraph" w:styleId="BalloonText">
    <w:name w:val="Balloon Text"/>
    <w:basedOn w:val="Normal"/>
    <w:link w:val="BalloonTextChar"/>
    <w:rsid w:val="00E008A3"/>
    <w:rPr>
      <w:rFonts w:ascii="Tahoma" w:hAnsi="Tahoma" w:cs="Tahoma"/>
      <w:sz w:val="16"/>
      <w:szCs w:val="16"/>
    </w:rPr>
  </w:style>
  <w:style w:type="character" w:customStyle="1" w:styleId="BalloonTextChar">
    <w:name w:val="Balloon Text Char"/>
    <w:link w:val="BalloonText"/>
    <w:rsid w:val="00E008A3"/>
    <w:rPr>
      <w:rFonts w:ascii="Tahoma" w:hAnsi="Tahoma" w:cs="Tahoma"/>
      <w:sz w:val="16"/>
      <w:szCs w:val="16"/>
    </w:rPr>
  </w:style>
  <w:style w:type="character" w:customStyle="1" w:styleId="Char">
    <w:name w:val="تذييل صفحة Char"/>
    <w:link w:val="a0"/>
    <w:uiPriority w:val="99"/>
    <w:rsid w:val="00840DD6"/>
    <w:rPr>
      <w:sz w:val="24"/>
      <w:szCs w:val="24"/>
    </w:rPr>
  </w:style>
  <w:style w:type="paragraph" w:styleId="Title">
    <w:name w:val="Title"/>
    <w:basedOn w:val="Normal"/>
    <w:next w:val="Normal"/>
    <w:link w:val="TitleChar"/>
    <w:qFormat/>
    <w:rsid w:val="005B688B"/>
    <w:pPr>
      <w:spacing w:before="240" w:after="60"/>
      <w:jc w:val="center"/>
      <w:outlineLvl w:val="0"/>
    </w:pPr>
    <w:rPr>
      <w:rFonts w:ascii="Cambria" w:hAnsi="Cambria"/>
      <w:b/>
      <w:bCs/>
      <w:kern w:val="28"/>
      <w:sz w:val="32"/>
      <w:szCs w:val="32"/>
    </w:rPr>
  </w:style>
  <w:style w:type="character" w:customStyle="1" w:styleId="TitleChar">
    <w:name w:val="Title Char"/>
    <w:link w:val="Title"/>
    <w:rsid w:val="005B688B"/>
    <w:rPr>
      <w:rFonts w:ascii="Cambria" w:eastAsia="Times New Roman" w:hAnsi="Cambria" w:cs="Times New Roman"/>
      <w:b/>
      <w:bCs/>
      <w:kern w:val="28"/>
      <w:sz w:val="32"/>
      <w:szCs w:val="32"/>
    </w:rPr>
  </w:style>
  <w:style w:type="character" w:customStyle="1" w:styleId="Heading1Char">
    <w:name w:val="Heading 1 Char"/>
    <w:link w:val="Heading1"/>
    <w:rsid w:val="005B688B"/>
    <w:rPr>
      <w:rFonts w:ascii="Cambria" w:eastAsia="Times New Roman" w:hAnsi="Cambria" w:cs="Times New Roman"/>
      <w:b/>
      <w:bCs/>
      <w:kern w:val="32"/>
      <w:sz w:val="32"/>
      <w:szCs w:val="32"/>
    </w:rPr>
  </w:style>
  <w:style w:type="paragraph" w:styleId="NoSpacing">
    <w:name w:val="No Spacing"/>
    <w:link w:val="NoSpacingChar"/>
    <w:uiPriority w:val="1"/>
    <w:qFormat/>
    <w:rsid w:val="0080796A"/>
    <w:pPr>
      <w:bidi/>
    </w:pPr>
    <w:rPr>
      <w:sz w:val="24"/>
      <w:szCs w:val="24"/>
      <w:lang w:eastAsia="en-US"/>
    </w:rPr>
  </w:style>
  <w:style w:type="character" w:styleId="Hyperlink">
    <w:name w:val="Hyperlink"/>
    <w:uiPriority w:val="99"/>
    <w:rsid w:val="00EC1EA0"/>
    <w:rPr>
      <w:color w:val="0000FF"/>
      <w:u w:val="single"/>
    </w:rPr>
  </w:style>
  <w:style w:type="character" w:customStyle="1" w:styleId="NoSpacingChar">
    <w:name w:val="No Spacing Char"/>
    <w:link w:val="NoSpacing"/>
    <w:uiPriority w:val="1"/>
    <w:rsid w:val="005737A6"/>
    <w:rPr>
      <w:sz w:val="24"/>
      <w:szCs w:val="24"/>
      <w:lang w:eastAsia="en-US"/>
    </w:rPr>
  </w:style>
  <w:style w:type="paragraph" w:styleId="Header">
    <w:name w:val="header"/>
    <w:basedOn w:val="Normal"/>
    <w:link w:val="HeaderChar"/>
    <w:rsid w:val="00F90080"/>
    <w:pPr>
      <w:tabs>
        <w:tab w:val="center" w:pos="4320"/>
        <w:tab w:val="right" w:pos="8640"/>
      </w:tabs>
    </w:pPr>
  </w:style>
  <w:style w:type="character" w:customStyle="1" w:styleId="HeaderChar">
    <w:name w:val="Header Char"/>
    <w:basedOn w:val="DefaultParagraphFont"/>
    <w:link w:val="Header"/>
    <w:rsid w:val="00F90080"/>
    <w:rPr>
      <w:sz w:val="24"/>
      <w:szCs w:val="24"/>
      <w:lang w:eastAsia="en-US"/>
    </w:rPr>
  </w:style>
  <w:style w:type="paragraph" w:styleId="Footer">
    <w:name w:val="footer"/>
    <w:basedOn w:val="Normal"/>
    <w:link w:val="FooterChar"/>
    <w:uiPriority w:val="99"/>
    <w:rsid w:val="00F90080"/>
    <w:pPr>
      <w:tabs>
        <w:tab w:val="center" w:pos="4320"/>
        <w:tab w:val="right" w:pos="8640"/>
      </w:tabs>
    </w:pPr>
  </w:style>
  <w:style w:type="character" w:customStyle="1" w:styleId="FooterChar">
    <w:name w:val="Footer Char"/>
    <w:basedOn w:val="DefaultParagraphFont"/>
    <w:link w:val="Footer"/>
    <w:uiPriority w:val="99"/>
    <w:rsid w:val="00F90080"/>
    <w:rPr>
      <w:sz w:val="24"/>
      <w:szCs w:val="24"/>
      <w:lang w:eastAsia="en-US"/>
    </w:rPr>
  </w:style>
  <w:style w:type="paragraph" w:styleId="ListParagraph">
    <w:name w:val="List Paragraph"/>
    <w:basedOn w:val="Normal"/>
    <w:uiPriority w:val="34"/>
    <w:qFormat/>
    <w:rsid w:val="00186D7F"/>
    <w:pPr>
      <w:ind w:left="720"/>
      <w:contextualSpacing/>
    </w:pPr>
  </w:style>
  <w:style w:type="character" w:customStyle="1" w:styleId="AuthorDetailsChar">
    <w:name w:val="Author Details Char"/>
    <w:link w:val="AuthorDetails"/>
    <w:locked/>
    <w:rsid w:val="00A03D32"/>
    <w:rPr>
      <w:rFonts w:eastAsia="Times New Roman"/>
      <w:bCs/>
      <w:kern w:val="28"/>
      <w:szCs w:val="24"/>
      <w:lang w:val="en-GB"/>
    </w:rPr>
  </w:style>
  <w:style w:type="paragraph" w:customStyle="1" w:styleId="AuthorDetails">
    <w:name w:val="Author Details"/>
    <w:basedOn w:val="Normal"/>
    <w:link w:val="AuthorDetailsChar"/>
    <w:qFormat/>
    <w:rsid w:val="00A03D32"/>
    <w:pPr>
      <w:bidi w:val="0"/>
      <w:jc w:val="center"/>
    </w:pPr>
    <w:rPr>
      <w:rFonts w:eastAsia="Times New Roman"/>
      <w:bCs/>
      <w:kern w:val="28"/>
      <w:sz w:val="20"/>
      <w:lang w:val="en-GB" w:eastAsia="zh-CN"/>
    </w:rPr>
  </w:style>
  <w:style w:type="character" w:customStyle="1" w:styleId="id-label">
    <w:name w:val="id-label"/>
    <w:basedOn w:val="DefaultParagraphFont"/>
    <w:rsid w:val="001819F3"/>
  </w:style>
  <w:style w:type="character" w:styleId="Strong">
    <w:name w:val="Strong"/>
    <w:basedOn w:val="DefaultParagraphFont"/>
    <w:uiPriority w:val="22"/>
    <w:qFormat/>
    <w:rsid w:val="001819F3"/>
    <w:rPr>
      <w:b/>
      <w:bCs/>
    </w:rPr>
  </w:style>
  <w:style w:type="character" w:customStyle="1" w:styleId="identifier">
    <w:name w:val="identifier"/>
    <w:basedOn w:val="DefaultParagraphFont"/>
    <w:rsid w:val="00DE28B3"/>
  </w:style>
  <w:style w:type="character" w:styleId="CommentReference">
    <w:name w:val="annotation reference"/>
    <w:basedOn w:val="DefaultParagraphFont"/>
    <w:semiHidden/>
    <w:unhideWhenUsed/>
    <w:rsid w:val="00C55837"/>
    <w:rPr>
      <w:sz w:val="16"/>
      <w:szCs w:val="16"/>
    </w:rPr>
  </w:style>
  <w:style w:type="paragraph" w:styleId="CommentText">
    <w:name w:val="annotation text"/>
    <w:basedOn w:val="Normal"/>
    <w:link w:val="CommentTextChar"/>
    <w:unhideWhenUsed/>
    <w:rsid w:val="00C55837"/>
    <w:rPr>
      <w:sz w:val="20"/>
      <w:szCs w:val="20"/>
    </w:rPr>
  </w:style>
  <w:style w:type="character" w:customStyle="1" w:styleId="CommentTextChar">
    <w:name w:val="Comment Text Char"/>
    <w:basedOn w:val="DefaultParagraphFont"/>
    <w:link w:val="CommentText"/>
    <w:rsid w:val="00C55837"/>
    <w:rPr>
      <w:lang w:eastAsia="en-US"/>
    </w:rPr>
  </w:style>
  <w:style w:type="paragraph" w:styleId="CommentSubject">
    <w:name w:val="annotation subject"/>
    <w:basedOn w:val="CommentText"/>
    <w:next w:val="CommentText"/>
    <w:link w:val="CommentSubjectChar"/>
    <w:semiHidden/>
    <w:unhideWhenUsed/>
    <w:rsid w:val="00C55837"/>
    <w:rPr>
      <w:b/>
      <w:bCs/>
    </w:rPr>
  </w:style>
  <w:style w:type="character" w:customStyle="1" w:styleId="CommentSubjectChar">
    <w:name w:val="Comment Subject Char"/>
    <w:basedOn w:val="CommentTextChar"/>
    <w:link w:val="CommentSubject"/>
    <w:semiHidden/>
    <w:rsid w:val="00C55837"/>
    <w:rPr>
      <w:b/>
      <w:bCs/>
    </w:rPr>
  </w:style>
  <w:style w:type="paragraph" w:styleId="NormalWeb">
    <w:name w:val="Normal (Web)"/>
    <w:basedOn w:val="Normal"/>
    <w:rsid w:val="008F5701"/>
    <w:pPr>
      <w:bidi w:val="0"/>
      <w:spacing w:before="100" w:beforeAutospacing="1" w:after="100" w:afterAutospacing="1"/>
    </w:pPr>
    <w:rPr>
      <w:rFonts w:ascii="Arial Unicode MS" w:eastAsia="Arial Unicode MS" w:hAnsi="Arial Unicode MS" w:cs="Arial Unicode MS"/>
    </w:rPr>
  </w:style>
  <w:style w:type="character" w:customStyle="1" w:styleId="cit">
    <w:name w:val="cit"/>
    <w:basedOn w:val="DefaultParagraphFont"/>
    <w:rsid w:val="008F5701"/>
  </w:style>
  <w:style w:type="character" w:customStyle="1" w:styleId="fontstyle01">
    <w:name w:val="fontstyle01"/>
    <w:basedOn w:val="DefaultParagraphFont"/>
    <w:rsid w:val="008F5701"/>
    <w:rPr>
      <w:rFonts w:ascii="Times New Roman" w:hAnsi="Times New Roman" w:cs="Times New Roman" w:hint="default"/>
      <w:b w:val="0"/>
      <w:bCs w:val="0"/>
      <w:i w:val="0"/>
      <w:iCs w:val="0"/>
      <w:color w:val="000000"/>
      <w:sz w:val="18"/>
      <w:szCs w:val="18"/>
    </w:rPr>
  </w:style>
  <w:style w:type="character" w:customStyle="1" w:styleId="value">
    <w:name w:val="value"/>
    <w:basedOn w:val="DefaultParagraphFont"/>
    <w:rsid w:val="008F5701"/>
  </w:style>
</w:styles>
</file>

<file path=word/webSettings.xml><?xml version="1.0" encoding="utf-8"?>
<w:webSettings xmlns:r="http://schemas.openxmlformats.org/officeDocument/2006/relationships" xmlns:w="http://schemas.openxmlformats.org/wordprocessingml/2006/main">
  <w:divs>
    <w:div w:id="430782857">
      <w:bodyDiv w:val="1"/>
      <w:marLeft w:val="0"/>
      <w:marRight w:val="0"/>
      <w:marTop w:val="0"/>
      <w:marBottom w:val="0"/>
      <w:divBdr>
        <w:top w:val="none" w:sz="0" w:space="0" w:color="auto"/>
        <w:left w:val="none" w:sz="0" w:space="0" w:color="auto"/>
        <w:bottom w:val="none" w:sz="0" w:space="0" w:color="auto"/>
        <w:right w:val="none" w:sz="0" w:space="0" w:color="auto"/>
      </w:divBdr>
    </w:div>
    <w:div w:id="491262087">
      <w:bodyDiv w:val="1"/>
      <w:marLeft w:val="0"/>
      <w:marRight w:val="0"/>
      <w:marTop w:val="0"/>
      <w:marBottom w:val="0"/>
      <w:divBdr>
        <w:top w:val="none" w:sz="0" w:space="0" w:color="auto"/>
        <w:left w:val="none" w:sz="0" w:space="0" w:color="auto"/>
        <w:bottom w:val="none" w:sz="0" w:space="0" w:color="auto"/>
        <w:right w:val="none" w:sz="0" w:space="0" w:color="auto"/>
      </w:divBdr>
    </w:div>
    <w:div w:id="552469702">
      <w:bodyDiv w:val="1"/>
      <w:marLeft w:val="0"/>
      <w:marRight w:val="0"/>
      <w:marTop w:val="0"/>
      <w:marBottom w:val="0"/>
      <w:divBdr>
        <w:top w:val="none" w:sz="0" w:space="0" w:color="auto"/>
        <w:left w:val="none" w:sz="0" w:space="0" w:color="auto"/>
        <w:bottom w:val="none" w:sz="0" w:space="0" w:color="auto"/>
        <w:right w:val="none" w:sz="0" w:space="0" w:color="auto"/>
      </w:divBdr>
    </w:div>
    <w:div w:id="1246453199">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383210382">
      <w:bodyDiv w:val="1"/>
      <w:marLeft w:val="0"/>
      <w:marRight w:val="0"/>
      <w:marTop w:val="0"/>
      <w:marBottom w:val="0"/>
      <w:divBdr>
        <w:top w:val="none" w:sz="0" w:space="0" w:color="auto"/>
        <w:left w:val="none" w:sz="0" w:space="0" w:color="auto"/>
        <w:bottom w:val="none" w:sz="0" w:space="0" w:color="auto"/>
        <w:right w:val="none" w:sz="0" w:space="0" w:color="auto"/>
      </w:divBdr>
    </w:div>
    <w:div w:id="1674917565">
      <w:bodyDiv w:val="1"/>
      <w:marLeft w:val="0"/>
      <w:marRight w:val="0"/>
      <w:marTop w:val="0"/>
      <w:marBottom w:val="0"/>
      <w:divBdr>
        <w:top w:val="none" w:sz="0" w:space="0" w:color="auto"/>
        <w:left w:val="none" w:sz="0" w:space="0" w:color="auto"/>
        <w:bottom w:val="none" w:sz="0" w:space="0" w:color="auto"/>
        <w:right w:val="none" w:sz="0" w:space="0" w:color="auto"/>
      </w:divBdr>
    </w:div>
    <w:div w:id="1708674709">
      <w:bodyDiv w:val="1"/>
      <w:marLeft w:val="0"/>
      <w:marRight w:val="0"/>
      <w:marTop w:val="0"/>
      <w:marBottom w:val="0"/>
      <w:divBdr>
        <w:top w:val="none" w:sz="0" w:space="0" w:color="auto"/>
        <w:left w:val="none" w:sz="0" w:space="0" w:color="auto"/>
        <w:bottom w:val="none" w:sz="0" w:space="0" w:color="auto"/>
        <w:right w:val="none" w:sz="0" w:space="0" w:color="auto"/>
      </w:divBdr>
    </w:div>
    <w:div w:id="1840464008">
      <w:bodyDiv w:val="1"/>
      <w:marLeft w:val="0"/>
      <w:marRight w:val="0"/>
      <w:marTop w:val="0"/>
      <w:marBottom w:val="0"/>
      <w:divBdr>
        <w:top w:val="none" w:sz="0" w:space="0" w:color="auto"/>
        <w:left w:val="none" w:sz="0" w:space="0" w:color="auto"/>
        <w:bottom w:val="none" w:sz="0" w:space="0" w:color="auto"/>
        <w:right w:val="none" w:sz="0" w:space="0" w:color="auto"/>
      </w:divBdr>
    </w:div>
    <w:div w:id="1980184024">
      <w:bodyDiv w:val="1"/>
      <w:marLeft w:val="0"/>
      <w:marRight w:val="0"/>
      <w:marTop w:val="0"/>
      <w:marBottom w:val="0"/>
      <w:divBdr>
        <w:top w:val="none" w:sz="0" w:space="0" w:color="auto"/>
        <w:left w:val="none" w:sz="0" w:space="0" w:color="auto"/>
        <w:bottom w:val="none" w:sz="0" w:space="0" w:color="auto"/>
        <w:right w:val="none" w:sz="0" w:space="0" w:color="auto"/>
      </w:divBdr>
    </w:div>
    <w:div w:id="209874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22270/ujpr.v4i5.309"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4103/jos.JOS_104_18"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55/2014/659838" TargetMode="External"/><Relationship Id="rId18" Type="http://schemas.openxmlformats.org/officeDocument/2006/relationships/hyperlink" Target="https://doi.org/10.1016/j.puhe.2006.09.02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medicine.medscape.com/article/1133108-workup" TargetMode="External"/><Relationship Id="rId7" Type="http://schemas.openxmlformats.org/officeDocument/2006/relationships/endnotes" Target="endnotes.xml"/><Relationship Id="rId12" Type="http://schemas.openxmlformats.org/officeDocument/2006/relationships/hyperlink" Target="http://www.who.int/immunization/newsroom/Measles_Rubella_StrategicPlan_2012_2020.pdf" TargetMode="External"/><Relationship Id="rId17" Type="http://schemas.openxmlformats.org/officeDocument/2006/relationships/hyperlink" Target="https://doi.org/10.1016/j.vaccine.2003.11.00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dx.doi.org/10.33552/WJGWH.2019.02.000538" TargetMode="External"/><Relationship Id="rId20" Type="http://schemas.openxmlformats.org/officeDocument/2006/relationships/hyperlink" Target="https://doi.org/10.4103/0019-557x.10641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immunization/sage/meetings/2012/november/1_Status_Report_Measles_Rubella_22_Oct.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17/s0950268899003532" TargetMode="External"/><Relationship Id="rId23" Type="http://schemas.openxmlformats.org/officeDocument/2006/relationships/hyperlink" Target="https://doi.org/10.1016/j.ijid.2018.07.024" TargetMode="External"/><Relationship Id="rId28"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yperlink" Target="http://dx.doi.org/10.2147/IJWH.S6866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x.doi.org/10.2105%2Fajph.90.10.1555" TargetMode="External"/><Relationship Id="rId22" Type="http://schemas.openxmlformats.org/officeDocument/2006/relationships/hyperlink" Target="https://doi.org/10.21101/cejph.a4010"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E:\&#1605;&#1604;&#1601;&#1575;&#1578;%20&#1608;&#1590;&#1575;&#1581;\&#1575;&#1576;&#1581;&#1575;&#1579;%20&#1605;&#1588;&#1578;&#1585;&#1603;&#1577;%20&#1605;&#1593;%20&#1586;&#1605;&#1604;&#1575;&#1569;\&#1608;&#1583;&#1610;&#1593;%20&#1575;&#1604;&#1588;&#1607;&#1575;&#1585;&#1610;\&#1575;&#1604;&#1576;&#1581;&#1579;%20&#1575;&#1604;&#1585;&#1575;&#1576;&#1593;\&#1575;&#1582;&#1578;&#1576;&#1575;&#1585;.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4440507436570429"/>
          <c:y val="2.8252405949256338E-2"/>
          <c:w val="0.75072134733158613"/>
          <c:h val="0.86502697579469234"/>
        </c:manualLayout>
      </c:layout>
      <c:barChart>
        <c:barDir val="col"/>
        <c:grouping val="clustered"/>
        <c:ser>
          <c:idx val="0"/>
          <c:order val="0"/>
          <c:dPt>
            <c:idx val="0"/>
            <c:spPr>
              <a:solidFill>
                <a:srgbClr val="00B0F0"/>
              </a:solidFill>
            </c:spPr>
            <c:extLst xmlns:c16r2="http://schemas.microsoft.com/office/drawing/2015/06/chart">
              <c:ext xmlns:c16="http://schemas.microsoft.com/office/drawing/2014/chart" uri="{C3380CC4-5D6E-409C-BE32-E72D297353CC}">
                <c16:uniqueId val="{00000000-1489-4267-A1F8-3568489AC229}"/>
              </c:ext>
            </c:extLst>
          </c:dPt>
          <c:dLbls>
            <c:spPr>
              <a:noFill/>
              <a:ln>
                <a:noFill/>
              </a:ln>
              <a:effectLst/>
            </c:spPr>
            <c:txPr>
              <a:bodyPr/>
              <a:lstStyle/>
              <a:p>
                <a:pPr>
                  <a:defRPr lang="en-US"/>
                </a:pPr>
                <a:endParaRPr lang="en-US"/>
              </a:p>
            </c:txPr>
            <c:showVal val="1"/>
            <c:extLst xmlns:c16r2="http://schemas.microsoft.com/office/drawing/2015/06/chart">
              <c:ext xmlns:c15="http://schemas.microsoft.com/office/drawing/2012/chart" uri="{CE6537A1-D6FC-4f65-9D91-7224C49458BB}">
                <c15:showLeaderLines val="0"/>
              </c:ext>
            </c:extLst>
          </c:dLbls>
          <c:cat>
            <c:strRef>
              <c:f>ورقة2!$F$9:$F$10</c:f>
              <c:strCache>
                <c:ptCount val="2"/>
                <c:pt idx="0">
                  <c:v>Positive</c:v>
                </c:pt>
                <c:pt idx="1">
                  <c:v>Negative</c:v>
                </c:pt>
              </c:strCache>
            </c:strRef>
          </c:cat>
          <c:val>
            <c:numRef>
              <c:f>ورقة2!$G$9:$G$10</c:f>
              <c:numCache>
                <c:formatCode>General</c:formatCode>
                <c:ptCount val="2"/>
                <c:pt idx="0">
                  <c:v>197</c:v>
                </c:pt>
                <c:pt idx="1">
                  <c:v>73</c:v>
                </c:pt>
              </c:numCache>
            </c:numRef>
          </c:val>
          <c:extLst xmlns:c16r2="http://schemas.microsoft.com/office/drawing/2015/06/chart">
            <c:ext xmlns:c16="http://schemas.microsoft.com/office/drawing/2014/chart" uri="{C3380CC4-5D6E-409C-BE32-E72D297353CC}">
              <c16:uniqueId val="{00000001-1489-4267-A1F8-3568489AC229}"/>
            </c:ext>
          </c:extLst>
        </c:ser>
        <c:axId val="81459072"/>
        <c:axId val="81610624"/>
      </c:barChart>
      <c:catAx>
        <c:axId val="81459072"/>
        <c:scaling>
          <c:orientation val="minMax"/>
        </c:scaling>
        <c:axPos val="b"/>
        <c:numFmt formatCode="General" sourceLinked="0"/>
        <c:tickLblPos val="nextTo"/>
        <c:txPr>
          <a:bodyPr/>
          <a:lstStyle/>
          <a:p>
            <a:pPr>
              <a:defRPr lang="en-US" b="1"/>
            </a:pPr>
            <a:endParaRPr lang="en-US"/>
          </a:p>
        </c:txPr>
        <c:crossAx val="81610624"/>
        <c:crosses val="autoZero"/>
        <c:auto val="1"/>
        <c:lblAlgn val="ctr"/>
        <c:lblOffset val="100"/>
      </c:catAx>
      <c:valAx>
        <c:axId val="81610624"/>
        <c:scaling>
          <c:orientation val="minMax"/>
        </c:scaling>
        <c:axPos val="l"/>
        <c:majorGridlines/>
        <c:numFmt formatCode="General" sourceLinked="1"/>
        <c:tickLblPos val="nextTo"/>
        <c:txPr>
          <a:bodyPr/>
          <a:lstStyle/>
          <a:p>
            <a:pPr>
              <a:defRPr lang="en-US"/>
            </a:pPr>
            <a:endParaRPr lang="en-US"/>
          </a:p>
        </c:txPr>
        <c:crossAx val="81459072"/>
        <c:crosses val="autoZero"/>
        <c:crossBetween val="between"/>
      </c:valAx>
    </c:plotArea>
    <c:plotVisOnly val="1"/>
    <c:dispBlanksAs val="gap"/>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0.02361</cdr:x>
      <cdr:y>0.17824</cdr:y>
    </cdr:from>
    <cdr:to>
      <cdr:x>0.06705</cdr:x>
      <cdr:y>0.84645</cdr:y>
    </cdr:to>
    <cdr:sp macro="" textlink="">
      <cdr:nvSpPr>
        <cdr:cNvPr id="2" name="مستطيل 1"/>
        <cdr:cNvSpPr/>
      </cdr:nvSpPr>
      <cdr:spPr>
        <a:xfrm xmlns:a="http://schemas.openxmlformats.org/drawingml/2006/main">
          <a:off x="107950" y="488950"/>
          <a:ext cx="198608" cy="1833031"/>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vert270" anchor="ct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r>
            <a:rPr lang="en-US" b="1">
              <a:solidFill>
                <a:sysClr val="windowText" lastClr="000000"/>
              </a:solidFill>
              <a:latin typeface="Times New Roman" pitchFamily="18" charset="0"/>
              <a:cs typeface="Times New Roman" pitchFamily="18" charset="0"/>
            </a:rPr>
            <a:t>Number of</a:t>
          </a:r>
          <a:r>
            <a:rPr lang="en-US" b="1" baseline="0">
              <a:solidFill>
                <a:sysClr val="windowText" lastClr="000000"/>
              </a:solidFill>
              <a:latin typeface="Times New Roman" pitchFamily="18" charset="0"/>
              <a:cs typeface="Times New Roman" pitchFamily="18" charset="0"/>
            </a:rPr>
            <a:t> </a:t>
          </a:r>
          <a:r>
            <a:rPr lang="en-US" sz="1100" b="1">
              <a:solidFill>
                <a:sysClr val="windowText" lastClr="000000"/>
              </a:solidFill>
              <a:effectLst/>
              <a:latin typeface="Times New Roman" pitchFamily="18" charset="0"/>
              <a:ea typeface="+mn-ea"/>
              <a:cs typeface="Times New Roman" pitchFamily="18" charset="0"/>
            </a:rPr>
            <a:t>specimens </a:t>
          </a:r>
          <a:endParaRPr lang="en-US" b="1">
            <a:solidFill>
              <a:sysClr val="windowText" lastClr="0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4C09-900B-4778-808A-778FDAA35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4132</Words>
  <Characters>23555</Characters>
  <Application>Microsoft Office Word</Application>
  <DocSecurity>0</DocSecurity>
  <Lines>196</Lines>
  <Paragraphs>55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Result</vt:lpstr>
      <vt:lpstr>Result</vt:lpstr>
    </vt:vector>
  </TitlesOfParts>
  <Company>Naim Al Hussaini</Company>
  <LinksUpToDate>false</LinksUpToDate>
  <CharactersWithSpaces>27632</CharactersWithSpaces>
  <SharedDoc>false</SharedDoc>
  <HLinks>
    <vt:vector size="12" baseType="variant">
      <vt:variant>
        <vt:i4>2687099</vt:i4>
      </vt:variant>
      <vt:variant>
        <vt:i4>3</vt:i4>
      </vt:variant>
      <vt:variant>
        <vt:i4>0</vt:i4>
      </vt:variant>
      <vt:variant>
        <vt:i4>5</vt:i4>
      </vt:variant>
      <vt:variant>
        <vt:lpwstr>http://www.who.int/immunization/newsroom/Measles_Rubella_StrategicPlan_2012_2020.pdf</vt:lpwstr>
      </vt:variant>
      <vt:variant>
        <vt:lpwstr/>
      </vt:variant>
      <vt:variant>
        <vt:i4>6553636</vt:i4>
      </vt:variant>
      <vt:variant>
        <vt:i4>0</vt:i4>
      </vt:variant>
      <vt:variant>
        <vt:i4>0</vt:i4>
      </vt:variant>
      <vt:variant>
        <vt:i4>5</vt:i4>
      </vt:variant>
      <vt:variant>
        <vt:lpwstr>https://www.who.int/immunization/sage/meetings/2012/november/1_Status_Report_Measles_Rubella_22_Oct.pdf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dc:title>
  <dc:creator>VIP</dc:creator>
  <cp:lastModifiedBy>Kapil</cp:lastModifiedBy>
  <cp:revision>23</cp:revision>
  <cp:lastPrinted>2009-03-31T19:07:00Z</cp:lastPrinted>
  <dcterms:created xsi:type="dcterms:W3CDTF">2020-08-08T19:31:00Z</dcterms:created>
  <dcterms:modified xsi:type="dcterms:W3CDTF">2021-05-14T01:00:00Z</dcterms:modified>
</cp:coreProperties>
</file>