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B2" w:rsidRPr="00792842" w:rsidRDefault="007909B2" w:rsidP="007909B2">
      <w:pPr>
        <w:shd w:val="clear" w:color="auto" w:fill="00B050"/>
        <w:jc w:val="center"/>
        <w:rPr>
          <w:b/>
          <w:bCs/>
          <w:color w:val="FFFFFF"/>
          <w:sz w:val="28"/>
          <w:szCs w:val="28"/>
        </w:rPr>
      </w:pPr>
      <w:r w:rsidRPr="00792842">
        <w:rPr>
          <w:b/>
          <w:bCs/>
          <w:color w:val="FFFFFF"/>
          <w:sz w:val="28"/>
          <w:szCs w:val="28"/>
        </w:rPr>
        <w:t>Re</w:t>
      </w:r>
      <w:r>
        <w:rPr>
          <w:b/>
          <w:bCs/>
          <w:color w:val="FFFFFF"/>
          <w:sz w:val="28"/>
          <w:szCs w:val="28"/>
        </w:rPr>
        <w:t>viewer’s Comments</w:t>
      </w:r>
    </w:p>
    <w:p w:rsidR="00513831" w:rsidRPr="00513831" w:rsidRDefault="00513831" w:rsidP="00513831">
      <w:pPr>
        <w:spacing w:after="0"/>
        <w:jc w:val="center"/>
        <w:rPr>
          <w:rFonts w:ascii="Times New Roman" w:hAnsi="Times New Roman" w:cs="Times New Roman"/>
          <w:b/>
          <w:sz w:val="24"/>
          <w:szCs w:val="24"/>
        </w:rPr>
      </w:pPr>
    </w:p>
    <w:p w:rsidR="007909B2" w:rsidRDefault="007909B2" w:rsidP="00513831">
      <w:pPr>
        <w:spacing w:after="0"/>
        <w:jc w:val="center"/>
        <w:rPr>
          <w:rFonts w:ascii="Times New Roman" w:hAnsi="Times New Roman" w:cs="Times New Roman"/>
          <w:b/>
          <w:sz w:val="24"/>
          <w:szCs w:val="24"/>
        </w:rPr>
      </w:pPr>
      <w:bookmarkStart w:id="0" w:name="_GoBack"/>
      <w:commentRangeStart w:id="1"/>
      <w:r>
        <w:rPr>
          <w:rFonts w:ascii="Times New Roman" w:hAnsi="Times New Roman" w:cs="Times New Roman"/>
          <w:b/>
          <w:noProof/>
          <w:sz w:val="24"/>
          <w:szCs w:val="24"/>
        </w:rPr>
        <w:drawing>
          <wp:inline distT="0" distB="0" distL="0" distR="0">
            <wp:extent cx="5759450" cy="216830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59450" cy="2168304"/>
                    </a:xfrm>
                    <a:prstGeom prst="rect">
                      <a:avLst/>
                    </a:prstGeom>
                    <a:noFill/>
                    <a:ln w="9525">
                      <a:noFill/>
                      <a:miter lim="800000"/>
                      <a:headEnd/>
                      <a:tailEnd/>
                    </a:ln>
                  </pic:spPr>
                </pic:pic>
              </a:graphicData>
            </a:graphic>
          </wp:inline>
        </w:drawing>
      </w:r>
      <w:commentRangeEnd w:id="1"/>
      <w:r>
        <w:rPr>
          <w:rStyle w:val="CommentReference"/>
        </w:rPr>
        <w:commentReference w:id="1"/>
      </w:r>
    </w:p>
    <w:p w:rsidR="00D712B0" w:rsidRPr="00513831" w:rsidRDefault="00D712B0" w:rsidP="00513831">
      <w:pPr>
        <w:spacing w:after="0"/>
        <w:jc w:val="center"/>
        <w:rPr>
          <w:rFonts w:ascii="Times New Roman" w:hAnsi="Times New Roman" w:cs="Times New Roman"/>
          <w:b/>
          <w:sz w:val="24"/>
          <w:szCs w:val="24"/>
        </w:rPr>
      </w:pPr>
      <w:r w:rsidRPr="00513831">
        <w:rPr>
          <w:rFonts w:ascii="Times New Roman" w:hAnsi="Times New Roman" w:cs="Times New Roman"/>
          <w:b/>
          <w:sz w:val="24"/>
          <w:szCs w:val="24"/>
        </w:rPr>
        <w:t xml:space="preserve">UV Spectroscopy determination of </w:t>
      </w:r>
      <w:r w:rsidR="00CE319C" w:rsidRPr="005D4AAE">
        <w:rPr>
          <w:rFonts w:ascii="Times New Roman" w:hAnsi="Times New Roman" w:cs="Times New Roman"/>
          <w:b/>
          <w:sz w:val="24"/>
          <w:szCs w:val="24"/>
          <w:highlight w:val="yellow"/>
        </w:rPr>
        <w:t>cilazapril</w:t>
      </w:r>
      <w:r w:rsidR="00CE319C" w:rsidRPr="00513831">
        <w:rPr>
          <w:rFonts w:ascii="Times New Roman" w:hAnsi="Times New Roman" w:cs="Times New Roman"/>
          <w:b/>
          <w:sz w:val="24"/>
          <w:szCs w:val="24"/>
        </w:rPr>
        <w:t xml:space="preserve"> and </w:t>
      </w:r>
      <w:commentRangeStart w:id="2"/>
      <w:r w:rsidR="00CE319C" w:rsidRPr="00513831">
        <w:rPr>
          <w:rFonts w:ascii="Times New Roman" w:hAnsi="Times New Roman" w:cs="Times New Roman"/>
          <w:b/>
          <w:sz w:val="24"/>
          <w:szCs w:val="24"/>
        </w:rPr>
        <w:t>hydrochlorothiazide a</w:t>
      </w:r>
      <w:r w:rsidRPr="00513831">
        <w:rPr>
          <w:rFonts w:ascii="Times New Roman" w:hAnsi="Times New Roman" w:cs="Times New Roman"/>
          <w:b/>
          <w:sz w:val="24"/>
          <w:szCs w:val="24"/>
        </w:rPr>
        <w:t>ctive agents used in the treatment of hypertension</w:t>
      </w:r>
      <w:commentRangeEnd w:id="2"/>
      <w:r w:rsidR="002728B6">
        <w:rPr>
          <w:rStyle w:val="CommentReference"/>
        </w:rPr>
        <w:commentReference w:id="2"/>
      </w:r>
    </w:p>
    <w:bookmarkEnd w:id="0"/>
    <w:p w:rsidR="001052D5" w:rsidRPr="00513831" w:rsidRDefault="001052D5" w:rsidP="00513831">
      <w:pPr>
        <w:spacing w:after="0"/>
        <w:jc w:val="center"/>
        <w:rPr>
          <w:rFonts w:ascii="Times New Roman" w:hAnsi="Times New Roman" w:cs="Times New Roman"/>
          <w:b/>
          <w:sz w:val="24"/>
          <w:szCs w:val="24"/>
        </w:rPr>
      </w:pPr>
      <w:commentRangeStart w:id="3"/>
      <w:r w:rsidRPr="00513831">
        <w:rPr>
          <w:rFonts w:ascii="Times New Roman" w:hAnsi="Times New Roman" w:cs="Times New Roman"/>
          <w:b/>
          <w:sz w:val="24"/>
          <w:szCs w:val="24"/>
        </w:rPr>
        <w:t>Ab</w:t>
      </w:r>
      <w:commentRangeStart w:id="4"/>
      <w:r w:rsidRPr="00513831">
        <w:rPr>
          <w:rFonts w:ascii="Times New Roman" w:hAnsi="Times New Roman" w:cs="Times New Roman"/>
          <w:b/>
          <w:sz w:val="24"/>
          <w:szCs w:val="24"/>
        </w:rPr>
        <w:t>str</w:t>
      </w:r>
      <w:commentRangeEnd w:id="4"/>
      <w:r w:rsidR="002728B6">
        <w:rPr>
          <w:rStyle w:val="CommentReference"/>
        </w:rPr>
        <w:commentReference w:id="4"/>
      </w:r>
      <w:r w:rsidRPr="00513831">
        <w:rPr>
          <w:rFonts w:ascii="Times New Roman" w:hAnsi="Times New Roman" w:cs="Times New Roman"/>
          <w:b/>
          <w:sz w:val="24"/>
          <w:szCs w:val="24"/>
        </w:rPr>
        <w:t>act</w:t>
      </w:r>
      <w:commentRangeEnd w:id="3"/>
      <w:r w:rsidR="002728B6">
        <w:rPr>
          <w:rStyle w:val="CommentReference"/>
        </w:rPr>
        <w:commentReference w:id="3"/>
      </w:r>
    </w:p>
    <w:p w:rsidR="002F3D9D" w:rsidRPr="00513831" w:rsidRDefault="002F3D9D" w:rsidP="00187952">
      <w:pPr>
        <w:spacing w:after="0"/>
        <w:jc w:val="both"/>
        <w:rPr>
          <w:rFonts w:ascii="Times New Roman" w:eastAsia="Calibri" w:hAnsi="Times New Roman" w:cs="Times New Roman"/>
          <w:bCs/>
          <w:i/>
          <w:iCs/>
          <w:sz w:val="24"/>
          <w:szCs w:val="24"/>
        </w:rPr>
      </w:pPr>
      <w:commentRangeStart w:id="5"/>
      <w:r w:rsidRPr="00513831">
        <w:rPr>
          <w:rFonts w:ascii="Times New Roman" w:hAnsi="Times New Roman" w:cs="Times New Roman"/>
          <w:i/>
          <w:sz w:val="24"/>
          <w:szCs w:val="24"/>
        </w:rPr>
        <w:t xml:space="preserve">In this study, various mixtures of </w:t>
      </w:r>
      <w:r w:rsidRPr="006A541D">
        <w:rPr>
          <w:rFonts w:ascii="Times New Roman" w:hAnsi="Times New Roman" w:cs="Times New Roman"/>
          <w:i/>
          <w:sz w:val="24"/>
          <w:szCs w:val="24"/>
          <w:highlight w:val="yellow"/>
        </w:rPr>
        <w:t>silazapril</w:t>
      </w:r>
      <w:r w:rsidR="005D4AAE">
        <w:rPr>
          <w:rFonts w:ascii="Times New Roman" w:hAnsi="Times New Roman" w:cs="Times New Roman"/>
          <w:i/>
          <w:sz w:val="24"/>
          <w:szCs w:val="24"/>
          <w:highlight w:val="yellow"/>
        </w:rPr>
        <w:t>??????</w:t>
      </w:r>
      <w:r w:rsidR="006A541D" w:rsidRPr="006A541D">
        <w:rPr>
          <w:rFonts w:ascii="Times New Roman" w:hAnsi="Times New Roman" w:cs="Times New Roman"/>
          <w:i/>
          <w:sz w:val="24"/>
          <w:szCs w:val="24"/>
          <w:highlight w:val="yellow"/>
        </w:rPr>
        <w:t xml:space="preserve"> and </w:t>
      </w:r>
      <w:r w:rsidRPr="006A541D">
        <w:rPr>
          <w:rFonts w:ascii="Times New Roman" w:hAnsi="Times New Roman" w:cs="Times New Roman"/>
          <w:i/>
          <w:sz w:val="24"/>
          <w:szCs w:val="24"/>
          <w:highlight w:val="yellow"/>
        </w:rPr>
        <w:t xml:space="preserve"> hydrochlorothiazide</w:t>
      </w:r>
      <w:r w:rsidRPr="00513831">
        <w:rPr>
          <w:rFonts w:ascii="Times New Roman" w:hAnsi="Times New Roman" w:cs="Times New Roman"/>
          <w:i/>
          <w:sz w:val="24"/>
          <w:szCs w:val="24"/>
        </w:rPr>
        <w:t xml:space="preserve"> were prepared, </w:t>
      </w:r>
      <w:commentRangeStart w:id="6"/>
      <w:r w:rsidRPr="00513831">
        <w:rPr>
          <w:rFonts w:ascii="Times New Roman" w:hAnsi="Times New Roman" w:cs="Times New Roman"/>
          <w:i/>
          <w:sz w:val="24"/>
          <w:szCs w:val="24"/>
        </w:rPr>
        <w:t xml:space="preserve">the matrix effect was </w:t>
      </w:r>
      <w:commentRangeEnd w:id="5"/>
      <w:r w:rsidR="001F613E">
        <w:rPr>
          <w:rStyle w:val="CommentReference"/>
        </w:rPr>
        <w:commentReference w:id="5"/>
      </w:r>
      <w:r w:rsidRPr="00513831">
        <w:rPr>
          <w:rFonts w:ascii="Times New Roman" w:hAnsi="Times New Roman" w:cs="Times New Roman"/>
          <w:i/>
          <w:sz w:val="24"/>
          <w:szCs w:val="24"/>
        </w:rPr>
        <w:t>formed in the drug and the determination of these active substances in the drug samples after optimum conditions were determined.</w:t>
      </w:r>
      <w:r w:rsidRPr="00513831">
        <w:rPr>
          <w:rFonts w:ascii="Times New Roman" w:eastAsia="Calibri" w:hAnsi="Times New Roman" w:cs="Times New Roman"/>
          <w:bCs/>
          <w:i/>
          <w:iCs/>
          <w:sz w:val="24"/>
          <w:szCs w:val="24"/>
        </w:rPr>
        <w:t>In the spectrophotometric method, 100 mgL</w:t>
      </w:r>
      <w:r w:rsidRPr="00513831">
        <w:rPr>
          <w:rFonts w:ascii="Times New Roman" w:eastAsia="Calibri" w:hAnsi="Times New Roman" w:cs="Times New Roman"/>
          <w:bCs/>
          <w:i/>
          <w:iCs/>
          <w:sz w:val="24"/>
          <w:szCs w:val="24"/>
          <w:vertAlign w:val="superscript"/>
        </w:rPr>
        <w:t>−1</w:t>
      </w:r>
      <w:r w:rsidRPr="00513831">
        <w:rPr>
          <w:rFonts w:ascii="Times New Roman" w:eastAsia="Calibri" w:hAnsi="Times New Roman" w:cs="Times New Roman"/>
          <w:bCs/>
          <w:i/>
          <w:iCs/>
          <w:sz w:val="24"/>
          <w:szCs w:val="24"/>
        </w:rPr>
        <w:t xml:space="preserve"> solutions were prepared </w:t>
      </w:r>
      <w:r w:rsidR="00187952" w:rsidRPr="00187952">
        <w:rPr>
          <w:rFonts w:ascii="Times New Roman" w:eastAsia="Calibri" w:hAnsi="Times New Roman" w:cs="Times New Roman"/>
          <w:bCs/>
          <w:i/>
          <w:iCs/>
          <w:sz w:val="24"/>
          <w:szCs w:val="24"/>
          <w:highlight w:val="yellow"/>
        </w:rPr>
        <w:t>of</w:t>
      </w:r>
      <w:r w:rsidR="00CE319C" w:rsidRPr="00187952">
        <w:rPr>
          <w:rFonts w:ascii="Times New Roman" w:eastAsia="Calibri" w:hAnsi="Times New Roman" w:cs="Times New Roman"/>
          <w:bCs/>
          <w:i/>
          <w:iCs/>
          <w:sz w:val="24"/>
          <w:szCs w:val="24"/>
          <w:highlight w:val="yellow"/>
        </w:rPr>
        <w:t>c</w:t>
      </w:r>
      <w:r w:rsidR="00187952">
        <w:rPr>
          <w:rFonts w:ascii="Times New Roman" w:eastAsia="Calibri" w:hAnsi="Times New Roman" w:cs="Times New Roman"/>
          <w:bCs/>
          <w:i/>
          <w:iCs/>
          <w:sz w:val="24"/>
          <w:szCs w:val="24"/>
          <w:highlight w:val="yellow"/>
        </w:rPr>
        <w:t xml:space="preserve">ilazapril and </w:t>
      </w:r>
      <w:r w:rsidRPr="00187952">
        <w:rPr>
          <w:rFonts w:ascii="Times New Roman" w:eastAsia="Calibri" w:hAnsi="Times New Roman" w:cs="Times New Roman"/>
          <w:bCs/>
          <w:i/>
          <w:iCs/>
          <w:sz w:val="24"/>
          <w:szCs w:val="24"/>
          <w:highlight w:val="yellow"/>
        </w:rPr>
        <w:t>hydrochlorothiazide in methanol</w:t>
      </w:r>
      <w:r w:rsidRPr="00513831">
        <w:rPr>
          <w:rFonts w:ascii="Times New Roman" w:eastAsia="Calibri" w:hAnsi="Times New Roman" w:cs="Times New Roman"/>
          <w:bCs/>
          <w:i/>
          <w:iCs/>
          <w:sz w:val="24"/>
          <w:szCs w:val="24"/>
        </w:rPr>
        <w:t xml:space="preserve"> + 0.1 m HCL solvent and then mixtures of these solutions were prepared between specific ppm. The absorbance's of the solvent against the blind were read at 0,1 nm intervals.  After the mixture, tablet (drug) sample was prepared and chemometrics methods were applied to the values obtained by saving the absorbance values.</w:t>
      </w:r>
      <w:commentRangeEnd w:id="6"/>
      <w:r w:rsidR="000F5E97">
        <w:rPr>
          <w:rStyle w:val="CommentReference"/>
        </w:rPr>
        <w:commentReference w:id="6"/>
      </w:r>
    </w:p>
    <w:p w:rsidR="00D712B0" w:rsidRPr="00513831" w:rsidRDefault="00D712B0" w:rsidP="00513831">
      <w:pPr>
        <w:spacing w:after="0"/>
        <w:rPr>
          <w:rFonts w:ascii="Times New Roman" w:hAnsi="Times New Roman" w:cs="Times New Roman"/>
          <w:sz w:val="24"/>
          <w:szCs w:val="24"/>
        </w:rPr>
      </w:pPr>
    </w:p>
    <w:p w:rsidR="001052D5" w:rsidRPr="00513831" w:rsidRDefault="001052D5" w:rsidP="00513831">
      <w:pPr>
        <w:spacing w:after="0"/>
        <w:jc w:val="both"/>
        <w:rPr>
          <w:rFonts w:ascii="Times New Roman" w:hAnsi="Times New Roman" w:cs="Times New Roman"/>
          <w:sz w:val="24"/>
          <w:szCs w:val="24"/>
        </w:rPr>
      </w:pPr>
      <w:r w:rsidRPr="00513831">
        <w:rPr>
          <w:rFonts w:ascii="Times New Roman" w:hAnsi="Times New Roman" w:cs="Times New Roman"/>
          <w:sz w:val="24"/>
          <w:szCs w:val="24"/>
        </w:rPr>
        <w:t xml:space="preserve">Key </w:t>
      </w:r>
      <w:r w:rsidR="00CE319C" w:rsidRPr="00513831">
        <w:rPr>
          <w:rFonts w:ascii="Times New Roman" w:hAnsi="Times New Roman" w:cs="Times New Roman"/>
          <w:sz w:val="24"/>
          <w:szCs w:val="24"/>
        </w:rPr>
        <w:t>words:</w:t>
      </w:r>
      <w:commentRangeStart w:id="7"/>
      <w:r w:rsidRPr="00513831">
        <w:rPr>
          <w:rFonts w:ascii="Times New Roman" w:hAnsi="Times New Roman" w:cs="Times New Roman"/>
          <w:sz w:val="24"/>
          <w:szCs w:val="24"/>
        </w:rPr>
        <w:t xml:space="preserve">Principal component analysis, </w:t>
      </w:r>
      <w:commentRangeStart w:id="8"/>
      <w:r w:rsidR="00CE319C" w:rsidRPr="00187952">
        <w:rPr>
          <w:rFonts w:ascii="Times New Roman" w:hAnsi="Times New Roman" w:cs="Times New Roman"/>
          <w:sz w:val="24"/>
          <w:szCs w:val="24"/>
          <w:highlight w:val="yellow"/>
        </w:rPr>
        <w:t>C</w:t>
      </w:r>
      <w:r w:rsidRPr="00187952">
        <w:rPr>
          <w:rFonts w:ascii="Times New Roman" w:hAnsi="Times New Roman" w:cs="Times New Roman"/>
          <w:sz w:val="24"/>
          <w:szCs w:val="24"/>
          <w:highlight w:val="yellow"/>
        </w:rPr>
        <w:t>ilazapril,</w:t>
      </w:r>
      <w:r w:rsidRPr="00513831">
        <w:rPr>
          <w:rFonts w:ascii="Times New Roman" w:hAnsi="Times New Roman" w:cs="Times New Roman"/>
          <w:sz w:val="24"/>
          <w:szCs w:val="24"/>
        </w:rPr>
        <w:t xml:space="preserve"> Hydrochlorothiazide  </w:t>
      </w:r>
      <w:commentRangeEnd w:id="7"/>
      <w:r w:rsidR="002728B6">
        <w:rPr>
          <w:rStyle w:val="CommentReference"/>
        </w:rPr>
        <w:commentReference w:id="7"/>
      </w:r>
      <w:commentRangeEnd w:id="8"/>
      <w:r w:rsidR="002728B6">
        <w:rPr>
          <w:rStyle w:val="CommentReference"/>
        </w:rPr>
        <w:commentReference w:id="8"/>
      </w:r>
    </w:p>
    <w:p w:rsidR="009966F3" w:rsidRPr="00513831" w:rsidRDefault="009966F3" w:rsidP="00513831">
      <w:pPr>
        <w:spacing w:after="0"/>
        <w:jc w:val="both"/>
        <w:rPr>
          <w:rFonts w:ascii="Times New Roman" w:hAnsi="Times New Roman" w:cs="Times New Roman"/>
          <w:b/>
          <w:sz w:val="24"/>
          <w:szCs w:val="24"/>
        </w:rPr>
      </w:pPr>
    </w:p>
    <w:p w:rsidR="001052D5" w:rsidRPr="00513831" w:rsidRDefault="001052D5" w:rsidP="00513831">
      <w:pPr>
        <w:spacing w:after="0"/>
        <w:jc w:val="both"/>
        <w:rPr>
          <w:rFonts w:ascii="Times New Roman" w:hAnsi="Times New Roman" w:cs="Times New Roman"/>
          <w:b/>
          <w:sz w:val="24"/>
          <w:szCs w:val="24"/>
        </w:rPr>
      </w:pPr>
      <w:r w:rsidRPr="00513831">
        <w:rPr>
          <w:rFonts w:ascii="Times New Roman" w:hAnsi="Times New Roman" w:cs="Times New Roman"/>
          <w:b/>
          <w:sz w:val="24"/>
          <w:szCs w:val="24"/>
        </w:rPr>
        <w:t>1. Introduction</w:t>
      </w:r>
    </w:p>
    <w:p w:rsidR="005A348D" w:rsidRPr="00513831" w:rsidRDefault="005A348D" w:rsidP="00513831">
      <w:pPr>
        <w:spacing w:after="0"/>
        <w:jc w:val="both"/>
        <w:rPr>
          <w:rFonts w:ascii="Times New Roman" w:hAnsi="Times New Roman" w:cs="Times New Roman"/>
          <w:sz w:val="24"/>
          <w:szCs w:val="24"/>
        </w:rPr>
      </w:pPr>
      <w:commentRangeStart w:id="9"/>
      <w:r w:rsidRPr="00513831">
        <w:rPr>
          <w:rFonts w:ascii="Times New Roman" w:hAnsi="Times New Roman" w:cs="Times New Roman"/>
          <w:sz w:val="24"/>
          <w:szCs w:val="24"/>
        </w:rPr>
        <w:t xml:space="preserve">The systematic name of the </w:t>
      </w:r>
      <w:commentRangeStart w:id="10"/>
      <w:r w:rsidRPr="00513831">
        <w:rPr>
          <w:rFonts w:ascii="Times New Roman" w:hAnsi="Times New Roman" w:cs="Times New Roman"/>
          <w:sz w:val="24"/>
          <w:szCs w:val="24"/>
        </w:rPr>
        <w:t>silazapril (SİL) closed formula is C</w:t>
      </w:r>
      <w:r w:rsidRPr="00513831">
        <w:rPr>
          <w:rFonts w:ascii="Times New Roman" w:hAnsi="Times New Roman" w:cs="Times New Roman"/>
          <w:sz w:val="24"/>
          <w:szCs w:val="24"/>
          <w:vertAlign w:val="subscript"/>
        </w:rPr>
        <w:t>22</w:t>
      </w:r>
      <w:r w:rsidRPr="00513831">
        <w:rPr>
          <w:rFonts w:ascii="Times New Roman" w:hAnsi="Times New Roman" w:cs="Times New Roman"/>
          <w:sz w:val="24"/>
          <w:szCs w:val="24"/>
        </w:rPr>
        <w:t>H</w:t>
      </w:r>
      <w:r w:rsidRPr="00513831">
        <w:rPr>
          <w:rFonts w:ascii="Times New Roman" w:hAnsi="Times New Roman" w:cs="Times New Roman"/>
          <w:sz w:val="24"/>
          <w:szCs w:val="24"/>
          <w:vertAlign w:val="subscript"/>
        </w:rPr>
        <w:t>31</w:t>
      </w:r>
      <w:r w:rsidRPr="00513831">
        <w:rPr>
          <w:rFonts w:ascii="Times New Roman" w:hAnsi="Times New Roman" w:cs="Times New Roman"/>
          <w:sz w:val="24"/>
          <w:szCs w:val="24"/>
        </w:rPr>
        <w:t>N</w:t>
      </w:r>
      <w:r w:rsidRPr="00513831">
        <w:rPr>
          <w:rFonts w:ascii="Times New Roman" w:hAnsi="Times New Roman" w:cs="Times New Roman"/>
          <w:sz w:val="24"/>
          <w:szCs w:val="24"/>
          <w:vertAlign w:val="subscript"/>
        </w:rPr>
        <w:t>3</w:t>
      </w:r>
      <w:r w:rsidRPr="00513831">
        <w:rPr>
          <w:rFonts w:ascii="Times New Roman" w:hAnsi="Times New Roman" w:cs="Times New Roman"/>
          <w:sz w:val="24"/>
          <w:szCs w:val="24"/>
        </w:rPr>
        <w:t>O</w:t>
      </w:r>
      <w:r w:rsidRPr="00513831">
        <w:rPr>
          <w:rFonts w:ascii="Times New Roman" w:hAnsi="Times New Roman" w:cs="Times New Roman"/>
          <w:sz w:val="24"/>
          <w:szCs w:val="24"/>
          <w:vertAlign w:val="subscript"/>
        </w:rPr>
        <w:t>5</w:t>
      </w:r>
      <w:r w:rsidRPr="00513831">
        <w:rPr>
          <w:rFonts w:ascii="Times New Roman" w:hAnsi="Times New Roman" w:cs="Times New Roman"/>
          <w:sz w:val="24"/>
          <w:szCs w:val="24"/>
        </w:rPr>
        <w:t xml:space="preserve"> (1S, 9S) -9 - {[(2S) -1-ethoxy-1-oxo-4-phenylbutan-2-yl] amino} -10-oxo-octahydro 1 H-pyridazino [1,2-a] [1,2] diazepine-1-carboxylic acid is given in Figure 1 as the open formula, and is an angiotensin converting enzyme (ACE) inhibitor class (Thiol and sulfhydryl group) drug free. Silazapril is a drug used in the treatment of hypertension and heart failure</w:t>
      </w:r>
      <w:r w:rsidRPr="00513831">
        <w:rPr>
          <w:rFonts w:ascii="Times New Roman" w:hAnsi="Times New Roman" w:cs="Times New Roman"/>
          <w:sz w:val="24"/>
          <w:szCs w:val="24"/>
          <w:vertAlign w:val="superscript"/>
        </w:rPr>
        <w:t>1</w:t>
      </w:r>
      <w:r w:rsidRPr="00513831">
        <w:rPr>
          <w:rFonts w:ascii="Times New Roman" w:hAnsi="Times New Roman" w:cs="Times New Roman"/>
          <w:sz w:val="24"/>
          <w:szCs w:val="24"/>
        </w:rPr>
        <w:t>. Hydrochlorothiazide (HCT) is a white powder with a closed formula C</w:t>
      </w:r>
      <w:r w:rsidRPr="00513831">
        <w:rPr>
          <w:rFonts w:ascii="Times New Roman" w:hAnsi="Times New Roman" w:cs="Times New Roman"/>
          <w:sz w:val="24"/>
          <w:szCs w:val="24"/>
          <w:vertAlign w:val="subscript"/>
        </w:rPr>
        <w:t>7</w:t>
      </w:r>
      <w:r w:rsidRPr="00513831">
        <w:rPr>
          <w:rFonts w:ascii="Times New Roman" w:hAnsi="Times New Roman" w:cs="Times New Roman"/>
          <w:sz w:val="24"/>
          <w:szCs w:val="24"/>
        </w:rPr>
        <w:t>H</w:t>
      </w:r>
      <w:r w:rsidRPr="00513831">
        <w:rPr>
          <w:rFonts w:ascii="Times New Roman" w:hAnsi="Times New Roman" w:cs="Times New Roman"/>
          <w:sz w:val="24"/>
          <w:szCs w:val="24"/>
          <w:vertAlign w:val="subscript"/>
        </w:rPr>
        <w:t>8</w:t>
      </w:r>
      <w:r w:rsidRPr="00513831">
        <w:rPr>
          <w:rFonts w:ascii="Times New Roman" w:hAnsi="Times New Roman" w:cs="Times New Roman"/>
          <w:sz w:val="24"/>
          <w:szCs w:val="24"/>
        </w:rPr>
        <w:t>ClN</w:t>
      </w:r>
      <w:r w:rsidRPr="00513831">
        <w:rPr>
          <w:rFonts w:ascii="Times New Roman" w:hAnsi="Times New Roman" w:cs="Times New Roman"/>
          <w:sz w:val="24"/>
          <w:szCs w:val="24"/>
          <w:vertAlign w:val="subscript"/>
        </w:rPr>
        <w:t>3</w:t>
      </w:r>
      <w:r w:rsidRPr="00513831">
        <w:rPr>
          <w:rFonts w:ascii="Times New Roman" w:hAnsi="Times New Roman" w:cs="Times New Roman"/>
          <w:sz w:val="24"/>
          <w:szCs w:val="24"/>
        </w:rPr>
        <w:t>O</w:t>
      </w:r>
      <w:r w:rsidRPr="00513831">
        <w:rPr>
          <w:rFonts w:ascii="Times New Roman" w:hAnsi="Times New Roman" w:cs="Times New Roman"/>
          <w:sz w:val="24"/>
          <w:szCs w:val="24"/>
          <w:vertAlign w:val="subscript"/>
        </w:rPr>
        <w:t>4</w:t>
      </w:r>
      <w:r w:rsidRPr="00513831">
        <w:rPr>
          <w:rFonts w:ascii="Times New Roman" w:hAnsi="Times New Roman" w:cs="Times New Roman"/>
          <w:sz w:val="24"/>
          <w:szCs w:val="24"/>
        </w:rPr>
        <w:t>S</w:t>
      </w:r>
      <w:r w:rsidRPr="00513831">
        <w:rPr>
          <w:rFonts w:ascii="Times New Roman" w:hAnsi="Times New Roman" w:cs="Times New Roman"/>
          <w:sz w:val="24"/>
          <w:szCs w:val="24"/>
          <w:vertAlign w:val="subscript"/>
        </w:rPr>
        <w:t>2</w:t>
      </w:r>
      <w:r w:rsidRPr="00513831">
        <w:rPr>
          <w:rFonts w:ascii="Times New Roman" w:hAnsi="Times New Roman" w:cs="Times New Roman"/>
          <w:sz w:val="24"/>
          <w:szCs w:val="24"/>
        </w:rPr>
        <w:t xml:space="preserve"> and its systematic name is 6-chloro-3,4-dihydro-2H-1,2,4-benzothiadiazine-7-sulfonamide 1,1 dioxide, which leads to fluid retention in the body. It is a diuretic that helps </w:t>
      </w:r>
      <w:commentRangeEnd w:id="10"/>
      <w:r w:rsidR="00D40201">
        <w:rPr>
          <w:rStyle w:val="CommentReference"/>
        </w:rPr>
        <w:commentReference w:id="10"/>
      </w:r>
      <w:r w:rsidRPr="00513831">
        <w:rPr>
          <w:rFonts w:ascii="Times New Roman" w:hAnsi="Times New Roman" w:cs="Times New Roman"/>
          <w:sz w:val="24"/>
          <w:szCs w:val="24"/>
        </w:rPr>
        <w:t>to prevent the absorption of excess salt by the body. Hydrochlorothiazide is among the thiazide group diuretics. Figure 1 shows the open formula</w:t>
      </w:r>
      <w:commentRangeEnd w:id="9"/>
      <w:r w:rsidR="00FE7358">
        <w:rPr>
          <w:rStyle w:val="CommentReference"/>
        </w:rPr>
        <w:commentReference w:id="9"/>
      </w:r>
      <w:r w:rsidRPr="00513831">
        <w:rPr>
          <w:rFonts w:ascii="Times New Roman" w:hAnsi="Times New Roman" w:cs="Times New Roman"/>
          <w:sz w:val="24"/>
          <w:szCs w:val="24"/>
        </w:rPr>
        <w:t>.</w:t>
      </w:r>
    </w:p>
    <w:p w:rsidR="00CE319C" w:rsidRPr="00513831" w:rsidRDefault="00CE319C" w:rsidP="00513831">
      <w:pPr>
        <w:spacing w:after="0"/>
        <w:jc w:val="center"/>
        <w:rPr>
          <w:rFonts w:ascii="Times New Roman" w:hAnsi="Times New Roman" w:cs="Times New Roman"/>
          <w:sz w:val="24"/>
          <w:szCs w:val="24"/>
        </w:rPr>
      </w:pPr>
      <w:r w:rsidRPr="00513831">
        <w:rPr>
          <w:rFonts w:ascii="Times New Roman" w:hAnsi="Times New Roman" w:cs="Times New Roman"/>
          <w:noProof/>
          <w:sz w:val="24"/>
          <w:szCs w:val="24"/>
        </w:rPr>
        <w:drawing>
          <wp:inline distT="0" distB="0" distL="0" distR="0">
            <wp:extent cx="3498850" cy="141541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8850" cy="1415415"/>
                    </a:xfrm>
                    <a:prstGeom prst="rect">
                      <a:avLst/>
                    </a:prstGeom>
                    <a:noFill/>
                    <a:ln>
                      <a:noFill/>
                    </a:ln>
                  </pic:spPr>
                </pic:pic>
              </a:graphicData>
            </a:graphic>
          </wp:inline>
        </w:drawing>
      </w:r>
    </w:p>
    <w:p w:rsidR="005A348D" w:rsidRPr="00513831" w:rsidRDefault="005A348D" w:rsidP="00513831">
      <w:pPr>
        <w:spacing w:after="0"/>
        <w:jc w:val="center"/>
        <w:rPr>
          <w:rFonts w:ascii="Times New Roman" w:hAnsi="Times New Roman" w:cs="Times New Roman"/>
          <w:sz w:val="24"/>
          <w:szCs w:val="24"/>
        </w:rPr>
      </w:pPr>
      <w:r w:rsidRPr="00513831">
        <w:rPr>
          <w:rFonts w:ascii="Times New Roman" w:hAnsi="Times New Roman" w:cs="Times New Roman"/>
          <w:sz w:val="24"/>
          <w:szCs w:val="24"/>
        </w:rPr>
        <w:t>Figure 1.  Structures of the studied compounds</w:t>
      </w:r>
    </w:p>
    <w:p w:rsidR="005A348D" w:rsidRPr="00513831" w:rsidRDefault="005A348D" w:rsidP="00513831">
      <w:pPr>
        <w:spacing w:after="0"/>
        <w:jc w:val="both"/>
        <w:rPr>
          <w:rFonts w:ascii="Times New Roman" w:hAnsi="Times New Roman" w:cs="Times New Roman"/>
          <w:sz w:val="24"/>
          <w:szCs w:val="24"/>
        </w:rPr>
      </w:pPr>
    </w:p>
    <w:p w:rsidR="006279D1" w:rsidRPr="00513831" w:rsidRDefault="006279D1" w:rsidP="00513831">
      <w:pPr>
        <w:spacing w:after="0"/>
        <w:jc w:val="both"/>
        <w:rPr>
          <w:rFonts w:ascii="Times New Roman" w:hAnsi="Times New Roman" w:cs="Times New Roman"/>
          <w:sz w:val="24"/>
          <w:szCs w:val="24"/>
        </w:rPr>
      </w:pPr>
      <w:commentRangeStart w:id="11"/>
      <w:commentRangeStart w:id="12"/>
      <w:r w:rsidRPr="00513831">
        <w:rPr>
          <w:rFonts w:ascii="Times New Roman" w:hAnsi="Times New Roman" w:cs="Times New Roman"/>
          <w:sz w:val="24"/>
          <w:szCs w:val="24"/>
        </w:rPr>
        <w:lastRenderedPageBreak/>
        <w:t>Drug active substances tend to accumulate in human vital organs</w:t>
      </w:r>
      <w:commentRangeEnd w:id="11"/>
      <w:r w:rsidR="002728B6">
        <w:rPr>
          <w:rStyle w:val="CommentReference"/>
        </w:rPr>
        <w:commentReference w:id="11"/>
      </w:r>
      <w:r w:rsidRPr="00513831">
        <w:rPr>
          <w:rFonts w:ascii="Times New Roman" w:hAnsi="Times New Roman" w:cs="Times New Roman"/>
          <w:sz w:val="24"/>
          <w:szCs w:val="24"/>
        </w:rPr>
        <w:t xml:space="preserve">, which are generally toxic, non-spontaneous in nature, and which can move gradually throughout the food chain for a long period of time. Studies on the determination of active substances in drug samples are of increasing interest. In recent years, the scope of monitoring and determination of these active substances has been increasing. </w:t>
      </w:r>
    </w:p>
    <w:p w:rsidR="00D712B0" w:rsidRPr="00513831" w:rsidRDefault="006279D1" w:rsidP="00513831">
      <w:pPr>
        <w:spacing w:after="0"/>
        <w:jc w:val="both"/>
        <w:rPr>
          <w:rFonts w:ascii="Times New Roman" w:hAnsi="Times New Roman" w:cs="Times New Roman"/>
          <w:sz w:val="24"/>
          <w:szCs w:val="24"/>
        </w:rPr>
      </w:pPr>
      <w:commentRangeStart w:id="13"/>
      <w:r w:rsidRPr="00513831">
        <w:rPr>
          <w:rFonts w:ascii="Times New Roman" w:hAnsi="Times New Roman" w:cs="Times New Roman"/>
          <w:sz w:val="24"/>
          <w:szCs w:val="24"/>
        </w:rPr>
        <w:t xml:space="preserve">In this study, various mixtures of </w:t>
      </w:r>
      <w:r w:rsidR="00CE319C" w:rsidRPr="00BC219A">
        <w:rPr>
          <w:rFonts w:ascii="Times New Roman" w:hAnsi="Times New Roman" w:cs="Times New Roman"/>
          <w:sz w:val="24"/>
          <w:szCs w:val="24"/>
          <w:highlight w:val="yellow"/>
        </w:rPr>
        <w:t>c</w:t>
      </w:r>
      <w:r w:rsidRPr="00BC219A">
        <w:rPr>
          <w:rFonts w:ascii="Times New Roman" w:hAnsi="Times New Roman" w:cs="Times New Roman"/>
          <w:sz w:val="24"/>
          <w:szCs w:val="24"/>
          <w:highlight w:val="yellow"/>
        </w:rPr>
        <w:t>ilazapril</w:t>
      </w:r>
      <w:r w:rsidRPr="00513831">
        <w:rPr>
          <w:rFonts w:ascii="Times New Roman" w:hAnsi="Times New Roman" w:cs="Times New Roman"/>
          <w:sz w:val="24"/>
          <w:szCs w:val="24"/>
        </w:rPr>
        <w:t xml:space="preserve"> and hydrochlorothiazide were prepared and matrix effect was formed in the drug and optimum conditions were determined. These optimum conditions were then used in the determination of the drug samples of these active substances.</w:t>
      </w:r>
    </w:p>
    <w:p w:rsidR="00387EDB" w:rsidRPr="00513831" w:rsidRDefault="00D712B0" w:rsidP="00513831">
      <w:pPr>
        <w:spacing w:after="0"/>
        <w:jc w:val="both"/>
        <w:rPr>
          <w:rFonts w:ascii="Times New Roman" w:hAnsi="Times New Roman" w:cs="Times New Roman"/>
          <w:sz w:val="24"/>
          <w:szCs w:val="24"/>
        </w:rPr>
      </w:pPr>
      <w:r w:rsidRPr="00513831">
        <w:rPr>
          <w:rFonts w:ascii="Times New Roman" w:hAnsi="Times New Roman" w:cs="Times New Roman"/>
          <w:sz w:val="24"/>
          <w:szCs w:val="24"/>
        </w:rPr>
        <w:t>In pharmaceutical formulations, the combination of silazapril and hydrochlorothiazide is commonly given to patients as an antihypertensive and diuretic agent. On the other hand, these drugs are becoming important for quality control in commercial pharmaceutical tablets</w:t>
      </w:r>
      <w:r w:rsidRPr="00513831">
        <w:rPr>
          <w:rFonts w:ascii="Times New Roman" w:hAnsi="Times New Roman" w:cs="Times New Roman"/>
          <w:sz w:val="24"/>
          <w:szCs w:val="24"/>
          <w:vertAlign w:val="superscript"/>
        </w:rPr>
        <w:t>2</w:t>
      </w:r>
      <w:r w:rsidRPr="00513831">
        <w:rPr>
          <w:rFonts w:ascii="Times New Roman" w:hAnsi="Times New Roman" w:cs="Times New Roman"/>
          <w:sz w:val="24"/>
          <w:szCs w:val="24"/>
        </w:rPr>
        <w:t>. In recent years, chemometric calibration techniques, linear regression (MLR) (classical least squares, CLS and inverse least squares, ILS), main component regression (PCR), partial least regression (PLS) and neural network (Ann) have a wide range of applications of these techniques</w:t>
      </w:r>
      <w:r w:rsidRPr="00513831">
        <w:rPr>
          <w:rFonts w:ascii="Times New Roman" w:hAnsi="Times New Roman" w:cs="Times New Roman"/>
          <w:sz w:val="24"/>
          <w:szCs w:val="24"/>
          <w:vertAlign w:val="superscript"/>
        </w:rPr>
        <w:t>3</w:t>
      </w:r>
      <w:r w:rsidR="003B76F6" w:rsidRPr="00513831">
        <w:rPr>
          <w:rFonts w:ascii="Times New Roman" w:hAnsi="Times New Roman" w:cs="Times New Roman"/>
          <w:sz w:val="24"/>
          <w:szCs w:val="24"/>
          <w:vertAlign w:val="superscript"/>
        </w:rPr>
        <w:t>,</w:t>
      </w:r>
      <w:r w:rsidRPr="00513831">
        <w:rPr>
          <w:rFonts w:ascii="Times New Roman" w:hAnsi="Times New Roman" w:cs="Times New Roman"/>
          <w:sz w:val="24"/>
          <w:szCs w:val="24"/>
          <w:vertAlign w:val="superscript"/>
        </w:rPr>
        <w:t>6</w:t>
      </w:r>
      <w:r w:rsidRPr="00513831">
        <w:rPr>
          <w:rFonts w:ascii="Times New Roman" w:hAnsi="Times New Roman" w:cs="Times New Roman"/>
          <w:sz w:val="24"/>
          <w:szCs w:val="24"/>
        </w:rPr>
        <w:t>. Several researchers have used these techniques simultaneously for binary analysis and a triple mix. Several analytical procedures have been described for concurrent determination of hydrochlorothiazide, benazepril hydrochloride</w:t>
      </w:r>
      <w:commentRangeEnd w:id="12"/>
      <w:r w:rsidR="00D40201">
        <w:rPr>
          <w:rStyle w:val="CommentReference"/>
        </w:rPr>
        <w:commentReference w:id="12"/>
      </w:r>
      <w:r w:rsidRPr="00513831">
        <w:rPr>
          <w:rFonts w:ascii="Times New Roman" w:hAnsi="Times New Roman" w:cs="Times New Roman"/>
          <w:sz w:val="24"/>
          <w:szCs w:val="24"/>
        </w:rPr>
        <w:t xml:space="preserve">, Triamterene and </w:t>
      </w:r>
      <w:r w:rsidR="003B76F6" w:rsidRPr="00513831">
        <w:rPr>
          <w:rFonts w:ascii="Times New Roman" w:hAnsi="Times New Roman" w:cs="Times New Roman"/>
          <w:sz w:val="24"/>
          <w:szCs w:val="24"/>
        </w:rPr>
        <w:t>c</w:t>
      </w:r>
      <w:r w:rsidRPr="00513831">
        <w:rPr>
          <w:rFonts w:ascii="Times New Roman" w:hAnsi="Times New Roman" w:cs="Times New Roman"/>
          <w:sz w:val="24"/>
          <w:szCs w:val="24"/>
        </w:rPr>
        <w:t xml:space="preserve">ilazapril in mixtures with other drugs, including spectrophotometry </w:t>
      </w:r>
      <w:r w:rsidRPr="00513831">
        <w:rPr>
          <w:rFonts w:ascii="Times New Roman" w:hAnsi="Times New Roman" w:cs="Times New Roman"/>
          <w:sz w:val="24"/>
          <w:szCs w:val="24"/>
          <w:vertAlign w:val="superscript"/>
        </w:rPr>
        <w:t>7</w:t>
      </w:r>
      <w:commentRangeEnd w:id="13"/>
      <w:r w:rsidR="00FE7358">
        <w:rPr>
          <w:rStyle w:val="CommentReference"/>
        </w:rPr>
        <w:commentReference w:id="13"/>
      </w:r>
      <w:r w:rsidR="003B76F6" w:rsidRPr="00513831">
        <w:rPr>
          <w:rFonts w:ascii="Times New Roman" w:hAnsi="Times New Roman" w:cs="Times New Roman"/>
          <w:sz w:val="24"/>
          <w:szCs w:val="24"/>
          <w:vertAlign w:val="superscript"/>
        </w:rPr>
        <w:t>,</w:t>
      </w:r>
      <w:r w:rsidRPr="00513831">
        <w:rPr>
          <w:rFonts w:ascii="Times New Roman" w:hAnsi="Times New Roman" w:cs="Times New Roman"/>
          <w:sz w:val="24"/>
          <w:szCs w:val="24"/>
          <w:vertAlign w:val="superscript"/>
        </w:rPr>
        <w:t>9</w:t>
      </w:r>
      <w:r w:rsidRPr="00513831">
        <w:rPr>
          <w:rFonts w:ascii="Times New Roman" w:hAnsi="Times New Roman" w:cs="Times New Roman"/>
          <w:sz w:val="24"/>
          <w:szCs w:val="24"/>
        </w:rPr>
        <w:t>.</w:t>
      </w:r>
    </w:p>
    <w:p w:rsidR="005A348D" w:rsidRPr="00513831" w:rsidRDefault="005A348D" w:rsidP="00513831">
      <w:pPr>
        <w:autoSpaceDE w:val="0"/>
        <w:autoSpaceDN w:val="0"/>
        <w:adjustRightInd w:val="0"/>
        <w:spacing w:after="0"/>
        <w:jc w:val="both"/>
        <w:rPr>
          <w:rFonts w:ascii="Times New Roman" w:hAnsi="Times New Roman" w:cs="Times New Roman"/>
          <w:sz w:val="24"/>
          <w:szCs w:val="24"/>
        </w:rPr>
      </w:pPr>
      <w:commentRangeStart w:id="14"/>
      <w:commentRangeStart w:id="15"/>
      <w:r w:rsidRPr="00513831">
        <w:rPr>
          <w:rFonts w:ascii="Times New Roman" w:hAnsi="Times New Roman" w:cs="Times New Roman"/>
          <w:sz w:val="24"/>
          <w:szCs w:val="24"/>
        </w:rPr>
        <w:t xml:space="preserve">The multivariate calibration techniques use full spectrum, full automation, multivariate data analysis and the reduction of noise and the advantages of the selection calibration model. In </w:t>
      </w:r>
      <w:r w:rsidR="00CE319C" w:rsidRPr="00513831">
        <w:rPr>
          <w:rFonts w:ascii="Times New Roman" w:hAnsi="Times New Roman" w:cs="Times New Roman"/>
          <w:sz w:val="24"/>
          <w:szCs w:val="24"/>
        </w:rPr>
        <w:t>addition,</w:t>
      </w:r>
      <w:r w:rsidRPr="00513831">
        <w:rPr>
          <w:rFonts w:ascii="Times New Roman" w:hAnsi="Times New Roman" w:cs="Times New Roman"/>
          <w:sz w:val="24"/>
          <w:szCs w:val="24"/>
        </w:rPr>
        <w:t xml:space="preserve"> these multivariate calibrations do not need any separation procedure, they are very cheap, very easy to apply and very sensitive. </w:t>
      </w:r>
      <w:r w:rsidRPr="00BC219A">
        <w:rPr>
          <w:rFonts w:ascii="Times New Roman" w:hAnsi="Times New Roman" w:cs="Times New Roman"/>
          <w:sz w:val="24"/>
          <w:szCs w:val="24"/>
          <w:highlight w:val="yellow"/>
        </w:rPr>
        <w:t>For these reasons</w:t>
      </w:r>
      <w:r w:rsidR="00BC219A" w:rsidRPr="00BC219A">
        <w:rPr>
          <w:rFonts w:ascii="Times New Roman" w:hAnsi="Times New Roman" w:cs="Times New Roman"/>
          <w:sz w:val="24"/>
          <w:szCs w:val="24"/>
          <w:highlight w:val="yellow"/>
        </w:rPr>
        <w:t>,</w:t>
      </w:r>
      <w:r w:rsidRPr="00513831">
        <w:rPr>
          <w:rFonts w:ascii="Times New Roman" w:hAnsi="Times New Roman" w:cs="Times New Roman"/>
          <w:sz w:val="24"/>
          <w:szCs w:val="24"/>
        </w:rPr>
        <w:t xml:space="preserve"> these </w:t>
      </w:r>
      <w:commentRangeStart w:id="16"/>
      <w:r w:rsidRPr="00513831">
        <w:rPr>
          <w:rFonts w:ascii="Times New Roman" w:hAnsi="Times New Roman" w:cs="Times New Roman"/>
          <w:sz w:val="24"/>
          <w:szCs w:val="24"/>
        </w:rPr>
        <w:t>multivariatetechniques</w:t>
      </w:r>
      <w:commentRangeEnd w:id="16"/>
      <w:r w:rsidR="000F5E97">
        <w:rPr>
          <w:rStyle w:val="CommentReference"/>
        </w:rPr>
        <w:commentReference w:id="16"/>
      </w:r>
      <w:r w:rsidRPr="00513831">
        <w:rPr>
          <w:rFonts w:ascii="Times New Roman" w:hAnsi="Times New Roman" w:cs="Times New Roman"/>
          <w:sz w:val="24"/>
          <w:szCs w:val="24"/>
        </w:rPr>
        <w:t xml:space="preserve"> are popular today.</w:t>
      </w:r>
    </w:p>
    <w:p w:rsidR="005A348D" w:rsidRPr="00513831" w:rsidRDefault="005A348D" w:rsidP="00513831">
      <w:pPr>
        <w:autoSpaceDE w:val="0"/>
        <w:autoSpaceDN w:val="0"/>
        <w:adjustRightInd w:val="0"/>
        <w:spacing w:after="0"/>
        <w:jc w:val="both"/>
        <w:rPr>
          <w:rFonts w:ascii="Times New Roman" w:hAnsi="Times New Roman" w:cs="Times New Roman"/>
          <w:sz w:val="24"/>
          <w:szCs w:val="24"/>
        </w:rPr>
      </w:pPr>
    </w:p>
    <w:p w:rsidR="005A348D" w:rsidRPr="00513831" w:rsidRDefault="005A348D" w:rsidP="00513831">
      <w:pPr>
        <w:autoSpaceDE w:val="0"/>
        <w:autoSpaceDN w:val="0"/>
        <w:adjustRightInd w:val="0"/>
        <w:spacing w:after="0"/>
        <w:jc w:val="both"/>
        <w:rPr>
          <w:rFonts w:ascii="Times New Roman" w:hAnsi="Times New Roman" w:cs="Times New Roman"/>
          <w:sz w:val="24"/>
          <w:szCs w:val="24"/>
        </w:rPr>
      </w:pPr>
      <w:r w:rsidRPr="00513831">
        <w:rPr>
          <w:rFonts w:ascii="Times New Roman" w:hAnsi="Times New Roman" w:cs="Times New Roman"/>
          <w:sz w:val="24"/>
          <w:szCs w:val="24"/>
        </w:rPr>
        <w:t>In this study powerful</w:t>
      </w:r>
      <w:commentRangeStart w:id="17"/>
      <w:r w:rsidRPr="00513831">
        <w:rPr>
          <w:rFonts w:ascii="Times New Roman" w:hAnsi="Times New Roman" w:cs="Times New Roman"/>
          <w:sz w:val="24"/>
          <w:szCs w:val="24"/>
        </w:rPr>
        <w:t xml:space="preserve"> chemometricmethod </w:t>
      </w:r>
      <w:commentRangeEnd w:id="17"/>
      <w:r w:rsidR="000F5E97">
        <w:rPr>
          <w:rStyle w:val="CommentReference"/>
        </w:rPr>
        <w:commentReference w:id="17"/>
      </w:r>
      <w:r w:rsidRPr="00513831">
        <w:rPr>
          <w:rFonts w:ascii="Times New Roman" w:hAnsi="Times New Roman" w:cs="Times New Roman"/>
          <w:sz w:val="24"/>
          <w:szCs w:val="24"/>
        </w:rPr>
        <w:t xml:space="preserve">was applied to analyses the synthetic mixtures and tablets consisting of SIL and HCT in the presence of interferences of the absorption spectra. The application of chemometrics allows the interpretation of multivariate data and is vital to the success of the simultaneous determination </w:t>
      </w:r>
      <w:commentRangeEnd w:id="15"/>
      <w:r w:rsidR="00D40201">
        <w:rPr>
          <w:rStyle w:val="CommentReference"/>
        </w:rPr>
        <w:commentReference w:id="15"/>
      </w:r>
      <w:r w:rsidRPr="00513831">
        <w:rPr>
          <w:rFonts w:ascii="Times New Roman" w:hAnsi="Times New Roman" w:cs="Times New Roman"/>
          <w:sz w:val="24"/>
          <w:szCs w:val="24"/>
        </w:rPr>
        <w:t>of the clinical drugs</w:t>
      </w:r>
      <w:commentRangeEnd w:id="14"/>
      <w:r w:rsidR="00FE7358">
        <w:rPr>
          <w:rStyle w:val="CommentReference"/>
        </w:rPr>
        <w:commentReference w:id="14"/>
      </w:r>
      <w:r w:rsidRPr="00513831">
        <w:rPr>
          <w:rFonts w:ascii="Times New Roman" w:hAnsi="Times New Roman" w:cs="Times New Roman"/>
          <w:sz w:val="24"/>
          <w:szCs w:val="24"/>
        </w:rPr>
        <w:t>.</w:t>
      </w:r>
    </w:p>
    <w:p w:rsidR="005A348D" w:rsidRPr="00513831" w:rsidRDefault="005A348D" w:rsidP="00513831">
      <w:pPr>
        <w:autoSpaceDE w:val="0"/>
        <w:autoSpaceDN w:val="0"/>
        <w:adjustRightInd w:val="0"/>
        <w:spacing w:after="0"/>
        <w:jc w:val="both"/>
        <w:rPr>
          <w:rFonts w:ascii="Times New Roman" w:hAnsi="Times New Roman" w:cs="Times New Roman"/>
          <w:sz w:val="24"/>
          <w:szCs w:val="24"/>
        </w:rPr>
      </w:pPr>
    </w:p>
    <w:p w:rsidR="005A348D" w:rsidRPr="00513831" w:rsidRDefault="005A348D" w:rsidP="00513831">
      <w:pPr>
        <w:pStyle w:val="Default"/>
        <w:spacing w:line="276" w:lineRule="auto"/>
        <w:jc w:val="both"/>
        <w:rPr>
          <w:b/>
          <w:color w:val="222222"/>
        </w:rPr>
      </w:pPr>
      <w:r w:rsidRPr="00513831">
        <w:rPr>
          <w:b/>
          <w:color w:val="222222"/>
        </w:rPr>
        <w:t>2. M</w:t>
      </w:r>
      <w:commentRangeStart w:id="18"/>
      <w:r w:rsidRPr="00513831">
        <w:rPr>
          <w:b/>
          <w:color w:val="222222"/>
        </w:rPr>
        <w:t>ateri</w:t>
      </w:r>
      <w:commentRangeEnd w:id="18"/>
      <w:r w:rsidR="002728B6">
        <w:rPr>
          <w:rStyle w:val="CommentReference"/>
          <w:rFonts w:asciiTheme="minorHAnsi" w:hAnsiTheme="minorHAnsi" w:cstheme="minorBidi"/>
          <w:color w:val="auto"/>
        </w:rPr>
        <w:commentReference w:id="18"/>
      </w:r>
      <w:r w:rsidRPr="00513831">
        <w:rPr>
          <w:b/>
          <w:color w:val="222222"/>
        </w:rPr>
        <w:t xml:space="preserve">als and </w:t>
      </w:r>
      <w:commentRangeStart w:id="19"/>
      <w:r w:rsidRPr="00513831">
        <w:rPr>
          <w:b/>
          <w:color w:val="222222"/>
        </w:rPr>
        <w:t>Me</w:t>
      </w:r>
      <w:commentRangeStart w:id="20"/>
      <w:r w:rsidRPr="00513831">
        <w:rPr>
          <w:b/>
          <w:color w:val="222222"/>
        </w:rPr>
        <w:t>tho</w:t>
      </w:r>
      <w:commentRangeEnd w:id="20"/>
      <w:r w:rsidR="0022457F">
        <w:rPr>
          <w:rStyle w:val="CommentReference"/>
          <w:rFonts w:asciiTheme="minorHAnsi" w:hAnsiTheme="minorHAnsi" w:cstheme="minorBidi"/>
          <w:color w:val="auto"/>
        </w:rPr>
        <w:commentReference w:id="20"/>
      </w:r>
      <w:r w:rsidRPr="00513831">
        <w:rPr>
          <w:b/>
          <w:color w:val="222222"/>
        </w:rPr>
        <w:t>ds</w:t>
      </w:r>
      <w:commentRangeEnd w:id="19"/>
      <w:r w:rsidR="002728B6">
        <w:rPr>
          <w:rStyle w:val="CommentReference"/>
          <w:rFonts w:asciiTheme="minorHAnsi" w:hAnsiTheme="minorHAnsi" w:cstheme="minorBidi"/>
          <w:color w:val="auto"/>
        </w:rPr>
        <w:commentReference w:id="19"/>
      </w:r>
    </w:p>
    <w:p w:rsidR="005A348D" w:rsidRPr="00513831" w:rsidRDefault="005A348D" w:rsidP="00513831">
      <w:pPr>
        <w:autoSpaceDE w:val="0"/>
        <w:autoSpaceDN w:val="0"/>
        <w:adjustRightInd w:val="0"/>
        <w:spacing w:after="0"/>
        <w:jc w:val="both"/>
        <w:rPr>
          <w:rFonts w:ascii="Times New Roman" w:hAnsi="Times New Roman" w:cs="Times New Roman"/>
          <w:sz w:val="24"/>
          <w:szCs w:val="24"/>
        </w:rPr>
      </w:pPr>
    </w:p>
    <w:p w:rsidR="005A348D" w:rsidRPr="00513831" w:rsidRDefault="005A348D" w:rsidP="00513831">
      <w:pPr>
        <w:pStyle w:val="Default"/>
        <w:spacing w:line="276" w:lineRule="auto"/>
        <w:jc w:val="both"/>
        <w:rPr>
          <w:color w:val="222222"/>
        </w:rPr>
      </w:pPr>
      <w:r w:rsidRPr="00513831">
        <w:t>A Shimadzu UV-1700 UV-Visible spectrometer, connected to PS with UV Probe Software was used for all the measurements and data processing. A pair of 1.0 cm quartz cells was used for absorbance measurements. PCR method was implemented with the "Minitab 16" software package.</w:t>
      </w:r>
    </w:p>
    <w:p w:rsidR="005A348D" w:rsidRPr="00513831" w:rsidRDefault="005A348D" w:rsidP="00513831">
      <w:pPr>
        <w:pStyle w:val="Default"/>
        <w:spacing w:line="276" w:lineRule="auto"/>
        <w:jc w:val="both"/>
      </w:pPr>
    </w:p>
    <w:p w:rsidR="005A348D" w:rsidRPr="00513831" w:rsidRDefault="005A348D" w:rsidP="00513831">
      <w:pPr>
        <w:pStyle w:val="Default"/>
        <w:spacing w:line="276" w:lineRule="auto"/>
        <w:jc w:val="both"/>
      </w:pPr>
      <w:commentRangeStart w:id="21"/>
      <w:r w:rsidRPr="00513831">
        <w:t xml:space="preserve">Stock solution 100 mg/100 mL hydrochlorothiazide and </w:t>
      </w:r>
      <w:r w:rsidR="00CE319C" w:rsidRPr="00513831">
        <w:t>c</w:t>
      </w:r>
      <w:r w:rsidRPr="00513831">
        <w:t xml:space="preserve">ilazapril in methanol were used to set up the calibration set samples. A concentration set of 15 mixture solutions consisting of </w:t>
      </w:r>
      <w:r w:rsidR="003B76F6" w:rsidRPr="00513831">
        <w:t>c</w:t>
      </w:r>
      <w:r w:rsidRPr="00513831">
        <w:t xml:space="preserve">ilazapril and hydrochlorothiazide in the concentration range of 0.2 - 1.0 and 2.0 – 10.0 μg/mL for </w:t>
      </w:r>
      <w:r w:rsidRPr="00BC219A">
        <w:rPr>
          <w:highlight w:val="yellow"/>
        </w:rPr>
        <w:t xml:space="preserve">hydrochlorothiazide and </w:t>
      </w:r>
      <w:r w:rsidR="00CE319C" w:rsidRPr="00BC219A">
        <w:rPr>
          <w:highlight w:val="yellow"/>
        </w:rPr>
        <w:t>c</w:t>
      </w:r>
      <w:r w:rsidRPr="00BC219A">
        <w:rPr>
          <w:highlight w:val="yellow"/>
        </w:rPr>
        <w:t>ilazapril</w:t>
      </w:r>
      <w:r w:rsidR="00BC219A" w:rsidRPr="00BC219A">
        <w:rPr>
          <w:highlight w:val="yellow"/>
        </w:rPr>
        <w:t xml:space="preserve">in </w:t>
      </w:r>
      <w:r w:rsidRPr="00BC219A">
        <w:rPr>
          <w:highlight w:val="yellow"/>
        </w:rPr>
        <w:t xml:space="preserve">the methanol </w:t>
      </w:r>
      <w:commentRangeStart w:id="22"/>
      <w:r w:rsidRPr="00BC219A">
        <w:rPr>
          <w:highlight w:val="yellow"/>
        </w:rPr>
        <w:t>solvent</w:t>
      </w:r>
      <w:r w:rsidR="00CE319C" w:rsidRPr="00513831">
        <w:t>was</w:t>
      </w:r>
      <w:commentRangeEnd w:id="22"/>
      <w:r w:rsidR="000F5E97">
        <w:rPr>
          <w:rStyle w:val="CommentReference"/>
          <w:rFonts w:asciiTheme="minorHAnsi" w:hAnsiTheme="minorHAnsi" w:cstheme="minorBidi"/>
          <w:color w:val="auto"/>
        </w:rPr>
        <w:commentReference w:id="22"/>
      </w:r>
      <w:r w:rsidRPr="00513831">
        <w:t xml:space="preserve"> symmetrically prepared from the prepared stock solutions respectively. The reason for symmetric set of calibration is to </w:t>
      </w:r>
      <w:r w:rsidRPr="00BC219A">
        <w:rPr>
          <w:highlight w:val="yellow"/>
        </w:rPr>
        <w:t>minimize errors in calibration</w:t>
      </w:r>
      <w:r w:rsidR="00BC219A" w:rsidRPr="00BC219A">
        <w:rPr>
          <w:highlight w:val="yellow"/>
        </w:rPr>
        <w:t xml:space="preserve"> that</w:t>
      </w:r>
      <w:r w:rsidRPr="00BC219A">
        <w:rPr>
          <w:highlight w:val="yellow"/>
        </w:rPr>
        <w:t xml:space="preserve"> may occur during analysis</w:t>
      </w:r>
      <w:r w:rsidRPr="00513831">
        <w:t>. To test the application of the chemometric method, we used an independent verification set consisting of silazapril and hydrochlorothiazide synthetic blend solutions at the above working concentration intervals.</w:t>
      </w:r>
      <w:commentRangeEnd w:id="21"/>
      <w:r w:rsidR="00FE7358">
        <w:rPr>
          <w:rStyle w:val="CommentReference"/>
          <w:rFonts w:asciiTheme="minorHAnsi" w:hAnsiTheme="minorHAnsi" w:cstheme="minorBidi"/>
          <w:color w:val="auto"/>
        </w:rPr>
        <w:commentReference w:id="21"/>
      </w:r>
    </w:p>
    <w:p w:rsidR="00373288" w:rsidRPr="00513831" w:rsidRDefault="00373288" w:rsidP="00513831">
      <w:pPr>
        <w:spacing w:after="0"/>
        <w:jc w:val="both"/>
        <w:rPr>
          <w:rFonts w:ascii="Times New Roman" w:hAnsi="Times New Roman" w:cs="Times New Roman"/>
          <w:b/>
          <w:color w:val="222222"/>
          <w:sz w:val="24"/>
          <w:szCs w:val="24"/>
        </w:rPr>
      </w:pPr>
    </w:p>
    <w:p w:rsidR="00373288" w:rsidRPr="00513831" w:rsidRDefault="00437F81" w:rsidP="00513831">
      <w:pPr>
        <w:spacing w:after="0"/>
        <w:jc w:val="both"/>
        <w:rPr>
          <w:rFonts w:ascii="Times New Roman" w:hAnsi="Times New Roman" w:cs="Times New Roman"/>
          <w:b/>
          <w:color w:val="222222"/>
          <w:sz w:val="24"/>
          <w:szCs w:val="24"/>
        </w:rPr>
      </w:pPr>
      <w:r>
        <w:rPr>
          <w:rFonts w:ascii="Times New Roman" w:hAnsi="Times New Roman" w:cs="Times New Roman"/>
          <w:b/>
          <w:color w:val="222222"/>
          <w:sz w:val="24"/>
          <w:szCs w:val="24"/>
        </w:rPr>
        <w:t xml:space="preserve">3. Results and </w:t>
      </w:r>
      <w:r w:rsidR="00373288" w:rsidRPr="00513831">
        <w:rPr>
          <w:rFonts w:ascii="Times New Roman" w:hAnsi="Times New Roman" w:cs="Times New Roman"/>
          <w:b/>
          <w:color w:val="222222"/>
          <w:sz w:val="24"/>
          <w:szCs w:val="24"/>
        </w:rPr>
        <w:t>Di</w:t>
      </w:r>
      <w:commentRangeStart w:id="23"/>
      <w:r w:rsidR="00373288" w:rsidRPr="00513831">
        <w:rPr>
          <w:rFonts w:ascii="Times New Roman" w:hAnsi="Times New Roman" w:cs="Times New Roman"/>
          <w:b/>
          <w:color w:val="222222"/>
          <w:sz w:val="24"/>
          <w:szCs w:val="24"/>
        </w:rPr>
        <w:t>scussions</w:t>
      </w:r>
      <w:commentRangeEnd w:id="23"/>
      <w:r w:rsidR="001F613E">
        <w:rPr>
          <w:rStyle w:val="CommentReference"/>
        </w:rPr>
        <w:commentReference w:id="23"/>
      </w:r>
    </w:p>
    <w:p w:rsidR="00373288" w:rsidRPr="00513831" w:rsidRDefault="00373288" w:rsidP="00513831">
      <w:pPr>
        <w:spacing w:after="0"/>
        <w:jc w:val="both"/>
        <w:rPr>
          <w:rFonts w:ascii="Times New Roman" w:hAnsi="Times New Roman" w:cs="Times New Roman"/>
          <w:sz w:val="24"/>
          <w:szCs w:val="24"/>
        </w:rPr>
      </w:pPr>
      <w:commentRangeStart w:id="24"/>
      <w:r w:rsidRPr="00513831">
        <w:rPr>
          <w:rFonts w:ascii="Times New Roman" w:hAnsi="Times New Roman" w:cs="Times New Roman"/>
          <w:sz w:val="24"/>
          <w:szCs w:val="24"/>
        </w:rPr>
        <w:t>3.1. Chemometric method</w:t>
      </w:r>
      <w:r w:rsidR="005D4AAE">
        <w:rPr>
          <w:rFonts w:ascii="Times New Roman" w:hAnsi="Times New Roman" w:cs="Times New Roman"/>
          <w:sz w:val="24"/>
          <w:szCs w:val="24"/>
        </w:rPr>
        <w:t>&gt;&gt;&gt;&gt;&gt;</w:t>
      </w:r>
      <w:r w:rsidR="00EB62CF" w:rsidRPr="00EB62CF">
        <w:rPr>
          <w:rFonts w:ascii="Times New Roman" w:hAnsi="Times New Roman" w:cs="Times New Roman"/>
          <w:sz w:val="24"/>
          <w:szCs w:val="24"/>
          <w:highlight w:val="yellow"/>
        </w:rPr>
        <w:t>move</w:t>
      </w:r>
      <w:r w:rsidR="00EB62CF">
        <w:rPr>
          <w:rFonts w:ascii="Times New Roman" w:hAnsi="Times New Roman" w:cs="Times New Roman"/>
          <w:sz w:val="24"/>
          <w:szCs w:val="24"/>
        </w:rPr>
        <w:t xml:space="preserve">  to </w:t>
      </w:r>
      <w:r w:rsidR="005D4AAE">
        <w:rPr>
          <w:rFonts w:ascii="Times New Roman" w:hAnsi="Times New Roman" w:cs="Times New Roman"/>
          <w:sz w:val="24"/>
          <w:szCs w:val="24"/>
          <w:highlight w:val="yellow"/>
        </w:rPr>
        <w:t>method</w:t>
      </w:r>
    </w:p>
    <w:p w:rsidR="00373288" w:rsidRPr="00513831" w:rsidRDefault="00373288" w:rsidP="00513831">
      <w:pPr>
        <w:autoSpaceDE w:val="0"/>
        <w:autoSpaceDN w:val="0"/>
        <w:adjustRightInd w:val="0"/>
        <w:spacing w:after="0"/>
        <w:jc w:val="both"/>
        <w:rPr>
          <w:rFonts w:ascii="Times New Roman" w:hAnsi="Times New Roman" w:cs="Times New Roman"/>
          <w:sz w:val="24"/>
          <w:szCs w:val="24"/>
        </w:rPr>
      </w:pPr>
      <w:r w:rsidRPr="00513831">
        <w:rPr>
          <w:rFonts w:ascii="Times New Roman" w:hAnsi="Times New Roman" w:cs="Times New Roman"/>
          <w:sz w:val="24"/>
          <w:szCs w:val="24"/>
        </w:rPr>
        <w:lastRenderedPageBreak/>
        <w:t xml:space="preserve">PCR is a factor analysis multivariate statistical tools which have many of the full spectrum advantages and have been successfully applied to spectrophotometric analyses of multicomponent mixtures. PCR needs a calibration step where themodels for the spectra and the component concentrations of the unknown are estimated from the sample spectrum. Both of these methods involve spectral decomposition. The PCR decomposition is based entirely on spectral variations without regard for the component concentrations. The optimal of calibration method depend on the particular experimental conditions. </w:t>
      </w:r>
    </w:p>
    <w:p w:rsidR="00373288" w:rsidRPr="00513831" w:rsidRDefault="00373288" w:rsidP="00513831">
      <w:pPr>
        <w:autoSpaceDE w:val="0"/>
        <w:autoSpaceDN w:val="0"/>
        <w:adjustRightInd w:val="0"/>
        <w:spacing w:after="0"/>
        <w:jc w:val="both"/>
        <w:rPr>
          <w:rFonts w:ascii="Times New Roman" w:hAnsi="Times New Roman" w:cs="Times New Roman"/>
          <w:sz w:val="24"/>
          <w:szCs w:val="24"/>
        </w:rPr>
      </w:pPr>
    </w:p>
    <w:p w:rsidR="00373288" w:rsidRPr="00513831" w:rsidRDefault="005D4AAE" w:rsidP="00513831">
      <w:pPr>
        <w:pStyle w:val="NoSpacing"/>
        <w:spacing w:line="276"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3.2. Method development&gt;&gt;&gt;&gt;</w:t>
      </w:r>
      <w:r w:rsidR="00EB62CF">
        <w:rPr>
          <w:rFonts w:ascii="Times New Roman" w:hAnsi="Times New Roman" w:cs="Times New Roman"/>
          <w:color w:val="222222"/>
          <w:sz w:val="24"/>
          <w:szCs w:val="24"/>
        </w:rPr>
        <w:t xml:space="preserve">move to </w:t>
      </w:r>
      <w:r w:rsidRPr="005D4AAE">
        <w:rPr>
          <w:rFonts w:ascii="Times New Roman" w:hAnsi="Times New Roman" w:cs="Times New Roman"/>
          <w:color w:val="222222"/>
          <w:sz w:val="24"/>
          <w:szCs w:val="24"/>
          <w:highlight w:val="yellow"/>
        </w:rPr>
        <w:t>Method</w:t>
      </w:r>
    </w:p>
    <w:p w:rsidR="00373288" w:rsidRPr="00513831" w:rsidRDefault="00373288" w:rsidP="00513831">
      <w:pPr>
        <w:pStyle w:val="NoSpacing"/>
        <w:spacing w:line="276" w:lineRule="auto"/>
        <w:jc w:val="both"/>
        <w:rPr>
          <w:rFonts w:ascii="Times New Roman" w:hAnsi="Times New Roman" w:cs="Times New Roman"/>
          <w:color w:val="222222"/>
          <w:sz w:val="24"/>
          <w:szCs w:val="24"/>
        </w:rPr>
      </w:pPr>
    </w:p>
    <w:commentRangeEnd w:id="24"/>
    <w:p w:rsidR="00373288" w:rsidRPr="00513831" w:rsidRDefault="002728B6" w:rsidP="00513831">
      <w:pPr>
        <w:pStyle w:val="NoSpacing"/>
        <w:spacing w:line="276" w:lineRule="auto"/>
        <w:jc w:val="both"/>
        <w:rPr>
          <w:rFonts w:ascii="Times New Roman" w:hAnsi="Times New Roman" w:cs="Times New Roman"/>
          <w:sz w:val="24"/>
          <w:szCs w:val="24"/>
        </w:rPr>
      </w:pPr>
      <w:r>
        <w:rPr>
          <w:rStyle w:val="CommentReference"/>
        </w:rPr>
        <w:commentReference w:id="24"/>
      </w:r>
      <w:commentRangeStart w:id="25"/>
      <w:r w:rsidR="00373288" w:rsidRPr="00513831">
        <w:rPr>
          <w:rFonts w:ascii="Times New Roman" w:hAnsi="Times New Roman" w:cs="Times New Roman"/>
          <w:sz w:val="24"/>
          <w:szCs w:val="24"/>
        </w:rPr>
        <w:t xml:space="preserve">The overlapping spectra of </w:t>
      </w:r>
      <w:r w:rsidR="00CE319C" w:rsidRPr="00513831">
        <w:rPr>
          <w:rFonts w:ascii="Times New Roman" w:hAnsi="Times New Roman" w:cs="Times New Roman"/>
          <w:sz w:val="24"/>
          <w:szCs w:val="24"/>
        </w:rPr>
        <w:t>c</w:t>
      </w:r>
      <w:r w:rsidR="00373288" w:rsidRPr="00513831">
        <w:rPr>
          <w:rFonts w:ascii="Times New Roman" w:hAnsi="Times New Roman" w:cs="Times New Roman"/>
          <w:sz w:val="24"/>
          <w:szCs w:val="24"/>
        </w:rPr>
        <w:t xml:space="preserve">ilazapril and hydrochlorothiazide at the range of 200-350 nm are shown in Fig. 1. Spectrum demonstrates that the classical approach will not allow compounds to be assigned simultaneously. For this reason, we are focusing on applying chemometric methods to binary mixtures of </w:t>
      </w:r>
      <w:r w:rsidR="003B76F6" w:rsidRPr="00513831">
        <w:rPr>
          <w:rFonts w:ascii="Times New Roman" w:hAnsi="Times New Roman" w:cs="Times New Roman"/>
          <w:sz w:val="24"/>
          <w:szCs w:val="24"/>
        </w:rPr>
        <w:t>c</w:t>
      </w:r>
      <w:r w:rsidR="00373288" w:rsidRPr="00513831">
        <w:rPr>
          <w:rFonts w:ascii="Times New Roman" w:hAnsi="Times New Roman" w:cs="Times New Roman"/>
          <w:sz w:val="24"/>
          <w:szCs w:val="24"/>
        </w:rPr>
        <w:t>ilazapril and hydrochlorothiazide.</w:t>
      </w:r>
    </w:p>
    <w:p w:rsidR="00373288" w:rsidRPr="00513831" w:rsidRDefault="00373288" w:rsidP="00513831">
      <w:pPr>
        <w:autoSpaceDE w:val="0"/>
        <w:autoSpaceDN w:val="0"/>
        <w:adjustRightInd w:val="0"/>
        <w:spacing w:after="0"/>
        <w:jc w:val="both"/>
        <w:rPr>
          <w:rFonts w:ascii="Times New Roman" w:hAnsi="Times New Roman" w:cs="Times New Roman"/>
          <w:sz w:val="24"/>
          <w:szCs w:val="24"/>
        </w:rPr>
      </w:pPr>
    </w:p>
    <w:commentRangeEnd w:id="25"/>
    <w:p w:rsidR="005A348D" w:rsidRPr="00513831" w:rsidRDefault="000F5E97" w:rsidP="00513831">
      <w:pPr>
        <w:pStyle w:val="Default"/>
        <w:spacing w:line="276" w:lineRule="auto"/>
        <w:jc w:val="both"/>
      </w:pPr>
      <w:r>
        <w:rPr>
          <w:rStyle w:val="CommentReference"/>
          <w:rFonts w:asciiTheme="minorHAnsi" w:hAnsiTheme="minorHAnsi" w:cstheme="minorBidi"/>
          <w:color w:val="auto"/>
        </w:rPr>
        <w:commentReference w:id="25"/>
      </w:r>
    </w:p>
    <w:p w:rsidR="005A348D" w:rsidRPr="00513831" w:rsidRDefault="00CE319C" w:rsidP="00513831">
      <w:pPr>
        <w:autoSpaceDE w:val="0"/>
        <w:autoSpaceDN w:val="0"/>
        <w:adjustRightInd w:val="0"/>
        <w:spacing w:after="0"/>
        <w:jc w:val="center"/>
        <w:rPr>
          <w:rFonts w:ascii="Times New Roman" w:hAnsi="Times New Roman" w:cs="Times New Roman"/>
          <w:sz w:val="24"/>
          <w:szCs w:val="24"/>
        </w:rPr>
      </w:pPr>
      <w:commentRangeStart w:id="26"/>
      <w:r w:rsidRPr="00513831">
        <w:rPr>
          <w:rFonts w:ascii="Times New Roman" w:hAnsi="Times New Roman" w:cs="Times New Roman"/>
          <w:noProof/>
          <w:sz w:val="24"/>
          <w:szCs w:val="24"/>
        </w:rPr>
        <w:drawing>
          <wp:inline distT="0" distB="0" distL="0" distR="0">
            <wp:extent cx="4341495" cy="256032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1495" cy="2560320"/>
                    </a:xfrm>
                    <a:prstGeom prst="rect">
                      <a:avLst/>
                    </a:prstGeom>
                    <a:noFill/>
                    <a:ln>
                      <a:noFill/>
                    </a:ln>
                  </pic:spPr>
                </pic:pic>
              </a:graphicData>
            </a:graphic>
          </wp:inline>
        </w:drawing>
      </w:r>
      <w:commentRangeEnd w:id="26"/>
      <w:r w:rsidR="002728B6">
        <w:rPr>
          <w:rStyle w:val="CommentReference"/>
        </w:rPr>
        <w:commentReference w:id="26"/>
      </w:r>
    </w:p>
    <w:p w:rsidR="00373288" w:rsidRPr="00513831" w:rsidRDefault="00373288" w:rsidP="00513831">
      <w:pPr>
        <w:pStyle w:val="NoSpacing"/>
        <w:spacing w:line="276" w:lineRule="auto"/>
        <w:jc w:val="center"/>
        <w:rPr>
          <w:rFonts w:ascii="Times New Roman" w:hAnsi="Times New Roman" w:cs="Times New Roman"/>
          <w:sz w:val="24"/>
          <w:szCs w:val="24"/>
        </w:rPr>
      </w:pPr>
      <w:r w:rsidRPr="00513831">
        <w:rPr>
          <w:rFonts w:ascii="Times New Roman" w:hAnsi="Times New Roman" w:cs="Times New Roman"/>
          <w:sz w:val="24"/>
          <w:szCs w:val="24"/>
        </w:rPr>
        <w:t xml:space="preserve">Figure 1. </w:t>
      </w:r>
      <w:r w:rsidR="00CE319C" w:rsidRPr="00513831">
        <w:rPr>
          <w:rFonts w:ascii="Times New Roman" w:hAnsi="Times New Roman" w:cs="Times New Roman"/>
          <w:sz w:val="24"/>
          <w:szCs w:val="24"/>
        </w:rPr>
        <w:t>C</w:t>
      </w:r>
      <w:r w:rsidRPr="00513831">
        <w:rPr>
          <w:rFonts w:ascii="Times New Roman" w:hAnsi="Times New Roman" w:cs="Times New Roman"/>
          <w:sz w:val="24"/>
          <w:szCs w:val="24"/>
        </w:rPr>
        <w:t>IL, HCT and their mixtures in methanol.</w:t>
      </w:r>
    </w:p>
    <w:p w:rsidR="00373288" w:rsidRPr="00513831" w:rsidRDefault="00373288" w:rsidP="00513831">
      <w:pPr>
        <w:pStyle w:val="NoSpacing"/>
        <w:spacing w:line="276" w:lineRule="auto"/>
        <w:jc w:val="both"/>
        <w:rPr>
          <w:rFonts w:ascii="Times New Roman" w:hAnsi="Times New Roman" w:cs="Times New Roman"/>
          <w:sz w:val="24"/>
          <w:szCs w:val="24"/>
        </w:rPr>
      </w:pPr>
    </w:p>
    <w:p w:rsidR="001F784F" w:rsidRPr="00513831" w:rsidRDefault="001F784F" w:rsidP="00513831">
      <w:pPr>
        <w:autoSpaceDE w:val="0"/>
        <w:autoSpaceDN w:val="0"/>
        <w:adjustRightInd w:val="0"/>
        <w:spacing w:after="0"/>
        <w:rPr>
          <w:rFonts w:ascii="Times New Roman" w:hAnsi="Times New Roman" w:cs="Times New Roman"/>
          <w:bCs/>
          <w:sz w:val="24"/>
          <w:szCs w:val="24"/>
        </w:rPr>
      </w:pPr>
      <w:r w:rsidRPr="00513831">
        <w:rPr>
          <w:rFonts w:ascii="Times New Roman" w:hAnsi="Times New Roman" w:cs="Times New Roman"/>
          <w:bCs/>
          <w:sz w:val="24"/>
          <w:szCs w:val="24"/>
        </w:rPr>
        <w:t>3.3. Chemometric parameters</w:t>
      </w:r>
      <w:r w:rsidR="005D4AAE">
        <w:rPr>
          <w:rFonts w:ascii="Times New Roman" w:hAnsi="Times New Roman" w:cs="Times New Roman"/>
          <w:bCs/>
          <w:sz w:val="24"/>
          <w:szCs w:val="24"/>
        </w:rPr>
        <w:t>&gt;&gt;&gt;&gt;</w:t>
      </w:r>
      <w:r w:rsidR="00EB62CF">
        <w:rPr>
          <w:rFonts w:ascii="Times New Roman" w:hAnsi="Times New Roman" w:cs="Times New Roman"/>
          <w:bCs/>
          <w:sz w:val="24"/>
          <w:szCs w:val="24"/>
        </w:rPr>
        <w:t xml:space="preserve">move to </w:t>
      </w:r>
      <w:r w:rsidR="005D4AAE">
        <w:rPr>
          <w:rFonts w:ascii="Times New Roman" w:hAnsi="Times New Roman" w:cs="Times New Roman"/>
          <w:bCs/>
          <w:sz w:val="24"/>
          <w:szCs w:val="24"/>
          <w:highlight w:val="yellow"/>
        </w:rPr>
        <w:t>Method</w:t>
      </w:r>
    </w:p>
    <w:p w:rsidR="001F784F" w:rsidRPr="00513831" w:rsidRDefault="001F784F" w:rsidP="00513831">
      <w:pPr>
        <w:autoSpaceDE w:val="0"/>
        <w:autoSpaceDN w:val="0"/>
        <w:adjustRightInd w:val="0"/>
        <w:spacing w:after="0"/>
        <w:rPr>
          <w:rFonts w:ascii="Times New Roman" w:hAnsi="Times New Roman" w:cs="Times New Roman"/>
          <w:bCs/>
          <w:sz w:val="24"/>
          <w:szCs w:val="24"/>
        </w:rPr>
      </w:pPr>
    </w:p>
    <w:p w:rsidR="001F784F" w:rsidRPr="00513831" w:rsidRDefault="001F784F" w:rsidP="00513831">
      <w:pPr>
        <w:autoSpaceDE w:val="0"/>
        <w:autoSpaceDN w:val="0"/>
        <w:adjustRightInd w:val="0"/>
        <w:spacing w:after="0"/>
        <w:jc w:val="both"/>
        <w:rPr>
          <w:rFonts w:ascii="Times New Roman" w:hAnsi="Times New Roman" w:cs="Times New Roman"/>
          <w:sz w:val="24"/>
          <w:szCs w:val="24"/>
        </w:rPr>
      </w:pPr>
      <w:commentRangeStart w:id="27"/>
      <w:r w:rsidRPr="00513831">
        <w:rPr>
          <w:rFonts w:ascii="Times New Roman" w:hAnsi="Times New Roman" w:cs="Times New Roman"/>
          <w:sz w:val="24"/>
          <w:szCs w:val="24"/>
        </w:rPr>
        <w:t>The application competence of a calibration model can be explained in several ways. These results can be examined numerically. One of the best ways to do this, by examining the predicted residual error sum of squares (PRESS). To calculate PRESS computed the errors between the expected and predicted values for all the samples, square them and sum them together.</w:t>
      </w:r>
    </w:p>
    <w:p w:rsidR="001F784F" w:rsidRPr="00513831" w:rsidRDefault="001F784F" w:rsidP="00513831">
      <w:pPr>
        <w:autoSpaceDE w:val="0"/>
        <w:autoSpaceDN w:val="0"/>
        <w:adjustRightInd w:val="0"/>
        <w:spacing w:after="0"/>
        <w:rPr>
          <w:rFonts w:ascii="Times New Roman" w:hAnsi="Times New Roman" w:cs="Times New Roman"/>
          <w:sz w:val="24"/>
          <w:szCs w:val="24"/>
        </w:rPr>
      </w:pPr>
    </w:p>
    <w:p w:rsidR="001F784F" w:rsidRPr="00513831" w:rsidRDefault="001F784F" w:rsidP="00513831">
      <w:pPr>
        <w:autoSpaceDE w:val="0"/>
        <w:autoSpaceDN w:val="0"/>
        <w:adjustRightInd w:val="0"/>
        <w:spacing w:after="0"/>
        <w:rPr>
          <w:rFonts w:ascii="Times New Roman" w:hAnsi="Times New Roman" w:cs="Times New Roman"/>
          <w:sz w:val="24"/>
          <w:szCs w:val="24"/>
        </w:rPr>
      </w:pPr>
      <w:r w:rsidRPr="00513831">
        <w:rPr>
          <w:rFonts w:ascii="Times New Roman" w:hAnsi="Times New Roman" w:cs="Times New Roman"/>
          <w:sz w:val="24"/>
          <w:szCs w:val="24"/>
        </w:rPr>
        <w:t>PRESS =</w:t>
      </w:r>
      <m:oMath>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i</m:t>
            </m:r>
            <m:r>
              <w:rPr>
                <w:rFonts w:ascii="Cambria Math" w:hAnsi="Times New Roman" w:cs="Times New Roman"/>
                <w:sz w:val="24"/>
                <w:szCs w:val="24"/>
              </w:rPr>
              <m:t>=1</m:t>
            </m:r>
          </m:sub>
          <m:sup>
            <m:r>
              <w:rPr>
                <w:rFonts w:ascii="Cambria Math" w:hAnsi="Cambria Math" w:cs="Times New Roman"/>
                <w:sz w:val="24"/>
                <w:szCs w:val="24"/>
              </w:rPr>
              <m:t>n</m:t>
            </m:r>
          </m:sup>
          <m:e>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m:t>
                </m:r>
              </m:sub>
              <m:sup>
                <m:r>
                  <w:rPr>
                    <w:rFonts w:ascii="Cambria Math" w:hAnsi="Cambria Math" w:cs="Times New Roman"/>
                    <w:sz w:val="24"/>
                    <w:szCs w:val="24"/>
                  </w:rPr>
                  <m:t>added</m:t>
                </m:r>
              </m:sup>
            </m:sSubSup>
            <m:r>
              <w:rPr>
                <w:rFonts w:ascii="Times New Roman"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m:t>
                </m:r>
              </m:sub>
              <m:sup>
                <m:r>
                  <w:rPr>
                    <w:rFonts w:ascii="Cambria Math" w:hAnsi="Cambria Math" w:cs="Times New Roman"/>
                    <w:sz w:val="24"/>
                    <w:szCs w:val="24"/>
                  </w:rPr>
                  <m:t>found</m:t>
                </m:r>
              </m:sup>
            </m:sSubSup>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e>
        </m:nary>
      </m:oMath>
    </w:p>
    <w:p w:rsidR="001F784F" w:rsidRPr="00513831" w:rsidRDefault="001F784F" w:rsidP="00513831">
      <w:pPr>
        <w:spacing w:after="0"/>
        <w:jc w:val="both"/>
        <w:rPr>
          <w:rFonts w:ascii="Times New Roman" w:hAnsi="Times New Roman" w:cs="Times New Roman"/>
          <w:sz w:val="24"/>
          <w:szCs w:val="24"/>
        </w:rPr>
      </w:pPr>
    </w:p>
    <w:p w:rsidR="001F784F" w:rsidRPr="00513831" w:rsidRDefault="001F784F" w:rsidP="00513831">
      <w:pPr>
        <w:autoSpaceDE w:val="0"/>
        <w:autoSpaceDN w:val="0"/>
        <w:adjustRightInd w:val="0"/>
        <w:spacing w:after="0"/>
        <w:jc w:val="both"/>
        <w:rPr>
          <w:rFonts w:ascii="Times New Roman" w:hAnsi="Times New Roman" w:cs="Times New Roman"/>
          <w:sz w:val="24"/>
          <w:szCs w:val="24"/>
        </w:rPr>
      </w:pPr>
      <w:r w:rsidRPr="00513831">
        <w:rPr>
          <w:rFonts w:ascii="Times New Roman" w:hAnsi="Times New Roman" w:cs="Times New Roman"/>
          <w:sz w:val="24"/>
          <w:szCs w:val="24"/>
        </w:rPr>
        <w:t>Strikingly speaking, this is not a correct way to normalize the PRESS values when not all of the data sets contain the same number of samples. If want correctly compare PRESS values for data sets that contain differing numbers of samples, should convert to standard error of prediction (SEP), which is given by following formula.</w:t>
      </w:r>
    </w:p>
    <w:commentRangeEnd w:id="27"/>
    <w:p w:rsidR="001F784F" w:rsidRPr="00513831" w:rsidRDefault="00FE7358" w:rsidP="00513831">
      <w:pPr>
        <w:autoSpaceDE w:val="0"/>
        <w:autoSpaceDN w:val="0"/>
        <w:adjustRightInd w:val="0"/>
        <w:spacing w:after="0"/>
        <w:rPr>
          <w:rFonts w:ascii="Times New Roman" w:hAnsi="Times New Roman" w:cs="Times New Roman"/>
          <w:sz w:val="24"/>
          <w:szCs w:val="24"/>
        </w:rPr>
      </w:pPr>
      <w:r>
        <w:rPr>
          <w:rStyle w:val="CommentReference"/>
        </w:rPr>
        <w:commentReference w:id="27"/>
      </w:r>
    </w:p>
    <w:p w:rsidR="001F784F" w:rsidRPr="00513831" w:rsidRDefault="001F784F" w:rsidP="00513831">
      <w:pPr>
        <w:autoSpaceDE w:val="0"/>
        <w:autoSpaceDN w:val="0"/>
        <w:adjustRightInd w:val="0"/>
        <w:spacing w:after="0"/>
        <w:rPr>
          <w:rFonts w:ascii="Times New Roman" w:hAnsi="Times New Roman" w:cs="Times New Roman"/>
          <w:sz w:val="24"/>
          <w:szCs w:val="24"/>
        </w:rPr>
      </w:pPr>
      <w:r w:rsidRPr="00513831">
        <w:rPr>
          <w:rFonts w:ascii="Times New Roman" w:hAnsi="Times New Roman" w:cs="Times New Roman"/>
          <w:sz w:val="24"/>
          <w:szCs w:val="24"/>
        </w:rPr>
        <w:t>SEP =</w:t>
      </w:r>
      <m:oMath>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i</m:t>
                    </m:r>
                  </m:sub>
                  <m:sup>
                    <m:r>
                      <w:rPr>
                        <w:rFonts w:ascii="Cambria Math" w:hAnsi="Cambria Math" w:cs="Times New Roman"/>
                        <w:sz w:val="24"/>
                        <w:szCs w:val="24"/>
                      </w:rPr>
                      <m:t>n</m:t>
                    </m:r>
                  </m:sup>
                  <m:e>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m:t>
                        </m:r>
                      </m:sub>
                      <m:sup>
                        <m:r>
                          <w:rPr>
                            <w:rFonts w:ascii="Cambria Math" w:hAnsi="Cambria Math" w:cs="Times New Roman"/>
                            <w:sz w:val="24"/>
                            <w:szCs w:val="24"/>
                          </w:rPr>
                          <m:t>added</m:t>
                        </m:r>
                      </m:sup>
                    </m:sSubSup>
                    <m:r>
                      <w:rPr>
                        <w:rFonts w:ascii="Times New Roman"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m:t>
                        </m:r>
                      </m:sub>
                      <m:sup>
                        <m:r>
                          <w:rPr>
                            <w:rFonts w:ascii="Cambria Math" w:hAnsi="Cambria Math" w:cs="Times New Roman"/>
                            <w:sz w:val="24"/>
                            <w:szCs w:val="24"/>
                          </w:rPr>
                          <m:t>found</m:t>
                        </m:r>
                      </m:sup>
                    </m:sSubSup>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e>
                </m:nary>
              </m:num>
              <m:den>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den>
            </m:f>
          </m:e>
        </m:rad>
      </m:oMath>
    </w:p>
    <w:p w:rsidR="001F784F" w:rsidRPr="00513831" w:rsidRDefault="001F784F" w:rsidP="00513831">
      <w:pPr>
        <w:autoSpaceDE w:val="0"/>
        <w:autoSpaceDN w:val="0"/>
        <w:adjustRightInd w:val="0"/>
        <w:spacing w:after="0"/>
        <w:rPr>
          <w:rFonts w:ascii="Times New Roman" w:hAnsi="Times New Roman" w:cs="Times New Roman"/>
          <w:sz w:val="24"/>
          <w:szCs w:val="24"/>
        </w:rPr>
      </w:pPr>
    </w:p>
    <w:p w:rsidR="001F784F" w:rsidRPr="00513831" w:rsidRDefault="001F784F" w:rsidP="00513831">
      <w:pPr>
        <w:pStyle w:val="NoSpacing"/>
        <w:spacing w:line="276" w:lineRule="auto"/>
        <w:jc w:val="both"/>
        <w:rPr>
          <w:rFonts w:ascii="Times New Roman" w:hAnsi="Times New Roman" w:cs="Times New Roman"/>
          <w:sz w:val="24"/>
          <w:szCs w:val="24"/>
        </w:rPr>
      </w:pPr>
      <w:r w:rsidRPr="00513831">
        <w:rPr>
          <w:rFonts w:ascii="Times New Roman" w:hAnsi="Times New Roman" w:cs="Times New Roman"/>
          <w:sz w:val="24"/>
          <w:szCs w:val="24"/>
        </w:rPr>
        <w:t>where</w:t>
      </w:r>
      <m:oMath>
        <m:sSubSup>
          <m:sSubSupPr>
            <m:ctrlPr>
              <w:rPr>
                <w:rFonts w:ascii="Cambria Math" w:hAnsi="Times New Roman"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m:t>
            </m:r>
          </m:sub>
          <m:sup>
            <m:r>
              <w:rPr>
                <w:rFonts w:ascii="Cambria Math" w:hAnsi="Cambria Math" w:cs="Times New Roman"/>
                <w:sz w:val="24"/>
                <w:szCs w:val="24"/>
              </w:rPr>
              <m:t>added</m:t>
            </m:r>
          </m:sup>
        </m:sSubSup>
      </m:oMath>
      <w:r w:rsidRPr="00513831">
        <w:rPr>
          <w:rFonts w:ascii="Times New Roman" w:hAnsi="Times New Roman" w:cs="Times New Roman"/>
          <w:sz w:val="24"/>
          <w:szCs w:val="24"/>
        </w:rPr>
        <w:t xml:space="preserve"> concentration of drug is, </w:t>
      </w:r>
      <m:oMath>
        <m:sSubSup>
          <m:sSubSupPr>
            <m:ctrlPr>
              <w:rPr>
                <w:rFonts w:ascii="Cambria Math" w:hAnsi="Times New Roman"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m:t>
            </m:r>
          </m:sub>
          <m:sup>
            <m:r>
              <w:rPr>
                <w:rFonts w:ascii="Cambria Math" w:hAnsi="Cambria Math" w:cs="Times New Roman"/>
                <w:sz w:val="24"/>
                <w:szCs w:val="24"/>
              </w:rPr>
              <m:t>found</m:t>
            </m:r>
          </m:sup>
        </m:sSubSup>
      </m:oMath>
      <w:r w:rsidRPr="00513831">
        <w:rPr>
          <w:rFonts w:ascii="Times New Roman" w:hAnsi="Times New Roman" w:cs="Times New Roman"/>
          <w:sz w:val="24"/>
          <w:szCs w:val="24"/>
        </w:rPr>
        <w:t xml:space="preserve">is thefound concentration of analyte and n is the total number of the synthetic mixtures. </w:t>
      </w:r>
      <w:commentRangeStart w:id="28"/>
      <w:r w:rsidRPr="00513831">
        <w:rPr>
          <w:rFonts w:ascii="Times New Roman" w:hAnsi="Times New Roman" w:cs="Times New Roman"/>
          <w:sz w:val="24"/>
          <w:szCs w:val="24"/>
        </w:rPr>
        <w:t xml:space="preserve">The SEP can provide a good measure of how well, on average, the calibration model performs. Often, however, the performance of the calibration model varies depending on the analyte level.  </w:t>
      </w:r>
      <w:r w:rsidRPr="006734C2">
        <w:rPr>
          <w:rFonts w:ascii="Times New Roman" w:hAnsi="Times New Roman" w:cs="Times New Roman"/>
          <w:sz w:val="24"/>
          <w:szCs w:val="24"/>
          <w:highlight w:val="yellow"/>
        </w:rPr>
        <w:t>All these values are calculated and shown in Table 1 for the study done</w:t>
      </w:r>
      <w:r w:rsidRPr="00513831">
        <w:rPr>
          <w:rFonts w:ascii="Times New Roman" w:hAnsi="Times New Roman" w:cs="Times New Roman"/>
          <w:sz w:val="24"/>
          <w:szCs w:val="24"/>
        </w:rPr>
        <w:t xml:space="preserve">. </w:t>
      </w:r>
      <w:r w:rsidR="00CE319C" w:rsidRPr="00513831">
        <w:rPr>
          <w:rFonts w:ascii="Times New Roman" w:hAnsi="Times New Roman" w:cs="Times New Roman"/>
          <w:sz w:val="24"/>
          <w:szCs w:val="24"/>
        </w:rPr>
        <w:t>Again,</w:t>
      </w:r>
      <w:r w:rsidRPr="00513831">
        <w:rPr>
          <w:rFonts w:ascii="Times New Roman" w:hAnsi="Times New Roman" w:cs="Times New Roman"/>
          <w:sz w:val="24"/>
          <w:szCs w:val="24"/>
        </w:rPr>
        <w:t xml:space="preserve"> in the same table, </w:t>
      </w:r>
      <w:r w:rsidR="00CE319C" w:rsidRPr="00513831">
        <w:rPr>
          <w:rFonts w:ascii="Times New Roman" w:hAnsi="Times New Roman" w:cs="Times New Roman"/>
          <w:sz w:val="24"/>
          <w:szCs w:val="24"/>
        </w:rPr>
        <w:t>c</w:t>
      </w:r>
      <w:r w:rsidRPr="00513831">
        <w:rPr>
          <w:rFonts w:ascii="Times New Roman" w:hAnsi="Times New Roman" w:cs="Times New Roman"/>
          <w:sz w:val="24"/>
          <w:szCs w:val="24"/>
        </w:rPr>
        <w:t xml:space="preserve">ilazapril and </w:t>
      </w:r>
      <w:r w:rsidR="00CE319C" w:rsidRPr="00513831">
        <w:rPr>
          <w:rFonts w:ascii="Times New Roman" w:hAnsi="Times New Roman" w:cs="Times New Roman"/>
          <w:sz w:val="24"/>
          <w:szCs w:val="24"/>
        </w:rPr>
        <w:t>hydrochlorothiazide in</w:t>
      </w:r>
      <w:r w:rsidRPr="00513831">
        <w:rPr>
          <w:rFonts w:ascii="Times New Roman" w:hAnsi="Times New Roman" w:cs="Times New Roman"/>
          <w:sz w:val="24"/>
          <w:szCs w:val="24"/>
        </w:rPr>
        <w:t xml:space="preserve"> the running mixtures are </w:t>
      </w:r>
      <w:commentRangeEnd w:id="28"/>
      <w:r w:rsidR="00FE7358">
        <w:rPr>
          <w:rStyle w:val="CommentReference"/>
        </w:rPr>
        <w:commentReference w:id="28"/>
      </w:r>
      <w:r w:rsidRPr="00513831">
        <w:rPr>
          <w:rFonts w:ascii="Times New Roman" w:hAnsi="Times New Roman" w:cs="Times New Roman"/>
          <w:sz w:val="24"/>
          <w:szCs w:val="24"/>
        </w:rPr>
        <w:t>shown in the parameters between actual and estimated concentration values.</w:t>
      </w:r>
    </w:p>
    <w:p w:rsidR="001F784F" w:rsidRPr="00513831" w:rsidRDefault="001F784F" w:rsidP="00513831">
      <w:pPr>
        <w:pStyle w:val="NoSpacing"/>
        <w:spacing w:line="276" w:lineRule="auto"/>
        <w:jc w:val="center"/>
        <w:rPr>
          <w:rFonts w:ascii="Times New Roman" w:hAnsi="Times New Roman" w:cs="Times New Roman"/>
          <w:sz w:val="24"/>
          <w:szCs w:val="24"/>
        </w:rPr>
      </w:pPr>
    </w:p>
    <w:p w:rsidR="001F784F" w:rsidRPr="00513831" w:rsidRDefault="001F784F" w:rsidP="00513831">
      <w:pPr>
        <w:pStyle w:val="NoSpacing"/>
        <w:spacing w:line="276" w:lineRule="auto"/>
        <w:jc w:val="center"/>
        <w:rPr>
          <w:rFonts w:ascii="Times New Roman" w:hAnsi="Times New Roman" w:cs="Times New Roman"/>
          <w:sz w:val="24"/>
          <w:szCs w:val="24"/>
        </w:rPr>
      </w:pPr>
      <w:r w:rsidRPr="00513831">
        <w:rPr>
          <w:rFonts w:ascii="Times New Roman" w:hAnsi="Times New Roman" w:cs="Times New Roman"/>
          <w:sz w:val="24"/>
          <w:szCs w:val="24"/>
        </w:rPr>
        <w:t xml:space="preserve">Table 1. Statistical parameters for PCR </w:t>
      </w:r>
    </w:p>
    <w:tbl>
      <w:tblPr>
        <w:tblStyle w:val="AkGlgeleme1"/>
        <w:tblW w:w="0" w:type="auto"/>
        <w:tblLook w:val="04A0"/>
      </w:tblPr>
      <w:tblGrid>
        <w:gridCol w:w="2302"/>
        <w:gridCol w:w="2302"/>
        <w:gridCol w:w="2303"/>
        <w:gridCol w:w="2303"/>
      </w:tblGrid>
      <w:tr w:rsidR="001F784F" w:rsidRPr="00513831" w:rsidTr="00147620">
        <w:trPr>
          <w:cnfStyle w:val="100000000000"/>
        </w:trPr>
        <w:tc>
          <w:tcPr>
            <w:cnfStyle w:val="001000000000"/>
            <w:tcW w:w="9210" w:type="dxa"/>
            <w:gridSpan w:val="4"/>
          </w:tcPr>
          <w:p w:rsidR="001F784F" w:rsidRPr="00513831" w:rsidRDefault="001F784F" w:rsidP="00513831">
            <w:pPr>
              <w:pStyle w:val="NoSpacing"/>
              <w:spacing w:line="276" w:lineRule="auto"/>
              <w:jc w:val="center"/>
              <w:rPr>
                <w:rFonts w:ascii="Times New Roman" w:hAnsi="Times New Roman" w:cs="Times New Roman"/>
                <w:sz w:val="24"/>
                <w:szCs w:val="24"/>
              </w:rPr>
            </w:pPr>
            <w:r w:rsidRPr="00513831">
              <w:rPr>
                <w:rFonts w:ascii="Times New Roman" w:hAnsi="Times New Roman" w:cs="Times New Roman"/>
                <w:sz w:val="24"/>
                <w:szCs w:val="24"/>
              </w:rPr>
              <w:t>PCR</w:t>
            </w:r>
          </w:p>
        </w:tc>
      </w:tr>
      <w:tr w:rsidR="001F784F" w:rsidRPr="00513831" w:rsidTr="00147620">
        <w:trPr>
          <w:cnfStyle w:val="000000100000"/>
        </w:trPr>
        <w:tc>
          <w:tcPr>
            <w:cnfStyle w:val="001000000000"/>
            <w:tcW w:w="2302" w:type="dxa"/>
          </w:tcPr>
          <w:p w:rsidR="001F784F" w:rsidRPr="00513831" w:rsidRDefault="001F784F" w:rsidP="00513831">
            <w:pPr>
              <w:pStyle w:val="NoSpacing"/>
              <w:spacing w:line="276" w:lineRule="auto"/>
              <w:jc w:val="center"/>
              <w:rPr>
                <w:rFonts w:ascii="Times New Roman" w:hAnsi="Times New Roman" w:cs="Times New Roman"/>
                <w:sz w:val="24"/>
                <w:szCs w:val="24"/>
              </w:rPr>
            </w:pPr>
            <w:r w:rsidRPr="00513831">
              <w:rPr>
                <w:rFonts w:ascii="Times New Roman" w:hAnsi="Times New Roman" w:cs="Times New Roman"/>
                <w:sz w:val="24"/>
                <w:szCs w:val="24"/>
              </w:rPr>
              <w:t>Step</w:t>
            </w:r>
          </w:p>
        </w:tc>
        <w:tc>
          <w:tcPr>
            <w:tcW w:w="2302" w:type="dxa"/>
          </w:tcPr>
          <w:p w:rsidR="001F784F" w:rsidRPr="00513831" w:rsidRDefault="001F784F" w:rsidP="00513831">
            <w:pPr>
              <w:pStyle w:val="NoSpacing"/>
              <w:spacing w:line="276" w:lineRule="auto"/>
              <w:jc w:val="center"/>
              <w:cnfStyle w:val="000000100000"/>
              <w:rPr>
                <w:rFonts w:ascii="Times New Roman" w:hAnsi="Times New Roman" w:cs="Times New Roman"/>
                <w:sz w:val="24"/>
                <w:szCs w:val="24"/>
              </w:rPr>
            </w:pPr>
            <w:r w:rsidRPr="00513831">
              <w:rPr>
                <w:rFonts w:ascii="Times New Roman" w:hAnsi="Times New Roman" w:cs="Times New Roman"/>
                <w:sz w:val="24"/>
                <w:szCs w:val="24"/>
              </w:rPr>
              <w:t>Parameter</w:t>
            </w:r>
          </w:p>
        </w:tc>
        <w:tc>
          <w:tcPr>
            <w:tcW w:w="2303" w:type="dxa"/>
          </w:tcPr>
          <w:p w:rsidR="001F784F" w:rsidRPr="00513831" w:rsidRDefault="00CE319C" w:rsidP="00513831">
            <w:pPr>
              <w:pStyle w:val="NoSpacing"/>
              <w:spacing w:line="276" w:lineRule="auto"/>
              <w:jc w:val="center"/>
              <w:cnfStyle w:val="000000100000"/>
              <w:rPr>
                <w:rFonts w:ascii="Times New Roman" w:hAnsi="Times New Roman" w:cs="Times New Roman"/>
                <w:sz w:val="24"/>
                <w:szCs w:val="24"/>
              </w:rPr>
            </w:pPr>
            <w:r w:rsidRPr="00513831">
              <w:rPr>
                <w:rFonts w:ascii="Times New Roman" w:hAnsi="Times New Roman" w:cs="Times New Roman"/>
                <w:sz w:val="24"/>
                <w:szCs w:val="24"/>
              </w:rPr>
              <w:t>C</w:t>
            </w:r>
            <w:r w:rsidR="001F784F" w:rsidRPr="00513831">
              <w:rPr>
                <w:rFonts w:ascii="Times New Roman" w:hAnsi="Times New Roman" w:cs="Times New Roman"/>
                <w:sz w:val="24"/>
                <w:szCs w:val="24"/>
              </w:rPr>
              <w:t>IL</w:t>
            </w:r>
          </w:p>
        </w:tc>
        <w:tc>
          <w:tcPr>
            <w:tcW w:w="2303" w:type="dxa"/>
          </w:tcPr>
          <w:p w:rsidR="001F784F" w:rsidRPr="00513831" w:rsidRDefault="001F784F" w:rsidP="00513831">
            <w:pPr>
              <w:pStyle w:val="NoSpacing"/>
              <w:spacing w:line="276" w:lineRule="auto"/>
              <w:jc w:val="center"/>
              <w:cnfStyle w:val="000000100000"/>
              <w:rPr>
                <w:rFonts w:ascii="Times New Roman" w:hAnsi="Times New Roman" w:cs="Times New Roman"/>
                <w:sz w:val="24"/>
                <w:szCs w:val="24"/>
              </w:rPr>
            </w:pPr>
            <w:r w:rsidRPr="00513831">
              <w:rPr>
                <w:rFonts w:ascii="Times New Roman" w:hAnsi="Times New Roman" w:cs="Times New Roman"/>
                <w:sz w:val="24"/>
                <w:szCs w:val="24"/>
              </w:rPr>
              <w:t>HCT</w:t>
            </w:r>
          </w:p>
        </w:tc>
      </w:tr>
      <w:tr w:rsidR="001F784F" w:rsidRPr="00513831" w:rsidTr="00147620">
        <w:tc>
          <w:tcPr>
            <w:cnfStyle w:val="001000000000"/>
            <w:tcW w:w="2302" w:type="dxa"/>
          </w:tcPr>
          <w:p w:rsidR="001F784F" w:rsidRPr="00513831" w:rsidRDefault="001F784F" w:rsidP="00513831">
            <w:pPr>
              <w:pStyle w:val="NoSpacing"/>
              <w:spacing w:line="276" w:lineRule="auto"/>
              <w:jc w:val="center"/>
              <w:rPr>
                <w:rFonts w:ascii="Times New Roman" w:hAnsi="Times New Roman" w:cs="Times New Roman"/>
                <w:sz w:val="24"/>
                <w:szCs w:val="24"/>
              </w:rPr>
            </w:pPr>
            <w:r w:rsidRPr="00513831">
              <w:rPr>
                <w:rFonts w:ascii="Times New Roman" w:hAnsi="Times New Roman" w:cs="Times New Roman"/>
                <w:sz w:val="24"/>
                <w:szCs w:val="24"/>
              </w:rPr>
              <w:t>Calibration</w:t>
            </w:r>
          </w:p>
        </w:tc>
        <w:tc>
          <w:tcPr>
            <w:tcW w:w="2302" w:type="dxa"/>
          </w:tcPr>
          <w:p w:rsidR="001F784F" w:rsidRPr="00513831" w:rsidRDefault="001F784F" w:rsidP="00513831">
            <w:pPr>
              <w:pStyle w:val="NoSpacing"/>
              <w:spacing w:line="276" w:lineRule="auto"/>
              <w:jc w:val="center"/>
              <w:cnfStyle w:val="000000000000"/>
              <w:rPr>
                <w:rFonts w:ascii="Times New Roman" w:hAnsi="Times New Roman" w:cs="Times New Roman"/>
                <w:sz w:val="24"/>
                <w:szCs w:val="24"/>
              </w:rPr>
            </w:pPr>
            <w:r w:rsidRPr="00513831">
              <w:rPr>
                <w:rFonts w:ascii="Times New Roman" w:hAnsi="Times New Roman" w:cs="Times New Roman"/>
                <w:sz w:val="24"/>
                <w:szCs w:val="24"/>
              </w:rPr>
              <w:t>SEC</w:t>
            </w:r>
          </w:p>
        </w:tc>
        <w:tc>
          <w:tcPr>
            <w:tcW w:w="2303" w:type="dxa"/>
          </w:tcPr>
          <w:p w:rsidR="001F784F" w:rsidRPr="00513831" w:rsidRDefault="001F784F" w:rsidP="00513831">
            <w:pPr>
              <w:pStyle w:val="NoSpacing"/>
              <w:spacing w:line="276" w:lineRule="auto"/>
              <w:jc w:val="center"/>
              <w:cnfStyle w:val="000000000000"/>
              <w:rPr>
                <w:rFonts w:ascii="Times New Roman" w:hAnsi="Times New Roman" w:cs="Times New Roman"/>
                <w:sz w:val="24"/>
                <w:szCs w:val="24"/>
              </w:rPr>
            </w:pPr>
            <w:r w:rsidRPr="00513831">
              <w:rPr>
                <w:rFonts w:ascii="Times New Roman" w:hAnsi="Times New Roman" w:cs="Times New Roman"/>
                <w:sz w:val="24"/>
                <w:szCs w:val="24"/>
              </w:rPr>
              <w:t>-</w:t>
            </w:r>
          </w:p>
        </w:tc>
        <w:tc>
          <w:tcPr>
            <w:tcW w:w="2303" w:type="dxa"/>
          </w:tcPr>
          <w:p w:rsidR="001F784F" w:rsidRPr="00513831" w:rsidRDefault="001F784F" w:rsidP="00513831">
            <w:pPr>
              <w:pStyle w:val="NoSpacing"/>
              <w:spacing w:line="276" w:lineRule="auto"/>
              <w:jc w:val="center"/>
              <w:cnfStyle w:val="000000000000"/>
              <w:rPr>
                <w:rFonts w:ascii="Times New Roman" w:hAnsi="Times New Roman" w:cs="Times New Roman"/>
                <w:sz w:val="24"/>
                <w:szCs w:val="24"/>
              </w:rPr>
            </w:pPr>
            <w:r w:rsidRPr="00513831">
              <w:rPr>
                <w:rFonts w:ascii="Times New Roman" w:hAnsi="Times New Roman" w:cs="Times New Roman"/>
                <w:sz w:val="24"/>
                <w:szCs w:val="24"/>
              </w:rPr>
              <w:t>-</w:t>
            </w:r>
          </w:p>
        </w:tc>
      </w:tr>
      <w:tr w:rsidR="001F784F" w:rsidRPr="00513831" w:rsidTr="00147620">
        <w:trPr>
          <w:cnfStyle w:val="000000100000"/>
        </w:trPr>
        <w:tc>
          <w:tcPr>
            <w:cnfStyle w:val="001000000000"/>
            <w:tcW w:w="2302" w:type="dxa"/>
          </w:tcPr>
          <w:p w:rsidR="001F784F" w:rsidRPr="00513831" w:rsidRDefault="001F784F" w:rsidP="00513831">
            <w:pPr>
              <w:pStyle w:val="NoSpacing"/>
              <w:spacing w:line="276" w:lineRule="auto"/>
              <w:jc w:val="center"/>
              <w:rPr>
                <w:rFonts w:ascii="Times New Roman" w:hAnsi="Times New Roman" w:cs="Times New Roman"/>
                <w:sz w:val="24"/>
                <w:szCs w:val="24"/>
              </w:rPr>
            </w:pPr>
          </w:p>
        </w:tc>
        <w:tc>
          <w:tcPr>
            <w:tcW w:w="2302" w:type="dxa"/>
          </w:tcPr>
          <w:p w:rsidR="001F784F" w:rsidRPr="00513831" w:rsidRDefault="001F784F" w:rsidP="00513831">
            <w:pPr>
              <w:pStyle w:val="NoSpacing"/>
              <w:spacing w:line="276" w:lineRule="auto"/>
              <w:jc w:val="center"/>
              <w:cnfStyle w:val="000000100000"/>
              <w:rPr>
                <w:rFonts w:ascii="Times New Roman" w:hAnsi="Times New Roman" w:cs="Times New Roman"/>
                <w:sz w:val="24"/>
                <w:szCs w:val="24"/>
              </w:rPr>
            </w:pPr>
            <w:r w:rsidRPr="00513831">
              <w:rPr>
                <w:rFonts w:ascii="Times New Roman" w:hAnsi="Times New Roman" w:cs="Times New Roman"/>
                <w:sz w:val="24"/>
                <w:szCs w:val="24"/>
              </w:rPr>
              <w:t>PRESS</w:t>
            </w:r>
          </w:p>
        </w:tc>
        <w:tc>
          <w:tcPr>
            <w:tcW w:w="2303" w:type="dxa"/>
          </w:tcPr>
          <w:p w:rsidR="001F784F" w:rsidRPr="00513831" w:rsidRDefault="001F784F" w:rsidP="00513831">
            <w:pPr>
              <w:pStyle w:val="NoSpacing"/>
              <w:spacing w:line="276" w:lineRule="auto"/>
              <w:jc w:val="center"/>
              <w:cnfStyle w:val="000000100000"/>
              <w:rPr>
                <w:rFonts w:ascii="Times New Roman" w:hAnsi="Times New Roman" w:cs="Times New Roman"/>
                <w:sz w:val="24"/>
                <w:szCs w:val="24"/>
              </w:rPr>
            </w:pPr>
            <w:r w:rsidRPr="00513831">
              <w:rPr>
                <w:rFonts w:ascii="Times New Roman" w:hAnsi="Times New Roman" w:cs="Times New Roman"/>
                <w:sz w:val="24"/>
                <w:szCs w:val="24"/>
              </w:rPr>
              <w:t>0.0658</w:t>
            </w:r>
          </w:p>
        </w:tc>
        <w:tc>
          <w:tcPr>
            <w:tcW w:w="2303" w:type="dxa"/>
          </w:tcPr>
          <w:p w:rsidR="001F784F" w:rsidRPr="00513831" w:rsidRDefault="001F784F" w:rsidP="00513831">
            <w:pPr>
              <w:pStyle w:val="NoSpacing"/>
              <w:spacing w:line="276" w:lineRule="auto"/>
              <w:jc w:val="center"/>
              <w:cnfStyle w:val="000000100000"/>
              <w:rPr>
                <w:rFonts w:ascii="Times New Roman" w:hAnsi="Times New Roman" w:cs="Times New Roman"/>
                <w:sz w:val="24"/>
                <w:szCs w:val="24"/>
              </w:rPr>
            </w:pPr>
            <w:r w:rsidRPr="00513831">
              <w:rPr>
                <w:rFonts w:ascii="Times New Roman" w:hAnsi="Times New Roman" w:cs="Times New Roman"/>
                <w:sz w:val="24"/>
                <w:szCs w:val="24"/>
              </w:rPr>
              <w:t>0.0458</w:t>
            </w:r>
          </w:p>
        </w:tc>
      </w:tr>
      <w:tr w:rsidR="001F784F" w:rsidRPr="00513831" w:rsidTr="00147620">
        <w:tc>
          <w:tcPr>
            <w:cnfStyle w:val="001000000000"/>
            <w:tcW w:w="2302" w:type="dxa"/>
          </w:tcPr>
          <w:p w:rsidR="001F784F" w:rsidRPr="00513831" w:rsidRDefault="001F784F" w:rsidP="00513831">
            <w:pPr>
              <w:pStyle w:val="NoSpacing"/>
              <w:spacing w:line="276" w:lineRule="auto"/>
              <w:jc w:val="center"/>
              <w:rPr>
                <w:rFonts w:ascii="Times New Roman" w:hAnsi="Times New Roman" w:cs="Times New Roman"/>
                <w:sz w:val="24"/>
                <w:szCs w:val="24"/>
              </w:rPr>
            </w:pPr>
          </w:p>
        </w:tc>
        <w:tc>
          <w:tcPr>
            <w:tcW w:w="2302" w:type="dxa"/>
          </w:tcPr>
          <w:p w:rsidR="001F784F" w:rsidRPr="00513831" w:rsidRDefault="001F784F" w:rsidP="00513831">
            <w:pPr>
              <w:pStyle w:val="NoSpacing"/>
              <w:spacing w:line="276" w:lineRule="auto"/>
              <w:jc w:val="center"/>
              <w:cnfStyle w:val="000000000000"/>
              <w:rPr>
                <w:rFonts w:ascii="Times New Roman" w:hAnsi="Times New Roman" w:cs="Times New Roman"/>
                <w:sz w:val="24"/>
                <w:szCs w:val="24"/>
              </w:rPr>
            </w:pPr>
            <w:r w:rsidRPr="00513831">
              <w:rPr>
                <w:rFonts w:ascii="Times New Roman" w:hAnsi="Times New Roman" w:cs="Times New Roman"/>
                <w:sz w:val="24"/>
                <w:szCs w:val="24"/>
              </w:rPr>
              <w:t>Slope</w:t>
            </w:r>
          </w:p>
        </w:tc>
        <w:tc>
          <w:tcPr>
            <w:tcW w:w="2303" w:type="dxa"/>
          </w:tcPr>
          <w:p w:rsidR="001F784F" w:rsidRPr="00513831" w:rsidRDefault="001F784F" w:rsidP="00513831">
            <w:pPr>
              <w:pStyle w:val="NoSpacing"/>
              <w:spacing w:line="276" w:lineRule="auto"/>
              <w:jc w:val="center"/>
              <w:cnfStyle w:val="000000000000"/>
              <w:rPr>
                <w:rFonts w:ascii="Times New Roman" w:hAnsi="Times New Roman" w:cs="Times New Roman"/>
                <w:sz w:val="24"/>
                <w:szCs w:val="24"/>
              </w:rPr>
            </w:pPr>
            <w:r w:rsidRPr="00513831">
              <w:rPr>
                <w:rFonts w:ascii="Times New Roman" w:hAnsi="Times New Roman" w:cs="Times New Roman"/>
                <w:sz w:val="24"/>
                <w:szCs w:val="24"/>
              </w:rPr>
              <w:t>1.0000</w:t>
            </w:r>
          </w:p>
        </w:tc>
        <w:tc>
          <w:tcPr>
            <w:tcW w:w="2303" w:type="dxa"/>
          </w:tcPr>
          <w:p w:rsidR="001F784F" w:rsidRPr="00513831" w:rsidRDefault="001F784F" w:rsidP="00513831">
            <w:pPr>
              <w:pStyle w:val="NoSpacing"/>
              <w:spacing w:line="276" w:lineRule="auto"/>
              <w:jc w:val="center"/>
              <w:cnfStyle w:val="000000000000"/>
              <w:rPr>
                <w:rFonts w:ascii="Times New Roman" w:hAnsi="Times New Roman" w:cs="Times New Roman"/>
                <w:sz w:val="24"/>
                <w:szCs w:val="24"/>
              </w:rPr>
            </w:pPr>
            <w:r w:rsidRPr="00513831">
              <w:rPr>
                <w:rFonts w:ascii="Times New Roman" w:hAnsi="Times New Roman" w:cs="Times New Roman"/>
                <w:sz w:val="24"/>
                <w:szCs w:val="24"/>
              </w:rPr>
              <w:t>0.9999</w:t>
            </w:r>
          </w:p>
        </w:tc>
      </w:tr>
      <w:tr w:rsidR="001F784F" w:rsidRPr="00513831" w:rsidTr="00147620">
        <w:trPr>
          <w:cnfStyle w:val="000000100000"/>
        </w:trPr>
        <w:tc>
          <w:tcPr>
            <w:cnfStyle w:val="001000000000"/>
            <w:tcW w:w="2302" w:type="dxa"/>
          </w:tcPr>
          <w:p w:rsidR="001F784F" w:rsidRPr="00513831" w:rsidRDefault="001F784F" w:rsidP="00513831">
            <w:pPr>
              <w:pStyle w:val="NoSpacing"/>
              <w:spacing w:line="276" w:lineRule="auto"/>
              <w:jc w:val="center"/>
              <w:rPr>
                <w:rFonts w:ascii="Times New Roman" w:hAnsi="Times New Roman" w:cs="Times New Roman"/>
                <w:sz w:val="24"/>
                <w:szCs w:val="24"/>
              </w:rPr>
            </w:pPr>
          </w:p>
        </w:tc>
        <w:tc>
          <w:tcPr>
            <w:tcW w:w="2302" w:type="dxa"/>
          </w:tcPr>
          <w:p w:rsidR="001F784F" w:rsidRPr="00513831" w:rsidRDefault="001F784F" w:rsidP="00513831">
            <w:pPr>
              <w:pStyle w:val="NoSpacing"/>
              <w:spacing w:line="276" w:lineRule="auto"/>
              <w:jc w:val="center"/>
              <w:cnfStyle w:val="000000100000"/>
              <w:rPr>
                <w:rFonts w:ascii="Times New Roman" w:hAnsi="Times New Roman" w:cs="Times New Roman"/>
                <w:sz w:val="24"/>
                <w:szCs w:val="24"/>
              </w:rPr>
            </w:pPr>
            <w:r w:rsidRPr="00513831">
              <w:rPr>
                <w:rFonts w:ascii="Times New Roman" w:hAnsi="Times New Roman" w:cs="Times New Roman"/>
                <w:sz w:val="24"/>
                <w:szCs w:val="24"/>
              </w:rPr>
              <w:t>Intercept</w:t>
            </w:r>
          </w:p>
        </w:tc>
        <w:tc>
          <w:tcPr>
            <w:tcW w:w="2303" w:type="dxa"/>
          </w:tcPr>
          <w:p w:rsidR="001F784F" w:rsidRPr="00513831" w:rsidRDefault="001F784F" w:rsidP="00513831">
            <w:pPr>
              <w:pStyle w:val="NoSpacing"/>
              <w:spacing w:line="276" w:lineRule="auto"/>
              <w:jc w:val="center"/>
              <w:cnfStyle w:val="000000100000"/>
              <w:rPr>
                <w:rFonts w:ascii="Times New Roman" w:hAnsi="Times New Roman" w:cs="Times New Roman"/>
                <w:sz w:val="24"/>
                <w:szCs w:val="24"/>
              </w:rPr>
            </w:pPr>
            <w:r w:rsidRPr="00513831">
              <w:rPr>
                <w:rFonts w:ascii="Times New Roman" w:hAnsi="Times New Roman" w:cs="Times New Roman"/>
                <w:sz w:val="24"/>
                <w:szCs w:val="24"/>
              </w:rPr>
              <w:t>0.0118</w:t>
            </w:r>
          </w:p>
        </w:tc>
        <w:tc>
          <w:tcPr>
            <w:tcW w:w="2303" w:type="dxa"/>
          </w:tcPr>
          <w:p w:rsidR="001F784F" w:rsidRPr="00513831" w:rsidRDefault="001F784F" w:rsidP="00513831">
            <w:pPr>
              <w:pStyle w:val="NoSpacing"/>
              <w:spacing w:line="276" w:lineRule="auto"/>
              <w:jc w:val="center"/>
              <w:cnfStyle w:val="000000100000"/>
              <w:rPr>
                <w:rFonts w:ascii="Times New Roman" w:hAnsi="Times New Roman" w:cs="Times New Roman"/>
                <w:sz w:val="24"/>
                <w:szCs w:val="24"/>
              </w:rPr>
            </w:pPr>
            <w:r w:rsidRPr="00513831">
              <w:rPr>
                <w:rFonts w:ascii="Times New Roman" w:hAnsi="Times New Roman" w:cs="Times New Roman"/>
                <w:sz w:val="24"/>
                <w:szCs w:val="24"/>
              </w:rPr>
              <w:t>0.0220</w:t>
            </w:r>
          </w:p>
        </w:tc>
      </w:tr>
      <w:tr w:rsidR="001F784F" w:rsidRPr="00513831" w:rsidTr="00147620">
        <w:tc>
          <w:tcPr>
            <w:cnfStyle w:val="001000000000"/>
            <w:tcW w:w="2302" w:type="dxa"/>
          </w:tcPr>
          <w:p w:rsidR="001F784F" w:rsidRPr="00513831" w:rsidRDefault="001F784F" w:rsidP="00513831">
            <w:pPr>
              <w:pStyle w:val="NoSpacing"/>
              <w:spacing w:line="276" w:lineRule="auto"/>
              <w:jc w:val="center"/>
              <w:rPr>
                <w:rFonts w:ascii="Times New Roman" w:hAnsi="Times New Roman" w:cs="Times New Roman"/>
                <w:sz w:val="24"/>
                <w:szCs w:val="24"/>
              </w:rPr>
            </w:pPr>
          </w:p>
        </w:tc>
        <w:tc>
          <w:tcPr>
            <w:tcW w:w="2302" w:type="dxa"/>
          </w:tcPr>
          <w:p w:rsidR="001F784F" w:rsidRPr="00513831" w:rsidRDefault="001F784F" w:rsidP="00513831">
            <w:pPr>
              <w:pStyle w:val="NoSpacing"/>
              <w:spacing w:line="276" w:lineRule="auto"/>
              <w:jc w:val="center"/>
              <w:cnfStyle w:val="000000000000"/>
              <w:rPr>
                <w:rFonts w:ascii="Times New Roman" w:hAnsi="Times New Roman" w:cs="Times New Roman"/>
                <w:sz w:val="24"/>
                <w:szCs w:val="24"/>
              </w:rPr>
            </w:pPr>
            <w:r w:rsidRPr="00513831">
              <w:rPr>
                <w:rFonts w:ascii="Times New Roman" w:hAnsi="Times New Roman" w:cs="Times New Roman"/>
                <w:sz w:val="24"/>
                <w:szCs w:val="24"/>
              </w:rPr>
              <w:t>r</w:t>
            </w:r>
          </w:p>
        </w:tc>
        <w:tc>
          <w:tcPr>
            <w:tcW w:w="2303" w:type="dxa"/>
          </w:tcPr>
          <w:p w:rsidR="001F784F" w:rsidRPr="00513831" w:rsidRDefault="001F784F" w:rsidP="00513831">
            <w:pPr>
              <w:pStyle w:val="NoSpacing"/>
              <w:spacing w:line="276" w:lineRule="auto"/>
              <w:jc w:val="center"/>
              <w:cnfStyle w:val="000000000000"/>
              <w:rPr>
                <w:rFonts w:ascii="Times New Roman" w:hAnsi="Times New Roman" w:cs="Times New Roman"/>
                <w:sz w:val="24"/>
                <w:szCs w:val="24"/>
              </w:rPr>
            </w:pPr>
            <w:r w:rsidRPr="00513831">
              <w:rPr>
                <w:rFonts w:ascii="Times New Roman" w:hAnsi="Times New Roman" w:cs="Times New Roman"/>
                <w:sz w:val="24"/>
                <w:szCs w:val="24"/>
              </w:rPr>
              <w:t>0.9999</w:t>
            </w:r>
          </w:p>
        </w:tc>
        <w:tc>
          <w:tcPr>
            <w:tcW w:w="2303" w:type="dxa"/>
          </w:tcPr>
          <w:p w:rsidR="001F784F" w:rsidRPr="00513831" w:rsidRDefault="001F784F" w:rsidP="00513831">
            <w:pPr>
              <w:pStyle w:val="NoSpacing"/>
              <w:spacing w:line="276" w:lineRule="auto"/>
              <w:jc w:val="center"/>
              <w:cnfStyle w:val="000000000000"/>
              <w:rPr>
                <w:rFonts w:ascii="Times New Roman" w:hAnsi="Times New Roman" w:cs="Times New Roman"/>
                <w:sz w:val="24"/>
                <w:szCs w:val="24"/>
              </w:rPr>
            </w:pPr>
            <w:r w:rsidRPr="00513831">
              <w:rPr>
                <w:rFonts w:ascii="Times New Roman" w:hAnsi="Times New Roman" w:cs="Times New Roman"/>
                <w:sz w:val="24"/>
                <w:szCs w:val="24"/>
              </w:rPr>
              <w:t>0.9999</w:t>
            </w:r>
          </w:p>
        </w:tc>
      </w:tr>
      <w:tr w:rsidR="001F784F" w:rsidRPr="00513831" w:rsidTr="00147620">
        <w:trPr>
          <w:cnfStyle w:val="000000100000"/>
        </w:trPr>
        <w:tc>
          <w:tcPr>
            <w:cnfStyle w:val="001000000000"/>
            <w:tcW w:w="2302" w:type="dxa"/>
          </w:tcPr>
          <w:p w:rsidR="001F784F" w:rsidRPr="00513831" w:rsidRDefault="001F784F" w:rsidP="00513831">
            <w:pPr>
              <w:pStyle w:val="NoSpacing"/>
              <w:spacing w:line="276" w:lineRule="auto"/>
              <w:jc w:val="center"/>
              <w:rPr>
                <w:rFonts w:ascii="Times New Roman" w:hAnsi="Times New Roman" w:cs="Times New Roman"/>
                <w:sz w:val="24"/>
                <w:szCs w:val="24"/>
              </w:rPr>
            </w:pPr>
            <w:r w:rsidRPr="00513831">
              <w:rPr>
                <w:rFonts w:ascii="Times New Roman" w:hAnsi="Times New Roman" w:cs="Times New Roman"/>
                <w:sz w:val="24"/>
                <w:szCs w:val="24"/>
              </w:rPr>
              <w:t>Prediction</w:t>
            </w:r>
          </w:p>
        </w:tc>
        <w:tc>
          <w:tcPr>
            <w:tcW w:w="2302" w:type="dxa"/>
          </w:tcPr>
          <w:p w:rsidR="001F784F" w:rsidRPr="00513831" w:rsidRDefault="001F784F" w:rsidP="00513831">
            <w:pPr>
              <w:pStyle w:val="NoSpacing"/>
              <w:spacing w:line="276" w:lineRule="auto"/>
              <w:jc w:val="center"/>
              <w:cnfStyle w:val="000000100000"/>
              <w:rPr>
                <w:rFonts w:ascii="Times New Roman" w:hAnsi="Times New Roman" w:cs="Times New Roman"/>
                <w:sz w:val="24"/>
                <w:szCs w:val="24"/>
              </w:rPr>
            </w:pPr>
          </w:p>
        </w:tc>
        <w:tc>
          <w:tcPr>
            <w:tcW w:w="2303" w:type="dxa"/>
          </w:tcPr>
          <w:p w:rsidR="001F784F" w:rsidRPr="00513831" w:rsidRDefault="001F784F" w:rsidP="00513831">
            <w:pPr>
              <w:pStyle w:val="NoSpacing"/>
              <w:spacing w:line="276" w:lineRule="auto"/>
              <w:jc w:val="center"/>
              <w:cnfStyle w:val="000000100000"/>
              <w:rPr>
                <w:rFonts w:ascii="Times New Roman" w:hAnsi="Times New Roman" w:cs="Times New Roman"/>
                <w:sz w:val="24"/>
                <w:szCs w:val="24"/>
              </w:rPr>
            </w:pPr>
          </w:p>
        </w:tc>
        <w:tc>
          <w:tcPr>
            <w:tcW w:w="2303" w:type="dxa"/>
          </w:tcPr>
          <w:p w:rsidR="001F784F" w:rsidRPr="00513831" w:rsidRDefault="001F784F" w:rsidP="00513831">
            <w:pPr>
              <w:pStyle w:val="NoSpacing"/>
              <w:spacing w:line="276" w:lineRule="auto"/>
              <w:jc w:val="center"/>
              <w:cnfStyle w:val="000000100000"/>
              <w:rPr>
                <w:rFonts w:ascii="Times New Roman" w:hAnsi="Times New Roman" w:cs="Times New Roman"/>
                <w:sz w:val="24"/>
                <w:szCs w:val="24"/>
              </w:rPr>
            </w:pPr>
          </w:p>
        </w:tc>
      </w:tr>
      <w:tr w:rsidR="001F784F" w:rsidRPr="00513831" w:rsidTr="00147620">
        <w:tc>
          <w:tcPr>
            <w:cnfStyle w:val="001000000000"/>
            <w:tcW w:w="2302" w:type="dxa"/>
          </w:tcPr>
          <w:p w:rsidR="001F784F" w:rsidRPr="00513831" w:rsidRDefault="001F784F" w:rsidP="00513831">
            <w:pPr>
              <w:pStyle w:val="NoSpacing"/>
              <w:spacing w:line="276" w:lineRule="auto"/>
              <w:jc w:val="center"/>
              <w:rPr>
                <w:rFonts w:ascii="Times New Roman" w:hAnsi="Times New Roman" w:cs="Times New Roman"/>
                <w:sz w:val="24"/>
                <w:szCs w:val="24"/>
              </w:rPr>
            </w:pPr>
          </w:p>
        </w:tc>
        <w:tc>
          <w:tcPr>
            <w:tcW w:w="2302" w:type="dxa"/>
          </w:tcPr>
          <w:p w:rsidR="001F784F" w:rsidRPr="00513831" w:rsidRDefault="001F784F" w:rsidP="00513831">
            <w:pPr>
              <w:pStyle w:val="NoSpacing"/>
              <w:spacing w:line="276" w:lineRule="auto"/>
              <w:jc w:val="center"/>
              <w:cnfStyle w:val="000000000000"/>
              <w:rPr>
                <w:rFonts w:ascii="Times New Roman" w:hAnsi="Times New Roman" w:cs="Times New Roman"/>
                <w:sz w:val="24"/>
                <w:szCs w:val="24"/>
              </w:rPr>
            </w:pPr>
            <w:r w:rsidRPr="00513831">
              <w:rPr>
                <w:rFonts w:ascii="Times New Roman" w:hAnsi="Times New Roman" w:cs="Times New Roman"/>
                <w:sz w:val="24"/>
                <w:szCs w:val="24"/>
              </w:rPr>
              <w:t>Slope</w:t>
            </w:r>
          </w:p>
        </w:tc>
        <w:tc>
          <w:tcPr>
            <w:tcW w:w="2303" w:type="dxa"/>
          </w:tcPr>
          <w:p w:rsidR="001F784F" w:rsidRPr="00513831" w:rsidRDefault="001F784F" w:rsidP="00513831">
            <w:pPr>
              <w:pStyle w:val="NoSpacing"/>
              <w:spacing w:line="276" w:lineRule="auto"/>
              <w:jc w:val="center"/>
              <w:cnfStyle w:val="000000000000"/>
              <w:rPr>
                <w:rFonts w:ascii="Times New Roman" w:hAnsi="Times New Roman" w:cs="Times New Roman"/>
                <w:sz w:val="24"/>
                <w:szCs w:val="24"/>
              </w:rPr>
            </w:pPr>
            <w:r w:rsidRPr="00513831">
              <w:rPr>
                <w:rFonts w:ascii="Times New Roman" w:hAnsi="Times New Roman" w:cs="Times New Roman"/>
                <w:sz w:val="24"/>
                <w:szCs w:val="24"/>
              </w:rPr>
              <w:t>0.9952</w:t>
            </w:r>
          </w:p>
        </w:tc>
        <w:tc>
          <w:tcPr>
            <w:tcW w:w="2303" w:type="dxa"/>
          </w:tcPr>
          <w:p w:rsidR="001F784F" w:rsidRPr="00513831" w:rsidRDefault="001F784F" w:rsidP="00513831">
            <w:pPr>
              <w:pStyle w:val="NoSpacing"/>
              <w:spacing w:line="276" w:lineRule="auto"/>
              <w:jc w:val="center"/>
              <w:cnfStyle w:val="000000000000"/>
              <w:rPr>
                <w:rFonts w:ascii="Times New Roman" w:hAnsi="Times New Roman" w:cs="Times New Roman"/>
                <w:sz w:val="24"/>
                <w:szCs w:val="24"/>
              </w:rPr>
            </w:pPr>
            <w:r w:rsidRPr="00513831">
              <w:rPr>
                <w:rFonts w:ascii="Times New Roman" w:hAnsi="Times New Roman" w:cs="Times New Roman"/>
                <w:sz w:val="24"/>
                <w:szCs w:val="24"/>
              </w:rPr>
              <w:t>0.9692</w:t>
            </w:r>
          </w:p>
        </w:tc>
      </w:tr>
      <w:tr w:rsidR="001F784F" w:rsidRPr="00513831" w:rsidTr="00147620">
        <w:trPr>
          <w:cnfStyle w:val="000000100000"/>
        </w:trPr>
        <w:tc>
          <w:tcPr>
            <w:cnfStyle w:val="001000000000"/>
            <w:tcW w:w="2302" w:type="dxa"/>
          </w:tcPr>
          <w:p w:rsidR="001F784F" w:rsidRPr="00513831" w:rsidRDefault="001F784F" w:rsidP="00513831">
            <w:pPr>
              <w:pStyle w:val="NoSpacing"/>
              <w:spacing w:line="276" w:lineRule="auto"/>
              <w:jc w:val="center"/>
              <w:rPr>
                <w:rFonts w:ascii="Times New Roman" w:hAnsi="Times New Roman" w:cs="Times New Roman"/>
                <w:sz w:val="24"/>
                <w:szCs w:val="24"/>
              </w:rPr>
            </w:pPr>
          </w:p>
        </w:tc>
        <w:tc>
          <w:tcPr>
            <w:tcW w:w="2302" w:type="dxa"/>
          </w:tcPr>
          <w:p w:rsidR="001F784F" w:rsidRPr="00513831" w:rsidRDefault="001F784F" w:rsidP="00513831">
            <w:pPr>
              <w:pStyle w:val="NoSpacing"/>
              <w:spacing w:line="276" w:lineRule="auto"/>
              <w:jc w:val="center"/>
              <w:cnfStyle w:val="000000100000"/>
              <w:rPr>
                <w:rFonts w:ascii="Times New Roman" w:hAnsi="Times New Roman" w:cs="Times New Roman"/>
                <w:sz w:val="24"/>
                <w:szCs w:val="24"/>
              </w:rPr>
            </w:pPr>
            <w:r w:rsidRPr="00513831">
              <w:rPr>
                <w:rFonts w:ascii="Times New Roman" w:hAnsi="Times New Roman" w:cs="Times New Roman"/>
                <w:sz w:val="24"/>
                <w:szCs w:val="24"/>
              </w:rPr>
              <w:t>Intercept</w:t>
            </w:r>
          </w:p>
        </w:tc>
        <w:tc>
          <w:tcPr>
            <w:tcW w:w="2303" w:type="dxa"/>
          </w:tcPr>
          <w:p w:rsidR="001F784F" w:rsidRPr="00513831" w:rsidRDefault="001F784F" w:rsidP="00513831">
            <w:pPr>
              <w:pStyle w:val="NoSpacing"/>
              <w:spacing w:line="276" w:lineRule="auto"/>
              <w:jc w:val="center"/>
              <w:cnfStyle w:val="000000100000"/>
              <w:rPr>
                <w:rFonts w:ascii="Times New Roman" w:hAnsi="Times New Roman" w:cs="Times New Roman"/>
                <w:sz w:val="24"/>
                <w:szCs w:val="24"/>
              </w:rPr>
            </w:pPr>
            <w:r w:rsidRPr="00513831">
              <w:rPr>
                <w:rFonts w:ascii="Times New Roman" w:hAnsi="Times New Roman" w:cs="Times New Roman"/>
                <w:sz w:val="24"/>
                <w:szCs w:val="24"/>
              </w:rPr>
              <w:t>0.0124</w:t>
            </w:r>
          </w:p>
        </w:tc>
        <w:tc>
          <w:tcPr>
            <w:tcW w:w="2303" w:type="dxa"/>
          </w:tcPr>
          <w:p w:rsidR="001F784F" w:rsidRPr="00513831" w:rsidRDefault="001F784F" w:rsidP="00513831">
            <w:pPr>
              <w:pStyle w:val="NoSpacing"/>
              <w:spacing w:line="276" w:lineRule="auto"/>
              <w:jc w:val="center"/>
              <w:cnfStyle w:val="000000100000"/>
              <w:rPr>
                <w:rFonts w:ascii="Times New Roman" w:hAnsi="Times New Roman" w:cs="Times New Roman"/>
                <w:sz w:val="24"/>
                <w:szCs w:val="24"/>
              </w:rPr>
            </w:pPr>
            <w:r w:rsidRPr="00513831">
              <w:rPr>
                <w:rFonts w:ascii="Times New Roman" w:hAnsi="Times New Roman" w:cs="Times New Roman"/>
                <w:sz w:val="24"/>
                <w:szCs w:val="24"/>
              </w:rPr>
              <w:t>0.0382</w:t>
            </w:r>
          </w:p>
        </w:tc>
      </w:tr>
      <w:tr w:rsidR="001F784F" w:rsidRPr="00513831" w:rsidTr="00147620">
        <w:tc>
          <w:tcPr>
            <w:cnfStyle w:val="001000000000"/>
            <w:tcW w:w="2302" w:type="dxa"/>
          </w:tcPr>
          <w:p w:rsidR="001F784F" w:rsidRPr="00513831" w:rsidRDefault="001F784F" w:rsidP="00513831">
            <w:pPr>
              <w:pStyle w:val="NoSpacing"/>
              <w:spacing w:line="276" w:lineRule="auto"/>
              <w:jc w:val="center"/>
              <w:rPr>
                <w:rFonts w:ascii="Times New Roman" w:hAnsi="Times New Roman" w:cs="Times New Roman"/>
                <w:sz w:val="24"/>
                <w:szCs w:val="24"/>
              </w:rPr>
            </w:pPr>
          </w:p>
        </w:tc>
        <w:tc>
          <w:tcPr>
            <w:tcW w:w="2302" w:type="dxa"/>
          </w:tcPr>
          <w:p w:rsidR="001F784F" w:rsidRPr="00513831" w:rsidRDefault="001F784F" w:rsidP="00513831">
            <w:pPr>
              <w:pStyle w:val="NoSpacing"/>
              <w:spacing w:line="276" w:lineRule="auto"/>
              <w:jc w:val="center"/>
              <w:cnfStyle w:val="000000000000"/>
              <w:rPr>
                <w:rFonts w:ascii="Times New Roman" w:hAnsi="Times New Roman" w:cs="Times New Roman"/>
                <w:sz w:val="24"/>
                <w:szCs w:val="24"/>
              </w:rPr>
            </w:pPr>
            <w:r w:rsidRPr="00513831">
              <w:rPr>
                <w:rFonts w:ascii="Times New Roman" w:hAnsi="Times New Roman" w:cs="Times New Roman"/>
                <w:sz w:val="24"/>
                <w:szCs w:val="24"/>
              </w:rPr>
              <w:t>r</w:t>
            </w:r>
          </w:p>
        </w:tc>
        <w:tc>
          <w:tcPr>
            <w:tcW w:w="2303" w:type="dxa"/>
          </w:tcPr>
          <w:p w:rsidR="001F784F" w:rsidRPr="00513831" w:rsidRDefault="001F784F" w:rsidP="00513831">
            <w:pPr>
              <w:pStyle w:val="NoSpacing"/>
              <w:spacing w:line="276" w:lineRule="auto"/>
              <w:jc w:val="center"/>
              <w:cnfStyle w:val="000000000000"/>
              <w:rPr>
                <w:rFonts w:ascii="Times New Roman" w:hAnsi="Times New Roman" w:cs="Times New Roman"/>
                <w:sz w:val="24"/>
                <w:szCs w:val="24"/>
              </w:rPr>
            </w:pPr>
            <w:r w:rsidRPr="00513831">
              <w:rPr>
                <w:rFonts w:ascii="Times New Roman" w:hAnsi="Times New Roman" w:cs="Times New Roman"/>
                <w:sz w:val="24"/>
                <w:szCs w:val="24"/>
              </w:rPr>
              <w:t>0.9999</w:t>
            </w:r>
          </w:p>
        </w:tc>
        <w:tc>
          <w:tcPr>
            <w:tcW w:w="2303" w:type="dxa"/>
          </w:tcPr>
          <w:p w:rsidR="001F784F" w:rsidRPr="00513831" w:rsidRDefault="001F784F" w:rsidP="00513831">
            <w:pPr>
              <w:pStyle w:val="NoSpacing"/>
              <w:spacing w:line="276" w:lineRule="auto"/>
              <w:jc w:val="center"/>
              <w:cnfStyle w:val="000000000000"/>
              <w:rPr>
                <w:rFonts w:ascii="Times New Roman" w:hAnsi="Times New Roman" w:cs="Times New Roman"/>
                <w:sz w:val="24"/>
                <w:szCs w:val="24"/>
              </w:rPr>
            </w:pPr>
            <w:r w:rsidRPr="00513831">
              <w:rPr>
                <w:rFonts w:ascii="Times New Roman" w:hAnsi="Times New Roman" w:cs="Times New Roman"/>
                <w:sz w:val="24"/>
                <w:szCs w:val="24"/>
              </w:rPr>
              <w:t>0.9999</w:t>
            </w:r>
          </w:p>
        </w:tc>
      </w:tr>
    </w:tbl>
    <w:p w:rsidR="001F784F" w:rsidRPr="00513831" w:rsidRDefault="001F784F" w:rsidP="00513831">
      <w:pPr>
        <w:autoSpaceDE w:val="0"/>
        <w:autoSpaceDN w:val="0"/>
        <w:adjustRightInd w:val="0"/>
        <w:spacing w:after="0"/>
        <w:jc w:val="both"/>
        <w:rPr>
          <w:rFonts w:ascii="Times New Roman" w:hAnsi="Times New Roman" w:cs="Times New Roman"/>
          <w:sz w:val="24"/>
          <w:szCs w:val="24"/>
        </w:rPr>
      </w:pPr>
    </w:p>
    <w:p w:rsidR="001F784F" w:rsidRPr="00513831" w:rsidRDefault="001F784F" w:rsidP="00513831">
      <w:pPr>
        <w:autoSpaceDE w:val="0"/>
        <w:autoSpaceDN w:val="0"/>
        <w:adjustRightInd w:val="0"/>
        <w:spacing w:after="0"/>
        <w:jc w:val="both"/>
        <w:rPr>
          <w:rFonts w:ascii="Times New Roman" w:hAnsi="Times New Roman" w:cs="Times New Roman"/>
          <w:sz w:val="24"/>
          <w:szCs w:val="24"/>
        </w:rPr>
      </w:pPr>
      <w:commentRangeStart w:id="29"/>
    </w:p>
    <w:p w:rsidR="001F784F" w:rsidRPr="00513831" w:rsidRDefault="001F784F" w:rsidP="00513831">
      <w:pPr>
        <w:pStyle w:val="NoSpacing"/>
        <w:spacing w:line="276" w:lineRule="auto"/>
        <w:rPr>
          <w:rFonts w:ascii="Times New Roman" w:hAnsi="Times New Roman" w:cs="Times New Roman"/>
          <w:sz w:val="24"/>
          <w:szCs w:val="24"/>
        </w:rPr>
      </w:pPr>
      <w:r w:rsidRPr="00513831">
        <w:rPr>
          <w:rFonts w:ascii="Times New Roman" w:hAnsi="Times New Roman" w:cs="Times New Roman"/>
          <w:sz w:val="24"/>
          <w:szCs w:val="24"/>
        </w:rPr>
        <w:t>3.4. Method validation</w:t>
      </w:r>
    </w:p>
    <w:p w:rsidR="001F784F" w:rsidRPr="00513831" w:rsidRDefault="001F784F" w:rsidP="00513831">
      <w:pPr>
        <w:pStyle w:val="NoSpacing"/>
        <w:spacing w:line="276" w:lineRule="auto"/>
        <w:rPr>
          <w:rFonts w:ascii="Times New Roman" w:hAnsi="Times New Roman" w:cs="Times New Roman"/>
          <w:sz w:val="24"/>
          <w:szCs w:val="24"/>
        </w:rPr>
      </w:pPr>
    </w:p>
    <w:p w:rsidR="001F784F" w:rsidRPr="00513831" w:rsidRDefault="001F784F" w:rsidP="00513831">
      <w:pPr>
        <w:pStyle w:val="Default"/>
        <w:spacing w:line="276" w:lineRule="auto"/>
        <w:jc w:val="both"/>
        <w:rPr>
          <w:color w:val="222222"/>
        </w:rPr>
      </w:pPr>
      <w:r w:rsidRPr="00513831">
        <w:rPr>
          <w:color w:val="222222"/>
        </w:rPr>
        <w:t xml:space="preserve">The accuracy of the applied chemometric method was determined by the performance of the reliable results obtained from the analyzes performed. For this reason, 15 synthetic mixtures containing </w:t>
      </w:r>
      <w:r w:rsidR="00CE319C" w:rsidRPr="00513831">
        <w:rPr>
          <w:color w:val="222222"/>
        </w:rPr>
        <w:t>c</w:t>
      </w:r>
      <w:r w:rsidR="00AB0301" w:rsidRPr="00513831">
        <w:t xml:space="preserve">ilazapril and </w:t>
      </w:r>
      <w:r w:rsidR="00CE319C" w:rsidRPr="00513831">
        <w:t>hydrochlorothiazide were</w:t>
      </w:r>
      <w:r w:rsidRPr="00513831">
        <w:rPr>
          <w:color w:val="222222"/>
        </w:rPr>
        <w:t xml:space="preserve"> prepared at different concentrations. Recovery scales and relative standard deviations from this set are shown in Table 2. As can be seen from Table 2, the numerical values obtained for the applied chemometric methods are very suitable. Both compounds gave high accuracy and precise results. No interference or systematic faults were found during the analysis process.</w:t>
      </w:r>
    </w:p>
    <w:commentRangeEnd w:id="29"/>
    <w:p w:rsidR="001F784F" w:rsidRPr="00513831" w:rsidRDefault="00FE7358" w:rsidP="00513831">
      <w:pPr>
        <w:autoSpaceDE w:val="0"/>
        <w:autoSpaceDN w:val="0"/>
        <w:adjustRightInd w:val="0"/>
        <w:spacing w:after="0"/>
        <w:jc w:val="both"/>
        <w:rPr>
          <w:rFonts w:ascii="Times New Roman" w:hAnsi="Times New Roman" w:cs="Times New Roman"/>
          <w:sz w:val="24"/>
          <w:szCs w:val="24"/>
        </w:rPr>
      </w:pPr>
      <w:r>
        <w:rPr>
          <w:rStyle w:val="CommentReference"/>
        </w:rPr>
        <w:commentReference w:id="29"/>
      </w:r>
    </w:p>
    <w:p w:rsidR="001F784F" w:rsidRPr="00513831" w:rsidRDefault="001F784F" w:rsidP="00513831">
      <w:pPr>
        <w:pStyle w:val="Default"/>
        <w:spacing w:line="276" w:lineRule="auto"/>
        <w:jc w:val="center"/>
      </w:pPr>
      <w:r w:rsidRPr="00513831">
        <w:t>Table 2. Recovery values for the applied chemometric method</w:t>
      </w:r>
    </w:p>
    <w:tbl>
      <w:tblPr>
        <w:tblStyle w:val="AkGlgeleme1"/>
        <w:tblW w:w="0" w:type="auto"/>
        <w:tblLook w:val="04A0"/>
      </w:tblPr>
      <w:tblGrid>
        <w:gridCol w:w="2302"/>
        <w:gridCol w:w="2302"/>
        <w:gridCol w:w="2303"/>
        <w:gridCol w:w="2303"/>
      </w:tblGrid>
      <w:tr w:rsidR="001F784F" w:rsidRPr="00513831" w:rsidTr="00147620">
        <w:trPr>
          <w:cnfStyle w:val="100000000000"/>
        </w:trPr>
        <w:tc>
          <w:tcPr>
            <w:cnfStyle w:val="001000000000"/>
            <w:tcW w:w="9210" w:type="dxa"/>
            <w:gridSpan w:val="4"/>
          </w:tcPr>
          <w:p w:rsidR="001F784F" w:rsidRPr="00513831" w:rsidRDefault="001F784F" w:rsidP="00513831">
            <w:pPr>
              <w:pStyle w:val="Default"/>
              <w:tabs>
                <w:tab w:val="left" w:pos="5171"/>
              </w:tabs>
              <w:spacing w:line="276" w:lineRule="auto"/>
            </w:pPr>
            <w:r w:rsidRPr="00513831">
              <w:t xml:space="preserve">                             Mixtures added (μg/mL)</w:t>
            </w:r>
            <w:r w:rsidRPr="00513831">
              <w:tab/>
              <w:t xml:space="preserve">                       Recovery (%)</w:t>
            </w:r>
          </w:p>
        </w:tc>
      </w:tr>
      <w:tr w:rsidR="001F784F" w:rsidRPr="00513831" w:rsidTr="00147620">
        <w:trPr>
          <w:cnfStyle w:val="000000100000"/>
        </w:trPr>
        <w:tc>
          <w:tcPr>
            <w:cnfStyle w:val="001000000000"/>
            <w:tcW w:w="2302" w:type="dxa"/>
          </w:tcPr>
          <w:p w:rsidR="001F784F" w:rsidRPr="00513831" w:rsidRDefault="000D614A" w:rsidP="00513831">
            <w:pPr>
              <w:pStyle w:val="Default"/>
              <w:spacing w:line="276" w:lineRule="auto"/>
              <w:jc w:val="center"/>
            </w:pPr>
            <w:r w:rsidRPr="00513831">
              <w:t>C</w:t>
            </w:r>
            <w:r w:rsidR="00AB0301" w:rsidRPr="00513831">
              <w:t>IL</w:t>
            </w:r>
          </w:p>
        </w:tc>
        <w:tc>
          <w:tcPr>
            <w:tcW w:w="2302" w:type="dxa"/>
          </w:tcPr>
          <w:p w:rsidR="001F784F" w:rsidRPr="00513831" w:rsidRDefault="00AB0301" w:rsidP="00513831">
            <w:pPr>
              <w:pStyle w:val="Default"/>
              <w:spacing w:line="276" w:lineRule="auto"/>
              <w:jc w:val="center"/>
              <w:cnfStyle w:val="000000100000"/>
            </w:pPr>
            <w:r w:rsidRPr="00513831">
              <w:t>HCT</w:t>
            </w:r>
          </w:p>
        </w:tc>
        <w:tc>
          <w:tcPr>
            <w:tcW w:w="2303" w:type="dxa"/>
          </w:tcPr>
          <w:p w:rsidR="001F784F" w:rsidRPr="00513831" w:rsidRDefault="000D614A" w:rsidP="00513831">
            <w:pPr>
              <w:pStyle w:val="Default"/>
              <w:spacing w:line="276" w:lineRule="auto"/>
              <w:jc w:val="center"/>
              <w:cnfStyle w:val="000000100000"/>
            </w:pPr>
            <w:r w:rsidRPr="00513831">
              <w:t>C</w:t>
            </w:r>
            <w:r w:rsidR="00AB0301" w:rsidRPr="00513831">
              <w:t>IL</w:t>
            </w:r>
          </w:p>
        </w:tc>
        <w:tc>
          <w:tcPr>
            <w:tcW w:w="2303" w:type="dxa"/>
          </w:tcPr>
          <w:p w:rsidR="001F784F" w:rsidRPr="00513831" w:rsidRDefault="00AB0301" w:rsidP="00513831">
            <w:pPr>
              <w:pStyle w:val="Default"/>
              <w:spacing w:line="276" w:lineRule="auto"/>
              <w:jc w:val="center"/>
              <w:cnfStyle w:val="000000100000"/>
            </w:pPr>
            <w:r w:rsidRPr="00513831">
              <w:t>HCT</w:t>
            </w:r>
          </w:p>
        </w:tc>
      </w:tr>
      <w:tr w:rsidR="001F784F" w:rsidRPr="00513831" w:rsidTr="00147620">
        <w:tc>
          <w:tcPr>
            <w:cnfStyle w:val="001000000000"/>
            <w:tcW w:w="2302" w:type="dxa"/>
          </w:tcPr>
          <w:p w:rsidR="001F784F" w:rsidRPr="00513831" w:rsidRDefault="001F784F" w:rsidP="00513831">
            <w:pPr>
              <w:pStyle w:val="Default"/>
              <w:spacing w:line="276" w:lineRule="auto"/>
              <w:jc w:val="center"/>
            </w:pPr>
            <w:r w:rsidRPr="00513831">
              <w:t>2.0</w:t>
            </w:r>
          </w:p>
        </w:tc>
        <w:tc>
          <w:tcPr>
            <w:tcW w:w="2302" w:type="dxa"/>
          </w:tcPr>
          <w:p w:rsidR="001F784F" w:rsidRPr="00513831" w:rsidRDefault="001F784F" w:rsidP="00513831">
            <w:pPr>
              <w:pStyle w:val="Default"/>
              <w:spacing w:line="276" w:lineRule="auto"/>
              <w:jc w:val="center"/>
              <w:cnfStyle w:val="000000000000"/>
            </w:pPr>
            <w:r w:rsidRPr="00513831">
              <w:t>0.2</w:t>
            </w:r>
          </w:p>
        </w:tc>
        <w:tc>
          <w:tcPr>
            <w:tcW w:w="2303" w:type="dxa"/>
          </w:tcPr>
          <w:p w:rsidR="001F784F" w:rsidRPr="00513831" w:rsidRDefault="001F784F" w:rsidP="00513831">
            <w:pPr>
              <w:pStyle w:val="Default"/>
              <w:spacing w:line="276" w:lineRule="auto"/>
              <w:jc w:val="center"/>
              <w:cnfStyle w:val="000000000000"/>
            </w:pPr>
            <w:r w:rsidRPr="00513831">
              <w:t>99.98</w:t>
            </w:r>
          </w:p>
        </w:tc>
        <w:tc>
          <w:tcPr>
            <w:tcW w:w="2303" w:type="dxa"/>
          </w:tcPr>
          <w:p w:rsidR="001F784F" w:rsidRPr="00513831" w:rsidRDefault="001F784F" w:rsidP="00513831">
            <w:pPr>
              <w:pStyle w:val="Default"/>
              <w:spacing w:line="276" w:lineRule="auto"/>
              <w:jc w:val="center"/>
              <w:cnfStyle w:val="000000000000"/>
            </w:pPr>
            <w:r w:rsidRPr="00513831">
              <w:t>99.86</w:t>
            </w:r>
          </w:p>
        </w:tc>
      </w:tr>
      <w:tr w:rsidR="001F784F" w:rsidRPr="00513831" w:rsidTr="00147620">
        <w:trPr>
          <w:cnfStyle w:val="000000100000"/>
        </w:trPr>
        <w:tc>
          <w:tcPr>
            <w:cnfStyle w:val="001000000000"/>
            <w:tcW w:w="2302" w:type="dxa"/>
          </w:tcPr>
          <w:p w:rsidR="001F784F" w:rsidRPr="00513831" w:rsidRDefault="001F784F" w:rsidP="00513831">
            <w:pPr>
              <w:pStyle w:val="Default"/>
              <w:spacing w:line="276" w:lineRule="auto"/>
              <w:jc w:val="center"/>
            </w:pPr>
            <w:r w:rsidRPr="00513831">
              <w:t>4.0</w:t>
            </w:r>
          </w:p>
        </w:tc>
        <w:tc>
          <w:tcPr>
            <w:tcW w:w="2302" w:type="dxa"/>
          </w:tcPr>
          <w:p w:rsidR="001F784F" w:rsidRPr="00513831" w:rsidRDefault="001F784F" w:rsidP="00513831">
            <w:pPr>
              <w:pStyle w:val="Default"/>
              <w:spacing w:line="276" w:lineRule="auto"/>
              <w:jc w:val="center"/>
              <w:cnfStyle w:val="000000100000"/>
            </w:pPr>
            <w:r w:rsidRPr="00513831">
              <w:t>0.4</w:t>
            </w:r>
          </w:p>
        </w:tc>
        <w:tc>
          <w:tcPr>
            <w:tcW w:w="2303" w:type="dxa"/>
          </w:tcPr>
          <w:p w:rsidR="001F784F" w:rsidRPr="00513831" w:rsidRDefault="001F784F" w:rsidP="00513831">
            <w:pPr>
              <w:pStyle w:val="Default"/>
              <w:spacing w:line="276" w:lineRule="auto"/>
              <w:jc w:val="center"/>
              <w:cnfStyle w:val="000000100000"/>
            </w:pPr>
            <w:r w:rsidRPr="00513831">
              <w:t>99.86</w:t>
            </w:r>
          </w:p>
        </w:tc>
        <w:tc>
          <w:tcPr>
            <w:tcW w:w="2303" w:type="dxa"/>
          </w:tcPr>
          <w:p w:rsidR="001F784F" w:rsidRPr="00513831" w:rsidRDefault="001F784F" w:rsidP="00513831">
            <w:pPr>
              <w:pStyle w:val="Default"/>
              <w:spacing w:line="276" w:lineRule="auto"/>
              <w:jc w:val="center"/>
              <w:cnfStyle w:val="000000100000"/>
            </w:pPr>
            <w:r w:rsidRPr="00513831">
              <w:t>100.04</w:t>
            </w:r>
          </w:p>
        </w:tc>
      </w:tr>
      <w:tr w:rsidR="001F784F" w:rsidRPr="00513831" w:rsidTr="00147620">
        <w:tc>
          <w:tcPr>
            <w:cnfStyle w:val="001000000000"/>
            <w:tcW w:w="2302" w:type="dxa"/>
          </w:tcPr>
          <w:p w:rsidR="001F784F" w:rsidRPr="00513831" w:rsidRDefault="001F784F" w:rsidP="00513831">
            <w:pPr>
              <w:pStyle w:val="Default"/>
              <w:spacing w:line="276" w:lineRule="auto"/>
              <w:jc w:val="center"/>
            </w:pPr>
            <w:r w:rsidRPr="00513831">
              <w:t>6.0</w:t>
            </w:r>
          </w:p>
        </w:tc>
        <w:tc>
          <w:tcPr>
            <w:tcW w:w="2302" w:type="dxa"/>
          </w:tcPr>
          <w:p w:rsidR="001F784F" w:rsidRPr="00513831" w:rsidRDefault="001F784F" w:rsidP="00513831">
            <w:pPr>
              <w:pStyle w:val="Default"/>
              <w:spacing w:line="276" w:lineRule="auto"/>
              <w:jc w:val="center"/>
              <w:cnfStyle w:val="000000000000"/>
            </w:pPr>
            <w:r w:rsidRPr="00513831">
              <w:t>0.6</w:t>
            </w:r>
          </w:p>
        </w:tc>
        <w:tc>
          <w:tcPr>
            <w:tcW w:w="2303" w:type="dxa"/>
          </w:tcPr>
          <w:p w:rsidR="001F784F" w:rsidRPr="00513831" w:rsidRDefault="001F784F" w:rsidP="00513831">
            <w:pPr>
              <w:pStyle w:val="Default"/>
              <w:spacing w:line="276" w:lineRule="auto"/>
              <w:jc w:val="center"/>
              <w:cnfStyle w:val="000000000000"/>
            </w:pPr>
            <w:r w:rsidRPr="00513831">
              <w:t>100.02</w:t>
            </w:r>
          </w:p>
        </w:tc>
        <w:tc>
          <w:tcPr>
            <w:tcW w:w="2303" w:type="dxa"/>
          </w:tcPr>
          <w:p w:rsidR="001F784F" w:rsidRPr="00513831" w:rsidRDefault="001F784F" w:rsidP="00513831">
            <w:pPr>
              <w:pStyle w:val="Default"/>
              <w:spacing w:line="276" w:lineRule="auto"/>
              <w:jc w:val="center"/>
              <w:cnfStyle w:val="000000000000"/>
            </w:pPr>
            <w:r w:rsidRPr="00513831">
              <w:t>100.00</w:t>
            </w:r>
          </w:p>
        </w:tc>
      </w:tr>
      <w:tr w:rsidR="001F784F" w:rsidRPr="00513831" w:rsidTr="00147620">
        <w:trPr>
          <w:cnfStyle w:val="000000100000"/>
        </w:trPr>
        <w:tc>
          <w:tcPr>
            <w:cnfStyle w:val="001000000000"/>
            <w:tcW w:w="2302" w:type="dxa"/>
          </w:tcPr>
          <w:p w:rsidR="001F784F" w:rsidRPr="00513831" w:rsidRDefault="001F784F" w:rsidP="00513831">
            <w:pPr>
              <w:pStyle w:val="Default"/>
              <w:spacing w:line="276" w:lineRule="auto"/>
              <w:jc w:val="center"/>
            </w:pPr>
            <w:r w:rsidRPr="00513831">
              <w:t>8.0</w:t>
            </w:r>
          </w:p>
        </w:tc>
        <w:tc>
          <w:tcPr>
            <w:tcW w:w="2302" w:type="dxa"/>
          </w:tcPr>
          <w:p w:rsidR="001F784F" w:rsidRPr="00513831" w:rsidRDefault="001F784F" w:rsidP="00513831">
            <w:pPr>
              <w:pStyle w:val="Default"/>
              <w:spacing w:line="276" w:lineRule="auto"/>
              <w:jc w:val="center"/>
              <w:cnfStyle w:val="000000100000"/>
            </w:pPr>
            <w:r w:rsidRPr="00513831">
              <w:t>0.8</w:t>
            </w:r>
          </w:p>
        </w:tc>
        <w:tc>
          <w:tcPr>
            <w:tcW w:w="2303" w:type="dxa"/>
          </w:tcPr>
          <w:p w:rsidR="001F784F" w:rsidRPr="00513831" w:rsidRDefault="001F784F" w:rsidP="00513831">
            <w:pPr>
              <w:pStyle w:val="Default"/>
              <w:spacing w:line="276" w:lineRule="auto"/>
              <w:jc w:val="center"/>
              <w:cnfStyle w:val="000000100000"/>
            </w:pPr>
            <w:r w:rsidRPr="00513831">
              <w:t>100.08</w:t>
            </w:r>
          </w:p>
        </w:tc>
        <w:tc>
          <w:tcPr>
            <w:tcW w:w="2303" w:type="dxa"/>
          </w:tcPr>
          <w:p w:rsidR="001F784F" w:rsidRPr="00513831" w:rsidRDefault="001F784F" w:rsidP="00513831">
            <w:pPr>
              <w:pStyle w:val="Default"/>
              <w:spacing w:line="276" w:lineRule="auto"/>
              <w:jc w:val="center"/>
              <w:cnfStyle w:val="000000100000"/>
            </w:pPr>
            <w:r w:rsidRPr="00513831">
              <w:t>100.14</w:t>
            </w:r>
          </w:p>
        </w:tc>
      </w:tr>
      <w:tr w:rsidR="001F784F" w:rsidRPr="00513831" w:rsidTr="00147620">
        <w:tc>
          <w:tcPr>
            <w:cnfStyle w:val="001000000000"/>
            <w:tcW w:w="2302" w:type="dxa"/>
          </w:tcPr>
          <w:p w:rsidR="001F784F" w:rsidRPr="00513831" w:rsidRDefault="001F784F" w:rsidP="00513831">
            <w:pPr>
              <w:pStyle w:val="Default"/>
              <w:spacing w:line="276" w:lineRule="auto"/>
              <w:jc w:val="center"/>
            </w:pPr>
            <w:r w:rsidRPr="00513831">
              <w:t>10.0</w:t>
            </w:r>
          </w:p>
        </w:tc>
        <w:tc>
          <w:tcPr>
            <w:tcW w:w="2302" w:type="dxa"/>
          </w:tcPr>
          <w:p w:rsidR="001F784F" w:rsidRPr="00513831" w:rsidRDefault="001F784F" w:rsidP="00513831">
            <w:pPr>
              <w:pStyle w:val="Default"/>
              <w:spacing w:line="276" w:lineRule="auto"/>
              <w:jc w:val="center"/>
              <w:cnfStyle w:val="000000000000"/>
            </w:pPr>
            <w:r w:rsidRPr="00513831">
              <w:t>1.0</w:t>
            </w:r>
          </w:p>
        </w:tc>
        <w:tc>
          <w:tcPr>
            <w:tcW w:w="2303" w:type="dxa"/>
          </w:tcPr>
          <w:p w:rsidR="001F784F" w:rsidRPr="00513831" w:rsidRDefault="001F784F" w:rsidP="00513831">
            <w:pPr>
              <w:pStyle w:val="Default"/>
              <w:spacing w:line="276" w:lineRule="auto"/>
              <w:jc w:val="center"/>
              <w:cnfStyle w:val="000000000000"/>
            </w:pPr>
            <w:r w:rsidRPr="00513831">
              <w:t>100.00</w:t>
            </w:r>
          </w:p>
        </w:tc>
        <w:tc>
          <w:tcPr>
            <w:tcW w:w="2303" w:type="dxa"/>
          </w:tcPr>
          <w:p w:rsidR="001F784F" w:rsidRPr="00513831" w:rsidRDefault="001F784F" w:rsidP="00513831">
            <w:pPr>
              <w:pStyle w:val="Default"/>
              <w:spacing w:line="276" w:lineRule="auto"/>
              <w:jc w:val="center"/>
              <w:cnfStyle w:val="000000000000"/>
            </w:pPr>
            <w:r w:rsidRPr="00513831">
              <w:t>100.08</w:t>
            </w:r>
          </w:p>
        </w:tc>
      </w:tr>
      <w:tr w:rsidR="001F784F" w:rsidRPr="00513831" w:rsidTr="00147620">
        <w:trPr>
          <w:cnfStyle w:val="000000100000"/>
        </w:trPr>
        <w:tc>
          <w:tcPr>
            <w:cnfStyle w:val="001000000000"/>
            <w:tcW w:w="2302" w:type="dxa"/>
          </w:tcPr>
          <w:p w:rsidR="001F784F" w:rsidRPr="00513831" w:rsidRDefault="001F784F" w:rsidP="00513831">
            <w:pPr>
              <w:pStyle w:val="Default"/>
              <w:spacing w:line="276" w:lineRule="auto"/>
              <w:jc w:val="center"/>
            </w:pPr>
            <w:r w:rsidRPr="00513831">
              <w:t>5.0</w:t>
            </w:r>
          </w:p>
        </w:tc>
        <w:tc>
          <w:tcPr>
            <w:tcW w:w="2302" w:type="dxa"/>
          </w:tcPr>
          <w:p w:rsidR="001F784F" w:rsidRPr="00513831" w:rsidRDefault="001F784F" w:rsidP="00513831">
            <w:pPr>
              <w:pStyle w:val="Default"/>
              <w:spacing w:line="276" w:lineRule="auto"/>
              <w:jc w:val="center"/>
              <w:cnfStyle w:val="000000100000"/>
            </w:pPr>
            <w:r w:rsidRPr="00513831">
              <w:t>0.2</w:t>
            </w:r>
          </w:p>
        </w:tc>
        <w:tc>
          <w:tcPr>
            <w:tcW w:w="2303" w:type="dxa"/>
          </w:tcPr>
          <w:p w:rsidR="001F784F" w:rsidRPr="00513831" w:rsidRDefault="001F784F" w:rsidP="00513831">
            <w:pPr>
              <w:pStyle w:val="Default"/>
              <w:spacing w:line="276" w:lineRule="auto"/>
              <w:jc w:val="center"/>
              <w:cnfStyle w:val="000000100000"/>
            </w:pPr>
            <w:r w:rsidRPr="00513831">
              <w:t>100.04</w:t>
            </w:r>
          </w:p>
        </w:tc>
        <w:tc>
          <w:tcPr>
            <w:tcW w:w="2303" w:type="dxa"/>
          </w:tcPr>
          <w:p w:rsidR="001F784F" w:rsidRPr="00513831" w:rsidRDefault="001F784F" w:rsidP="00513831">
            <w:pPr>
              <w:pStyle w:val="Default"/>
              <w:spacing w:line="276" w:lineRule="auto"/>
              <w:jc w:val="center"/>
              <w:cnfStyle w:val="000000100000"/>
            </w:pPr>
            <w:r w:rsidRPr="00513831">
              <w:t>100.04</w:t>
            </w:r>
          </w:p>
        </w:tc>
      </w:tr>
      <w:tr w:rsidR="001F784F" w:rsidRPr="00513831" w:rsidTr="00147620">
        <w:tc>
          <w:tcPr>
            <w:cnfStyle w:val="001000000000"/>
            <w:tcW w:w="2302" w:type="dxa"/>
          </w:tcPr>
          <w:p w:rsidR="001F784F" w:rsidRPr="00513831" w:rsidRDefault="001F784F" w:rsidP="00513831">
            <w:pPr>
              <w:pStyle w:val="Default"/>
              <w:spacing w:line="276" w:lineRule="auto"/>
              <w:jc w:val="center"/>
            </w:pPr>
            <w:r w:rsidRPr="00513831">
              <w:t>5.0</w:t>
            </w:r>
          </w:p>
        </w:tc>
        <w:tc>
          <w:tcPr>
            <w:tcW w:w="2302" w:type="dxa"/>
          </w:tcPr>
          <w:p w:rsidR="001F784F" w:rsidRPr="00513831" w:rsidRDefault="001F784F" w:rsidP="00513831">
            <w:pPr>
              <w:pStyle w:val="Default"/>
              <w:spacing w:line="276" w:lineRule="auto"/>
              <w:jc w:val="center"/>
              <w:cnfStyle w:val="000000000000"/>
            </w:pPr>
            <w:r w:rsidRPr="00513831">
              <w:t>0.4</w:t>
            </w:r>
          </w:p>
        </w:tc>
        <w:tc>
          <w:tcPr>
            <w:tcW w:w="2303" w:type="dxa"/>
          </w:tcPr>
          <w:p w:rsidR="001F784F" w:rsidRPr="00513831" w:rsidRDefault="001F784F" w:rsidP="00513831">
            <w:pPr>
              <w:pStyle w:val="Default"/>
              <w:spacing w:line="276" w:lineRule="auto"/>
              <w:jc w:val="center"/>
              <w:cnfStyle w:val="000000000000"/>
            </w:pPr>
            <w:r w:rsidRPr="00513831">
              <w:t>99.68</w:t>
            </w:r>
          </w:p>
        </w:tc>
        <w:tc>
          <w:tcPr>
            <w:tcW w:w="2303" w:type="dxa"/>
          </w:tcPr>
          <w:p w:rsidR="001F784F" w:rsidRPr="00513831" w:rsidRDefault="001F784F" w:rsidP="00513831">
            <w:pPr>
              <w:pStyle w:val="Default"/>
              <w:spacing w:line="276" w:lineRule="auto"/>
              <w:jc w:val="center"/>
              <w:cnfStyle w:val="000000000000"/>
            </w:pPr>
            <w:r w:rsidRPr="00513831">
              <w:t>99.96</w:t>
            </w:r>
          </w:p>
        </w:tc>
      </w:tr>
      <w:tr w:rsidR="001F784F" w:rsidRPr="00513831" w:rsidTr="00147620">
        <w:trPr>
          <w:cnfStyle w:val="000000100000"/>
        </w:trPr>
        <w:tc>
          <w:tcPr>
            <w:cnfStyle w:val="001000000000"/>
            <w:tcW w:w="2302" w:type="dxa"/>
          </w:tcPr>
          <w:p w:rsidR="001F784F" w:rsidRPr="00513831" w:rsidRDefault="001F784F" w:rsidP="00513831">
            <w:pPr>
              <w:pStyle w:val="Default"/>
              <w:spacing w:line="276" w:lineRule="auto"/>
              <w:jc w:val="center"/>
            </w:pPr>
            <w:r w:rsidRPr="00513831">
              <w:t>5.0</w:t>
            </w:r>
          </w:p>
        </w:tc>
        <w:tc>
          <w:tcPr>
            <w:tcW w:w="2302" w:type="dxa"/>
          </w:tcPr>
          <w:p w:rsidR="001F784F" w:rsidRPr="00513831" w:rsidRDefault="001F784F" w:rsidP="00513831">
            <w:pPr>
              <w:pStyle w:val="Default"/>
              <w:spacing w:line="276" w:lineRule="auto"/>
              <w:jc w:val="center"/>
              <w:cnfStyle w:val="000000100000"/>
            </w:pPr>
            <w:r w:rsidRPr="00513831">
              <w:t>0.6</w:t>
            </w:r>
          </w:p>
        </w:tc>
        <w:tc>
          <w:tcPr>
            <w:tcW w:w="2303" w:type="dxa"/>
          </w:tcPr>
          <w:p w:rsidR="001F784F" w:rsidRPr="00513831" w:rsidRDefault="001F784F" w:rsidP="00513831">
            <w:pPr>
              <w:pStyle w:val="Default"/>
              <w:spacing w:line="276" w:lineRule="auto"/>
              <w:jc w:val="center"/>
              <w:cnfStyle w:val="000000100000"/>
            </w:pPr>
            <w:r w:rsidRPr="00513831">
              <w:t>100.12</w:t>
            </w:r>
          </w:p>
        </w:tc>
        <w:tc>
          <w:tcPr>
            <w:tcW w:w="2303" w:type="dxa"/>
          </w:tcPr>
          <w:p w:rsidR="001F784F" w:rsidRPr="00513831" w:rsidRDefault="001F784F" w:rsidP="00513831">
            <w:pPr>
              <w:pStyle w:val="Default"/>
              <w:spacing w:line="276" w:lineRule="auto"/>
              <w:jc w:val="center"/>
              <w:cnfStyle w:val="000000100000"/>
            </w:pPr>
            <w:r w:rsidRPr="00513831">
              <w:t>100.02</w:t>
            </w:r>
          </w:p>
        </w:tc>
      </w:tr>
      <w:tr w:rsidR="001F784F" w:rsidRPr="00513831" w:rsidTr="00147620">
        <w:tc>
          <w:tcPr>
            <w:cnfStyle w:val="001000000000"/>
            <w:tcW w:w="2302" w:type="dxa"/>
          </w:tcPr>
          <w:p w:rsidR="001F784F" w:rsidRPr="00513831" w:rsidRDefault="001F784F" w:rsidP="00513831">
            <w:pPr>
              <w:pStyle w:val="Default"/>
              <w:spacing w:line="276" w:lineRule="auto"/>
              <w:jc w:val="center"/>
            </w:pPr>
            <w:r w:rsidRPr="00513831">
              <w:t>5.0</w:t>
            </w:r>
          </w:p>
        </w:tc>
        <w:tc>
          <w:tcPr>
            <w:tcW w:w="2302" w:type="dxa"/>
          </w:tcPr>
          <w:p w:rsidR="001F784F" w:rsidRPr="00513831" w:rsidRDefault="001F784F" w:rsidP="00513831">
            <w:pPr>
              <w:pStyle w:val="Default"/>
              <w:spacing w:line="276" w:lineRule="auto"/>
              <w:jc w:val="center"/>
              <w:cnfStyle w:val="000000000000"/>
            </w:pPr>
            <w:r w:rsidRPr="00513831">
              <w:t>0.8</w:t>
            </w:r>
          </w:p>
        </w:tc>
        <w:tc>
          <w:tcPr>
            <w:tcW w:w="2303" w:type="dxa"/>
          </w:tcPr>
          <w:p w:rsidR="001F784F" w:rsidRPr="00513831" w:rsidRDefault="001F784F" w:rsidP="00513831">
            <w:pPr>
              <w:pStyle w:val="Default"/>
              <w:spacing w:line="276" w:lineRule="auto"/>
              <w:jc w:val="center"/>
              <w:cnfStyle w:val="000000000000"/>
            </w:pPr>
            <w:r w:rsidRPr="00513831">
              <w:t>100.10</w:t>
            </w:r>
          </w:p>
        </w:tc>
        <w:tc>
          <w:tcPr>
            <w:tcW w:w="2303" w:type="dxa"/>
          </w:tcPr>
          <w:p w:rsidR="001F784F" w:rsidRPr="00513831" w:rsidRDefault="001F784F" w:rsidP="00513831">
            <w:pPr>
              <w:pStyle w:val="Default"/>
              <w:spacing w:line="276" w:lineRule="auto"/>
              <w:jc w:val="center"/>
              <w:cnfStyle w:val="000000000000"/>
            </w:pPr>
            <w:r w:rsidRPr="00513831">
              <w:t>99.88</w:t>
            </w:r>
          </w:p>
        </w:tc>
      </w:tr>
      <w:tr w:rsidR="001F784F" w:rsidRPr="00513831" w:rsidTr="00147620">
        <w:trPr>
          <w:cnfStyle w:val="000000100000"/>
        </w:trPr>
        <w:tc>
          <w:tcPr>
            <w:cnfStyle w:val="001000000000"/>
            <w:tcW w:w="2302" w:type="dxa"/>
          </w:tcPr>
          <w:p w:rsidR="001F784F" w:rsidRPr="00513831" w:rsidRDefault="001F784F" w:rsidP="00513831">
            <w:pPr>
              <w:pStyle w:val="Default"/>
              <w:spacing w:line="276" w:lineRule="auto"/>
              <w:jc w:val="center"/>
            </w:pPr>
            <w:r w:rsidRPr="00513831">
              <w:t>5.0</w:t>
            </w:r>
          </w:p>
        </w:tc>
        <w:tc>
          <w:tcPr>
            <w:tcW w:w="2302" w:type="dxa"/>
          </w:tcPr>
          <w:p w:rsidR="001F784F" w:rsidRPr="00513831" w:rsidRDefault="001F784F" w:rsidP="00513831">
            <w:pPr>
              <w:pStyle w:val="Default"/>
              <w:spacing w:line="276" w:lineRule="auto"/>
              <w:jc w:val="center"/>
              <w:cnfStyle w:val="000000100000"/>
            </w:pPr>
            <w:r w:rsidRPr="00513831">
              <w:t>1.0</w:t>
            </w:r>
          </w:p>
        </w:tc>
        <w:tc>
          <w:tcPr>
            <w:tcW w:w="2303" w:type="dxa"/>
          </w:tcPr>
          <w:p w:rsidR="001F784F" w:rsidRPr="00513831" w:rsidRDefault="001F784F" w:rsidP="00513831">
            <w:pPr>
              <w:pStyle w:val="Default"/>
              <w:spacing w:line="276" w:lineRule="auto"/>
              <w:jc w:val="center"/>
              <w:cnfStyle w:val="000000100000"/>
            </w:pPr>
            <w:r w:rsidRPr="00513831">
              <w:t>99.98</w:t>
            </w:r>
          </w:p>
        </w:tc>
        <w:tc>
          <w:tcPr>
            <w:tcW w:w="2303" w:type="dxa"/>
          </w:tcPr>
          <w:p w:rsidR="001F784F" w:rsidRPr="00513831" w:rsidRDefault="001F784F" w:rsidP="00513831">
            <w:pPr>
              <w:pStyle w:val="Default"/>
              <w:spacing w:line="276" w:lineRule="auto"/>
              <w:jc w:val="center"/>
              <w:cnfStyle w:val="000000100000"/>
            </w:pPr>
            <w:r w:rsidRPr="00513831">
              <w:t>100.06</w:t>
            </w:r>
          </w:p>
        </w:tc>
      </w:tr>
      <w:tr w:rsidR="001F784F" w:rsidRPr="00513831" w:rsidTr="00147620">
        <w:tc>
          <w:tcPr>
            <w:cnfStyle w:val="001000000000"/>
            <w:tcW w:w="2302" w:type="dxa"/>
          </w:tcPr>
          <w:p w:rsidR="001F784F" w:rsidRPr="00513831" w:rsidRDefault="001F784F" w:rsidP="00513831">
            <w:pPr>
              <w:pStyle w:val="Default"/>
              <w:spacing w:line="276" w:lineRule="auto"/>
              <w:jc w:val="center"/>
            </w:pPr>
            <w:r w:rsidRPr="00513831">
              <w:t>2.0</w:t>
            </w:r>
          </w:p>
        </w:tc>
        <w:tc>
          <w:tcPr>
            <w:tcW w:w="2302" w:type="dxa"/>
          </w:tcPr>
          <w:p w:rsidR="001F784F" w:rsidRPr="00513831" w:rsidRDefault="001F784F" w:rsidP="00513831">
            <w:pPr>
              <w:pStyle w:val="Default"/>
              <w:spacing w:line="276" w:lineRule="auto"/>
              <w:jc w:val="center"/>
              <w:cnfStyle w:val="000000000000"/>
            </w:pPr>
            <w:r w:rsidRPr="00513831">
              <w:t>0.5</w:t>
            </w:r>
          </w:p>
        </w:tc>
        <w:tc>
          <w:tcPr>
            <w:tcW w:w="2303" w:type="dxa"/>
          </w:tcPr>
          <w:p w:rsidR="001F784F" w:rsidRPr="00513831" w:rsidRDefault="001F784F" w:rsidP="00513831">
            <w:pPr>
              <w:pStyle w:val="Default"/>
              <w:spacing w:line="276" w:lineRule="auto"/>
              <w:jc w:val="center"/>
              <w:cnfStyle w:val="000000000000"/>
            </w:pPr>
            <w:r w:rsidRPr="00513831">
              <w:t>100.02</w:t>
            </w:r>
          </w:p>
        </w:tc>
        <w:tc>
          <w:tcPr>
            <w:tcW w:w="2303" w:type="dxa"/>
          </w:tcPr>
          <w:p w:rsidR="001F784F" w:rsidRPr="00513831" w:rsidRDefault="001F784F" w:rsidP="00513831">
            <w:pPr>
              <w:pStyle w:val="Default"/>
              <w:spacing w:line="276" w:lineRule="auto"/>
              <w:jc w:val="center"/>
              <w:cnfStyle w:val="000000000000"/>
            </w:pPr>
            <w:r w:rsidRPr="00513831">
              <w:t>100.04</w:t>
            </w:r>
          </w:p>
        </w:tc>
      </w:tr>
      <w:tr w:rsidR="001F784F" w:rsidRPr="00513831" w:rsidTr="00147620">
        <w:trPr>
          <w:cnfStyle w:val="000000100000"/>
        </w:trPr>
        <w:tc>
          <w:tcPr>
            <w:cnfStyle w:val="001000000000"/>
            <w:tcW w:w="2302" w:type="dxa"/>
          </w:tcPr>
          <w:p w:rsidR="001F784F" w:rsidRPr="00513831" w:rsidRDefault="001F784F" w:rsidP="00513831">
            <w:pPr>
              <w:pStyle w:val="Default"/>
              <w:spacing w:line="276" w:lineRule="auto"/>
              <w:jc w:val="center"/>
            </w:pPr>
            <w:r w:rsidRPr="00513831">
              <w:lastRenderedPageBreak/>
              <w:t>4.0</w:t>
            </w:r>
          </w:p>
        </w:tc>
        <w:tc>
          <w:tcPr>
            <w:tcW w:w="2302" w:type="dxa"/>
          </w:tcPr>
          <w:p w:rsidR="001F784F" w:rsidRPr="00513831" w:rsidRDefault="001F784F" w:rsidP="00513831">
            <w:pPr>
              <w:pStyle w:val="Default"/>
              <w:spacing w:line="276" w:lineRule="auto"/>
              <w:jc w:val="center"/>
              <w:cnfStyle w:val="000000100000"/>
            </w:pPr>
            <w:r w:rsidRPr="00513831">
              <w:t>0.5</w:t>
            </w:r>
          </w:p>
        </w:tc>
        <w:tc>
          <w:tcPr>
            <w:tcW w:w="2303" w:type="dxa"/>
          </w:tcPr>
          <w:p w:rsidR="001F784F" w:rsidRPr="00513831" w:rsidRDefault="001F784F" w:rsidP="00513831">
            <w:pPr>
              <w:pStyle w:val="Default"/>
              <w:spacing w:line="276" w:lineRule="auto"/>
              <w:jc w:val="center"/>
              <w:cnfStyle w:val="000000100000"/>
            </w:pPr>
            <w:r w:rsidRPr="00513831">
              <w:t>100.00</w:t>
            </w:r>
          </w:p>
        </w:tc>
        <w:tc>
          <w:tcPr>
            <w:tcW w:w="2303" w:type="dxa"/>
          </w:tcPr>
          <w:p w:rsidR="001F784F" w:rsidRPr="00513831" w:rsidRDefault="001F784F" w:rsidP="00513831">
            <w:pPr>
              <w:pStyle w:val="Default"/>
              <w:spacing w:line="276" w:lineRule="auto"/>
              <w:jc w:val="center"/>
              <w:cnfStyle w:val="000000100000"/>
            </w:pPr>
            <w:r w:rsidRPr="00513831">
              <w:t>100.02</w:t>
            </w:r>
          </w:p>
        </w:tc>
      </w:tr>
      <w:tr w:rsidR="001F784F" w:rsidRPr="00513831" w:rsidTr="00147620">
        <w:tc>
          <w:tcPr>
            <w:cnfStyle w:val="001000000000"/>
            <w:tcW w:w="2302" w:type="dxa"/>
          </w:tcPr>
          <w:p w:rsidR="001F784F" w:rsidRPr="00513831" w:rsidRDefault="001F784F" w:rsidP="00513831">
            <w:pPr>
              <w:pStyle w:val="Default"/>
              <w:spacing w:line="276" w:lineRule="auto"/>
              <w:jc w:val="center"/>
            </w:pPr>
            <w:r w:rsidRPr="00513831">
              <w:t>6.0</w:t>
            </w:r>
          </w:p>
        </w:tc>
        <w:tc>
          <w:tcPr>
            <w:tcW w:w="2302" w:type="dxa"/>
          </w:tcPr>
          <w:p w:rsidR="001F784F" w:rsidRPr="00513831" w:rsidRDefault="001F784F" w:rsidP="00513831">
            <w:pPr>
              <w:pStyle w:val="Default"/>
              <w:spacing w:line="276" w:lineRule="auto"/>
              <w:jc w:val="center"/>
              <w:cnfStyle w:val="000000000000"/>
            </w:pPr>
            <w:r w:rsidRPr="00513831">
              <w:t>0.5</w:t>
            </w:r>
          </w:p>
        </w:tc>
        <w:tc>
          <w:tcPr>
            <w:tcW w:w="2303" w:type="dxa"/>
          </w:tcPr>
          <w:p w:rsidR="001F784F" w:rsidRPr="00513831" w:rsidRDefault="001F784F" w:rsidP="00513831">
            <w:pPr>
              <w:pStyle w:val="Default"/>
              <w:spacing w:line="276" w:lineRule="auto"/>
              <w:jc w:val="center"/>
              <w:cnfStyle w:val="000000000000"/>
            </w:pPr>
            <w:r w:rsidRPr="00513831">
              <w:t>100.04</w:t>
            </w:r>
          </w:p>
        </w:tc>
        <w:tc>
          <w:tcPr>
            <w:tcW w:w="2303" w:type="dxa"/>
          </w:tcPr>
          <w:p w:rsidR="001F784F" w:rsidRPr="00513831" w:rsidRDefault="001F784F" w:rsidP="00513831">
            <w:pPr>
              <w:pStyle w:val="Default"/>
              <w:spacing w:line="276" w:lineRule="auto"/>
              <w:jc w:val="center"/>
              <w:cnfStyle w:val="000000000000"/>
            </w:pPr>
            <w:r w:rsidRPr="00513831">
              <w:t>100.00</w:t>
            </w:r>
          </w:p>
        </w:tc>
      </w:tr>
      <w:tr w:rsidR="001F784F" w:rsidRPr="00513831" w:rsidTr="00147620">
        <w:trPr>
          <w:cnfStyle w:val="000000100000"/>
        </w:trPr>
        <w:tc>
          <w:tcPr>
            <w:cnfStyle w:val="001000000000"/>
            <w:tcW w:w="2302" w:type="dxa"/>
          </w:tcPr>
          <w:p w:rsidR="001F784F" w:rsidRPr="00513831" w:rsidRDefault="001F784F" w:rsidP="00513831">
            <w:pPr>
              <w:pStyle w:val="Default"/>
              <w:spacing w:line="276" w:lineRule="auto"/>
              <w:jc w:val="center"/>
            </w:pPr>
            <w:r w:rsidRPr="00513831">
              <w:t>8.0</w:t>
            </w:r>
          </w:p>
        </w:tc>
        <w:tc>
          <w:tcPr>
            <w:tcW w:w="2302" w:type="dxa"/>
          </w:tcPr>
          <w:p w:rsidR="001F784F" w:rsidRPr="00513831" w:rsidRDefault="001F784F" w:rsidP="00513831">
            <w:pPr>
              <w:pStyle w:val="Default"/>
              <w:spacing w:line="276" w:lineRule="auto"/>
              <w:jc w:val="center"/>
              <w:cnfStyle w:val="000000100000"/>
            </w:pPr>
            <w:r w:rsidRPr="00513831">
              <w:t>0.5</w:t>
            </w:r>
          </w:p>
        </w:tc>
        <w:tc>
          <w:tcPr>
            <w:tcW w:w="2303" w:type="dxa"/>
          </w:tcPr>
          <w:p w:rsidR="001F784F" w:rsidRPr="00513831" w:rsidRDefault="001F784F" w:rsidP="00513831">
            <w:pPr>
              <w:pStyle w:val="Default"/>
              <w:spacing w:line="276" w:lineRule="auto"/>
              <w:jc w:val="center"/>
              <w:cnfStyle w:val="000000100000"/>
            </w:pPr>
            <w:r w:rsidRPr="00513831">
              <w:t>99.98</w:t>
            </w:r>
          </w:p>
        </w:tc>
        <w:tc>
          <w:tcPr>
            <w:tcW w:w="2303" w:type="dxa"/>
          </w:tcPr>
          <w:p w:rsidR="001F784F" w:rsidRPr="00513831" w:rsidRDefault="001F784F" w:rsidP="00513831">
            <w:pPr>
              <w:pStyle w:val="Default"/>
              <w:spacing w:line="276" w:lineRule="auto"/>
              <w:jc w:val="center"/>
              <w:cnfStyle w:val="000000100000"/>
            </w:pPr>
            <w:r w:rsidRPr="00513831">
              <w:t>99.98</w:t>
            </w:r>
          </w:p>
        </w:tc>
      </w:tr>
      <w:tr w:rsidR="001F784F" w:rsidRPr="00513831" w:rsidTr="00147620">
        <w:tc>
          <w:tcPr>
            <w:cnfStyle w:val="001000000000"/>
            <w:tcW w:w="2302" w:type="dxa"/>
          </w:tcPr>
          <w:p w:rsidR="001F784F" w:rsidRPr="00513831" w:rsidRDefault="001F784F" w:rsidP="00513831">
            <w:pPr>
              <w:pStyle w:val="Default"/>
              <w:spacing w:line="276" w:lineRule="auto"/>
              <w:jc w:val="center"/>
            </w:pPr>
            <w:r w:rsidRPr="00513831">
              <w:t>10.0</w:t>
            </w:r>
          </w:p>
          <w:p w:rsidR="001F784F" w:rsidRPr="00513831" w:rsidRDefault="001F784F" w:rsidP="00513831">
            <w:pPr>
              <w:pStyle w:val="Default"/>
              <w:spacing w:line="276" w:lineRule="auto"/>
              <w:jc w:val="center"/>
            </w:pPr>
            <w:r w:rsidRPr="00513831">
              <w:t>Mean</w:t>
            </w:r>
          </w:p>
          <w:p w:rsidR="001F784F" w:rsidRPr="00513831" w:rsidRDefault="001F784F" w:rsidP="00513831">
            <w:pPr>
              <w:pStyle w:val="Default"/>
              <w:spacing w:line="276" w:lineRule="auto"/>
              <w:jc w:val="center"/>
            </w:pPr>
            <w:r w:rsidRPr="00513831">
              <w:t>RSD</w:t>
            </w:r>
            <w:r w:rsidRPr="00513831">
              <w:rPr>
                <w:vertAlign w:val="superscript"/>
              </w:rPr>
              <w:t>a</w:t>
            </w:r>
          </w:p>
        </w:tc>
        <w:tc>
          <w:tcPr>
            <w:tcW w:w="2302" w:type="dxa"/>
          </w:tcPr>
          <w:p w:rsidR="001F784F" w:rsidRPr="00513831" w:rsidRDefault="001F784F" w:rsidP="00513831">
            <w:pPr>
              <w:pStyle w:val="Default"/>
              <w:spacing w:line="276" w:lineRule="auto"/>
              <w:jc w:val="center"/>
              <w:cnfStyle w:val="000000000000"/>
            </w:pPr>
            <w:r w:rsidRPr="00513831">
              <w:t>0.5</w:t>
            </w:r>
          </w:p>
          <w:p w:rsidR="001F784F" w:rsidRPr="00513831" w:rsidRDefault="001F784F" w:rsidP="00513831">
            <w:pPr>
              <w:pStyle w:val="Default"/>
              <w:spacing w:line="276" w:lineRule="auto"/>
              <w:jc w:val="center"/>
              <w:cnfStyle w:val="000000000000"/>
            </w:pPr>
          </w:p>
        </w:tc>
        <w:tc>
          <w:tcPr>
            <w:tcW w:w="2303" w:type="dxa"/>
          </w:tcPr>
          <w:p w:rsidR="001F784F" w:rsidRPr="00513831" w:rsidRDefault="001F784F" w:rsidP="00513831">
            <w:pPr>
              <w:pStyle w:val="Default"/>
              <w:spacing w:line="276" w:lineRule="auto"/>
              <w:jc w:val="center"/>
              <w:cnfStyle w:val="000000000000"/>
            </w:pPr>
            <w:r w:rsidRPr="00513831">
              <w:t>100.02</w:t>
            </w:r>
          </w:p>
          <w:p w:rsidR="001F784F" w:rsidRPr="00513831" w:rsidRDefault="001F784F" w:rsidP="00513831">
            <w:pPr>
              <w:spacing w:line="276" w:lineRule="auto"/>
              <w:jc w:val="center"/>
              <w:cnfStyle w:val="000000000000"/>
              <w:rPr>
                <w:rFonts w:ascii="Times New Roman" w:hAnsi="Times New Roman" w:cs="Times New Roman"/>
                <w:sz w:val="24"/>
                <w:szCs w:val="24"/>
              </w:rPr>
            </w:pPr>
            <w:r w:rsidRPr="00513831">
              <w:rPr>
                <w:rFonts w:ascii="Times New Roman" w:hAnsi="Times New Roman" w:cs="Times New Roman"/>
                <w:sz w:val="24"/>
                <w:szCs w:val="24"/>
              </w:rPr>
              <w:t>99.99</w:t>
            </w:r>
          </w:p>
          <w:p w:rsidR="001F784F" w:rsidRPr="00513831" w:rsidRDefault="001F784F" w:rsidP="00513831">
            <w:pPr>
              <w:spacing w:line="276" w:lineRule="auto"/>
              <w:jc w:val="center"/>
              <w:cnfStyle w:val="000000000000"/>
              <w:rPr>
                <w:rFonts w:ascii="Times New Roman" w:hAnsi="Times New Roman" w:cs="Times New Roman"/>
                <w:sz w:val="24"/>
                <w:szCs w:val="24"/>
              </w:rPr>
            </w:pPr>
            <w:r w:rsidRPr="00513831">
              <w:rPr>
                <w:rFonts w:ascii="Times New Roman" w:hAnsi="Times New Roman" w:cs="Times New Roman"/>
                <w:sz w:val="24"/>
                <w:szCs w:val="24"/>
              </w:rPr>
              <w:t>0.1062</w:t>
            </w:r>
          </w:p>
        </w:tc>
        <w:tc>
          <w:tcPr>
            <w:tcW w:w="2303" w:type="dxa"/>
          </w:tcPr>
          <w:p w:rsidR="001F784F" w:rsidRPr="00513831" w:rsidRDefault="001F784F" w:rsidP="00513831">
            <w:pPr>
              <w:pStyle w:val="Default"/>
              <w:spacing w:line="276" w:lineRule="auto"/>
              <w:jc w:val="center"/>
              <w:cnfStyle w:val="000000000000"/>
            </w:pPr>
            <w:r w:rsidRPr="00513831">
              <w:t>100.00</w:t>
            </w:r>
          </w:p>
          <w:p w:rsidR="001F784F" w:rsidRPr="00513831" w:rsidRDefault="001F784F" w:rsidP="00513831">
            <w:pPr>
              <w:spacing w:line="276" w:lineRule="auto"/>
              <w:jc w:val="center"/>
              <w:cnfStyle w:val="000000000000"/>
              <w:rPr>
                <w:rFonts w:ascii="Times New Roman" w:hAnsi="Times New Roman" w:cs="Times New Roman"/>
                <w:sz w:val="24"/>
                <w:szCs w:val="24"/>
              </w:rPr>
            </w:pPr>
            <w:r w:rsidRPr="00513831">
              <w:rPr>
                <w:rFonts w:ascii="Times New Roman" w:hAnsi="Times New Roman" w:cs="Times New Roman"/>
                <w:sz w:val="24"/>
                <w:szCs w:val="24"/>
              </w:rPr>
              <w:t>100.01</w:t>
            </w:r>
          </w:p>
          <w:p w:rsidR="001F784F" w:rsidRPr="00513831" w:rsidRDefault="001F784F" w:rsidP="00513831">
            <w:pPr>
              <w:spacing w:line="276" w:lineRule="auto"/>
              <w:jc w:val="center"/>
              <w:cnfStyle w:val="000000000000"/>
              <w:rPr>
                <w:rFonts w:ascii="Times New Roman" w:hAnsi="Times New Roman" w:cs="Times New Roman"/>
                <w:sz w:val="24"/>
                <w:szCs w:val="24"/>
              </w:rPr>
            </w:pPr>
            <w:r w:rsidRPr="00513831">
              <w:rPr>
                <w:rFonts w:ascii="Times New Roman" w:hAnsi="Times New Roman" w:cs="Times New Roman"/>
                <w:sz w:val="24"/>
                <w:szCs w:val="24"/>
              </w:rPr>
              <w:t>0.0708</w:t>
            </w:r>
          </w:p>
        </w:tc>
      </w:tr>
    </w:tbl>
    <w:p w:rsidR="001F784F" w:rsidRPr="00513831" w:rsidRDefault="001F784F" w:rsidP="00513831">
      <w:pPr>
        <w:pStyle w:val="Default"/>
        <w:spacing w:line="276" w:lineRule="auto"/>
      </w:pPr>
      <w:r w:rsidRPr="00513831">
        <w:t>RSD</w:t>
      </w:r>
      <w:r w:rsidRPr="00513831">
        <w:rPr>
          <w:vertAlign w:val="superscript"/>
        </w:rPr>
        <w:t>a</w:t>
      </w:r>
      <w:r w:rsidRPr="00513831">
        <w:t xml:space="preserve"> : Relative Standard Deviation</w:t>
      </w:r>
    </w:p>
    <w:p w:rsidR="001F784F" w:rsidRPr="00513831" w:rsidRDefault="001F784F" w:rsidP="00513831">
      <w:pPr>
        <w:autoSpaceDE w:val="0"/>
        <w:autoSpaceDN w:val="0"/>
        <w:adjustRightInd w:val="0"/>
        <w:spacing w:after="0"/>
        <w:jc w:val="both"/>
        <w:rPr>
          <w:rFonts w:ascii="Times New Roman" w:hAnsi="Times New Roman" w:cs="Times New Roman"/>
          <w:sz w:val="24"/>
          <w:szCs w:val="24"/>
        </w:rPr>
      </w:pPr>
    </w:p>
    <w:p w:rsidR="00436FA0" w:rsidRPr="00513831" w:rsidRDefault="00436FA0" w:rsidP="00513831">
      <w:pPr>
        <w:pStyle w:val="Default"/>
        <w:spacing w:line="276" w:lineRule="auto"/>
        <w:jc w:val="both"/>
        <w:rPr>
          <w:b/>
          <w:color w:val="222222"/>
        </w:rPr>
      </w:pPr>
      <w:r w:rsidRPr="00513831">
        <w:rPr>
          <w:b/>
          <w:color w:val="222222"/>
        </w:rPr>
        <w:t xml:space="preserve">4. </w:t>
      </w:r>
      <w:commentRangeStart w:id="30"/>
      <w:r w:rsidRPr="00513831">
        <w:rPr>
          <w:b/>
          <w:color w:val="222222"/>
        </w:rPr>
        <w:t>Conclusion</w:t>
      </w:r>
    </w:p>
    <w:p w:rsidR="00436FA0" w:rsidRPr="00513831" w:rsidRDefault="00436FA0" w:rsidP="00513831">
      <w:pPr>
        <w:autoSpaceDE w:val="0"/>
        <w:autoSpaceDN w:val="0"/>
        <w:adjustRightInd w:val="0"/>
        <w:spacing w:after="0"/>
        <w:jc w:val="both"/>
        <w:rPr>
          <w:rFonts w:ascii="Times New Roman" w:hAnsi="Times New Roman" w:cs="Times New Roman"/>
          <w:sz w:val="24"/>
          <w:szCs w:val="24"/>
        </w:rPr>
      </w:pPr>
    </w:p>
    <w:p w:rsidR="00436FA0" w:rsidRDefault="00436FA0" w:rsidP="00513831">
      <w:pPr>
        <w:autoSpaceDE w:val="0"/>
        <w:autoSpaceDN w:val="0"/>
        <w:adjustRightInd w:val="0"/>
        <w:spacing w:after="0"/>
        <w:jc w:val="both"/>
        <w:rPr>
          <w:rFonts w:ascii="Times New Roman" w:hAnsi="Times New Roman" w:cs="Times New Roman"/>
          <w:sz w:val="24"/>
          <w:szCs w:val="24"/>
        </w:rPr>
      </w:pPr>
      <w:r w:rsidRPr="00513831">
        <w:rPr>
          <w:rFonts w:ascii="Times New Roman" w:hAnsi="Times New Roman" w:cs="Times New Roman"/>
          <w:sz w:val="24"/>
          <w:szCs w:val="24"/>
        </w:rPr>
        <w:t xml:space="preserve">A powerful chemometric technique in spectrometric analysis, PCR, was proposed for the simultaneous determination of </w:t>
      </w:r>
      <w:r w:rsidR="000D614A" w:rsidRPr="00513831">
        <w:rPr>
          <w:rFonts w:ascii="Times New Roman" w:hAnsi="Times New Roman" w:cs="Times New Roman"/>
          <w:sz w:val="24"/>
          <w:szCs w:val="24"/>
        </w:rPr>
        <w:t>C</w:t>
      </w:r>
      <w:r w:rsidRPr="00513831">
        <w:rPr>
          <w:rFonts w:ascii="Times New Roman" w:hAnsi="Times New Roman" w:cs="Times New Roman"/>
          <w:sz w:val="24"/>
          <w:szCs w:val="24"/>
        </w:rPr>
        <w:t xml:space="preserve">IL and HCT in their binarymixtures. These techniqueswere applied with great success to pharmaceutical product. The resolution of highly overlapping drug mixtures was achieved by the use of PCR techniques.A selection </w:t>
      </w:r>
      <w:commentRangeStart w:id="31"/>
      <w:r w:rsidRPr="00513831">
        <w:rPr>
          <w:rFonts w:ascii="Times New Roman" w:hAnsi="Times New Roman" w:cs="Times New Roman"/>
          <w:sz w:val="24"/>
          <w:szCs w:val="24"/>
        </w:rPr>
        <w:t xml:space="preserve">ofworkingwavelength having high correlation values with concentration due to interferencecomingfrommatrix sample or additional analytes outside theworkingrange.The proposed chemometric techniques can be applied </w:t>
      </w:r>
      <w:commentRangeEnd w:id="30"/>
      <w:r w:rsidR="00D40201">
        <w:rPr>
          <w:rStyle w:val="CommentReference"/>
        </w:rPr>
        <w:commentReference w:id="30"/>
      </w:r>
      <w:r w:rsidRPr="00513831">
        <w:rPr>
          <w:rFonts w:ascii="Times New Roman" w:hAnsi="Times New Roman" w:cs="Times New Roman"/>
          <w:sz w:val="24"/>
          <w:szCs w:val="24"/>
        </w:rPr>
        <w:t xml:space="preserve">for the routine analysis of pharmaceutical formulationwithoutanya </w:t>
      </w:r>
      <w:commentRangeEnd w:id="31"/>
      <w:r w:rsidR="004946AE">
        <w:rPr>
          <w:rStyle w:val="CommentReference"/>
        </w:rPr>
        <w:commentReference w:id="31"/>
      </w:r>
      <w:r w:rsidRPr="00513831">
        <w:rPr>
          <w:rFonts w:ascii="Times New Roman" w:hAnsi="Times New Roman" w:cs="Times New Roman"/>
          <w:sz w:val="24"/>
          <w:szCs w:val="24"/>
        </w:rPr>
        <w:t xml:space="preserve">priori chemical separation </w:t>
      </w:r>
      <w:commentRangeStart w:id="32"/>
      <w:r w:rsidRPr="00513831">
        <w:rPr>
          <w:rFonts w:ascii="Times New Roman" w:hAnsi="Times New Roman" w:cs="Times New Roman"/>
          <w:sz w:val="24"/>
          <w:szCs w:val="24"/>
        </w:rPr>
        <w:t>andwithout</w:t>
      </w:r>
      <w:commentRangeEnd w:id="32"/>
      <w:r w:rsidR="000F5E97">
        <w:rPr>
          <w:rStyle w:val="CommentReference"/>
        </w:rPr>
        <w:commentReference w:id="32"/>
      </w:r>
      <w:r w:rsidRPr="00513831">
        <w:rPr>
          <w:rFonts w:ascii="Times New Roman" w:hAnsi="Times New Roman" w:cs="Times New Roman"/>
          <w:sz w:val="24"/>
          <w:szCs w:val="24"/>
        </w:rPr>
        <w:t xml:space="preserve"> time consuming.</w:t>
      </w:r>
    </w:p>
    <w:p w:rsidR="002728B6" w:rsidRDefault="002728B6" w:rsidP="0051383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Conflict of interest</w:t>
      </w:r>
    </w:p>
    <w:p w:rsidR="002728B6" w:rsidRPr="00513831" w:rsidRDefault="002728B6" w:rsidP="00513831">
      <w:pPr>
        <w:autoSpaceDE w:val="0"/>
        <w:autoSpaceDN w:val="0"/>
        <w:adjustRightInd w:val="0"/>
        <w:spacing w:after="0"/>
        <w:jc w:val="both"/>
        <w:rPr>
          <w:rFonts w:ascii="Times New Roman" w:hAnsi="Times New Roman" w:cs="Times New Roman"/>
          <w:sz w:val="24"/>
          <w:szCs w:val="24"/>
        </w:rPr>
      </w:pPr>
    </w:p>
    <w:p w:rsidR="00436FA0" w:rsidRPr="00513831" w:rsidRDefault="00436FA0" w:rsidP="00513831">
      <w:pPr>
        <w:autoSpaceDE w:val="0"/>
        <w:autoSpaceDN w:val="0"/>
        <w:adjustRightInd w:val="0"/>
        <w:spacing w:after="0"/>
        <w:rPr>
          <w:rFonts w:ascii="Times New Roman" w:hAnsi="Times New Roman" w:cs="Times New Roman"/>
          <w:sz w:val="24"/>
          <w:szCs w:val="24"/>
        </w:rPr>
      </w:pPr>
    </w:p>
    <w:p w:rsidR="00436FA0" w:rsidRPr="00513831" w:rsidRDefault="00436FA0" w:rsidP="00513831">
      <w:pPr>
        <w:pStyle w:val="Default"/>
        <w:spacing w:line="276" w:lineRule="auto"/>
        <w:rPr>
          <w:b/>
        </w:rPr>
      </w:pPr>
      <w:commentRangeStart w:id="33"/>
      <w:r w:rsidRPr="00513831">
        <w:rPr>
          <w:b/>
        </w:rPr>
        <w:t>Ref</w:t>
      </w:r>
      <w:commentRangeStart w:id="34"/>
      <w:r w:rsidRPr="00513831">
        <w:rPr>
          <w:b/>
        </w:rPr>
        <w:t>ere</w:t>
      </w:r>
      <w:commentRangeEnd w:id="34"/>
      <w:r w:rsidR="007875FA">
        <w:rPr>
          <w:rStyle w:val="CommentReference"/>
          <w:rFonts w:asciiTheme="minorHAnsi" w:hAnsiTheme="minorHAnsi" w:cstheme="minorBidi"/>
          <w:color w:val="auto"/>
        </w:rPr>
        <w:commentReference w:id="34"/>
      </w:r>
      <w:r w:rsidRPr="00513831">
        <w:rPr>
          <w:b/>
        </w:rPr>
        <w:t>nces</w:t>
      </w:r>
      <w:commentRangeEnd w:id="33"/>
      <w:r w:rsidR="002728B6">
        <w:rPr>
          <w:rStyle w:val="CommentReference"/>
          <w:rFonts w:asciiTheme="minorHAnsi" w:hAnsiTheme="minorHAnsi" w:cstheme="minorBidi"/>
          <w:color w:val="auto"/>
        </w:rPr>
        <w:commentReference w:id="33"/>
      </w:r>
    </w:p>
    <w:p w:rsidR="00436FA0" w:rsidRPr="00513831" w:rsidRDefault="00436FA0" w:rsidP="00513831">
      <w:pPr>
        <w:pStyle w:val="Reference"/>
        <w:numPr>
          <w:ilvl w:val="0"/>
          <w:numId w:val="0"/>
        </w:numPr>
        <w:spacing w:after="0" w:line="276" w:lineRule="auto"/>
        <w:jc w:val="both"/>
        <w:rPr>
          <w:szCs w:val="24"/>
          <w:lang w:val="en-US"/>
        </w:rPr>
      </w:pPr>
      <w:r w:rsidRPr="00513831">
        <w:rPr>
          <w:szCs w:val="24"/>
          <w:lang w:val="en-US"/>
        </w:rPr>
        <w:t>1. Hutchison, T. A., Shahan, D. R.(Ed.),"DRUGDEXW System", Edition Electronic Version. MICR</w:t>
      </w:r>
      <w:commentRangeStart w:id="35"/>
      <w:r w:rsidRPr="00513831">
        <w:rPr>
          <w:szCs w:val="24"/>
          <w:lang w:val="en-US"/>
        </w:rPr>
        <w:t>OMEDE</w:t>
      </w:r>
      <w:commentRangeEnd w:id="35"/>
      <w:r w:rsidR="007875FA">
        <w:rPr>
          <w:rStyle w:val="CommentReference"/>
          <w:rFonts w:asciiTheme="minorHAnsi" w:eastAsiaTheme="minorEastAsia" w:hAnsiTheme="minorHAnsi" w:cstheme="minorBidi"/>
          <w:lang w:val="en-US"/>
        </w:rPr>
        <w:commentReference w:id="35"/>
      </w:r>
      <w:r w:rsidRPr="00513831">
        <w:rPr>
          <w:szCs w:val="24"/>
          <w:lang w:val="en-US"/>
        </w:rPr>
        <w:t>X, Greenwood Village, CO.2003.</w:t>
      </w:r>
    </w:p>
    <w:p w:rsidR="00436FA0" w:rsidRPr="00513831" w:rsidRDefault="00436FA0" w:rsidP="00513831">
      <w:pPr>
        <w:pStyle w:val="Reference"/>
        <w:numPr>
          <w:ilvl w:val="0"/>
          <w:numId w:val="0"/>
        </w:numPr>
        <w:spacing w:after="0" w:line="276" w:lineRule="auto"/>
        <w:jc w:val="both"/>
        <w:rPr>
          <w:szCs w:val="24"/>
          <w:lang w:val="en-US"/>
        </w:rPr>
      </w:pPr>
      <w:r w:rsidRPr="00513831">
        <w:rPr>
          <w:szCs w:val="24"/>
          <w:lang w:val="en-US"/>
        </w:rPr>
        <w:t>2. Dinc¸ E., Baleanu, D., "Spectrophotometric quantitative determination of cilazapril and hydrochlorothiazide in tablets by chemometric methods", Journal of Pharmaceutical and Biomedical Analysis, 30, 715–723, 2002.</w:t>
      </w:r>
    </w:p>
    <w:p w:rsidR="00436FA0" w:rsidRPr="00513831" w:rsidRDefault="00436FA0" w:rsidP="00513831">
      <w:pPr>
        <w:pStyle w:val="Reference"/>
        <w:numPr>
          <w:ilvl w:val="0"/>
          <w:numId w:val="0"/>
        </w:numPr>
        <w:spacing w:after="0" w:line="276" w:lineRule="auto"/>
        <w:jc w:val="both"/>
        <w:rPr>
          <w:szCs w:val="24"/>
          <w:lang w:val="en-US"/>
        </w:rPr>
      </w:pPr>
      <w:r w:rsidRPr="00513831">
        <w:rPr>
          <w:szCs w:val="24"/>
          <w:lang w:val="en-US"/>
        </w:rPr>
        <w:t xml:space="preserve">3. Aktaş, A. H., "Chemometric assisted for the simultaneous spectrophotometric determination of calcium and </w:t>
      </w:r>
      <w:commentRangeStart w:id="36"/>
      <w:r w:rsidRPr="00513831">
        <w:rPr>
          <w:szCs w:val="24"/>
          <w:lang w:val="en-US"/>
        </w:rPr>
        <w:t>magnesiumin</w:t>
      </w:r>
      <w:commentRangeEnd w:id="36"/>
      <w:r w:rsidR="000F5E97">
        <w:rPr>
          <w:rStyle w:val="CommentReference"/>
          <w:rFonts w:asciiTheme="minorHAnsi" w:eastAsiaTheme="minorEastAsia" w:hAnsiTheme="minorHAnsi" w:cstheme="minorBidi"/>
          <w:lang w:val="en-US"/>
        </w:rPr>
        <w:commentReference w:id="36"/>
      </w:r>
      <w:r w:rsidRPr="00513831">
        <w:rPr>
          <w:szCs w:val="24"/>
          <w:lang w:val="en-US"/>
        </w:rPr>
        <w:t xml:space="preserve"> natural water", ChemXpress 9(2), 099-108, 2016.</w:t>
      </w:r>
    </w:p>
    <w:p w:rsidR="00436FA0" w:rsidRPr="00513831" w:rsidRDefault="00436FA0" w:rsidP="00513831">
      <w:pPr>
        <w:pStyle w:val="Reference"/>
        <w:numPr>
          <w:ilvl w:val="0"/>
          <w:numId w:val="0"/>
        </w:numPr>
        <w:spacing w:after="0" w:line="276" w:lineRule="auto"/>
        <w:jc w:val="both"/>
        <w:rPr>
          <w:szCs w:val="24"/>
          <w:lang w:val="en-US"/>
        </w:rPr>
      </w:pPr>
      <w:r w:rsidRPr="00513831">
        <w:rPr>
          <w:szCs w:val="24"/>
          <w:lang w:val="en-US"/>
        </w:rPr>
        <w:t>4. Kramer, R., " Chemometric Techniques in Quantitative Analysis", Marcel Dekker, New York, 51-97, 1998</w:t>
      </w:r>
    </w:p>
    <w:p w:rsidR="00436FA0" w:rsidRPr="00513831" w:rsidRDefault="00436FA0" w:rsidP="00513831">
      <w:pPr>
        <w:pStyle w:val="Reference"/>
        <w:numPr>
          <w:ilvl w:val="0"/>
          <w:numId w:val="0"/>
        </w:numPr>
        <w:spacing w:after="0" w:line="276" w:lineRule="auto"/>
        <w:jc w:val="both"/>
        <w:rPr>
          <w:szCs w:val="24"/>
          <w:lang w:val="en-US"/>
        </w:rPr>
      </w:pPr>
      <w:r w:rsidRPr="00513831">
        <w:rPr>
          <w:szCs w:val="24"/>
          <w:lang w:val="en-US"/>
        </w:rPr>
        <w:t>5. Adams,M. J., "Chemometrics in Analytical Spectroscopy", The Royal Society of Chemistry, Thomas, Graham House, Science Park, Cambridge, p. 187, 1995.</w:t>
      </w:r>
    </w:p>
    <w:p w:rsidR="00436FA0" w:rsidRPr="00513831" w:rsidRDefault="00436FA0" w:rsidP="00513831">
      <w:pPr>
        <w:pStyle w:val="Reference"/>
        <w:numPr>
          <w:ilvl w:val="0"/>
          <w:numId w:val="0"/>
        </w:numPr>
        <w:spacing w:after="0" w:line="276" w:lineRule="auto"/>
        <w:jc w:val="both"/>
        <w:rPr>
          <w:szCs w:val="24"/>
          <w:lang w:val="en-US"/>
        </w:rPr>
      </w:pPr>
      <w:r w:rsidRPr="00513831">
        <w:rPr>
          <w:szCs w:val="24"/>
          <w:lang w:val="en-US"/>
        </w:rPr>
        <w:t>6. Martens, H., Naes, T.,"Multivariate Calibration", J. Wiley and Sons, Chichester, UK. 1991.</w:t>
      </w:r>
    </w:p>
    <w:p w:rsidR="00436FA0" w:rsidRPr="00513831" w:rsidRDefault="00436FA0" w:rsidP="00513831">
      <w:pPr>
        <w:pStyle w:val="Reference"/>
        <w:numPr>
          <w:ilvl w:val="0"/>
          <w:numId w:val="0"/>
        </w:numPr>
        <w:spacing w:after="0" w:line="276" w:lineRule="auto"/>
        <w:jc w:val="both"/>
        <w:rPr>
          <w:szCs w:val="24"/>
          <w:lang w:val="en-US"/>
        </w:rPr>
      </w:pPr>
      <w:r w:rsidRPr="00513831">
        <w:rPr>
          <w:szCs w:val="24"/>
          <w:lang w:val="en-US"/>
        </w:rPr>
        <w:t xml:space="preserve">7. Erk, N., "Comparative study of the </w:t>
      </w:r>
      <w:r w:rsidR="00A0248B" w:rsidRPr="00513831">
        <w:rPr>
          <w:szCs w:val="24"/>
          <w:lang w:val="en-US"/>
        </w:rPr>
        <w:t>UV</w:t>
      </w:r>
      <w:r w:rsidRPr="00513831">
        <w:rPr>
          <w:szCs w:val="24"/>
          <w:lang w:val="en-US"/>
        </w:rPr>
        <w:t xml:space="preserve"> spectra derivative spectrophotometry derivative spectrophotometry and vierordt's method applied to the analysis of l</w:t>
      </w:r>
      <w:r w:rsidR="00A0248B" w:rsidRPr="00513831">
        <w:rPr>
          <w:szCs w:val="24"/>
          <w:lang w:val="en-US"/>
        </w:rPr>
        <w:t>i</w:t>
      </w:r>
      <w:r w:rsidRPr="00513831">
        <w:rPr>
          <w:szCs w:val="24"/>
          <w:lang w:val="en-US"/>
        </w:rPr>
        <w:t>s</w:t>
      </w:r>
      <w:r w:rsidR="00A0248B" w:rsidRPr="00513831">
        <w:rPr>
          <w:szCs w:val="24"/>
          <w:lang w:val="en-US"/>
        </w:rPr>
        <w:t>o</w:t>
      </w:r>
      <w:r w:rsidRPr="00513831">
        <w:rPr>
          <w:szCs w:val="24"/>
          <w:lang w:val="en-US"/>
        </w:rPr>
        <w:t>n</w:t>
      </w:r>
      <w:r w:rsidR="00A0248B" w:rsidRPr="00513831">
        <w:rPr>
          <w:szCs w:val="24"/>
          <w:lang w:val="en-US"/>
        </w:rPr>
        <w:t>opri</w:t>
      </w:r>
      <w:r w:rsidRPr="00513831">
        <w:rPr>
          <w:szCs w:val="24"/>
          <w:lang w:val="en-US"/>
        </w:rPr>
        <w:t>l and hydrochlorothi</w:t>
      </w:r>
      <w:r w:rsidR="00A0248B" w:rsidRPr="00513831">
        <w:rPr>
          <w:szCs w:val="24"/>
          <w:lang w:val="en-US"/>
        </w:rPr>
        <w:t>azi</w:t>
      </w:r>
      <w:r w:rsidRPr="00513831">
        <w:rPr>
          <w:szCs w:val="24"/>
          <w:lang w:val="en-US"/>
        </w:rPr>
        <w:t>de in tablets", Spectroscopy Letters, 31(3), 633-645, 1998.</w:t>
      </w:r>
    </w:p>
    <w:p w:rsidR="00436FA0" w:rsidRPr="00513831" w:rsidRDefault="00436FA0" w:rsidP="00513831">
      <w:pPr>
        <w:pStyle w:val="Reference"/>
        <w:numPr>
          <w:ilvl w:val="0"/>
          <w:numId w:val="0"/>
        </w:numPr>
        <w:spacing w:after="0" w:line="276" w:lineRule="auto"/>
        <w:jc w:val="both"/>
        <w:rPr>
          <w:szCs w:val="24"/>
          <w:lang w:val="en-US"/>
        </w:rPr>
      </w:pPr>
      <w:r w:rsidRPr="00513831">
        <w:rPr>
          <w:szCs w:val="24"/>
          <w:lang w:val="en-US"/>
        </w:rPr>
        <w:t xml:space="preserve">8. Salem, H., </w:t>
      </w:r>
      <w:r w:rsidRPr="00513831">
        <w:rPr>
          <w:vanish/>
          <w:szCs w:val="24"/>
          <w:lang w:val="en-US"/>
        </w:rPr>
        <w:t xml:space="preserve">Pharmaceutical Chemistry Department, Faculty of Pharmacy , Zagazig University , Zagazig, Egypt </w:t>
      </w:r>
      <w:r w:rsidRPr="00513831">
        <w:rPr>
          <w:szCs w:val="24"/>
          <w:lang w:val="en-US"/>
        </w:rPr>
        <w:t>El-Maamli, M., El-Sadek, M., Kheir, A. A., "UV and UV Derivative Spectrophotometric Determination of Two- Component Mixtures", Spectroscopy Letters, 24(3), 451-470, 1991.</w:t>
      </w:r>
    </w:p>
    <w:p w:rsidR="00436FA0" w:rsidRPr="00513831" w:rsidRDefault="00436FA0" w:rsidP="00513831">
      <w:pPr>
        <w:pStyle w:val="Reference"/>
        <w:numPr>
          <w:ilvl w:val="0"/>
          <w:numId w:val="0"/>
        </w:numPr>
        <w:spacing w:after="0" w:line="276" w:lineRule="auto"/>
        <w:jc w:val="both"/>
        <w:rPr>
          <w:szCs w:val="24"/>
          <w:lang w:val="en-US"/>
        </w:rPr>
      </w:pPr>
      <w:r w:rsidRPr="00513831">
        <w:rPr>
          <w:szCs w:val="24"/>
          <w:lang w:val="en-US"/>
        </w:rPr>
        <w:t>9. Erk,N., Onur, F., "Simultaneous Determination of Analgine and Paracetamol in Tablets by Spectrophotometric Methods", Analytical Letters, 30(6), 1201-1210, 1997.</w:t>
      </w:r>
    </w:p>
    <w:sectPr w:rsidR="00436FA0" w:rsidRPr="00513831" w:rsidSect="00513831">
      <w:headerReference w:type="even" r:id="rId12"/>
      <w:headerReference w:type="default" r:id="rId13"/>
      <w:footerReference w:type="even" r:id="rId14"/>
      <w:footerReference w:type="default" r:id="rId15"/>
      <w:headerReference w:type="first" r:id="rId16"/>
      <w:footerReference w:type="first" r:id="rId17"/>
      <w:pgSz w:w="11906" w:h="16838"/>
      <w:pgMar w:top="450" w:right="1418" w:bottom="360" w:left="1418" w:header="180"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1-05-23T17:19:00Z" w:initials="K">
    <w:p w:rsidR="0033541F" w:rsidRDefault="007909B2" w:rsidP="007909B2">
      <w:pPr>
        <w:rPr>
          <w:highlight w:val="green"/>
        </w:rPr>
      </w:pPr>
      <w:r>
        <w:rPr>
          <w:rStyle w:val="CommentReference"/>
        </w:rPr>
        <w:annotationRef/>
      </w:r>
      <w:r w:rsidR="0033541F" w:rsidRPr="0033541F">
        <w:rPr>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7909B2" w:rsidRPr="00FC2004" w:rsidRDefault="007909B2" w:rsidP="007909B2">
      <w:r w:rsidRPr="00FC2004">
        <w:rPr>
          <w:highlight w:val="green"/>
        </w:rPr>
        <w:t xml:space="preserve">Similarity Index detected by </w:t>
      </w:r>
      <w:hyperlink r:id="rId2" w:history="1">
        <w:r w:rsidRPr="00FC2004">
          <w:rPr>
            <w:rStyle w:val="Hyperlink"/>
          </w:rPr>
          <w:t>Turnitin</w:t>
        </w:r>
      </w:hyperlink>
      <w:r>
        <w:rPr>
          <w:highlight w:val="green"/>
        </w:rPr>
        <w:t>=  62</w:t>
      </w:r>
      <w:r w:rsidRPr="00FC2004">
        <w:rPr>
          <w:highlight w:val="green"/>
        </w:rPr>
        <w:t>%</w:t>
      </w:r>
      <w:r w:rsidRPr="00FC2004">
        <w:t xml:space="preserve"> </w:t>
      </w:r>
    </w:p>
    <w:p w:rsidR="007909B2" w:rsidRPr="00EB3A96" w:rsidRDefault="007909B2" w:rsidP="007909B2">
      <w:pPr>
        <w:pStyle w:val="CommentText"/>
        <w:rPr>
          <w:b/>
          <w:i/>
        </w:rPr>
      </w:pPr>
      <w:r w:rsidRPr="00EB3A96">
        <w:rPr>
          <w:b/>
          <w:i/>
        </w:rPr>
        <w:t>Please revise your article according to the Turnitin report</w:t>
      </w:r>
    </w:p>
    <w:p w:rsidR="007909B2" w:rsidRDefault="007909B2">
      <w:pPr>
        <w:pStyle w:val="CommentText"/>
      </w:pPr>
    </w:p>
  </w:comment>
  <w:comment w:id="2" w:author="DELL" w:date="2021-01-05T14:58:00Z" w:initials="D">
    <w:p w:rsidR="002728B6" w:rsidRDefault="002728B6">
      <w:pPr>
        <w:pStyle w:val="CommentText"/>
      </w:pPr>
      <w:r>
        <w:rPr>
          <w:rStyle w:val="CommentReference"/>
        </w:rPr>
        <w:annotationRef/>
      </w:r>
      <w:r>
        <w:rPr>
          <w:rFonts w:ascii="Calibri" w:eastAsia="Times New Roman" w:hAnsi="Calibri" w:cs="Arial"/>
        </w:rPr>
        <w:t>Reformulate the  sentences in yellow</w:t>
      </w:r>
    </w:p>
  </w:comment>
  <w:comment w:id="4" w:author="DELL" w:date="2021-01-05T14:59:00Z" w:initials="D">
    <w:p w:rsidR="002728B6" w:rsidRDefault="002728B6">
      <w:pPr>
        <w:pStyle w:val="CommentText"/>
      </w:pPr>
      <w:r>
        <w:rPr>
          <w:rStyle w:val="CommentReference"/>
        </w:rPr>
        <w:annotationRef/>
      </w:r>
      <w:r>
        <w:t>Abstract is scanty. Please add some more literature to it.</w:t>
      </w:r>
    </w:p>
  </w:comment>
  <w:comment w:id="3" w:author="DELL" w:date="2021-05-23T17:43:00Z" w:initials="D">
    <w:p w:rsidR="00610898" w:rsidRPr="00EE2A57" w:rsidRDefault="002728B6" w:rsidP="00610898">
      <w:pPr>
        <w:pStyle w:val="CommentText"/>
        <w:rPr>
          <w:rFonts w:ascii="Bookman Old Style" w:hAnsi="Bookman Old Style" w:cs="Times New Roman"/>
        </w:rPr>
      </w:pPr>
      <w:r>
        <w:rPr>
          <w:rStyle w:val="CommentReference"/>
        </w:rPr>
        <w:annotationRef/>
      </w:r>
      <w:r w:rsidR="00610898" w:rsidRPr="00EE2A57">
        <w:rPr>
          <w:rFonts w:ascii="Bookman Old Style" w:hAnsi="Bookman Old Style" w:cs="Times New Roman"/>
        </w:rPr>
        <w:t>Please divide the abstract in below</w:t>
      </w:r>
      <w:r w:rsidR="00610898">
        <w:rPr>
          <w:rFonts w:ascii="Bookman Old Style" w:hAnsi="Bookman Old Style" w:cs="Times New Roman"/>
        </w:rPr>
        <w:t xml:space="preserve"> sections</w:t>
      </w:r>
      <w:r w:rsidR="00610898" w:rsidRPr="00EE2A57">
        <w:rPr>
          <w:rFonts w:ascii="Bookman Old Style" w:hAnsi="Bookman Old Style" w:cs="Times New Roman"/>
        </w:rPr>
        <w:t xml:space="preserve"> </w:t>
      </w:r>
    </w:p>
    <w:p w:rsidR="00610898" w:rsidRPr="00FF2ACD" w:rsidRDefault="00610898" w:rsidP="00610898">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610898" w:rsidRPr="00FF2ACD" w:rsidRDefault="00610898" w:rsidP="00610898">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610898" w:rsidRPr="00FF2ACD" w:rsidRDefault="00610898" w:rsidP="00610898">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610898" w:rsidRPr="00FF2ACD" w:rsidRDefault="00610898" w:rsidP="00610898">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610898" w:rsidRPr="00EE2A57" w:rsidRDefault="00610898" w:rsidP="00610898">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2728B6" w:rsidRDefault="002728B6">
      <w:pPr>
        <w:pStyle w:val="CommentText"/>
      </w:pPr>
    </w:p>
  </w:comment>
  <w:comment w:id="5" w:author="Kapil" w:date="2021-01-11T21:40:00Z" w:initials="K">
    <w:p w:rsidR="001F613E" w:rsidRDefault="001F613E">
      <w:pPr>
        <w:pStyle w:val="CommentText"/>
      </w:pPr>
      <w:r>
        <w:rPr>
          <w:rStyle w:val="CommentReference"/>
        </w:rPr>
        <w:annotationRef/>
      </w:r>
      <w:r>
        <w:t>This article can be represented in better way.</w:t>
      </w:r>
    </w:p>
  </w:comment>
  <w:comment w:id="6" w:author="Kapil" w:date="2021-03-28T12:33:00Z" w:initials="K">
    <w:p w:rsidR="000F5E97" w:rsidRDefault="000F5E97">
      <w:pPr>
        <w:pStyle w:val="CommentText"/>
      </w:pPr>
      <w:r>
        <w:rPr>
          <w:rStyle w:val="CommentReference"/>
        </w:rPr>
        <w:annotationRef/>
      </w:r>
      <w:r>
        <w:t>Why italic?</w:t>
      </w:r>
    </w:p>
  </w:comment>
  <w:comment w:id="7" w:author="DELL" w:date="2021-01-05T14:59:00Z" w:initials="D">
    <w:p w:rsidR="002728B6" w:rsidRDefault="002728B6">
      <w:pPr>
        <w:pStyle w:val="CommentText"/>
      </w:pPr>
      <w:r>
        <w:rPr>
          <w:rStyle w:val="CommentReference"/>
        </w:rPr>
        <w:annotationRef/>
      </w:r>
      <w:r>
        <w:t>Arrange alphabetically</w:t>
      </w:r>
    </w:p>
  </w:comment>
  <w:comment w:id="8" w:author="DELL" w:date="2021-01-05T14:59:00Z" w:initials="D">
    <w:p w:rsidR="002728B6" w:rsidRDefault="002728B6">
      <w:pPr>
        <w:pStyle w:val="CommentText"/>
      </w:pPr>
      <w:r>
        <w:rPr>
          <w:rStyle w:val="CommentReference"/>
        </w:rPr>
        <w:annotationRef/>
      </w:r>
      <w:r>
        <w:t>Please add some more keywords, up to 5</w:t>
      </w:r>
    </w:p>
  </w:comment>
  <w:comment w:id="10" w:author="Kapil Kumar" w:date="2021-05-23T17:40:00Z" w:initials="KK">
    <w:p w:rsidR="00D40201" w:rsidRDefault="00D40201" w:rsidP="00D40201">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D40201" w:rsidRDefault="00D40201">
      <w:pPr>
        <w:pStyle w:val="CommentText"/>
      </w:pPr>
    </w:p>
  </w:comment>
  <w:comment w:id="9" w:author="Kapil" w:date="2021-03-28T12:29:00Z" w:initials="K">
    <w:p w:rsidR="00FE7358" w:rsidRPr="00EE2A57" w:rsidRDefault="00FE7358" w:rsidP="00FE7358">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FE7358" w:rsidRDefault="00FE7358">
      <w:pPr>
        <w:pStyle w:val="CommentText"/>
      </w:pPr>
    </w:p>
  </w:comment>
  <w:comment w:id="11" w:author="DELL" w:date="2021-01-05T15:01:00Z" w:initials="D">
    <w:p w:rsidR="002728B6" w:rsidRDefault="002728B6">
      <w:pPr>
        <w:pStyle w:val="CommentText"/>
      </w:pPr>
      <w:r>
        <w:rPr>
          <w:rStyle w:val="CommentReference"/>
        </w:rPr>
        <w:annotationRef/>
      </w:r>
      <w:r>
        <w:t>Give reference for it</w:t>
      </w:r>
    </w:p>
  </w:comment>
  <w:comment w:id="12" w:author="Kapil Kumar" w:date="2021-05-23T17:40:00Z" w:initials="KK">
    <w:p w:rsidR="00D40201" w:rsidRDefault="00D40201" w:rsidP="00D40201">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 xml:space="preserve">The </w:t>
      </w:r>
      <w:r>
        <w:rPr>
          <w:rFonts w:ascii="Bookman Old Style" w:hAnsi="Bookman Old Style" w:cs="Times New Roman"/>
        </w:rPr>
        <w:t>content</w:t>
      </w:r>
      <w:r w:rsidRPr="00073C62">
        <w:rPr>
          <w:rFonts w:ascii="Bookman Old Style" w:hAnsi="Bookman Old Style" w:cs="Times New Roman"/>
        </w:rPr>
        <w:t xml:space="preserve"> relevantly addressed the research problems, is comprehensive, and well-organised</w:t>
      </w:r>
      <w:r>
        <w:rPr>
          <w:rFonts w:ascii="Bookman Old Style" w:hAnsi="Bookman Old Style" w:cs="Times New Roman"/>
        </w:rPr>
        <w:t xml:space="preserve"> </w:t>
      </w:r>
      <w:r w:rsidRPr="00073C62">
        <w:rPr>
          <w:rFonts w:ascii="Bookman Old Style" w:hAnsi="Bookman Old Style" w:cs="Times New Roman"/>
        </w:rPr>
        <w:t>in sequence that facilitate better unders</w:t>
      </w:r>
      <w:r>
        <w:rPr>
          <w:rFonts w:ascii="Bookman Old Style" w:hAnsi="Bookman Old Style" w:cs="Times New Roman"/>
        </w:rPr>
        <w:t>tanding of the research issues</w:t>
      </w:r>
      <w:r w:rsidRPr="00073C62">
        <w:rPr>
          <w:rFonts w:ascii="Bookman Old Style" w:hAnsi="Bookman Old Style" w:cs="Times New Roman"/>
        </w:rPr>
        <w:t xml:space="preserve">. </w:t>
      </w:r>
    </w:p>
    <w:p w:rsidR="00D40201" w:rsidRDefault="00D40201">
      <w:pPr>
        <w:pStyle w:val="CommentText"/>
      </w:pPr>
    </w:p>
  </w:comment>
  <w:comment w:id="13" w:author="Kapil" w:date="2021-03-28T12:29:00Z" w:initials="K">
    <w:p w:rsidR="00FE7358" w:rsidRPr="00EE2A57" w:rsidRDefault="00FE7358" w:rsidP="00FE7358">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FE7358" w:rsidRDefault="00FE7358">
      <w:pPr>
        <w:pStyle w:val="CommentText"/>
      </w:pPr>
    </w:p>
  </w:comment>
  <w:comment w:id="16" w:author="Kapil" w:date="2021-03-28T12:32:00Z" w:initials="K">
    <w:p w:rsidR="000F5E97" w:rsidRDefault="000F5E97">
      <w:pPr>
        <w:pStyle w:val="CommentText"/>
      </w:pPr>
      <w:r>
        <w:rPr>
          <w:rStyle w:val="CommentReference"/>
        </w:rPr>
        <w:annotationRef/>
      </w:r>
      <w:r>
        <w:t>Spacing needed</w:t>
      </w:r>
    </w:p>
  </w:comment>
  <w:comment w:id="17" w:author="Kapil" w:date="2021-03-28T12:32:00Z" w:initials="K">
    <w:p w:rsidR="000F5E97" w:rsidRDefault="000F5E97">
      <w:pPr>
        <w:pStyle w:val="CommentText"/>
      </w:pPr>
      <w:r>
        <w:rPr>
          <w:rStyle w:val="CommentReference"/>
        </w:rPr>
        <w:annotationRef/>
      </w:r>
      <w:r>
        <w:t>Spacing needed</w:t>
      </w:r>
    </w:p>
  </w:comment>
  <w:comment w:id="15" w:author="Kapil Kumar" w:date="2021-05-23T17:41:00Z" w:initials="KK">
    <w:p w:rsidR="00D40201" w:rsidRDefault="00D40201" w:rsidP="00D40201">
      <w:pPr>
        <w:spacing w:after="0"/>
        <w:rPr>
          <w:rFonts w:ascii="Bookman Old Style" w:hAnsi="Bookman Old Style" w:cs="Times New Roman"/>
        </w:rPr>
      </w:pPr>
      <w:r>
        <w:rPr>
          <w:rStyle w:val="CommentReference"/>
        </w:rPr>
        <w:annotationRef/>
      </w:r>
      <w:r>
        <w:rPr>
          <w:rFonts w:ascii="Bookman Old Style" w:hAnsi="Bookman Old Style" w:cs="Times New Roman"/>
        </w:rPr>
        <w:t>It is b</w:t>
      </w:r>
      <w:r w:rsidRPr="00C63BB9">
        <w:rPr>
          <w:rFonts w:ascii="Bookman Old Style" w:hAnsi="Bookman Old Style" w:cs="Times New Roman"/>
        </w:rPr>
        <w:t>ased on obvious knowledge known in the literature</w:t>
      </w:r>
      <w:r>
        <w:rPr>
          <w:rFonts w:ascii="Bookman Old Style" w:hAnsi="Bookman Old Style" w:cs="Times New Roman"/>
        </w:rPr>
        <w:t xml:space="preserve"> and is impressive</w:t>
      </w:r>
      <w:r w:rsidRPr="00C63BB9">
        <w:rPr>
          <w:rFonts w:ascii="Bookman Old Style" w:hAnsi="Bookman Old Style" w:cs="Times New Roman"/>
        </w:rPr>
        <w:t>.</w:t>
      </w:r>
    </w:p>
    <w:p w:rsidR="00D40201" w:rsidRDefault="00D40201">
      <w:pPr>
        <w:pStyle w:val="CommentText"/>
      </w:pPr>
    </w:p>
  </w:comment>
  <w:comment w:id="14" w:author="Kapil" w:date="2021-03-28T12:30:00Z" w:initials="K">
    <w:p w:rsidR="00FE7358" w:rsidRDefault="00FE7358" w:rsidP="00FE735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E7358" w:rsidRDefault="00FE7358">
      <w:pPr>
        <w:pStyle w:val="CommentText"/>
      </w:pPr>
    </w:p>
  </w:comment>
  <w:comment w:id="18" w:author="DELL" w:date="2021-01-05T15:04:00Z" w:initials="D">
    <w:p w:rsidR="002728B6" w:rsidRDefault="002728B6">
      <w:pPr>
        <w:pStyle w:val="CommentText"/>
      </w:pPr>
      <w:r>
        <w:rPr>
          <w:rStyle w:val="CommentReference"/>
        </w:rPr>
        <w:annotationRef/>
      </w:r>
      <w:r>
        <w:t>Please describe source of chemical used</w:t>
      </w:r>
    </w:p>
  </w:comment>
  <w:comment w:id="20" w:author="DELL" w:date="2021-01-05T15:07:00Z" w:initials="D">
    <w:p w:rsidR="0022457F" w:rsidRDefault="0022457F">
      <w:pPr>
        <w:pStyle w:val="CommentText"/>
      </w:pPr>
      <w:r>
        <w:rPr>
          <w:rStyle w:val="CommentReference"/>
        </w:rPr>
        <w:annotationRef/>
      </w:r>
      <w:r>
        <w:t>Add some more content to this section</w:t>
      </w:r>
    </w:p>
  </w:comment>
  <w:comment w:id="19" w:author="DELL" w:date="2021-01-05T15:00:00Z" w:initials="D">
    <w:p w:rsidR="002728B6" w:rsidRDefault="002728B6">
      <w:pPr>
        <w:pStyle w:val="CommentText"/>
      </w:pPr>
      <w:r>
        <w:rPr>
          <w:rStyle w:val="CommentReference"/>
        </w:rPr>
        <w:annotationRef/>
      </w:r>
      <w:r w:rsidRPr="00173B28">
        <w:rPr>
          <w:rFonts w:ascii="Arial" w:eastAsia="Times New Roman" w:hAnsi="Arial" w:cs="Arial"/>
        </w:rPr>
        <w:t>Some parts of results should move to methodology</w:t>
      </w:r>
    </w:p>
  </w:comment>
  <w:comment w:id="22" w:author="Kapil" w:date="2021-03-28T12:32:00Z" w:initials="K">
    <w:p w:rsidR="000F5E97" w:rsidRDefault="000F5E97">
      <w:pPr>
        <w:pStyle w:val="CommentText"/>
      </w:pPr>
      <w:r>
        <w:rPr>
          <w:rStyle w:val="CommentReference"/>
        </w:rPr>
        <w:annotationRef/>
      </w:r>
      <w:r>
        <w:t>Spacing needed</w:t>
      </w:r>
    </w:p>
  </w:comment>
  <w:comment w:id="21" w:author="Kapil" w:date="2021-03-28T12:29:00Z" w:initials="K">
    <w:p w:rsidR="00FE7358" w:rsidRPr="00EE2A57" w:rsidRDefault="00FE7358" w:rsidP="00FE7358">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FE7358" w:rsidRDefault="00FE7358">
      <w:pPr>
        <w:pStyle w:val="CommentText"/>
      </w:pPr>
    </w:p>
  </w:comment>
  <w:comment w:id="23" w:author="Kapil" w:date="2021-01-11T21:39:00Z" w:initials="K">
    <w:p w:rsidR="001F613E" w:rsidRDefault="001F613E">
      <w:pPr>
        <w:pStyle w:val="CommentText"/>
      </w:pPr>
      <w:r>
        <w:rPr>
          <w:rStyle w:val="CommentReference"/>
        </w:rPr>
        <w:annotationRef/>
      </w:r>
      <w:r>
        <w:t>Can be expressed in better way</w:t>
      </w:r>
    </w:p>
  </w:comment>
  <w:comment w:id="24" w:author="DELL" w:date="2021-01-05T15:01:00Z" w:initials="D">
    <w:p w:rsidR="002728B6" w:rsidRDefault="002728B6">
      <w:pPr>
        <w:pStyle w:val="CommentText"/>
      </w:pPr>
      <w:r>
        <w:rPr>
          <w:rStyle w:val="CommentReference"/>
        </w:rPr>
        <w:annotationRef/>
      </w:r>
      <w:r w:rsidRPr="007060C7">
        <w:rPr>
          <w:rFonts w:ascii="Arial" w:eastAsia="Times New Roman" w:hAnsi="Arial" w:cs="Arial"/>
        </w:rPr>
        <w:t>Is sec</w:t>
      </w:r>
      <w:r>
        <w:rPr>
          <w:rFonts w:ascii="Arial" w:hAnsi="Arial" w:cs="Arial"/>
        </w:rPr>
        <w:t>tion</w:t>
      </w:r>
      <w:r w:rsidRPr="007060C7">
        <w:rPr>
          <w:rFonts w:ascii="Arial" w:eastAsia="Times New Roman" w:hAnsi="Arial" w:cs="Arial"/>
        </w:rPr>
        <w:t xml:space="preserve"> 3.1 &amp; 3.2 strictly fallen in R&amp;D?</w:t>
      </w:r>
    </w:p>
  </w:comment>
  <w:comment w:id="25" w:author="Kapil" w:date="2021-03-28T12:31:00Z" w:initials="K">
    <w:p w:rsidR="000F5E97" w:rsidRPr="00EE2A57" w:rsidRDefault="000F5E97" w:rsidP="000F5E97">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0F5E97" w:rsidRDefault="000F5E97">
      <w:pPr>
        <w:pStyle w:val="CommentText"/>
      </w:pPr>
    </w:p>
  </w:comment>
  <w:comment w:id="26" w:author="DELL" w:date="2021-01-05T15:06:00Z" w:initials="D">
    <w:p w:rsidR="002728B6" w:rsidRDefault="002728B6">
      <w:pPr>
        <w:pStyle w:val="CommentText"/>
      </w:pPr>
      <w:r>
        <w:rPr>
          <w:rStyle w:val="CommentReference"/>
        </w:rPr>
        <w:annotationRef/>
      </w:r>
      <w:r>
        <w:t>Please provide excel sheet of this image</w:t>
      </w:r>
    </w:p>
  </w:comment>
  <w:comment w:id="27" w:author="Kapil" w:date="2021-05-23T17:41:00Z" w:initials="K">
    <w:p w:rsidR="00D40201" w:rsidRPr="00BB0FA3" w:rsidRDefault="00FE7358" w:rsidP="00D40201">
      <w:pPr>
        <w:spacing w:after="0" w:line="240" w:lineRule="auto"/>
        <w:rPr>
          <w:rFonts w:ascii="Bookman Old Style" w:hAnsi="Bookman Old Style" w:cs="Times New Roman"/>
        </w:rPr>
      </w:pPr>
      <w:r>
        <w:rPr>
          <w:rStyle w:val="CommentReference"/>
        </w:rPr>
        <w:annotationRef/>
      </w:r>
      <w:r w:rsidR="00D40201">
        <w:rPr>
          <w:rFonts w:ascii="Bookman Old Style" w:hAnsi="Bookman Old Style" w:cs="Times New Roman"/>
        </w:rPr>
        <w:t>The author</w:t>
      </w:r>
      <w:r w:rsidR="00D40201" w:rsidRPr="00BB0FA3">
        <w:rPr>
          <w:rFonts w:ascii="Bookman Old Style" w:hAnsi="Bookman Old Style" w:cs="Times New Roman"/>
        </w:rPr>
        <w:t xml:space="preserve"> has clearly given all the data, critically analysed and explained the results</w:t>
      </w:r>
      <w:r w:rsidR="00D40201">
        <w:rPr>
          <w:rFonts w:ascii="Bookman Old Style" w:hAnsi="Bookman Old Style" w:cs="Times New Roman"/>
        </w:rPr>
        <w:t xml:space="preserve"> </w:t>
      </w:r>
      <w:r w:rsidR="00D40201" w:rsidRPr="00BB0FA3">
        <w:rPr>
          <w:rFonts w:ascii="Bookman Old Style" w:hAnsi="Bookman Old Style" w:cs="Times New Roman"/>
        </w:rPr>
        <w:t>with evidences.</w:t>
      </w:r>
    </w:p>
    <w:p w:rsidR="00FE7358" w:rsidRDefault="00FE7358" w:rsidP="00D40201"/>
  </w:comment>
  <w:comment w:id="28" w:author="Kapil" w:date="2021-03-28T12:30:00Z" w:initials="K">
    <w:p w:rsidR="00FE7358" w:rsidRDefault="00FE7358" w:rsidP="00FE735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E7358" w:rsidRDefault="00FE7358">
      <w:pPr>
        <w:pStyle w:val="CommentText"/>
      </w:pPr>
    </w:p>
  </w:comment>
  <w:comment w:id="29" w:author="Kapil" w:date="2021-05-23T17:42:00Z" w:initials="K">
    <w:p w:rsidR="00D40201" w:rsidRDefault="00FE7358" w:rsidP="00D40201">
      <w:pPr>
        <w:spacing w:after="0" w:line="240" w:lineRule="auto"/>
        <w:rPr>
          <w:rFonts w:ascii="Bookman Old Style" w:hAnsi="Bookman Old Style" w:cs="Times New Roman"/>
        </w:rPr>
      </w:pPr>
      <w:r>
        <w:rPr>
          <w:rStyle w:val="CommentReference"/>
        </w:rPr>
        <w:annotationRef/>
      </w:r>
      <w:r w:rsidR="00D40201" w:rsidRPr="0064524F">
        <w:rPr>
          <w:rFonts w:ascii="Bookman Old Style" w:hAnsi="Bookman Old Style" w:cs="Times New Roman"/>
        </w:rPr>
        <w:t xml:space="preserve">Current study’s result is suitable for mapping the interpretation of findings by the policy makers. </w:t>
      </w:r>
    </w:p>
    <w:p w:rsidR="00FE7358" w:rsidRDefault="00FE7358" w:rsidP="00D40201"/>
  </w:comment>
  <w:comment w:id="30" w:author="Kapil Kumar" w:date="2021-05-23T17:42:00Z" w:initials="KK">
    <w:p w:rsidR="00D40201" w:rsidRDefault="00D40201" w:rsidP="00D40201">
      <w:pPr>
        <w:spacing w:after="0"/>
        <w:rPr>
          <w:rFonts w:ascii="Bookman Old Style" w:hAnsi="Bookman Old Style" w:cs="Times New Roman"/>
        </w:rPr>
      </w:pPr>
      <w:r>
        <w:rPr>
          <w:rStyle w:val="CommentReference"/>
        </w:rPr>
        <w:annotationRef/>
      </w:r>
      <w:r w:rsidRPr="00BB0FA3">
        <w:rPr>
          <w:rFonts w:ascii="Bookman Old Style" w:hAnsi="Bookman Old Style" w:cs="Times New Roman"/>
        </w:rPr>
        <w:t>The contribution of this study in terms of new knowledge is actually innovative and constructive.</w:t>
      </w:r>
    </w:p>
    <w:p w:rsidR="00D40201" w:rsidRDefault="00D40201">
      <w:pPr>
        <w:pStyle w:val="CommentText"/>
      </w:pPr>
    </w:p>
  </w:comment>
  <w:comment w:id="31" w:author="DELL" w:date="2021-01-05T15:08:00Z" w:initials="D">
    <w:p w:rsidR="004946AE" w:rsidRDefault="004946AE">
      <w:pPr>
        <w:pStyle w:val="CommentText"/>
      </w:pPr>
      <w:r>
        <w:rPr>
          <w:rStyle w:val="CommentReference"/>
        </w:rPr>
        <w:annotationRef/>
      </w:r>
      <w:r>
        <w:t>Spacing needed in between some words</w:t>
      </w:r>
    </w:p>
  </w:comment>
  <w:comment w:id="32" w:author="Kapil" w:date="2021-03-28T12:32:00Z" w:initials="K">
    <w:p w:rsidR="000F5E97" w:rsidRDefault="000F5E97">
      <w:pPr>
        <w:pStyle w:val="CommentText"/>
      </w:pPr>
      <w:r>
        <w:rPr>
          <w:rStyle w:val="CommentReference"/>
        </w:rPr>
        <w:annotationRef/>
      </w:r>
      <w:r>
        <w:t>Spacing needed</w:t>
      </w:r>
    </w:p>
  </w:comment>
  <w:comment w:id="34" w:author="DELL" w:date="2021-01-05T15:12:00Z" w:initials="D">
    <w:p w:rsidR="007875FA" w:rsidRDefault="007875FA" w:rsidP="007875FA">
      <w:pPr>
        <w:pStyle w:val="CommentText"/>
      </w:pPr>
      <w:r>
        <w:rPr>
          <w:rStyle w:val="CommentReference"/>
        </w:rPr>
        <w:annotationRef/>
      </w:r>
      <w:r>
        <w:t xml:space="preserve">Please follow the journal specifications for references </w:t>
      </w:r>
    </w:p>
    <w:p w:rsidR="007875FA" w:rsidRDefault="007875FA" w:rsidP="007875FA">
      <w:pPr>
        <w:pStyle w:val="CommentText"/>
      </w:pPr>
      <w:r>
        <w:t>For example</w:t>
      </w:r>
    </w:p>
    <w:p w:rsidR="007875FA" w:rsidRDefault="007875FA" w:rsidP="007875FA">
      <w:pPr>
        <w:pStyle w:val="CommentText"/>
      </w:pPr>
      <w:r>
        <w:rPr>
          <w:rStyle w:val="fontstyle01"/>
        </w:rPr>
        <w:t>Al-Sharani AA, Al-Hajj W, Al-Shamahy HA, Jaadan BM. The effect of nanosilver and chlorhexidine</w:t>
      </w:r>
      <w:r>
        <w:rPr>
          <w:color w:val="000000"/>
          <w:sz w:val="18"/>
          <w:szCs w:val="18"/>
        </w:rPr>
        <w:br/>
      </w:r>
      <w:r>
        <w:rPr>
          <w:rStyle w:val="fontstyle01"/>
        </w:rPr>
        <w:t>mouthwash on anaerobic periodontal pathogens counts. Univ J Pharm Res 2019;</w:t>
      </w:r>
      <w:r>
        <w:rPr>
          <w:color w:val="000000"/>
          <w:sz w:val="18"/>
          <w:szCs w:val="18"/>
        </w:rPr>
        <w:br/>
      </w:r>
      <w:r>
        <w:rPr>
          <w:rStyle w:val="fontstyle01"/>
        </w:rPr>
        <w:t xml:space="preserve">4(5): 1-6. </w:t>
      </w:r>
      <w:hyperlink r:id="rId3" w:history="1">
        <w:r>
          <w:rPr>
            <w:rStyle w:val="Hyperlink"/>
          </w:rPr>
          <w:t xml:space="preserve">https://doi.org/10.22270/ujpr.v4i5.309 </w:t>
        </w:r>
      </w:hyperlink>
    </w:p>
  </w:comment>
  <w:comment w:id="33" w:author="DELL" w:date="2021-01-05T15:00:00Z" w:initials="D">
    <w:p w:rsidR="002728B6" w:rsidRDefault="002728B6">
      <w:pPr>
        <w:pStyle w:val="CommentText"/>
      </w:pPr>
      <w:r>
        <w:rPr>
          <w:rStyle w:val="CommentReference"/>
        </w:rPr>
        <w:annotationRef/>
      </w:r>
      <w:r>
        <w:t>Please add some more references up to 16</w:t>
      </w:r>
    </w:p>
  </w:comment>
  <w:comment w:id="35" w:author="DELL" w:date="2021-01-05T15:13:00Z" w:initials="D">
    <w:p w:rsidR="007875FA" w:rsidRDefault="007875FA">
      <w:pPr>
        <w:pStyle w:val="CommentText"/>
      </w:pPr>
      <w:r>
        <w:rPr>
          <w:rStyle w:val="CommentReference"/>
        </w:rPr>
        <w:annotationRef/>
      </w:r>
      <w:r>
        <w:t xml:space="preserve">Please add DOI to articles if available like this </w:t>
      </w:r>
      <w:hyperlink r:id="rId4" w:history="1">
        <w:r>
          <w:rPr>
            <w:rStyle w:val="Hyperlink"/>
          </w:rPr>
          <w:t xml:space="preserve">https://doi.org/10.22270/ujpr.v4i5.309 </w:t>
        </w:r>
      </w:hyperlink>
    </w:p>
  </w:comment>
  <w:comment w:id="36" w:author="Kapil" w:date="2021-03-28T12:32:00Z" w:initials="K">
    <w:p w:rsidR="000F5E97" w:rsidRDefault="000F5E97">
      <w:pPr>
        <w:pStyle w:val="CommentText"/>
      </w:pPr>
      <w:r>
        <w:rPr>
          <w:rStyle w:val="CommentReference"/>
        </w:rPr>
        <w:annotationRef/>
      </w:r>
      <w:r>
        <w:t>Spacing needed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999" w:rsidRDefault="001A7999" w:rsidP="00513831">
      <w:pPr>
        <w:spacing w:after="0" w:line="240" w:lineRule="auto"/>
      </w:pPr>
      <w:r>
        <w:separator/>
      </w:r>
    </w:p>
  </w:endnote>
  <w:endnote w:type="continuationSeparator" w:id="1">
    <w:p w:rsidR="001A7999" w:rsidRDefault="001A7999" w:rsidP="00513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BE7" w:rsidRDefault="00172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BE7" w:rsidRDefault="00172B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BE7" w:rsidRDefault="00172B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999" w:rsidRDefault="001A7999" w:rsidP="00513831">
      <w:pPr>
        <w:spacing w:after="0" w:line="240" w:lineRule="auto"/>
      </w:pPr>
      <w:r>
        <w:separator/>
      </w:r>
    </w:p>
  </w:footnote>
  <w:footnote w:type="continuationSeparator" w:id="1">
    <w:p w:rsidR="001A7999" w:rsidRDefault="001A7999" w:rsidP="00513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831" w:rsidRDefault="007D26D6">
    <w:pPr>
      <w:pStyle w:val="Header"/>
    </w:pPr>
    <w:r w:rsidRPr="007D26D6">
      <w:rPr>
        <w:noProof/>
        <w:lang w:val="tr-T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61876" o:spid="_x0000_s2050"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831" w:rsidRDefault="007D26D6">
    <w:pPr>
      <w:pStyle w:val="Header"/>
    </w:pPr>
    <w:r w:rsidRPr="007D26D6">
      <w:rPr>
        <w:noProof/>
        <w:lang w:val="tr-T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61877" o:spid="_x0000_s2051"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831" w:rsidRDefault="007D26D6">
    <w:pPr>
      <w:pStyle w:val="Header"/>
    </w:pPr>
    <w:r w:rsidRPr="007D26D6">
      <w:rPr>
        <w:noProof/>
        <w:lang w:val="tr-T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61875" o:spid="_x0000_s2049"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56AA5148"/>
    <w:lvl w:ilvl="0">
      <w:start w:val="1"/>
      <w:numFmt w:val="decimal"/>
      <w:pStyle w:val="Reference"/>
      <w:lvlText w:val="[%1]"/>
      <w:lvlJc w:val="left"/>
      <w:pPr>
        <w:tabs>
          <w:tab w:val="num" w:pos="644"/>
        </w:tabs>
        <w:ind w:left="641" w:hanging="357"/>
      </w:pPr>
      <w:rPr>
        <w:b w:val="0"/>
        <w:bCs w:val="0"/>
        <w:i w:val="0"/>
        <w:iCs w:val="0"/>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useFELayout/>
  </w:compat>
  <w:rsids>
    <w:rsidRoot w:val="00D712B0"/>
    <w:rsid w:val="000C3C3F"/>
    <w:rsid w:val="000D614A"/>
    <w:rsid w:val="000F5E97"/>
    <w:rsid w:val="001052D5"/>
    <w:rsid w:val="00125D6E"/>
    <w:rsid w:val="00156C56"/>
    <w:rsid w:val="00172BE7"/>
    <w:rsid w:val="00187952"/>
    <w:rsid w:val="001A7999"/>
    <w:rsid w:val="001F613E"/>
    <w:rsid w:val="001F784F"/>
    <w:rsid w:val="00215410"/>
    <w:rsid w:val="002224D6"/>
    <w:rsid w:val="0022457F"/>
    <w:rsid w:val="002728B6"/>
    <w:rsid w:val="002E34A9"/>
    <w:rsid w:val="002F3D9D"/>
    <w:rsid w:val="0033541F"/>
    <w:rsid w:val="00373288"/>
    <w:rsid w:val="00387EDB"/>
    <w:rsid w:val="003B76F6"/>
    <w:rsid w:val="00436FA0"/>
    <w:rsid w:val="00437F81"/>
    <w:rsid w:val="004946AE"/>
    <w:rsid w:val="00513831"/>
    <w:rsid w:val="00576C93"/>
    <w:rsid w:val="005A348D"/>
    <w:rsid w:val="005D33D6"/>
    <w:rsid w:val="005D4AAE"/>
    <w:rsid w:val="00610898"/>
    <w:rsid w:val="006279D1"/>
    <w:rsid w:val="00656704"/>
    <w:rsid w:val="006734C2"/>
    <w:rsid w:val="006A541D"/>
    <w:rsid w:val="006D73DD"/>
    <w:rsid w:val="00706F3E"/>
    <w:rsid w:val="007875FA"/>
    <w:rsid w:val="007909B2"/>
    <w:rsid w:val="007D26D6"/>
    <w:rsid w:val="008501B0"/>
    <w:rsid w:val="008638C7"/>
    <w:rsid w:val="00955315"/>
    <w:rsid w:val="009966F3"/>
    <w:rsid w:val="009D3D36"/>
    <w:rsid w:val="00A0248B"/>
    <w:rsid w:val="00AB0301"/>
    <w:rsid w:val="00BC219A"/>
    <w:rsid w:val="00C73277"/>
    <w:rsid w:val="00CE1F99"/>
    <w:rsid w:val="00CE319C"/>
    <w:rsid w:val="00D40201"/>
    <w:rsid w:val="00D64A69"/>
    <w:rsid w:val="00D712B0"/>
    <w:rsid w:val="00D801F0"/>
    <w:rsid w:val="00DF68FF"/>
    <w:rsid w:val="00E73344"/>
    <w:rsid w:val="00EB62CF"/>
    <w:rsid w:val="00F15BB1"/>
    <w:rsid w:val="00F97053"/>
    <w:rsid w:val="00FC61EC"/>
    <w:rsid w:val="00FE2B88"/>
    <w:rsid w:val="00FE73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8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48D"/>
    <w:rPr>
      <w:rFonts w:ascii="Tahoma" w:hAnsi="Tahoma" w:cs="Tahoma"/>
      <w:sz w:val="16"/>
      <w:szCs w:val="16"/>
    </w:rPr>
  </w:style>
  <w:style w:type="paragraph" w:customStyle="1" w:styleId="Default">
    <w:name w:val="Default"/>
    <w:rsid w:val="005A348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373288"/>
    <w:pPr>
      <w:spacing w:after="0" w:line="240" w:lineRule="auto"/>
    </w:pPr>
  </w:style>
  <w:style w:type="table" w:customStyle="1" w:styleId="AkGlgeleme1">
    <w:name w:val="Açık Gölgeleme1"/>
    <w:basedOn w:val="TableNormal"/>
    <w:uiPriority w:val="60"/>
    <w:rsid w:val="001F784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ference">
    <w:name w:val="Reference"/>
    <w:basedOn w:val="Normal"/>
    <w:rsid w:val="00436FA0"/>
    <w:pPr>
      <w:numPr>
        <w:numId w:val="1"/>
      </w:numPr>
      <w:spacing w:after="240" w:line="240" w:lineRule="auto"/>
    </w:pPr>
    <w:rPr>
      <w:rFonts w:ascii="Times New Roman" w:eastAsia="Times New Roman" w:hAnsi="Times New Roman" w:cs="Times New Roman"/>
      <w:sz w:val="24"/>
      <w:szCs w:val="20"/>
      <w:lang w:val="en-GB"/>
    </w:rPr>
  </w:style>
  <w:style w:type="paragraph" w:styleId="Header">
    <w:name w:val="header"/>
    <w:basedOn w:val="Normal"/>
    <w:link w:val="HeaderChar"/>
    <w:unhideWhenUsed/>
    <w:rsid w:val="005138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3831"/>
  </w:style>
  <w:style w:type="paragraph" w:styleId="Footer">
    <w:name w:val="footer"/>
    <w:basedOn w:val="Normal"/>
    <w:link w:val="FooterChar"/>
    <w:uiPriority w:val="99"/>
    <w:semiHidden/>
    <w:unhideWhenUsed/>
    <w:rsid w:val="005138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3831"/>
  </w:style>
  <w:style w:type="character" w:styleId="CommentReference">
    <w:name w:val="annotation reference"/>
    <w:basedOn w:val="DefaultParagraphFont"/>
    <w:uiPriority w:val="99"/>
    <w:semiHidden/>
    <w:unhideWhenUsed/>
    <w:rsid w:val="002728B6"/>
    <w:rPr>
      <w:sz w:val="16"/>
      <w:szCs w:val="16"/>
    </w:rPr>
  </w:style>
  <w:style w:type="paragraph" w:styleId="CommentText">
    <w:name w:val="annotation text"/>
    <w:basedOn w:val="Normal"/>
    <w:link w:val="CommentTextChar"/>
    <w:uiPriority w:val="99"/>
    <w:unhideWhenUsed/>
    <w:rsid w:val="002728B6"/>
    <w:pPr>
      <w:spacing w:line="240" w:lineRule="auto"/>
    </w:pPr>
    <w:rPr>
      <w:sz w:val="20"/>
      <w:szCs w:val="20"/>
    </w:rPr>
  </w:style>
  <w:style w:type="character" w:customStyle="1" w:styleId="CommentTextChar">
    <w:name w:val="Comment Text Char"/>
    <w:basedOn w:val="DefaultParagraphFont"/>
    <w:link w:val="CommentText"/>
    <w:uiPriority w:val="99"/>
    <w:rsid w:val="002728B6"/>
    <w:rPr>
      <w:sz w:val="20"/>
      <w:szCs w:val="20"/>
    </w:rPr>
  </w:style>
  <w:style w:type="paragraph" w:styleId="CommentSubject">
    <w:name w:val="annotation subject"/>
    <w:basedOn w:val="CommentText"/>
    <w:next w:val="CommentText"/>
    <w:link w:val="CommentSubjectChar"/>
    <w:uiPriority w:val="99"/>
    <w:semiHidden/>
    <w:unhideWhenUsed/>
    <w:rsid w:val="002728B6"/>
    <w:rPr>
      <w:b/>
      <w:bCs/>
    </w:rPr>
  </w:style>
  <w:style w:type="character" w:customStyle="1" w:styleId="CommentSubjectChar">
    <w:name w:val="Comment Subject Char"/>
    <w:basedOn w:val="CommentTextChar"/>
    <w:link w:val="CommentSubject"/>
    <w:uiPriority w:val="99"/>
    <w:semiHidden/>
    <w:rsid w:val="002728B6"/>
    <w:rPr>
      <w:b/>
      <w:bCs/>
    </w:rPr>
  </w:style>
  <w:style w:type="character" w:styleId="Hyperlink">
    <w:name w:val="Hyperlink"/>
    <w:uiPriority w:val="99"/>
    <w:unhideWhenUsed/>
    <w:rsid w:val="002728B6"/>
    <w:rPr>
      <w:color w:val="0000FF"/>
      <w:u w:val="single"/>
    </w:rPr>
  </w:style>
  <w:style w:type="character" w:customStyle="1" w:styleId="fontstyle01">
    <w:name w:val="fontstyle01"/>
    <w:basedOn w:val="DefaultParagraphFont"/>
    <w:rsid w:val="007875FA"/>
    <w:rPr>
      <w:rFonts w:ascii="Times New Roman" w:hAnsi="Times New Roman" w:cs="Times New Roman"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348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A348D"/>
    <w:rPr>
      <w:rFonts w:ascii="Tahoma" w:hAnsi="Tahoma" w:cs="Tahoma"/>
      <w:sz w:val="16"/>
      <w:szCs w:val="16"/>
    </w:rPr>
  </w:style>
  <w:style w:type="paragraph" w:customStyle="1" w:styleId="Default">
    <w:name w:val="Default"/>
    <w:rsid w:val="005A348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373288"/>
    <w:pPr>
      <w:spacing w:after="0" w:line="240" w:lineRule="auto"/>
    </w:pPr>
  </w:style>
  <w:style w:type="table" w:customStyle="1" w:styleId="AkGlgeleme1">
    <w:name w:val="Açık Gölgeleme1"/>
    <w:basedOn w:val="a1"/>
    <w:uiPriority w:val="60"/>
    <w:rsid w:val="001F784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ference">
    <w:name w:val="Reference"/>
    <w:basedOn w:val="a"/>
    <w:rsid w:val="00436FA0"/>
    <w:pPr>
      <w:numPr>
        <w:numId w:val="1"/>
      </w:numPr>
      <w:spacing w:after="240" w:line="240" w:lineRule="auto"/>
    </w:pPr>
    <w:rPr>
      <w:rFonts w:ascii="Times New Roman" w:eastAsia="Times New Roman" w:hAnsi="Times New Roman" w:cs="Times New Roman"/>
      <w:sz w:val="24"/>
      <w:szCs w:val="20"/>
      <w:lang w:val="en-GB"/>
    </w:rPr>
  </w:style>
  <w:style w:type="paragraph" w:styleId="a5">
    <w:name w:val="header"/>
    <w:basedOn w:val="a"/>
    <w:link w:val="Char0"/>
    <w:uiPriority w:val="99"/>
    <w:semiHidden/>
    <w:unhideWhenUsed/>
    <w:rsid w:val="00513831"/>
    <w:pPr>
      <w:tabs>
        <w:tab w:val="center" w:pos="4680"/>
        <w:tab w:val="right" w:pos="9360"/>
      </w:tabs>
      <w:spacing w:after="0" w:line="240" w:lineRule="auto"/>
    </w:pPr>
  </w:style>
  <w:style w:type="character" w:customStyle="1" w:styleId="Char0">
    <w:name w:val="رأس الصفحة Char"/>
    <w:basedOn w:val="a0"/>
    <w:link w:val="a5"/>
    <w:uiPriority w:val="99"/>
    <w:semiHidden/>
    <w:rsid w:val="00513831"/>
  </w:style>
  <w:style w:type="paragraph" w:styleId="a6">
    <w:name w:val="footer"/>
    <w:basedOn w:val="a"/>
    <w:link w:val="Char1"/>
    <w:uiPriority w:val="99"/>
    <w:semiHidden/>
    <w:unhideWhenUsed/>
    <w:rsid w:val="00513831"/>
    <w:pPr>
      <w:tabs>
        <w:tab w:val="center" w:pos="4680"/>
        <w:tab w:val="right" w:pos="9360"/>
      </w:tabs>
      <w:spacing w:after="0" w:line="240" w:lineRule="auto"/>
    </w:pPr>
  </w:style>
  <w:style w:type="character" w:customStyle="1" w:styleId="Char1">
    <w:name w:val="تذييل الصفحة Char"/>
    <w:basedOn w:val="a0"/>
    <w:link w:val="a6"/>
    <w:uiPriority w:val="99"/>
    <w:semiHidden/>
    <w:rsid w:val="00513831"/>
  </w:style>
</w:styles>
</file>

<file path=word/webSettings.xml><?xml version="1.0" encoding="utf-8"?>
<w:webSettings xmlns:r="http://schemas.openxmlformats.org/officeDocument/2006/relationships" xmlns:w="http://schemas.openxmlformats.org/wordprocessingml/2006/main">
  <w:divs>
    <w:div w:id="727612346">
      <w:bodyDiv w:val="1"/>
      <w:marLeft w:val="0"/>
      <w:marRight w:val="0"/>
      <w:marTop w:val="0"/>
      <w:marBottom w:val="0"/>
      <w:divBdr>
        <w:top w:val="none" w:sz="0" w:space="0" w:color="auto"/>
        <w:left w:val="none" w:sz="0" w:space="0" w:color="auto"/>
        <w:bottom w:val="none" w:sz="0" w:space="0" w:color="auto"/>
        <w:right w:val="none" w:sz="0" w:space="0" w:color="auto"/>
      </w:divBdr>
      <w:divsChild>
        <w:div w:id="55859381">
          <w:marLeft w:val="0"/>
          <w:marRight w:val="0"/>
          <w:marTop w:val="0"/>
          <w:marBottom w:val="0"/>
          <w:divBdr>
            <w:top w:val="none" w:sz="0" w:space="0" w:color="auto"/>
            <w:left w:val="none" w:sz="0" w:space="0" w:color="auto"/>
            <w:bottom w:val="none" w:sz="0" w:space="0" w:color="auto"/>
            <w:right w:val="none" w:sz="0" w:space="0" w:color="auto"/>
          </w:divBdr>
          <w:divsChild>
            <w:div w:id="1726025245">
              <w:marLeft w:val="0"/>
              <w:marRight w:val="0"/>
              <w:marTop w:val="0"/>
              <w:marBottom w:val="0"/>
              <w:divBdr>
                <w:top w:val="none" w:sz="0" w:space="0" w:color="auto"/>
                <w:left w:val="none" w:sz="0" w:space="0" w:color="auto"/>
                <w:bottom w:val="none" w:sz="0" w:space="0" w:color="auto"/>
                <w:right w:val="none" w:sz="0" w:space="0" w:color="auto"/>
              </w:divBdr>
              <w:divsChild>
                <w:div w:id="433137776">
                  <w:marLeft w:val="0"/>
                  <w:marRight w:val="0"/>
                  <w:marTop w:val="0"/>
                  <w:marBottom w:val="0"/>
                  <w:divBdr>
                    <w:top w:val="none" w:sz="0" w:space="0" w:color="auto"/>
                    <w:left w:val="none" w:sz="0" w:space="0" w:color="auto"/>
                    <w:bottom w:val="none" w:sz="0" w:space="0" w:color="auto"/>
                    <w:right w:val="none" w:sz="0" w:space="0" w:color="auto"/>
                  </w:divBdr>
                  <w:divsChild>
                    <w:div w:id="1549296868">
                      <w:marLeft w:val="0"/>
                      <w:marRight w:val="0"/>
                      <w:marTop w:val="0"/>
                      <w:marBottom w:val="0"/>
                      <w:divBdr>
                        <w:top w:val="none" w:sz="0" w:space="0" w:color="auto"/>
                        <w:left w:val="none" w:sz="0" w:space="0" w:color="auto"/>
                        <w:bottom w:val="none" w:sz="0" w:space="0" w:color="auto"/>
                        <w:right w:val="none" w:sz="0" w:space="0" w:color="auto"/>
                      </w:divBdr>
                      <w:divsChild>
                        <w:div w:id="1661999572">
                          <w:marLeft w:val="0"/>
                          <w:marRight w:val="0"/>
                          <w:marTop w:val="0"/>
                          <w:marBottom w:val="0"/>
                          <w:divBdr>
                            <w:top w:val="none" w:sz="0" w:space="0" w:color="auto"/>
                            <w:left w:val="none" w:sz="0" w:space="0" w:color="auto"/>
                            <w:bottom w:val="none" w:sz="0" w:space="0" w:color="auto"/>
                            <w:right w:val="none" w:sz="0" w:space="0" w:color="auto"/>
                          </w:divBdr>
                          <w:divsChild>
                            <w:div w:id="533036076">
                              <w:marLeft w:val="0"/>
                              <w:marRight w:val="0"/>
                              <w:marTop w:val="0"/>
                              <w:marBottom w:val="0"/>
                              <w:divBdr>
                                <w:top w:val="none" w:sz="0" w:space="0" w:color="auto"/>
                                <w:left w:val="none" w:sz="0" w:space="0" w:color="auto"/>
                                <w:bottom w:val="none" w:sz="0" w:space="0" w:color="auto"/>
                                <w:right w:val="none" w:sz="0" w:space="0" w:color="auto"/>
                              </w:divBdr>
                              <w:divsChild>
                                <w:div w:id="1147824146">
                                  <w:marLeft w:val="0"/>
                                  <w:marRight w:val="0"/>
                                  <w:marTop w:val="0"/>
                                  <w:marBottom w:val="0"/>
                                  <w:divBdr>
                                    <w:top w:val="none" w:sz="0" w:space="0" w:color="auto"/>
                                    <w:left w:val="none" w:sz="0" w:space="0" w:color="auto"/>
                                    <w:bottom w:val="none" w:sz="0" w:space="0" w:color="auto"/>
                                    <w:right w:val="none" w:sz="0" w:space="0" w:color="auto"/>
                                  </w:divBdr>
                                  <w:divsChild>
                                    <w:div w:id="1377389221">
                                      <w:marLeft w:val="0"/>
                                      <w:marRight w:val="0"/>
                                      <w:marTop w:val="0"/>
                                      <w:marBottom w:val="0"/>
                                      <w:divBdr>
                                        <w:top w:val="none" w:sz="0" w:space="0" w:color="auto"/>
                                        <w:left w:val="none" w:sz="0" w:space="0" w:color="auto"/>
                                        <w:bottom w:val="none" w:sz="0" w:space="0" w:color="auto"/>
                                        <w:right w:val="none" w:sz="0" w:space="0" w:color="auto"/>
                                      </w:divBdr>
                                      <w:divsChild>
                                        <w:div w:id="1742173518">
                                          <w:marLeft w:val="0"/>
                                          <w:marRight w:val="0"/>
                                          <w:marTop w:val="0"/>
                                          <w:marBottom w:val="413"/>
                                          <w:divBdr>
                                            <w:top w:val="none" w:sz="0" w:space="0" w:color="auto"/>
                                            <w:left w:val="none" w:sz="0" w:space="0" w:color="auto"/>
                                            <w:bottom w:val="none" w:sz="0" w:space="0" w:color="auto"/>
                                            <w:right w:val="none" w:sz="0" w:space="0" w:color="auto"/>
                                          </w:divBdr>
                                          <w:divsChild>
                                            <w:div w:id="1667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22270/ujpr.v4i5.309"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4i5.309"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956D2-D423-4719-AC01-E9CD09EC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1714</Words>
  <Characters>9773</Characters>
  <Application>Microsoft Office Word</Application>
  <DocSecurity>0</DocSecurity>
  <Lines>81</Lines>
  <Paragraphs>22</Paragraphs>
  <ScaleCrop>false</ScaleCrop>
  <HeadingPairs>
    <vt:vector size="6" baseType="variant">
      <vt:variant>
        <vt:lpstr>Title</vt:lpstr>
      </vt:variant>
      <vt:variant>
        <vt:i4>1</vt:i4>
      </vt:variant>
      <vt:variant>
        <vt:lpstr>العنوان</vt:lpstr>
      </vt:variant>
      <vt:variant>
        <vt:i4>1</vt:i4>
      </vt:variant>
      <vt:variant>
        <vt:lpstr>Konu Başlığı</vt:lpstr>
      </vt:variant>
      <vt:variant>
        <vt:i4>1</vt:i4>
      </vt:variant>
    </vt:vector>
  </HeadingPairs>
  <TitlesOfParts>
    <vt:vector size="3" baseType="lpstr">
      <vt:lpstr/>
      <vt:lpstr/>
      <vt:lpstr/>
    </vt:vector>
  </TitlesOfParts>
  <Company>Naim Al Hussaini</Company>
  <LinksUpToDate>false</LinksUpToDate>
  <CharactersWithSpaces>11465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Kapil Kumar</cp:lastModifiedBy>
  <cp:revision>22</cp:revision>
  <cp:lastPrinted>2020-12-31T10:20:00Z</cp:lastPrinted>
  <dcterms:created xsi:type="dcterms:W3CDTF">2021-01-01T18:37:00Z</dcterms:created>
  <dcterms:modified xsi:type="dcterms:W3CDTF">2021-05-23T12:13:00Z</dcterms:modified>
</cp:coreProperties>
</file>