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1A6" w:rsidRPr="006C1E68" w:rsidRDefault="007041A6" w:rsidP="007041A6">
      <w:pPr>
        <w:shd w:val="clear" w:color="auto" w:fill="00B050"/>
        <w:jc w:val="center"/>
        <w:rPr>
          <w:b/>
          <w:bCs/>
          <w:color w:val="FFFFFF"/>
          <w:sz w:val="28"/>
          <w:szCs w:val="28"/>
        </w:rPr>
      </w:pPr>
      <w:r w:rsidRPr="006C1E68">
        <w:rPr>
          <w:b/>
          <w:bCs/>
          <w:color w:val="FFFFFF"/>
          <w:sz w:val="28"/>
          <w:szCs w:val="28"/>
        </w:rPr>
        <w:t>Reviewer’s Comments</w:t>
      </w:r>
    </w:p>
    <w:p w:rsidR="007041A6" w:rsidRDefault="007041A6" w:rsidP="007041A6">
      <w:pPr>
        <w:spacing w:line="276" w:lineRule="auto"/>
        <w:ind w:left="3540" w:hanging="3540"/>
        <w:rPr>
          <w:b/>
          <w:bCs/>
          <w:kern w:val="36"/>
          <w:lang w:val="en-US"/>
        </w:rPr>
      </w:pPr>
    </w:p>
    <w:p w:rsidR="007041A6" w:rsidRDefault="00BA7456" w:rsidP="007041A6">
      <w:pPr>
        <w:spacing w:line="276" w:lineRule="auto"/>
        <w:ind w:left="3540" w:hanging="3540"/>
        <w:rPr>
          <w:b/>
          <w:bCs/>
          <w:kern w:val="36"/>
          <w:lang w:val="en-US"/>
        </w:rPr>
      </w:pPr>
      <w:commentRangeStart w:id="0"/>
      <w:r>
        <w:rPr>
          <w:b/>
          <w:bCs/>
          <w:noProof/>
          <w:kern w:val="36"/>
          <w:lang w:val="en-US" w:eastAsia="en-US"/>
        </w:rPr>
        <w:drawing>
          <wp:inline distT="0" distB="0" distL="0" distR="0">
            <wp:extent cx="5933177" cy="184409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6286" cy="1848170"/>
                    </a:xfrm>
                    <a:prstGeom prst="rect">
                      <a:avLst/>
                    </a:prstGeom>
                    <a:noFill/>
                    <a:ln w="9525">
                      <a:noFill/>
                      <a:miter lim="800000"/>
                      <a:headEnd/>
                      <a:tailEnd/>
                    </a:ln>
                  </pic:spPr>
                </pic:pic>
              </a:graphicData>
            </a:graphic>
          </wp:inline>
        </w:drawing>
      </w:r>
      <w:commentRangeEnd w:id="0"/>
      <w:r>
        <w:rPr>
          <w:rStyle w:val="CommentReference"/>
        </w:rPr>
        <w:commentReference w:id="0"/>
      </w:r>
    </w:p>
    <w:p w:rsidR="007041A6" w:rsidRPr="00FB6F8C" w:rsidRDefault="007041A6" w:rsidP="007041A6">
      <w:pPr>
        <w:spacing w:line="276" w:lineRule="auto"/>
        <w:ind w:left="3540" w:hanging="3540"/>
        <w:rPr>
          <w:b/>
          <w:lang w:val="en-US"/>
        </w:rPr>
      </w:pPr>
      <w:commentRangeStart w:id="1"/>
      <w:r w:rsidRPr="00FB6F8C">
        <w:rPr>
          <w:b/>
          <w:bCs/>
          <w:kern w:val="36"/>
          <w:lang w:val="en-US"/>
        </w:rPr>
        <w:t>W</w:t>
      </w:r>
      <w:commentRangeEnd w:id="1"/>
      <w:r w:rsidR="004A5972">
        <w:rPr>
          <w:rStyle w:val="CommentReference"/>
        </w:rPr>
        <w:commentReference w:id="1"/>
      </w:r>
      <w:r w:rsidRPr="00FB6F8C">
        <w:rPr>
          <w:b/>
          <w:bCs/>
          <w:kern w:val="36"/>
          <w:lang w:val="en-US"/>
        </w:rPr>
        <w:t xml:space="preserve">hat </w:t>
      </w:r>
      <w:commentRangeStart w:id="2"/>
      <w:r w:rsidRPr="00FB6F8C">
        <w:rPr>
          <w:b/>
          <w:bCs/>
          <w:kern w:val="36"/>
          <w:lang w:val="en-US"/>
        </w:rPr>
        <w:t xml:space="preserve">Trace Elements </w:t>
      </w:r>
      <w:commentRangeEnd w:id="2"/>
      <w:r>
        <w:rPr>
          <w:rStyle w:val="CommentReference"/>
        </w:rPr>
        <w:commentReference w:id="2"/>
      </w:r>
      <w:r w:rsidRPr="001A7618">
        <w:rPr>
          <w:b/>
          <w:bCs/>
          <w:kern w:val="36"/>
          <w:lang w:val="en-US"/>
        </w:rPr>
        <w:t>can be</w:t>
      </w:r>
      <w:r>
        <w:rPr>
          <w:b/>
          <w:bCs/>
          <w:kern w:val="36"/>
          <w:lang w:val="en-US"/>
        </w:rPr>
        <w:t xml:space="preserve"> </w:t>
      </w:r>
      <w:r w:rsidRPr="00FB6F8C">
        <w:rPr>
          <w:b/>
          <w:bCs/>
          <w:kern w:val="36"/>
          <w:lang w:val="en-US"/>
        </w:rPr>
        <w:t xml:space="preserve">involved in </w:t>
      </w:r>
      <w:commentRangeStart w:id="3"/>
      <w:r w:rsidRPr="00FB6F8C">
        <w:rPr>
          <w:b/>
          <w:bCs/>
          <w:kern w:val="36"/>
          <w:lang w:val="en-US"/>
        </w:rPr>
        <w:t>Thyroid</w:t>
      </w:r>
      <w:commentRangeEnd w:id="3"/>
      <w:r>
        <w:rPr>
          <w:rStyle w:val="CommentReference"/>
        </w:rPr>
        <w:commentReference w:id="3"/>
      </w:r>
      <w:r w:rsidRPr="00FB6F8C">
        <w:rPr>
          <w:b/>
          <w:bCs/>
          <w:kern w:val="36"/>
          <w:lang w:val="en-US"/>
        </w:rPr>
        <w:t xml:space="preserve"> </w:t>
      </w:r>
      <w:r w:rsidRPr="00FB6F8C">
        <w:rPr>
          <w:rStyle w:val="y2iqfc"/>
          <w:b/>
          <w:lang w:val="en-US"/>
        </w:rPr>
        <w:t xml:space="preserve">Hypertrophic </w:t>
      </w:r>
      <w:r w:rsidRPr="00FB6F8C">
        <w:rPr>
          <w:b/>
          <w:bCs/>
          <w:kern w:val="36"/>
          <w:lang w:val="en-US"/>
        </w:rPr>
        <w:t>and Adenomatous T</w:t>
      </w:r>
      <w:commentRangeStart w:id="4"/>
      <w:r w:rsidRPr="00FB6F8C">
        <w:rPr>
          <w:b/>
          <w:bCs/>
          <w:kern w:val="36"/>
          <w:lang w:val="en-US"/>
        </w:rPr>
        <w:t>ransform</w:t>
      </w:r>
      <w:commentRangeEnd w:id="4"/>
      <w:r>
        <w:rPr>
          <w:rStyle w:val="CommentReference"/>
        </w:rPr>
        <w:commentReference w:id="4"/>
      </w:r>
      <w:r w:rsidRPr="00FB6F8C">
        <w:rPr>
          <w:b/>
          <w:bCs/>
          <w:kern w:val="36"/>
          <w:lang w:val="en-US"/>
        </w:rPr>
        <w:t>ation?</w:t>
      </w:r>
    </w:p>
    <w:p w:rsidR="007041A6" w:rsidRDefault="007041A6" w:rsidP="00204280">
      <w:pPr>
        <w:spacing w:line="276" w:lineRule="auto"/>
        <w:jc w:val="both"/>
        <w:rPr>
          <w:b/>
          <w:bCs/>
          <w:caps/>
          <w:lang w:val="en-US"/>
        </w:rPr>
      </w:pPr>
    </w:p>
    <w:p w:rsidR="00DA4B51" w:rsidRPr="00FB6F8C" w:rsidRDefault="00DA4B51" w:rsidP="00204280">
      <w:pPr>
        <w:spacing w:line="276" w:lineRule="auto"/>
        <w:jc w:val="both"/>
        <w:rPr>
          <w:b/>
          <w:bCs/>
          <w:caps/>
          <w:lang w:val="en-US"/>
        </w:rPr>
      </w:pPr>
      <w:r w:rsidRPr="00FB6F8C">
        <w:rPr>
          <w:b/>
          <w:bCs/>
          <w:caps/>
          <w:lang w:val="en-US"/>
        </w:rPr>
        <w:t xml:space="preserve">Abstract </w:t>
      </w:r>
    </w:p>
    <w:p w:rsidR="00C94B3F" w:rsidRPr="009E3408" w:rsidRDefault="00364AB5" w:rsidP="009E3408">
      <w:pPr>
        <w:pStyle w:val="CommentText"/>
        <w:spacing w:line="360" w:lineRule="auto"/>
        <w:rPr>
          <w:rFonts w:asciiTheme="majorBidi" w:hAnsiTheme="majorBidi" w:cstheme="majorBidi"/>
          <w:sz w:val="24"/>
          <w:szCs w:val="24"/>
          <w:lang w:val="en-US"/>
        </w:rPr>
      </w:pPr>
      <w:r w:rsidRPr="009E3408">
        <w:rPr>
          <w:rFonts w:asciiTheme="majorBidi" w:hAnsiTheme="majorBidi" w:cstheme="majorBidi"/>
          <w:b/>
          <w:sz w:val="24"/>
          <w:szCs w:val="24"/>
          <w:lang w:val="en-US"/>
        </w:rPr>
        <w:t>Background</w:t>
      </w:r>
      <w:r w:rsidRPr="009E3408">
        <w:rPr>
          <w:rFonts w:asciiTheme="majorBidi" w:hAnsiTheme="majorBidi" w:cstheme="majorBidi"/>
          <w:sz w:val="24"/>
          <w:szCs w:val="24"/>
          <w:lang w:val="en-US"/>
        </w:rPr>
        <w:t>:</w:t>
      </w:r>
      <w:r w:rsidR="0016368D" w:rsidRPr="009E3408">
        <w:rPr>
          <w:rFonts w:asciiTheme="majorBidi" w:hAnsiTheme="majorBidi" w:cstheme="majorBidi"/>
          <w:sz w:val="24"/>
          <w:szCs w:val="24"/>
          <w:lang w:val="en-US"/>
        </w:rPr>
        <w:t xml:space="preserve"> </w:t>
      </w:r>
      <w:r w:rsidR="00AA7700" w:rsidRPr="009E3408">
        <w:rPr>
          <w:rFonts w:asciiTheme="majorBidi" w:hAnsiTheme="majorBidi" w:cstheme="majorBidi"/>
          <w:sz w:val="24"/>
          <w:szCs w:val="24"/>
          <w:lang w:val="en-US"/>
        </w:rPr>
        <w:t xml:space="preserve">Thyroid benign nodules (TBNs) </w:t>
      </w:r>
      <w:commentRangeStart w:id="5"/>
      <w:r w:rsidR="00AA7700" w:rsidRPr="009E3408">
        <w:rPr>
          <w:rFonts w:asciiTheme="majorBidi" w:hAnsiTheme="majorBidi" w:cstheme="majorBidi"/>
          <w:sz w:val="24"/>
          <w:szCs w:val="24"/>
          <w:lang w:val="en-US"/>
        </w:rPr>
        <w:t xml:space="preserve">are the most common lesions </w:t>
      </w:r>
      <w:commentRangeEnd w:id="5"/>
      <w:r w:rsidR="007041A6">
        <w:rPr>
          <w:rStyle w:val="CommentReference"/>
        </w:rPr>
        <w:commentReference w:id="5"/>
      </w:r>
      <w:r w:rsidR="00AA7700" w:rsidRPr="009E3408">
        <w:rPr>
          <w:rFonts w:asciiTheme="majorBidi" w:hAnsiTheme="majorBidi" w:cstheme="majorBidi"/>
          <w:sz w:val="24"/>
          <w:szCs w:val="24"/>
          <w:lang w:val="en-US"/>
        </w:rPr>
        <w:t>of this endocrine gland</w:t>
      </w:r>
      <w:r w:rsidR="000D6AF8" w:rsidRPr="009E3408">
        <w:rPr>
          <w:rFonts w:asciiTheme="majorBidi" w:hAnsiTheme="majorBidi" w:cstheme="majorBidi"/>
          <w:sz w:val="24"/>
          <w:szCs w:val="24"/>
          <w:lang w:val="en-US"/>
        </w:rPr>
        <w:t xml:space="preserve"> </w:t>
      </w:r>
      <w:commentRangeStart w:id="6"/>
      <w:r w:rsidR="000D6AF8" w:rsidRPr="009E3408">
        <w:rPr>
          <w:rFonts w:asciiTheme="majorBidi" w:hAnsiTheme="majorBidi" w:cstheme="majorBidi"/>
          <w:sz w:val="24"/>
          <w:szCs w:val="24"/>
          <w:lang w:val="en-US"/>
        </w:rPr>
        <w:t>and are prevalent diseases around the world</w:t>
      </w:r>
      <w:commentRangeEnd w:id="6"/>
      <w:r w:rsidR="00860C9F" w:rsidRPr="009E3408">
        <w:rPr>
          <w:rStyle w:val="CommentReference"/>
          <w:rFonts w:asciiTheme="majorBidi" w:hAnsiTheme="majorBidi" w:cstheme="majorBidi"/>
          <w:sz w:val="24"/>
          <w:szCs w:val="24"/>
          <w:rtl/>
        </w:rPr>
        <w:commentReference w:id="6"/>
      </w:r>
      <w:r w:rsidR="00AA7700" w:rsidRPr="009E3408">
        <w:rPr>
          <w:rFonts w:asciiTheme="majorBidi" w:hAnsiTheme="majorBidi" w:cstheme="majorBidi"/>
          <w:sz w:val="24"/>
          <w:szCs w:val="24"/>
        </w:rPr>
        <w:t xml:space="preserve">. </w:t>
      </w:r>
      <w:r w:rsidR="00AA7700" w:rsidRPr="009E3408">
        <w:rPr>
          <w:rFonts w:asciiTheme="majorBidi" w:hAnsiTheme="majorBidi" w:cstheme="majorBidi"/>
          <w:bCs/>
          <w:kern w:val="36"/>
          <w:sz w:val="24"/>
          <w:szCs w:val="24"/>
          <w:lang w:val="en-US"/>
        </w:rPr>
        <w:t xml:space="preserve">Among </w:t>
      </w:r>
      <w:r w:rsidR="00AA7700" w:rsidRPr="009E3408">
        <w:rPr>
          <w:rFonts w:asciiTheme="majorBidi" w:hAnsiTheme="majorBidi" w:cstheme="majorBidi"/>
          <w:sz w:val="24"/>
          <w:szCs w:val="24"/>
          <w:lang w:val="en-US"/>
        </w:rPr>
        <w:t>TBNs the colloid goiter (CG</w:t>
      </w:r>
      <w:r w:rsidR="00034A9D" w:rsidRPr="009E3408">
        <w:rPr>
          <w:rFonts w:asciiTheme="majorBidi" w:hAnsiTheme="majorBidi" w:cstheme="majorBidi"/>
          <w:sz w:val="24"/>
          <w:szCs w:val="24"/>
          <w:lang w:val="en-US"/>
        </w:rPr>
        <w:t>)</w:t>
      </w:r>
      <w:r w:rsidR="00AA7700" w:rsidRPr="009E3408">
        <w:rPr>
          <w:rFonts w:asciiTheme="majorBidi" w:hAnsiTheme="majorBidi" w:cstheme="majorBidi"/>
          <w:sz w:val="24"/>
          <w:szCs w:val="24"/>
          <w:lang w:val="en-US"/>
        </w:rPr>
        <w:t xml:space="preserve"> and </w:t>
      </w:r>
      <w:r w:rsidR="00AA7700" w:rsidRPr="009E3408">
        <w:rPr>
          <w:rFonts w:asciiTheme="majorBidi" w:hAnsiTheme="majorBidi" w:cstheme="majorBidi"/>
          <w:bCs/>
          <w:kern w:val="36"/>
          <w:sz w:val="24"/>
          <w:szCs w:val="24"/>
          <w:lang w:val="en-US"/>
        </w:rPr>
        <w:t xml:space="preserve">thyroid adenoma (TA) are </w:t>
      </w:r>
      <w:r w:rsidR="000D6AF8" w:rsidRPr="009E3408">
        <w:rPr>
          <w:rFonts w:asciiTheme="majorBidi" w:hAnsiTheme="majorBidi" w:cstheme="majorBidi"/>
          <w:bCs/>
          <w:kern w:val="36"/>
          <w:sz w:val="24"/>
          <w:szCs w:val="24"/>
          <w:lang w:val="en-US"/>
        </w:rPr>
        <w:t>very</w:t>
      </w:r>
      <w:r w:rsidR="00AA7700" w:rsidRPr="009E3408">
        <w:rPr>
          <w:rFonts w:asciiTheme="majorBidi" w:hAnsiTheme="majorBidi" w:cstheme="majorBidi"/>
          <w:bCs/>
          <w:kern w:val="36"/>
          <w:sz w:val="24"/>
          <w:szCs w:val="24"/>
          <w:lang w:val="en-US"/>
        </w:rPr>
        <w:t xml:space="preserve"> frequent</w:t>
      </w:r>
      <w:r w:rsidR="00555025" w:rsidRPr="009E3408">
        <w:rPr>
          <w:rFonts w:asciiTheme="majorBidi" w:hAnsiTheme="majorBidi" w:cstheme="majorBidi"/>
          <w:bCs/>
          <w:kern w:val="36"/>
          <w:sz w:val="24"/>
          <w:szCs w:val="24"/>
          <w:lang w:val="en-US"/>
        </w:rPr>
        <w:t xml:space="preserve"> </w:t>
      </w:r>
      <w:r w:rsidR="00DF116B" w:rsidRPr="009E3408">
        <w:rPr>
          <w:rFonts w:asciiTheme="majorBidi" w:hAnsiTheme="majorBidi" w:cstheme="majorBidi"/>
          <w:sz w:val="24"/>
          <w:szCs w:val="24"/>
        </w:rPr>
        <w:t xml:space="preserve">diseases. </w:t>
      </w:r>
      <w:commentRangeStart w:id="7"/>
      <w:r w:rsidR="00564375" w:rsidRPr="009E3408">
        <w:rPr>
          <w:rFonts w:asciiTheme="majorBidi" w:hAnsiTheme="majorBidi" w:cstheme="majorBidi"/>
          <w:bCs/>
          <w:kern w:val="36"/>
          <w:sz w:val="24"/>
          <w:szCs w:val="24"/>
          <w:lang w:val="en-US"/>
        </w:rPr>
        <w:t xml:space="preserve">An </w:t>
      </w:r>
      <w:r w:rsidR="00564375" w:rsidRPr="009E3408">
        <w:rPr>
          <w:rFonts w:asciiTheme="majorBidi" w:hAnsiTheme="majorBidi" w:cstheme="majorBidi"/>
          <w:sz w:val="24"/>
          <w:szCs w:val="24"/>
          <w:lang w:val="en-US"/>
        </w:rPr>
        <w:t xml:space="preserve">evaluation </w:t>
      </w:r>
      <w:commentRangeEnd w:id="7"/>
      <w:r w:rsidR="00860C9F" w:rsidRPr="009E3408">
        <w:rPr>
          <w:rStyle w:val="CommentReference"/>
          <w:rFonts w:asciiTheme="majorBidi" w:hAnsiTheme="majorBidi" w:cstheme="majorBidi"/>
          <w:sz w:val="24"/>
          <w:szCs w:val="24"/>
          <w:rtl/>
        </w:rPr>
        <w:commentReference w:id="7"/>
      </w:r>
      <w:r w:rsidR="00564375" w:rsidRPr="009E3408">
        <w:rPr>
          <w:rFonts w:asciiTheme="majorBidi" w:hAnsiTheme="majorBidi" w:cstheme="majorBidi"/>
          <w:sz w:val="24"/>
          <w:szCs w:val="24"/>
          <w:lang w:val="en-US"/>
        </w:rPr>
        <w:t xml:space="preserve">of </w:t>
      </w:r>
      <w:commentRangeStart w:id="8"/>
      <w:r w:rsidR="00564375" w:rsidRPr="009E3408">
        <w:rPr>
          <w:rFonts w:asciiTheme="majorBidi" w:hAnsiTheme="majorBidi" w:cstheme="majorBidi"/>
          <w:sz w:val="24"/>
          <w:szCs w:val="24"/>
          <w:lang w:val="en-US"/>
        </w:rPr>
        <w:t>the</w:t>
      </w:r>
      <w:commentRangeEnd w:id="8"/>
      <w:r w:rsidR="00860C9F" w:rsidRPr="009E3408">
        <w:rPr>
          <w:rStyle w:val="CommentReference"/>
          <w:rFonts w:asciiTheme="majorBidi" w:hAnsiTheme="majorBidi" w:cstheme="majorBidi"/>
          <w:sz w:val="24"/>
          <w:szCs w:val="24"/>
          <w:rtl/>
        </w:rPr>
        <w:commentReference w:id="8"/>
      </w:r>
      <w:r w:rsidR="00564375" w:rsidRPr="009E3408">
        <w:rPr>
          <w:rFonts w:asciiTheme="majorBidi" w:hAnsiTheme="majorBidi" w:cstheme="majorBidi"/>
          <w:sz w:val="24"/>
          <w:szCs w:val="24"/>
          <w:lang w:val="en-US"/>
        </w:rPr>
        <w:t xml:space="preserve"> variant of TBNs is </w:t>
      </w:r>
      <w:r w:rsidR="00564375" w:rsidRPr="009E3408">
        <w:rPr>
          <w:rFonts w:asciiTheme="majorBidi" w:hAnsiTheme="majorBidi" w:cstheme="majorBidi"/>
          <w:color w:val="000000"/>
          <w:sz w:val="24"/>
          <w:szCs w:val="24"/>
          <w:lang w:val="en-US"/>
        </w:rPr>
        <w:t xml:space="preserve">clinically </w:t>
      </w:r>
      <w:r w:rsidR="00564375" w:rsidRPr="009E3408">
        <w:rPr>
          <w:rFonts w:asciiTheme="majorBidi" w:hAnsiTheme="majorBidi" w:cstheme="majorBidi"/>
          <w:sz w:val="24"/>
          <w:szCs w:val="24"/>
          <w:lang w:val="en-US"/>
        </w:rPr>
        <w:t>important</w:t>
      </w:r>
      <w:r w:rsidR="00555025" w:rsidRPr="009E3408">
        <w:rPr>
          <w:rFonts w:asciiTheme="majorBidi" w:hAnsiTheme="majorBidi" w:cstheme="majorBidi"/>
          <w:sz w:val="24"/>
          <w:szCs w:val="24"/>
          <w:lang w:val="en-US"/>
        </w:rPr>
        <w:t xml:space="preserve"> </w:t>
      </w:r>
      <w:r w:rsidR="00564375" w:rsidRPr="009E3408">
        <w:rPr>
          <w:rFonts w:asciiTheme="majorBidi" w:hAnsiTheme="majorBidi" w:cstheme="majorBidi"/>
          <w:sz w:val="24"/>
          <w:szCs w:val="24"/>
          <w:lang w:val="en-US"/>
        </w:rPr>
        <w:t xml:space="preserve">for subsequent therapeutic interventions, as well as for </w:t>
      </w:r>
      <w:commentRangeStart w:id="9"/>
      <w:r w:rsidR="00564375" w:rsidRPr="009E3408">
        <w:rPr>
          <w:rFonts w:asciiTheme="majorBidi" w:hAnsiTheme="majorBidi" w:cstheme="majorBidi"/>
          <w:sz w:val="24"/>
          <w:szCs w:val="24"/>
          <w:lang w:val="en-US"/>
        </w:rPr>
        <w:t xml:space="preserve">more clear </w:t>
      </w:r>
      <w:commentRangeEnd w:id="9"/>
      <w:r w:rsidR="00860C9F" w:rsidRPr="009E3408">
        <w:rPr>
          <w:rStyle w:val="CommentReference"/>
          <w:rFonts w:asciiTheme="majorBidi" w:hAnsiTheme="majorBidi" w:cstheme="majorBidi"/>
          <w:sz w:val="24"/>
          <w:szCs w:val="24"/>
        </w:rPr>
        <w:commentReference w:id="9"/>
      </w:r>
      <w:r w:rsidR="00564375" w:rsidRPr="009E3408">
        <w:rPr>
          <w:rFonts w:asciiTheme="majorBidi" w:hAnsiTheme="majorBidi" w:cstheme="majorBidi"/>
          <w:sz w:val="24"/>
          <w:szCs w:val="24"/>
          <w:lang w:val="en-US"/>
        </w:rPr>
        <w:t>understanding t</w:t>
      </w:r>
      <w:r w:rsidR="00FB6F8C" w:rsidRPr="009E3408">
        <w:rPr>
          <w:rFonts w:asciiTheme="majorBidi" w:hAnsiTheme="majorBidi" w:cstheme="majorBidi"/>
          <w:sz w:val="24"/>
          <w:szCs w:val="24"/>
          <w:lang w:val="en-US"/>
        </w:rPr>
        <w:t>he</w:t>
      </w:r>
      <w:r w:rsidR="00860C9F" w:rsidRPr="009E3408">
        <w:rPr>
          <w:rStyle w:val="CommentReference"/>
          <w:rFonts w:asciiTheme="majorBidi" w:hAnsiTheme="majorBidi" w:cstheme="majorBidi"/>
          <w:sz w:val="24"/>
          <w:szCs w:val="24"/>
        </w:rPr>
        <w:annotationRef/>
      </w:r>
      <w:r w:rsidR="00860C9F" w:rsidRPr="009E3408">
        <w:rPr>
          <w:rFonts w:asciiTheme="majorBidi" w:hAnsiTheme="majorBidi" w:cstheme="majorBidi"/>
          <w:sz w:val="24"/>
          <w:szCs w:val="24"/>
          <w:lang w:val="en-US"/>
        </w:rPr>
        <w:t xml:space="preserve"> </w:t>
      </w:r>
      <w:r w:rsidR="00FB6F8C" w:rsidRPr="009E3408">
        <w:rPr>
          <w:rFonts w:asciiTheme="majorBidi" w:hAnsiTheme="majorBidi" w:cstheme="majorBidi"/>
          <w:sz w:val="24"/>
          <w:szCs w:val="24"/>
          <w:lang w:val="en-US"/>
        </w:rPr>
        <w:t xml:space="preserve">etiology of these disorders. </w:t>
      </w:r>
      <w:r w:rsidR="00DA4B51" w:rsidRPr="009E3408">
        <w:rPr>
          <w:rFonts w:asciiTheme="majorBidi" w:hAnsiTheme="majorBidi" w:cstheme="majorBidi"/>
          <w:sz w:val="24"/>
          <w:szCs w:val="24"/>
          <w:lang w:val="en-US"/>
        </w:rPr>
        <w:t xml:space="preserve">The aim of this exploratory study was </w:t>
      </w:r>
      <w:r w:rsidR="000A2E06" w:rsidRPr="009E3408">
        <w:rPr>
          <w:rFonts w:asciiTheme="majorBidi" w:hAnsiTheme="majorBidi" w:cstheme="majorBidi"/>
          <w:spacing w:val="1"/>
          <w:sz w:val="24"/>
          <w:szCs w:val="24"/>
          <w:lang w:val="en-GB"/>
        </w:rPr>
        <w:t xml:space="preserve">to examine </w:t>
      </w:r>
      <w:r w:rsidR="00564375" w:rsidRPr="009E3408">
        <w:rPr>
          <w:rFonts w:asciiTheme="majorBidi" w:hAnsiTheme="majorBidi" w:cstheme="majorBidi"/>
          <w:spacing w:val="1"/>
          <w:sz w:val="24"/>
          <w:szCs w:val="24"/>
          <w:lang w:val="en-GB"/>
        </w:rPr>
        <w:t xml:space="preserve">differences in </w:t>
      </w:r>
      <w:r w:rsidR="000A2E06" w:rsidRPr="009E3408">
        <w:rPr>
          <w:rFonts w:asciiTheme="majorBidi" w:hAnsiTheme="majorBidi" w:cstheme="majorBidi"/>
          <w:spacing w:val="1"/>
          <w:sz w:val="24"/>
          <w:szCs w:val="24"/>
          <w:lang w:val="en-GB"/>
        </w:rPr>
        <w:t>the content of</w:t>
      </w:r>
      <w:r w:rsidR="00555025" w:rsidRPr="009E3408">
        <w:rPr>
          <w:rFonts w:asciiTheme="majorBidi" w:hAnsiTheme="majorBidi" w:cstheme="majorBidi"/>
          <w:spacing w:val="1"/>
          <w:sz w:val="24"/>
          <w:szCs w:val="24"/>
          <w:lang w:val="en-GB"/>
        </w:rPr>
        <w:t xml:space="preserve"> </w:t>
      </w:r>
      <w:r w:rsidR="00765A84" w:rsidRPr="009E3408">
        <w:rPr>
          <w:rFonts w:asciiTheme="majorBidi" w:hAnsiTheme="majorBidi" w:cstheme="majorBidi"/>
          <w:sz w:val="24"/>
          <w:szCs w:val="24"/>
          <w:lang w:val="en-US"/>
        </w:rPr>
        <w:t>fifty trace elements (TE)</w:t>
      </w:r>
      <w:r w:rsidR="00555025" w:rsidRPr="009E3408">
        <w:rPr>
          <w:rFonts w:asciiTheme="majorBidi" w:hAnsiTheme="majorBidi" w:cstheme="majorBidi"/>
          <w:sz w:val="24"/>
          <w:szCs w:val="24"/>
          <w:lang w:val="en-US"/>
        </w:rPr>
        <w:t xml:space="preserve"> </w:t>
      </w:r>
      <w:r w:rsidR="00DA4B51" w:rsidRPr="009E3408">
        <w:rPr>
          <w:rFonts w:asciiTheme="majorBidi" w:hAnsiTheme="majorBidi" w:cstheme="majorBidi"/>
          <w:sz w:val="24"/>
          <w:szCs w:val="24"/>
          <w:lang w:val="en-US"/>
        </w:rPr>
        <w:t xml:space="preserve">in </w:t>
      </w:r>
      <w:commentRangeStart w:id="10"/>
      <w:r w:rsidR="00564375" w:rsidRPr="009E3408">
        <w:rPr>
          <w:rFonts w:asciiTheme="majorBidi" w:hAnsiTheme="majorBidi" w:cstheme="majorBidi"/>
          <w:sz w:val="24"/>
          <w:szCs w:val="24"/>
          <w:lang w:val="en-US"/>
        </w:rPr>
        <w:t>tissues of CG</w:t>
      </w:r>
      <w:r w:rsidR="00555025" w:rsidRPr="009E3408">
        <w:rPr>
          <w:rFonts w:asciiTheme="majorBidi" w:hAnsiTheme="majorBidi" w:cstheme="majorBidi"/>
          <w:sz w:val="24"/>
          <w:szCs w:val="24"/>
          <w:lang w:val="en-US"/>
        </w:rPr>
        <w:t xml:space="preserve"> </w:t>
      </w:r>
      <w:r w:rsidR="000A2E06" w:rsidRPr="009E3408">
        <w:rPr>
          <w:rFonts w:asciiTheme="majorBidi" w:hAnsiTheme="majorBidi" w:cstheme="majorBidi"/>
          <w:sz w:val="24"/>
          <w:szCs w:val="24"/>
          <w:lang w:val="en-US"/>
        </w:rPr>
        <w:t xml:space="preserve">and </w:t>
      </w:r>
      <w:r w:rsidR="00564375" w:rsidRPr="009E3408">
        <w:rPr>
          <w:rFonts w:asciiTheme="majorBidi" w:hAnsiTheme="majorBidi" w:cstheme="majorBidi"/>
          <w:spacing w:val="1"/>
          <w:sz w:val="24"/>
          <w:szCs w:val="24"/>
          <w:lang w:val="en-GB"/>
        </w:rPr>
        <w:t>T</w:t>
      </w:r>
      <w:r w:rsidR="00034A9D" w:rsidRPr="009E3408">
        <w:rPr>
          <w:rFonts w:asciiTheme="majorBidi" w:hAnsiTheme="majorBidi" w:cstheme="majorBidi"/>
          <w:spacing w:val="1"/>
          <w:sz w:val="24"/>
          <w:szCs w:val="24"/>
          <w:lang w:val="en-GB"/>
        </w:rPr>
        <w:t>A</w:t>
      </w:r>
      <w:commentRangeEnd w:id="10"/>
      <w:r w:rsidR="00D87011" w:rsidRPr="009E3408">
        <w:rPr>
          <w:rStyle w:val="CommentReference"/>
          <w:rFonts w:asciiTheme="majorBidi" w:hAnsiTheme="majorBidi" w:cstheme="majorBidi"/>
          <w:sz w:val="24"/>
          <w:szCs w:val="24"/>
        </w:rPr>
        <w:commentReference w:id="10"/>
      </w:r>
      <w:r w:rsidR="00DA4B51" w:rsidRPr="009E3408">
        <w:rPr>
          <w:rFonts w:asciiTheme="majorBidi" w:hAnsiTheme="majorBidi" w:cstheme="majorBidi"/>
          <w:sz w:val="24"/>
          <w:szCs w:val="24"/>
          <w:lang w:val="en-US"/>
        </w:rPr>
        <w:t xml:space="preserve">. </w:t>
      </w:r>
      <w:r w:rsidR="009241E6" w:rsidRPr="009E3408">
        <w:rPr>
          <w:rFonts w:asciiTheme="majorBidi" w:hAnsiTheme="majorBidi" w:cstheme="majorBidi"/>
          <w:sz w:val="24"/>
          <w:szCs w:val="24"/>
          <w:lang w:val="en-US"/>
        </w:rPr>
        <w:t xml:space="preserve"> </w:t>
      </w:r>
      <w:r w:rsidR="00E95848" w:rsidRPr="009E3408">
        <w:rPr>
          <w:rFonts w:asciiTheme="majorBidi" w:hAnsiTheme="majorBidi" w:cstheme="majorBidi"/>
          <w:b/>
          <w:sz w:val="24"/>
          <w:szCs w:val="24"/>
          <w:lang w:val="en-US"/>
        </w:rPr>
        <w:t>Method</w:t>
      </w:r>
      <w:r w:rsidR="00E95848" w:rsidRPr="009E3408">
        <w:rPr>
          <w:rFonts w:asciiTheme="majorBidi" w:hAnsiTheme="majorBidi" w:cstheme="majorBidi"/>
          <w:sz w:val="24"/>
          <w:szCs w:val="24"/>
          <w:lang w:val="en-US"/>
        </w:rPr>
        <w:t>s:</w:t>
      </w:r>
      <w:r w:rsidR="00D87011" w:rsidRPr="009E3408">
        <w:rPr>
          <w:rFonts w:asciiTheme="majorBidi" w:hAnsiTheme="majorBidi" w:cstheme="majorBidi"/>
          <w:sz w:val="24"/>
          <w:szCs w:val="24"/>
          <w:lang w:val="en-US"/>
        </w:rPr>
        <w:t xml:space="preserve"> </w:t>
      </w:r>
      <w:r w:rsidR="00F85995" w:rsidRPr="009E3408">
        <w:rPr>
          <w:rFonts w:asciiTheme="majorBidi" w:hAnsiTheme="majorBidi" w:cstheme="majorBidi"/>
          <w:sz w:val="24"/>
          <w:szCs w:val="24"/>
          <w:lang w:val="en-US"/>
        </w:rPr>
        <w:t>Thyroid</w:t>
      </w:r>
      <w:r w:rsidR="00DA4B51" w:rsidRPr="009E3408">
        <w:rPr>
          <w:rFonts w:asciiTheme="majorBidi" w:hAnsiTheme="majorBidi" w:cstheme="majorBidi"/>
          <w:sz w:val="24"/>
          <w:szCs w:val="24"/>
          <w:lang w:val="en-US"/>
        </w:rPr>
        <w:t xml:space="preserve"> tissue levels of </w:t>
      </w:r>
      <w:r w:rsidR="00765A84" w:rsidRPr="009E3408">
        <w:rPr>
          <w:rFonts w:asciiTheme="majorBidi" w:hAnsiTheme="majorBidi" w:cstheme="majorBidi"/>
          <w:sz w:val="24"/>
          <w:szCs w:val="24"/>
          <w:lang w:val="en-US"/>
        </w:rPr>
        <w:t>TE</w:t>
      </w:r>
      <w:r w:rsidR="00D87011" w:rsidRPr="009E3408">
        <w:rPr>
          <w:rFonts w:asciiTheme="majorBidi" w:hAnsiTheme="majorBidi" w:cstheme="majorBidi"/>
          <w:sz w:val="24"/>
          <w:szCs w:val="24"/>
          <w:lang w:val="en-US"/>
        </w:rPr>
        <w:t xml:space="preserve"> </w:t>
      </w:r>
      <w:r w:rsidR="00DA4B51" w:rsidRPr="009E3408">
        <w:rPr>
          <w:rFonts w:asciiTheme="majorBidi" w:hAnsiTheme="majorBidi" w:cstheme="majorBidi"/>
          <w:bCs/>
          <w:sz w:val="24"/>
          <w:szCs w:val="24"/>
          <w:lang w:val="en-US"/>
        </w:rPr>
        <w:t>were</w:t>
      </w:r>
      <w:r w:rsidR="00DA4B51" w:rsidRPr="009E3408">
        <w:rPr>
          <w:rFonts w:asciiTheme="majorBidi" w:hAnsiTheme="majorBidi" w:cstheme="majorBidi"/>
          <w:sz w:val="24"/>
          <w:szCs w:val="24"/>
          <w:lang w:val="en-US"/>
        </w:rPr>
        <w:t xml:space="preserve"> </w:t>
      </w:r>
      <w:commentRangeStart w:id="11"/>
      <w:r w:rsidR="00DA4B51" w:rsidRPr="009E3408">
        <w:rPr>
          <w:rFonts w:asciiTheme="majorBidi" w:hAnsiTheme="majorBidi" w:cstheme="majorBidi"/>
          <w:sz w:val="24"/>
          <w:szCs w:val="24"/>
          <w:lang w:val="en-US"/>
        </w:rPr>
        <w:t xml:space="preserve">prospectively evaluated </w:t>
      </w:r>
      <w:commentRangeEnd w:id="11"/>
      <w:r w:rsidR="007041A6">
        <w:rPr>
          <w:rStyle w:val="CommentReference"/>
        </w:rPr>
        <w:commentReference w:id="11"/>
      </w:r>
      <w:r w:rsidR="00DA4B51" w:rsidRPr="009E3408">
        <w:rPr>
          <w:rFonts w:asciiTheme="majorBidi" w:hAnsiTheme="majorBidi" w:cstheme="majorBidi"/>
          <w:sz w:val="24"/>
          <w:szCs w:val="24"/>
          <w:lang w:val="en-US"/>
        </w:rPr>
        <w:t xml:space="preserve">in </w:t>
      </w:r>
      <w:r w:rsidR="008F1DD0" w:rsidRPr="009E3408">
        <w:rPr>
          <w:rFonts w:asciiTheme="majorBidi" w:hAnsiTheme="majorBidi" w:cstheme="majorBidi"/>
          <w:sz w:val="24"/>
          <w:szCs w:val="24"/>
          <w:lang w:val="en-US"/>
        </w:rPr>
        <w:t>46 patients with CG</w:t>
      </w:r>
      <w:r w:rsidR="00034A9D" w:rsidRPr="009E3408">
        <w:rPr>
          <w:rFonts w:asciiTheme="majorBidi" w:hAnsiTheme="majorBidi" w:cstheme="majorBidi"/>
          <w:sz w:val="24"/>
          <w:szCs w:val="24"/>
          <w:lang w:val="en-US"/>
        </w:rPr>
        <w:t xml:space="preserve"> and </w:t>
      </w:r>
      <w:r w:rsidR="00DE68B3" w:rsidRPr="009E3408">
        <w:rPr>
          <w:rFonts w:asciiTheme="majorBidi" w:hAnsiTheme="majorBidi" w:cstheme="majorBidi"/>
          <w:sz w:val="24"/>
          <w:szCs w:val="24"/>
          <w:lang w:val="en-US"/>
        </w:rPr>
        <w:t>19</w:t>
      </w:r>
      <w:r w:rsidR="00DA4B51" w:rsidRPr="009E3408">
        <w:rPr>
          <w:rFonts w:asciiTheme="majorBidi" w:hAnsiTheme="majorBidi" w:cstheme="majorBidi"/>
          <w:sz w:val="24"/>
          <w:szCs w:val="24"/>
          <w:lang w:val="en-US"/>
        </w:rPr>
        <w:t xml:space="preserve"> patients with </w:t>
      </w:r>
      <w:r w:rsidR="00DE68B3" w:rsidRPr="009E3408">
        <w:rPr>
          <w:rFonts w:asciiTheme="majorBidi" w:hAnsiTheme="majorBidi" w:cstheme="majorBidi"/>
          <w:sz w:val="24"/>
          <w:szCs w:val="24"/>
          <w:lang w:val="en-US"/>
        </w:rPr>
        <w:t>TA</w:t>
      </w:r>
      <w:r w:rsidR="00DA4B51" w:rsidRPr="009E3408">
        <w:rPr>
          <w:rFonts w:asciiTheme="majorBidi" w:hAnsiTheme="majorBidi" w:cstheme="majorBidi"/>
          <w:sz w:val="24"/>
          <w:szCs w:val="24"/>
          <w:lang w:val="en-US"/>
        </w:rPr>
        <w:t xml:space="preserve">. </w:t>
      </w:r>
      <w:commentRangeStart w:id="12"/>
      <w:r w:rsidR="008F54CE" w:rsidRPr="009E3408">
        <w:rPr>
          <w:rFonts w:asciiTheme="majorBidi" w:hAnsiTheme="majorBidi" w:cstheme="majorBidi"/>
          <w:sz w:val="24"/>
          <w:szCs w:val="24"/>
          <w:lang w:val="en-US"/>
        </w:rPr>
        <w:t>Measurements</w:t>
      </w:r>
      <w:commentRangeEnd w:id="12"/>
      <w:r w:rsidR="00D87011" w:rsidRPr="009E3408">
        <w:rPr>
          <w:rStyle w:val="CommentReference"/>
          <w:rFonts w:asciiTheme="majorBidi" w:hAnsiTheme="majorBidi" w:cstheme="majorBidi"/>
          <w:sz w:val="24"/>
          <w:szCs w:val="24"/>
        </w:rPr>
        <w:commentReference w:id="12"/>
      </w:r>
      <w:r w:rsidR="008F54CE" w:rsidRPr="009E3408">
        <w:rPr>
          <w:rFonts w:asciiTheme="majorBidi" w:hAnsiTheme="majorBidi" w:cstheme="majorBidi"/>
          <w:sz w:val="24"/>
          <w:szCs w:val="24"/>
          <w:lang w:val="en-US"/>
        </w:rPr>
        <w:t xml:space="preserve"> were performed using </w:t>
      </w:r>
      <w:r w:rsidR="00034A9D" w:rsidRPr="009E3408">
        <w:rPr>
          <w:rFonts w:asciiTheme="majorBidi" w:hAnsiTheme="majorBidi" w:cstheme="majorBidi"/>
          <w:sz w:val="24"/>
          <w:szCs w:val="24"/>
          <w:lang w:val="en-US"/>
        </w:rPr>
        <w:t xml:space="preserve">a combination of non-destructive and destructive methods: instrumental neutron activation analysis with high resolution spectrometry of </w:t>
      </w:r>
      <w:r w:rsidR="00765A84" w:rsidRPr="009E3408">
        <w:rPr>
          <w:rFonts w:asciiTheme="majorBidi" w:hAnsiTheme="majorBidi" w:cstheme="majorBidi"/>
          <w:sz w:val="24"/>
          <w:szCs w:val="24"/>
          <w:lang w:val="en-US"/>
        </w:rPr>
        <w:t>long-lived radionuclides (INAA-L</w:t>
      </w:r>
      <w:r w:rsidR="00034A9D" w:rsidRPr="009E3408">
        <w:rPr>
          <w:rFonts w:asciiTheme="majorBidi" w:hAnsiTheme="majorBidi" w:cstheme="majorBidi"/>
          <w:sz w:val="24"/>
          <w:szCs w:val="24"/>
          <w:lang w:val="en-US"/>
        </w:rPr>
        <w:t xml:space="preserve">LR) and inductively coupled plasma </w:t>
      </w:r>
      <w:r w:rsidR="00765A84" w:rsidRPr="009E3408">
        <w:rPr>
          <w:rFonts w:asciiTheme="majorBidi" w:hAnsiTheme="majorBidi" w:cstheme="majorBidi"/>
          <w:sz w:val="24"/>
          <w:szCs w:val="24"/>
          <w:lang w:val="en-US"/>
        </w:rPr>
        <w:t>mass spectrometry (ICPM</w:t>
      </w:r>
      <w:r w:rsidR="00034A9D" w:rsidRPr="009E3408">
        <w:rPr>
          <w:rFonts w:asciiTheme="majorBidi" w:hAnsiTheme="majorBidi" w:cstheme="majorBidi"/>
          <w:sz w:val="24"/>
          <w:szCs w:val="24"/>
          <w:lang w:val="en-US"/>
        </w:rPr>
        <w:t>S), respectively.</w:t>
      </w:r>
      <w:r w:rsidR="00D87011" w:rsidRPr="009E3408">
        <w:rPr>
          <w:rFonts w:asciiTheme="majorBidi" w:hAnsiTheme="majorBidi" w:cstheme="majorBidi"/>
          <w:sz w:val="24"/>
          <w:szCs w:val="24"/>
          <w:lang w:val="en-US"/>
        </w:rPr>
        <w:t xml:space="preserve"> </w:t>
      </w:r>
      <w:r w:rsidR="00DA4B51" w:rsidRPr="009E3408">
        <w:rPr>
          <w:rFonts w:asciiTheme="majorBidi" w:hAnsiTheme="majorBidi" w:cstheme="majorBidi"/>
          <w:sz w:val="24"/>
          <w:szCs w:val="24"/>
          <w:lang w:val="en-US"/>
        </w:rPr>
        <w:t xml:space="preserve">Tissue samples were divided into two portions. One was used for morphological study while the other was intended for </w:t>
      </w:r>
      <w:r w:rsidR="00765A84" w:rsidRPr="009E3408">
        <w:rPr>
          <w:rFonts w:asciiTheme="majorBidi" w:hAnsiTheme="majorBidi" w:cstheme="majorBidi"/>
          <w:sz w:val="24"/>
          <w:szCs w:val="24"/>
          <w:lang w:val="en-US"/>
        </w:rPr>
        <w:t>TE</w:t>
      </w:r>
      <w:r w:rsidR="00D87011" w:rsidRPr="009E3408">
        <w:rPr>
          <w:rFonts w:asciiTheme="majorBidi" w:hAnsiTheme="majorBidi" w:cstheme="majorBidi"/>
          <w:sz w:val="24"/>
          <w:szCs w:val="24"/>
          <w:lang w:val="en-US"/>
        </w:rPr>
        <w:t xml:space="preserve"> </w:t>
      </w:r>
      <w:r w:rsidR="00DA4B51" w:rsidRPr="009E3408">
        <w:rPr>
          <w:rFonts w:asciiTheme="majorBidi" w:hAnsiTheme="majorBidi" w:cstheme="majorBidi"/>
          <w:sz w:val="24"/>
          <w:szCs w:val="24"/>
          <w:lang w:val="en-US"/>
        </w:rPr>
        <w:t xml:space="preserve">analysis. </w:t>
      </w:r>
      <w:r w:rsidR="00E95848" w:rsidRPr="009E3408">
        <w:rPr>
          <w:rFonts w:asciiTheme="majorBidi" w:hAnsiTheme="majorBidi" w:cstheme="majorBidi"/>
          <w:b/>
          <w:sz w:val="24"/>
          <w:szCs w:val="24"/>
          <w:lang w:val="en-US"/>
        </w:rPr>
        <w:t>Results</w:t>
      </w:r>
      <w:r w:rsidR="00E95848" w:rsidRPr="009E3408">
        <w:rPr>
          <w:rFonts w:asciiTheme="majorBidi" w:hAnsiTheme="majorBidi" w:cstheme="majorBidi"/>
          <w:sz w:val="24"/>
          <w:szCs w:val="24"/>
          <w:lang w:val="en-US"/>
        </w:rPr>
        <w:t>:</w:t>
      </w:r>
      <w:r w:rsidR="00D87011" w:rsidRPr="009E3408">
        <w:rPr>
          <w:rFonts w:asciiTheme="majorBidi" w:hAnsiTheme="majorBidi" w:cstheme="majorBidi"/>
          <w:sz w:val="24"/>
          <w:szCs w:val="24"/>
          <w:lang w:val="en-US"/>
        </w:rPr>
        <w:t xml:space="preserve"> </w:t>
      </w:r>
      <w:r w:rsidR="007C0AB7" w:rsidRPr="009E3408">
        <w:rPr>
          <w:rFonts w:asciiTheme="majorBidi" w:hAnsiTheme="majorBidi" w:cstheme="majorBidi"/>
          <w:sz w:val="24"/>
          <w:szCs w:val="24"/>
          <w:lang w:val="en-US"/>
        </w:rPr>
        <w:t xml:space="preserve">It was observed that in both CG and TA tissues </w:t>
      </w:r>
      <w:commentRangeStart w:id="13"/>
      <w:r w:rsidR="007C0AB7" w:rsidRPr="009E3408">
        <w:rPr>
          <w:rFonts w:asciiTheme="majorBidi" w:hAnsiTheme="majorBidi" w:cstheme="majorBidi"/>
          <w:sz w:val="24"/>
          <w:szCs w:val="24"/>
          <w:lang w:val="en-US"/>
        </w:rPr>
        <w:t>contents</w:t>
      </w:r>
      <w:commentRangeEnd w:id="13"/>
      <w:r w:rsidR="00560D75" w:rsidRPr="009E3408">
        <w:rPr>
          <w:rStyle w:val="CommentReference"/>
          <w:rFonts w:asciiTheme="majorBidi" w:hAnsiTheme="majorBidi" w:cstheme="majorBidi"/>
          <w:sz w:val="24"/>
          <w:szCs w:val="24"/>
        </w:rPr>
        <w:commentReference w:id="13"/>
      </w:r>
      <w:r w:rsidR="007C0AB7" w:rsidRPr="009E3408">
        <w:rPr>
          <w:rFonts w:asciiTheme="majorBidi" w:hAnsiTheme="majorBidi" w:cstheme="majorBidi"/>
          <w:sz w:val="24"/>
          <w:szCs w:val="24"/>
          <w:lang w:val="en-US"/>
        </w:rPr>
        <w:t xml:space="preserve"> of Ag, Al, Cr, Hg, Mn, Th, and Zn increased, whereas </w:t>
      </w:r>
      <w:commentRangeStart w:id="14"/>
      <w:r w:rsidR="007C0AB7" w:rsidRPr="009E3408">
        <w:rPr>
          <w:rFonts w:asciiTheme="majorBidi" w:hAnsiTheme="majorBidi" w:cstheme="majorBidi"/>
          <w:sz w:val="24"/>
          <w:szCs w:val="24"/>
          <w:lang w:val="en-US"/>
        </w:rPr>
        <w:t>levels</w:t>
      </w:r>
      <w:commentRangeEnd w:id="14"/>
      <w:r w:rsidR="00F41F1C" w:rsidRPr="009E3408">
        <w:rPr>
          <w:rStyle w:val="CommentReference"/>
          <w:rFonts w:asciiTheme="majorBidi" w:hAnsiTheme="majorBidi" w:cstheme="majorBidi"/>
          <w:sz w:val="24"/>
          <w:szCs w:val="24"/>
        </w:rPr>
        <w:commentReference w:id="14"/>
      </w:r>
      <w:r w:rsidR="007C0AB7" w:rsidRPr="009E3408">
        <w:rPr>
          <w:rFonts w:asciiTheme="majorBidi" w:hAnsiTheme="majorBidi" w:cstheme="majorBidi"/>
          <w:sz w:val="24"/>
          <w:szCs w:val="24"/>
          <w:lang w:val="en-US"/>
        </w:rPr>
        <w:t xml:space="preserve"> of Au, Be, Cs, Pb, Rb, Sb, Sc, Th, Yb, and Zr </w:t>
      </w:r>
      <w:commentRangeStart w:id="15"/>
      <w:r w:rsidR="007C0AB7" w:rsidRPr="009E3408">
        <w:rPr>
          <w:rFonts w:asciiTheme="majorBidi" w:hAnsiTheme="majorBidi" w:cstheme="majorBidi"/>
          <w:sz w:val="24"/>
          <w:szCs w:val="24"/>
          <w:lang w:val="en-US"/>
        </w:rPr>
        <w:t xml:space="preserve">did not changed </w:t>
      </w:r>
      <w:commentRangeEnd w:id="15"/>
      <w:r w:rsidR="00F41F1C" w:rsidRPr="009E3408">
        <w:rPr>
          <w:rStyle w:val="CommentReference"/>
          <w:rFonts w:asciiTheme="majorBidi" w:hAnsiTheme="majorBidi" w:cstheme="majorBidi"/>
          <w:sz w:val="24"/>
          <w:szCs w:val="24"/>
        </w:rPr>
        <w:commentReference w:id="15"/>
      </w:r>
      <w:r w:rsidR="007C0AB7" w:rsidRPr="009E3408">
        <w:rPr>
          <w:rFonts w:asciiTheme="majorBidi" w:hAnsiTheme="majorBidi" w:cstheme="majorBidi"/>
          <w:sz w:val="24"/>
          <w:szCs w:val="24"/>
          <w:lang w:val="en-US"/>
        </w:rPr>
        <w:t xml:space="preserve">in comparison with normal thyroid tissue. </w:t>
      </w:r>
      <w:commentRangeStart w:id="16"/>
      <w:r w:rsidR="007C0AB7" w:rsidRPr="009E3408">
        <w:rPr>
          <w:rFonts w:asciiTheme="majorBidi" w:hAnsiTheme="majorBidi" w:cstheme="majorBidi"/>
          <w:sz w:val="24"/>
          <w:szCs w:val="24"/>
          <w:lang w:val="en-US"/>
        </w:rPr>
        <w:t xml:space="preserve">It was not found any differences between TE contents of CG and TA. </w:t>
      </w:r>
      <w:commentRangeEnd w:id="16"/>
      <w:r w:rsidR="00F41F1C" w:rsidRPr="009E3408">
        <w:rPr>
          <w:rStyle w:val="CommentReference"/>
          <w:rFonts w:asciiTheme="majorBidi" w:hAnsiTheme="majorBidi" w:cstheme="majorBidi"/>
          <w:sz w:val="24"/>
          <w:szCs w:val="24"/>
        </w:rPr>
        <w:commentReference w:id="16"/>
      </w:r>
      <w:r w:rsidR="009241E6" w:rsidRPr="009E3408">
        <w:rPr>
          <w:rFonts w:asciiTheme="majorBidi" w:hAnsiTheme="majorBidi" w:cstheme="majorBidi"/>
          <w:sz w:val="24"/>
          <w:szCs w:val="24"/>
          <w:lang w:val="en-US"/>
        </w:rPr>
        <w:t xml:space="preserve"> </w:t>
      </w:r>
      <w:r w:rsidR="00E95848" w:rsidRPr="009E3408">
        <w:rPr>
          <w:rFonts w:asciiTheme="majorBidi" w:hAnsiTheme="majorBidi" w:cstheme="majorBidi"/>
          <w:b/>
          <w:sz w:val="24"/>
          <w:szCs w:val="24"/>
          <w:lang w:val="en-US"/>
        </w:rPr>
        <w:t>Conclusions</w:t>
      </w:r>
      <w:r w:rsidR="00E95848" w:rsidRPr="009E3408">
        <w:rPr>
          <w:rFonts w:asciiTheme="majorBidi" w:hAnsiTheme="majorBidi" w:cstheme="majorBidi"/>
          <w:sz w:val="24"/>
          <w:szCs w:val="24"/>
          <w:lang w:val="en-US"/>
        </w:rPr>
        <w:t>:</w:t>
      </w:r>
      <w:r w:rsidR="00560D75" w:rsidRPr="009E3408">
        <w:rPr>
          <w:rFonts w:asciiTheme="majorBidi" w:hAnsiTheme="majorBidi" w:cstheme="majorBidi"/>
          <w:sz w:val="24"/>
          <w:szCs w:val="24"/>
          <w:lang w:val="en-US"/>
        </w:rPr>
        <w:t xml:space="preserve"> </w:t>
      </w:r>
      <w:r w:rsidR="007C0AB7" w:rsidRPr="009E3408">
        <w:rPr>
          <w:rFonts w:asciiTheme="majorBidi" w:hAnsiTheme="majorBidi" w:cstheme="majorBidi"/>
          <w:sz w:val="24"/>
          <w:szCs w:val="24"/>
          <w:lang w:val="en-US"/>
        </w:rPr>
        <w:t xml:space="preserve">From </w:t>
      </w:r>
      <w:commentRangeStart w:id="17"/>
      <w:r w:rsidR="007C0AB7" w:rsidRPr="009E3408">
        <w:rPr>
          <w:rFonts w:asciiTheme="majorBidi" w:hAnsiTheme="majorBidi" w:cstheme="majorBidi"/>
          <w:sz w:val="24"/>
          <w:szCs w:val="24"/>
          <w:lang w:val="en-US"/>
        </w:rPr>
        <w:t xml:space="preserve">obtained results it </w:t>
      </w:r>
      <w:commentRangeEnd w:id="17"/>
      <w:r w:rsidR="009241E6" w:rsidRPr="009E3408">
        <w:rPr>
          <w:rStyle w:val="CommentReference"/>
          <w:rFonts w:asciiTheme="majorBidi" w:hAnsiTheme="majorBidi" w:cstheme="majorBidi"/>
          <w:sz w:val="24"/>
          <w:szCs w:val="24"/>
        </w:rPr>
        <w:commentReference w:id="17"/>
      </w:r>
      <w:r w:rsidR="007C0AB7" w:rsidRPr="009E3408">
        <w:rPr>
          <w:rFonts w:asciiTheme="majorBidi" w:hAnsiTheme="majorBidi" w:cstheme="majorBidi"/>
          <w:sz w:val="24"/>
          <w:szCs w:val="24"/>
          <w:lang w:val="en-US"/>
        </w:rPr>
        <w:t xml:space="preserve">was possible to conclude that the common characteristics of CG and TA tissue samples </w:t>
      </w:r>
      <w:commentRangeStart w:id="18"/>
      <w:r w:rsidR="007C0AB7" w:rsidRPr="009E3408">
        <w:rPr>
          <w:rFonts w:asciiTheme="majorBidi" w:hAnsiTheme="majorBidi" w:cstheme="majorBidi"/>
          <w:sz w:val="24"/>
          <w:szCs w:val="24"/>
          <w:lang w:val="en-US"/>
        </w:rPr>
        <w:t xml:space="preserve">were elevated </w:t>
      </w:r>
      <w:commentRangeEnd w:id="18"/>
      <w:r w:rsidR="007041A6">
        <w:rPr>
          <w:rStyle w:val="CommentReference"/>
        </w:rPr>
        <w:commentReference w:id="18"/>
      </w:r>
      <w:commentRangeStart w:id="19"/>
      <w:r w:rsidR="007C0AB7" w:rsidRPr="009E3408">
        <w:rPr>
          <w:rFonts w:asciiTheme="majorBidi" w:hAnsiTheme="majorBidi" w:cstheme="majorBidi"/>
          <w:sz w:val="24"/>
          <w:szCs w:val="24"/>
          <w:lang w:val="en-US"/>
        </w:rPr>
        <w:t>level</w:t>
      </w:r>
      <w:commentRangeEnd w:id="19"/>
      <w:r w:rsidR="009241E6" w:rsidRPr="009E3408">
        <w:rPr>
          <w:rStyle w:val="CommentReference"/>
          <w:rFonts w:asciiTheme="majorBidi" w:hAnsiTheme="majorBidi" w:cstheme="majorBidi"/>
          <w:sz w:val="24"/>
          <w:szCs w:val="24"/>
        </w:rPr>
        <w:commentReference w:id="19"/>
      </w:r>
      <w:r w:rsidR="007C0AB7" w:rsidRPr="009E3408">
        <w:rPr>
          <w:rFonts w:asciiTheme="majorBidi" w:hAnsiTheme="majorBidi" w:cstheme="majorBidi"/>
          <w:sz w:val="24"/>
          <w:szCs w:val="24"/>
          <w:lang w:val="en-US"/>
        </w:rPr>
        <w:t xml:space="preserve"> of Ag, Al, Cr, Hg, Mn, Th, and Zn in comparison with normal thyroid and, therefore, these TE </w:t>
      </w:r>
      <w:commentRangeStart w:id="20"/>
      <w:r w:rsidR="007C0AB7" w:rsidRPr="009E3408">
        <w:rPr>
          <w:rFonts w:asciiTheme="majorBidi" w:hAnsiTheme="majorBidi" w:cstheme="majorBidi"/>
          <w:sz w:val="24"/>
          <w:szCs w:val="24"/>
          <w:lang w:val="en-US"/>
        </w:rPr>
        <w:t xml:space="preserve">can be involved in etiology </w:t>
      </w:r>
      <w:commentRangeEnd w:id="20"/>
      <w:r w:rsidR="009241E6" w:rsidRPr="009E3408">
        <w:rPr>
          <w:rStyle w:val="CommentReference"/>
          <w:rFonts w:asciiTheme="majorBidi" w:hAnsiTheme="majorBidi" w:cstheme="majorBidi"/>
          <w:sz w:val="24"/>
          <w:szCs w:val="24"/>
        </w:rPr>
        <w:commentReference w:id="20"/>
      </w:r>
      <w:r w:rsidR="007C0AB7" w:rsidRPr="009E3408">
        <w:rPr>
          <w:rFonts w:asciiTheme="majorBidi" w:hAnsiTheme="majorBidi" w:cstheme="majorBidi"/>
          <w:sz w:val="24"/>
          <w:szCs w:val="24"/>
          <w:lang w:val="en-US"/>
        </w:rPr>
        <w:t xml:space="preserve">and pathogenesis of </w:t>
      </w:r>
      <w:commentRangeStart w:id="21"/>
      <w:r w:rsidR="007C0AB7" w:rsidRPr="009E3408">
        <w:rPr>
          <w:rFonts w:asciiTheme="majorBidi" w:hAnsiTheme="majorBidi" w:cstheme="majorBidi"/>
          <w:sz w:val="24"/>
          <w:szCs w:val="24"/>
          <w:lang w:val="en-US"/>
        </w:rPr>
        <w:t>such</w:t>
      </w:r>
      <w:commentRangeEnd w:id="21"/>
      <w:r w:rsidR="009241E6" w:rsidRPr="009E3408">
        <w:rPr>
          <w:rStyle w:val="CommentReference"/>
          <w:rFonts w:asciiTheme="majorBidi" w:hAnsiTheme="majorBidi" w:cstheme="majorBidi"/>
          <w:sz w:val="24"/>
          <w:szCs w:val="24"/>
        </w:rPr>
        <w:commentReference w:id="21"/>
      </w:r>
      <w:r w:rsidR="007C0AB7" w:rsidRPr="009E3408">
        <w:rPr>
          <w:rFonts w:asciiTheme="majorBidi" w:hAnsiTheme="majorBidi" w:cstheme="majorBidi"/>
          <w:sz w:val="24"/>
          <w:szCs w:val="24"/>
          <w:lang w:val="en-US"/>
        </w:rPr>
        <w:t xml:space="preserve"> thyroid disorders </w:t>
      </w:r>
      <w:commentRangeStart w:id="22"/>
      <w:r w:rsidR="007C0AB7" w:rsidRPr="009E3408">
        <w:rPr>
          <w:rFonts w:asciiTheme="majorBidi" w:hAnsiTheme="majorBidi" w:cstheme="majorBidi"/>
          <w:sz w:val="24"/>
          <w:szCs w:val="24"/>
          <w:lang w:val="en-US"/>
        </w:rPr>
        <w:t>as</w:t>
      </w:r>
      <w:commentRangeEnd w:id="22"/>
      <w:r w:rsidR="009241E6" w:rsidRPr="009E3408">
        <w:rPr>
          <w:rStyle w:val="CommentReference"/>
          <w:rFonts w:asciiTheme="majorBidi" w:hAnsiTheme="majorBidi" w:cstheme="majorBidi"/>
          <w:sz w:val="24"/>
          <w:szCs w:val="24"/>
        </w:rPr>
        <w:commentReference w:id="22"/>
      </w:r>
      <w:r w:rsidR="007C0AB7" w:rsidRPr="009E3408">
        <w:rPr>
          <w:rFonts w:asciiTheme="majorBidi" w:hAnsiTheme="majorBidi" w:cstheme="majorBidi"/>
          <w:sz w:val="24"/>
          <w:szCs w:val="24"/>
          <w:lang w:val="en-US"/>
        </w:rPr>
        <w:t xml:space="preserve"> CG and TA.</w:t>
      </w:r>
    </w:p>
    <w:p w:rsidR="009241E6" w:rsidRPr="009E3408" w:rsidRDefault="009241E6" w:rsidP="009E3408">
      <w:pPr>
        <w:spacing w:line="360" w:lineRule="auto"/>
        <w:jc w:val="both"/>
        <w:rPr>
          <w:rFonts w:asciiTheme="majorBidi" w:hAnsiTheme="majorBidi" w:cstheme="majorBidi"/>
          <w:b/>
          <w:lang w:val="en-US"/>
        </w:rPr>
      </w:pPr>
    </w:p>
    <w:p w:rsidR="00DA4B51" w:rsidRPr="009E3408" w:rsidRDefault="00DA4B51" w:rsidP="009E3408">
      <w:pPr>
        <w:spacing w:line="360" w:lineRule="auto"/>
        <w:jc w:val="both"/>
        <w:rPr>
          <w:rFonts w:asciiTheme="majorBidi" w:hAnsiTheme="majorBidi" w:cstheme="majorBidi"/>
          <w:lang w:val="en-US"/>
        </w:rPr>
      </w:pPr>
      <w:commentRangeStart w:id="23"/>
      <w:r w:rsidRPr="009E3408">
        <w:rPr>
          <w:rFonts w:asciiTheme="majorBidi" w:hAnsiTheme="majorBidi" w:cstheme="majorBidi"/>
          <w:b/>
          <w:lang w:val="en-US"/>
        </w:rPr>
        <w:t>Keywords</w:t>
      </w:r>
      <w:commentRangeEnd w:id="23"/>
      <w:r w:rsidR="005379C2">
        <w:rPr>
          <w:rStyle w:val="CommentReference"/>
        </w:rPr>
        <w:commentReference w:id="23"/>
      </w:r>
      <w:r w:rsidRPr="009E3408">
        <w:rPr>
          <w:rFonts w:asciiTheme="majorBidi" w:hAnsiTheme="majorBidi" w:cstheme="majorBidi"/>
          <w:b/>
          <w:lang w:val="en-US"/>
        </w:rPr>
        <w:t>:</w:t>
      </w:r>
      <w:r w:rsidR="009241E6" w:rsidRPr="009E3408">
        <w:rPr>
          <w:rFonts w:asciiTheme="majorBidi" w:hAnsiTheme="majorBidi" w:cstheme="majorBidi"/>
          <w:b/>
          <w:lang w:val="en-US"/>
        </w:rPr>
        <w:t xml:space="preserve"> </w:t>
      </w:r>
      <w:commentRangeStart w:id="24"/>
      <w:r w:rsidR="0004429F" w:rsidRPr="009E3408">
        <w:rPr>
          <w:rFonts w:asciiTheme="majorBidi" w:hAnsiTheme="majorBidi" w:cstheme="majorBidi"/>
          <w:bCs/>
          <w:lang w:val="en-US"/>
        </w:rPr>
        <w:t xml:space="preserve">Thyroid; </w:t>
      </w:r>
      <w:r w:rsidR="008F1DD0" w:rsidRPr="009E3408">
        <w:rPr>
          <w:rFonts w:asciiTheme="majorBidi" w:hAnsiTheme="majorBidi" w:cstheme="majorBidi"/>
          <w:lang w:val="en-US"/>
        </w:rPr>
        <w:t xml:space="preserve">Thyroid colloid goiter; </w:t>
      </w:r>
      <w:r w:rsidR="00F85995" w:rsidRPr="009E3408">
        <w:rPr>
          <w:rFonts w:asciiTheme="majorBidi" w:hAnsiTheme="majorBidi" w:cstheme="majorBidi"/>
          <w:lang w:val="en-US"/>
        </w:rPr>
        <w:t xml:space="preserve">Thyroid </w:t>
      </w:r>
      <w:r w:rsidR="00DE68B3" w:rsidRPr="009E3408">
        <w:rPr>
          <w:rFonts w:asciiTheme="majorBidi" w:hAnsiTheme="majorBidi" w:cstheme="majorBidi"/>
          <w:lang w:val="en-US"/>
        </w:rPr>
        <w:t>adenoma;</w:t>
      </w:r>
      <w:r w:rsidR="00765A84" w:rsidRPr="009E3408">
        <w:rPr>
          <w:rFonts w:asciiTheme="majorBidi" w:hAnsiTheme="majorBidi" w:cstheme="majorBidi"/>
          <w:lang w:val="en-US"/>
        </w:rPr>
        <w:t>Trace</w:t>
      </w:r>
      <w:r w:rsidRPr="009E3408">
        <w:rPr>
          <w:rFonts w:asciiTheme="majorBidi" w:hAnsiTheme="majorBidi" w:cstheme="majorBidi"/>
          <w:bCs/>
          <w:lang w:val="en-US"/>
        </w:rPr>
        <w:t>elements</w:t>
      </w:r>
      <w:r w:rsidR="00DE68B3" w:rsidRPr="009E3408">
        <w:rPr>
          <w:rFonts w:asciiTheme="majorBidi" w:hAnsiTheme="majorBidi" w:cstheme="majorBidi"/>
          <w:lang w:val="en-US"/>
        </w:rPr>
        <w:t>;</w:t>
      </w:r>
      <w:r w:rsidR="00244A74" w:rsidRPr="009E3408">
        <w:rPr>
          <w:rFonts w:asciiTheme="majorBidi" w:hAnsiTheme="majorBidi" w:cstheme="majorBidi"/>
          <w:color w:val="131413"/>
          <w:lang w:val="en-US"/>
        </w:rPr>
        <w:t>Neutron activation analysis</w:t>
      </w:r>
      <w:r w:rsidR="00EF1B5E" w:rsidRPr="009E3408">
        <w:rPr>
          <w:rFonts w:asciiTheme="majorBidi" w:hAnsiTheme="majorBidi" w:cstheme="majorBidi"/>
          <w:color w:val="131413"/>
          <w:lang w:val="en-US"/>
        </w:rPr>
        <w:t xml:space="preserve">; </w:t>
      </w:r>
      <w:r w:rsidR="00EF1B5E" w:rsidRPr="009E3408">
        <w:rPr>
          <w:rFonts w:asciiTheme="majorBidi" w:hAnsiTheme="majorBidi" w:cstheme="majorBidi"/>
          <w:lang w:val="en-US"/>
        </w:rPr>
        <w:t>Inductiv</w:t>
      </w:r>
      <w:commentRangeEnd w:id="24"/>
      <w:r w:rsidR="007041A6">
        <w:rPr>
          <w:rStyle w:val="CommentReference"/>
        </w:rPr>
        <w:commentReference w:id="24"/>
      </w:r>
      <w:r w:rsidR="00EF1B5E" w:rsidRPr="009E3408">
        <w:rPr>
          <w:rFonts w:asciiTheme="majorBidi" w:hAnsiTheme="majorBidi" w:cstheme="majorBidi"/>
          <w:lang w:val="en-US"/>
        </w:rPr>
        <w:t xml:space="preserve">ely coupled plasma </w:t>
      </w:r>
      <w:r w:rsidR="00765A84" w:rsidRPr="009E3408">
        <w:rPr>
          <w:rFonts w:asciiTheme="majorBidi" w:hAnsiTheme="majorBidi" w:cstheme="majorBidi"/>
          <w:lang w:val="en-US"/>
        </w:rPr>
        <w:t>mass</w:t>
      </w:r>
      <w:r w:rsidR="00EF1B5E" w:rsidRPr="009E3408">
        <w:rPr>
          <w:rFonts w:asciiTheme="majorBidi" w:hAnsiTheme="majorBidi" w:cstheme="majorBidi"/>
          <w:lang w:val="en-US"/>
        </w:rPr>
        <w:t xml:space="preserve"> spectrometry</w:t>
      </w:r>
    </w:p>
    <w:p w:rsidR="00823D31" w:rsidRPr="009E3408" w:rsidRDefault="00823D31" w:rsidP="009E3408">
      <w:pPr>
        <w:spacing w:line="360" w:lineRule="auto"/>
        <w:rPr>
          <w:rFonts w:asciiTheme="majorBidi" w:hAnsiTheme="majorBidi" w:cstheme="majorBidi"/>
          <w:b/>
          <w:lang w:val="en-US"/>
        </w:rPr>
      </w:pPr>
    </w:p>
    <w:p w:rsidR="00DA4B51" w:rsidRDefault="00DA4B51" w:rsidP="00204280">
      <w:pPr>
        <w:spacing w:line="276" w:lineRule="auto"/>
        <w:rPr>
          <w:b/>
          <w:caps/>
          <w:lang w:val="en-US"/>
        </w:rPr>
      </w:pPr>
      <w:r w:rsidRPr="004D43DA">
        <w:rPr>
          <w:b/>
          <w:caps/>
          <w:lang w:val="en-US"/>
        </w:rPr>
        <w:t>Introduction</w:t>
      </w:r>
    </w:p>
    <w:p w:rsidR="00FB6F8C" w:rsidRPr="004D43DA" w:rsidRDefault="00FB6F8C" w:rsidP="00204280">
      <w:pPr>
        <w:spacing w:line="276" w:lineRule="auto"/>
        <w:rPr>
          <w:b/>
          <w:caps/>
          <w:lang w:val="en-US"/>
        </w:rPr>
      </w:pPr>
    </w:p>
    <w:p w:rsidR="008F1DD0" w:rsidRDefault="008F1DD0" w:rsidP="00204280">
      <w:pPr>
        <w:spacing w:line="276" w:lineRule="auto"/>
        <w:jc w:val="both"/>
        <w:rPr>
          <w:color w:val="000000"/>
          <w:lang w:val="en-US"/>
        </w:rPr>
      </w:pPr>
      <w:r w:rsidRPr="00AA62C1">
        <w:rPr>
          <w:lang w:val="en-US"/>
        </w:rPr>
        <w:t xml:space="preserve">Thyroid </w:t>
      </w:r>
      <w:r w:rsidRPr="00D9733B">
        <w:rPr>
          <w:lang w:val="en-US"/>
        </w:rPr>
        <w:t xml:space="preserve">benign nodules (TBNs) </w:t>
      </w:r>
      <w:commentRangeStart w:id="25"/>
      <w:r w:rsidRPr="00AA62C1">
        <w:rPr>
          <w:lang w:val="en-US"/>
        </w:rPr>
        <w:t>are the most common lesions</w:t>
      </w:r>
      <w:r w:rsidRPr="00D9733B">
        <w:rPr>
          <w:lang w:val="en-US"/>
        </w:rPr>
        <w:t xml:space="preserve"> </w:t>
      </w:r>
      <w:commentRangeEnd w:id="25"/>
      <w:r w:rsidR="00BA7456">
        <w:rPr>
          <w:rStyle w:val="CommentReference"/>
        </w:rPr>
        <w:commentReference w:id="25"/>
      </w:r>
      <w:r w:rsidRPr="00D9733B">
        <w:rPr>
          <w:lang w:val="en-US"/>
        </w:rPr>
        <w:t xml:space="preserve">of this </w:t>
      </w:r>
      <w:r w:rsidRPr="00AA62C1">
        <w:rPr>
          <w:lang w:val="en-US"/>
        </w:rPr>
        <w:t>endocrine</w:t>
      </w:r>
      <w:r w:rsidRPr="00D9733B">
        <w:rPr>
          <w:lang w:val="en-US"/>
        </w:rPr>
        <w:t xml:space="preserve"> gland </w:t>
      </w:r>
      <w:commentRangeStart w:id="26"/>
      <w:r w:rsidRPr="00D9733B">
        <w:rPr>
          <w:lang w:val="en-US"/>
        </w:rPr>
        <w:t>that</w:t>
      </w:r>
      <w:r w:rsidRPr="00AA62C1">
        <w:rPr>
          <w:lang w:val="en-US"/>
        </w:rPr>
        <w:t xml:space="preserve"> </w:t>
      </w:r>
      <w:commentRangeEnd w:id="26"/>
      <w:r w:rsidR="00600192">
        <w:rPr>
          <w:rStyle w:val="CommentReference"/>
        </w:rPr>
        <w:commentReference w:id="26"/>
      </w:r>
      <w:commentRangeStart w:id="27"/>
      <w:r w:rsidRPr="00AA62C1">
        <w:rPr>
          <w:lang w:val="en-US"/>
        </w:rPr>
        <w:t>encountered globally</w:t>
      </w:r>
      <w:r w:rsidRPr="00D9733B">
        <w:rPr>
          <w:lang w:val="en-US"/>
        </w:rPr>
        <w:t xml:space="preserve"> </w:t>
      </w:r>
      <w:commentRangeEnd w:id="27"/>
      <w:r w:rsidR="00600192">
        <w:rPr>
          <w:rStyle w:val="CommentReference"/>
        </w:rPr>
        <w:commentReference w:id="27"/>
      </w:r>
      <w:r w:rsidRPr="00D9733B">
        <w:rPr>
          <w:lang w:val="en-US"/>
        </w:rPr>
        <w:t xml:space="preserve">and </w:t>
      </w:r>
      <w:r w:rsidRPr="00AF7FEE">
        <w:rPr>
          <w:color w:val="000000"/>
          <w:lang w:val="en-US"/>
        </w:rPr>
        <w:t xml:space="preserve">frequently </w:t>
      </w:r>
      <w:commentRangeStart w:id="28"/>
      <w:r w:rsidRPr="00AF7FEE">
        <w:rPr>
          <w:color w:val="000000"/>
          <w:lang w:val="en-US"/>
        </w:rPr>
        <w:t>discovered</w:t>
      </w:r>
      <w:commentRangeEnd w:id="28"/>
      <w:r w:rsidR="00600192">
        <w:rPr>
          <w:rStyle w:val="CommentReference"/>
        </w:rPr>
        <w:commentReference w:id="28"/>
      </w:r>
      <w:r w:rsidR="00600192">
        <w:rPr>
          <w:color w:val="000000"/>
          <w:lang w:val="en-US"/>
        </w:rPr>
        <w:t xml:space="preserve"> </w:t>
      </w:r>
      <w:r w:rsidRPr="00AF7FEE">
        <w:rPr>
          <w:color w:val="000000"/>
          <w:lang w:val="en-US"/>
        </w:rPr>
        <w:t>by palpation during a physical examination</w:t>
      </w:r>
      <w:r w:rsidRPr="00D9733B">
        <w:rPr>
          <w:color w:val="000000"/>
          <w:lang w:val="en-US"/>
        </w:rPr>
        <w:t xml:space="preserve">, or </w:t>
      </w:r>
      <w:r w:rsidRPr="00AF7FEE">
        <w:rPr>
          <w:color w:val="000000"/>
          <w:lang w:val="en-US"/>
        </w:rPr>
        <w:lastRenderedPageBreak/>
        <w:t>incidentally, during</w:t>
      </w:r>
      <w:r w:rsidRPr="00D9733B">
        <w:rPr>
          <w:color w:val="000000"/>
          <w:lang w:val="en-US"/>
        </w:rPr>
        <w:t xml:space="preserve"> clinical</w:t>
      </w:r>
      <w:r w:rsidRPr="00AF7FEE">
        <w:rPr>
          <w:color w:val="000000"/>
          <w:lang w:val="en-US"/>
        </w:rPr>
        <w:t xml:space="preserve"> imaging procedures</w:t>
      </w:r>
      <w:r w:rsidRPr="00AA62C1">
        <w:rPr>
          <w:lang w:val="en-US"/>
        </w:rPr>
        <w:t>.</w:t>
      </w:r>
      <w:r w:rsidRPr="00D9733B">
        <w:rPr>
          <w:lang w:val="en-US"/>
        </w:rPr>
        <w:t xml:space="preserve"> TBNs include </w:t>
      </w:r>
      <w:r w:rsidRPr="00D9733B">
        <w:rPr>
          <w:bCs/>
          <w:kern w:val="36"/>
          <w:lang w:val="en-US"/>
        </w:rPr>
        <w:t>non-n</w:t>
      </w:r>
      <w:r w:rsidRPr="00AA62C1">
        <w:rPr>
          <w:bCs/>
          <w:kern w:val="36"/>
          <w:lang w:val="en-US"/>
        </w:rPr>
        <w:t xml:space="preserve">eoplastic </w:t>
      </w:r>
      <w:r w:rsidRPr="00D9733B">
        <w:rPr>
          <w:bCs/>
          <w:kern w:val="36"/>
          <w:lang w:val="en-US"/>
        </w:rPr>
        <w:t>l</w:t>
      </w:r>
      <w:r w:rsidRPr="00AA62C1">
        <w:rPr>
          <w:bCs/>
          <w:kern w:val="36"/>
          <w:lang w:val="en-US"/>
        </w:rPr>
        <w:t>esions</w:t>
      </w:r>
      <w:r w:rsidR="00EF1B5E">
        <w:rPr>
          <w:bCs/>
          <w:kern w:val="36"/>
          <w:lang w:val="en-US"/>
        </w:rPr>
        <w:t>, for example, colloid goiter (CG)</w:t>
      </w:r>
      <w:r w:rsidRPr="00D9733B">
        <w:rPr>
          <w:bCs/>
          <w:kern w:val="36"/>
          <w:lang w:val="en-US"/>
        </w:rPr>
        <w:t xml:space="preserve"> and n</w:t>
      </w:r>
      <w:r w:rsidRPr="00AA62C1">
        <w:rPr>
          <w:bCs/>
          <w:kern w:val="36"/>
          <w:lang w:val="en-US"/>
        </w:rPr>
        <w:t xml:space="preserve">eoplastic </w:t>
      </w:r>
      <w:r w:rsidRPr="00D9733B">
        <w:rPr>
          <w:bCs/>
          <w:kern w:val="36"/>
          <w:lang w:val="en-US"/>
        </w:rPr>
        <w:t>l</w:t>
      </w:r>
      <w:r>
        <w:rPr>
          <w:bCs/>
          <w:kern w:val="36"/>
          <w:lang w:val="en-US"/>
        </w:rPr>
        <w:t>esion</w:t>
      </w:r>
      <w:r w:rsidRPr="00D9733B">
        <w:rPr>
          <w:bCs/>
          <w:kern w:val="36"/>
          <w:lang w:val="en-US"/>
        </w:rPr>
        <w:t xml:space="preserve"> such as thyroid adenoma</w:t>
      </w:r>
      <w:r w:rsidR="00EF1B5E">
        <w:rPr>
          <w:bCs/>
          <w:kern w:val="36"/>
          <w:lang w:val="en-US"/>
        </w:rPr>
        <w:t xml:space="preserve"> (TA) </w:t>
      </w:r>
      <w:commentRangeStart w:id="29"/>
      <w:r w:rsidR="00EF1B5E">
        <w:rPr>
          <w:bCs/>
          <w:kern w:val="36"/>
          <w:lang w:val="en-US"/>
        </w:rPr>
        <w:t>[</w:t>
      </w:r>
      <w:r w:rsidR="00EF1B5E" w:rsidRPr="00D9733B">
        <w:rPr>
          <w:bCs/>
          <w:kern w:val="36"/>
          <w:lang w:val="en-US"/>
        </w:rPr>
        <w:t>1-3]</w:t>
      </w:r>
      <w:r w:rsidRPr="00D9733B">
        <w:rPr>
          <w:bCs/>
          <w:kern w:val="36"/>
          <w:lang w:val="en-US"/>
        </w:rPr>
        <w:t xml:space="preserve">. </w:t>
      </w:r>
      <w:commentRangeEnd w:id="29"/>
      <w:r w:rsidR="00600192">
        <w:rPr>
          <w:rStyle w:val="CommentReference"/>
        </w:rPr>
        <w:commentReference w:id="29"/>
      </w:r>
      <w:commentRangeStart w:id="30"/>
      <w:r w:rsidRPr="00D9733B">
        <w:rPr>
          <w:bCs/>
          <w:kern w:val="36"/>
          <w:lang w:val="en-US"/>
        </w:rPr>
        <w:t xml:space="preserve">An </w:t>
      </w:r>
      <w:r w:rsidRPr="00754D7C">
        <w:rPr>
          <w:lang w:val="en-US"/>
        </w:rPr>
        <w:t xml:space="preserve">evaluation </w:t>
      </w:r>
      <w:commentRangeEnd w:id="30"/>
      <w:r w:rsidR="00600192">
        <w:rPr>
          <w:rStyle w:val="CommentReference"/>
        </w:rPr>
        <w:commentReference w:id="30"/>
      </w:r>
      <w:r w:rsidRPr="00754D7C">
        <w:rPr>
          <w:lang w:val="en-US"/>
        </w:rPr>
        <w:t>of</w:t>
      </w:r>
      <w:r w:rsidRPr="00D9733B">
        <w:rPr>
          <w:lang w:val="en-US"/>
        </w:rPr>
        <w:t xml:space="preserve"> the variant of</w:t>
      </w:r>
      <w:r w:rsidR="003C1FCD">
        <w:rPr>
          <w:lang w:val="en-US"/>
        </w:rPr>
        <w:t xml:space="preserve"> </w:t>
      </w:r>
      <w:r w:rsidRPr="00D9733B">
        <w:rPr>
          <w:lang w:val="en-US"/>
        </w:rPr>
        <w:t>TBNs</w:t>
      </w:r>
      <w:r w:rsidRPr="00754D7C">
        <w:rPr>
          <w:lang w:val="en-US"/>
        </w:rPr>
        <w:t xml:space="preserve"> is </w:t>
      </w:r>
      <w:r w:rsidRPr="00AF7FEE">
        <w:rPr>
          <w:color w:val="000000"/>
          <w:lang w:val="en-US"/>
        </w:rPr>
        <w:t xml:space="preserve">clinically </w:t>
      </w:r>
      <w:r w:rsidRPr="00D9733B">
        <w:rPr>
          <w:lang w:val="en-US"/>
        </w:rPr>
        <w:t>important</w:t>
      </w:r>
      <w:r w:rsidR="003C1FCD">
        <w:rPr>
          <w:lang w:val="en-US"/>
        </w:rPr>
        <w:t xml:space="preserve"> </w:t>
      </w:r>
      <w:r w:rsidRPr="00D9733B">
        <w:rPr>
          <w:lang w:val="en-US"/>
        </w:rPr>
        <w:t>for subsequent</w:t>
      </w:r>
      <w:r w:rsidRPr="00754D7C">
        <w:rPr>
          <w:lang w:val="en-US"/>
        </w:rPr>
        <w:t xml:space="preserve"> therapeutic interventions</w:t>
      </w:r>
      <w:commentRangeStart w:id="31"/>
      <w:r w:rsidRPr="00D9733B">
        <w:rPr>
          <w:lang w:val="en-US"/>
        </w:rPr>
        <w:t>.</w:t>
      </w:r>
      <w:r w:rsidR="003C1FCD">
        <w:rPr>
          <w:lang w:val="en-US"/>
        </w:rPr>
        <w:t xml:space="preserve"> </w:t>
      </w:r>
      <w:r w:rsidRPr="00AF7FEE">
        <w:rPr>
          <w:color w:val="000000"/>
          <w:lang w:val="en-US"/>
        </w:rPr>
        <w:t xml:space="preserve">For this reason the </w:t>
      </w:r>
      <w:r w:rsidRPr="00D9733B">
        <w:rPr>
          <w:color w:val="000000"/>
          <w:lang w:val="en-US"/>
        </w:rPr>
        <w:t xml:space="preserve">finding of </w:t>
      </w:r>
      <w:r>
        <w:rPr>
          <w:color w:val="000000"/>
          <w:lang w:val="en-US"/>
        </w:rPr>
        <w:t>specific</w:t>
      </w:r>
      <w:r w:rsidRPr="00D9733B">
        <w:rPr>
          <w:color w:val="000000"/>
          <w:lang w:val="en-US"/>
        </w:rPr>
        <w:t xml:space="preserve"> characteristics </w:t>
      </w:r>
      <w:r w:rsidRPr="00754D7C">
        <w:rPr>
          <w:lang w:val="en-US"/>
        </w:rPr>
        <w:t>of</w:t>
      </w:r>
      <w:r w:rsidR="003C1FCD">
        <w:rPr>
          <w:lang w:val="en-US"/>
        </w:rPr>
        <w:t xml:space="preserve"> </w:t>
      </w:r>
      <w:r w:rsidR="00EF1B5E">
        <w:rPr>
          <w:lang w:val="en-US"/>
        </w:rPr>
        <w:t>CG and TA</w:t>
      </w:r>
      <w:r w:rsidRPr="00D9733B">
        <w:rPr>
          <w:lang w:val="en-US"/>
        </w:rPr>
        <w:t xml:space="preserve"> is </w:t>
      </w:r>
      <w:r w:rsidRPr="00D9733B">
        <w:rPr>
          <w:color w:val="000000"/>
          <w:lang w:val="en-US"/>
        </w:rPr>
        <w:t xml:space="preserve">the barest necessity for the differential diagnosis of </w:t>
      </w:r>
      <w:r>
        <w:rPr>
          <w:color w:val="000000"/>
          <w:lang w:val="en-US"/>
        </w:rPr>
        <w:t>these thyroid disorders</w:t>
      </w:r>
      <w:r w:rsidRPr="00D9733B">
        <w:rPr>
          <w:color w:val="000000"/>
          <w:lang w:val="en-US"/>
        </w:rPr>
        <w:t>.</w:t>
      </w:r>
      <w:commentRangeEnd w:id="31"/>
      <w:r w:rsidR="003C1FCD">
        <w:rPr>
          <w:rStyle w:val="CommentReference"/>
        </w:rPr>
        <w:commentReference w:id="31"/>
      </w:r>
    </w:p>
    <w:p w:rsidR="003E51AC" w:rsidRDefault="003E51AC" w:rsidP="00204280">
      <w:pPr>
        <w:spacing w:line="276" w:lineRule="auto"/>
        <w:jc w:val="both"/>
        <w:rPr>
          <w:lang w:val="en-US"/>
        </w:rPr>
      </w:pPr>
      <w:commentRangeStart w:id="32"/>
      <w:r w:rsidRPr="0088585E">
        <w:rPr>
          <w:lang w:val="en-US"/>
        </w:rPr>
        <w:t xml:space="preserve">For over </w:t>
      </w:r>
      <w:r w:rsidR="0088585E">
        <w:rPr>
          <w:lang w:val="en-US"/>
        </w:rPr>
        <w:t>20th</w:t>
      </w:r>
      <w:r w:rsidRPr="0088585E">
        <w:rPr>
          <w:lang w:val="en-US"/>
        </w:rPr>
        <w:t xml:space="preserve"> century, there was the dominant opinion that </w:t>
      </w:r>
      <w:r w:rsidR="004E4064" w:rsidRPr="00D9733B">
        <w:rPr>
          <w:lang w:val="en-US"/>
        </w:rPr>
        <w:t>TBNs</w:t>
      </w:r>
      <w:r w:rsidR="003C1FCD">
        <w:rPr>
          <w:lang w:val="en-US"/>
        </w:rPr>
        <w:t xml:space="preserve"> </w:t>
      </w:r>
      <w:r w:rsidR="0088585E">
        <w:rPr>
          <w:lang w:val="en-US"/>
        </w:rPr>
        <w:t xml:space="preserve">is </w:t>
      </w:r>
      <w:r w:rsidRPr="0088585E">
        <w:rPr>
          <w:lang w:val="en-US"/>
        </w:rPr>
        <w:t>the simple consequence of iodine deficiency</w:t>
      </w:r>
      <w:r w:rsidR="0088585E">
        <w:rPr>
          <w:lang w:val="en-US"/>
        </w:rPr>
        <w:t xml:space="preserve">. However, it was found that </w:t>
      </w:r>
      <w:r w:rsidR="004E4064" w:rsidRPr="00D9733B">
        <w:rPr>
          <w:lang w:val="en-US"/>
        </w:rPr>
        <w:t>TBNs</w:t>
      </w:r>
      <w:r w:rsidR="003C1FCD">
        <w:rPr>
          <w:lang w:val="en-US"/>
        </w:rPr>
        <w:t xml:space="preserve"> </w:t>
      </w:r>
      <w:r w:rsidR="0088585E" w:rsidRPr="0088585E">
        <w:rPr>
          <w:lang w:val="en-US"/>
        </w:rPr>
        <w:t>is a frequent disease even in those countries</w:t>
      </w:r>
      <w:r w:rsidR="00605943">
        <w:rPr>
          <w:lang w:val="en-US"/>
        </w:rPr>
        <w:t xml:space="preserve"> and regions</w:t>
      </w:r>
      <w:r w:rsidR="0088585E" w:rsidRPr="0088585E">
        <w:rPr>
          <w:lang w:val="en-US"/>
        </w:rPr>
        <w:t xml:space="preserve"> where the population is never exposed to iodine shortage</w:t>
      </w:r>
      <w:r w:rsidR="00605943">
        <w:rPr>
          <w:lang w:val="en-US"/>
        </w:rPr>
        <w:t xml:space="preserve"> </w:t>
      </w:r>
      <w:commentRangeStart w:id="33"/>
      <w:r w:rsidR="00605943">
        <w:rPr>
          <w:lang w:val="en-US"/>
        </w:rPr>
        <w:t>[</w:t>
      </w:r>
      <w:r w:rsidR="0076553E">
        <w:rPr>
          <w:lang w:val="en-US"/>
        </w:rPr>
        <w:t>4</w:t>
      </w:r>
      <w:r w:rsidR="00605943">
        <w:rPr>
          <w:lang w:val="en-US"/>
        </w:rPr>
        <w:t>]</w:t>
      </w:r>
      <w:commentRangeEnd w:id="33"/>
      <w:r w:rsidR="003C1FCD">
        <w:rPr>
          <w:rStyle w:val="CommentReference"/>
        </w:rPr>
        <w:commentReference w:id="33"/>
      </w:r>
      <w:r w:rsidR="00605943">
        <w:rPr>
          <w:lang w:val="en-US"/>
        </w:rPr>
        <w:t>. Moreover, it was shown</w:t>
      </w:r>
      <w:r w:rsidR="00D74508">
        <w:rPr>
          <w:lang w:val="en-US"/>
        </w:rPr>
        <w:t xml:space="preserve"> thatiodine excess has</w:t>
      </w:r>
      <w:r w:rsidR="00D74508" w:rsidRPr="00EE1E45">
        <w:rPr>
          <w:lang w:val="en-US"/>
        </w:rPr>
        <w:t xml:space="preserve"> severe conse</w:t>
      </w:r>
      <w:r w:rsidR="00D74508">
        <w:rPr>
          <w:lang w:val="en-US"/>
        </w:rPr>
        <w:t xml:space="preserve">quences on human health and </w:t>
      </w:r>
      <w:r w:rsidR="00D74508" w:rsidRPr="00EE1E45">
        <w:rPr>
          <w:lang w:val="en-US"/>
        </w:rPr>
        <w:t xml:space="preserve">associated with the presence of </w:t>
      </w:r>
      <w:r w:rsidR="004E4064" w:rsidRPr="00D9733B">
        <w:rPr>
          <w:lang w:val="en-US"/>
        </w:rPr>
        <w:t>TBNs</w:t>
      </w:r>
      <w:r w:rsidR="003C1FCD">
        <w:rPr>
          <w:lang w:val="en-US"/>
        </w:rPr>
        <w:t xml:space="preserve"> </w:t>
      </w:r>
      <w:commentRangeStart w:id="34"/>
      <w:r w:rsidR="008C7277">
        <w:rPr>
          <w:lang w:val="en-US"/>
        </w:rPr>
        <w:t xml:space="preserve">[5-8]. </w:t>
      </w:r>
      <w:commentRangeEnd w:id="34"/>
      <w:r w:rsidR="003C1FCD">
        <w:rPr>
          <w:rStyle w:val="CommentReference"/>
        </w:rPr>
        <w:commentReference w:id="34"/>
      </w:r>
      <w:r w:rsidR="008C7277">
        <w:rPr>
          <w:lang w:val="en-US"/>
        </w:rPr>
        <w:t xml:space="preserve">It was also demonstrated </w:t>
      </w:r>
      <w:r w:rsidR="00605943">
        <w:rPr>
          <w:lang w:val="en-US"/>
        </w:rPr>
        <w:t xml:space="preserve">that </w:t>
      </w:r>
      <w:r w:rsidR="00605943" w:rsidRPr="00605943">
        <w:rPr>
          <w:lang w:val="en-US"/>
        </w:rPr>
        <w:t>besides</w:t>
      </w:r>
      <w:r w:rsidR="00605943">
        <w:rPr>
          <w:lang w:val="en-US"/>
        </w:rPr>
        <w:t xml:space="preserve"> the iodine </w:t>
      </w:r>
      <w:r w:rsidR="00605943" w:rsidRPr="0088585E">
        <w:rPr>
          <w:lang w:val="en-US"/>
        </w:rPr>
        <w:t>deficiency</w:t>
      </w:r>
      <w:r w:rsidR="008C7277">
        <w:rPr>
          <w:lang w:val="en-US"/>
        </w:rPr>
        <w:t xml:space="preserve">and excess </w:t>
      </w:r>
      <w:r w:rsidR="00605943">
        <w:rPr>
          <w:lang w:val="en-US"/>
        </w:rPr>
        <w:t xml:space="preserve">many other dietary, environmental, and occupational factors </w:t>
      </w:r>
      <w:r w:rsidR="00053AF7">
        <w:rPr>
          <w:lang w:val="en-US"/>
        </w:rPr>
        <w:t xml:space="preserve">are associated with the </w:t>
      </w:r>
      <w:r w:rsidR="004E4064" w:rsidRPr="00D9733B">
        <w:rPr>
          <w:lang w:val="en-US"/>
        </w:rPr>
        <w:t>TBNs</w:t>
      </w:r>
      <w:r w:rsidR="003C1FCD">
        <w:rPr>
          <w:lang w:val="en-US"/>
        </w:rPr>
        <w:t xml:space="preserve"> </w:t>
      </w:r>
      <w:r w:rsidR="00053AF7">
        <w:rPr>
          <w:lang w:val="en-US"/>
        </w:rPr>
        <w:t>incidence</w:t>
      </w:r>
      <w:r w:rsidR="00766173">
        <w:rPr>
          <w:lang w:val="en-US"/>
        </w:rPr>
        <w:t xml:space="preserve"> </w:t>
      </w:r>
      <w:commentRangeStart w:id="35"/>
      <w:r w:rsidR="00766173">
        <w:rPr>
          <w:lang w:val="en-US"/>
        </w:rPr>
        <w:t>[</w:t>
      </w:r>
      <w:r w:rsidR="008C7277">
        <w:rPr>
          <w:lang w:val="en-US"/>
        </w:rPr>
        <w:t>9-11</w:t>
      </w:r>
      <w:r w:rsidR="0018215F">
        <w:rPr>
          <w:lang w:val="en-US"/>
        </w:rPr>
        <w:t>]</w:t>
      </w:r>
      <w:r w:rsidR="00053AF7">
        <w:rPr>
          <w:lang w:val="en-US"/>
        </w:rPr>
        <w:t xml:space="preserve">. </w:t>
      </w:r>
      <w:commentRangeEnd w:id="35"/>
      <w:r w:rsidR="003C1FCD">
        <w:rPr>
          <w:rStyle w:val="CommentReference"/>
        </w:rPr>
        <w:commentReference w:id="35"/>
      </w:r>
      <w:r w:rsidR="00053AF7">
        <w:rPr>
          <w:lang w:val="en-US"/>
        </w:rPr>
        <w:t xml:space="preserve">Among </w:t>
      </w:r>
      <w:r w:rsidR="004E4064">
        <w:rPr>
          <w:lang w:val="en-US"/>
        </w:rPr>
        <w:t>these factors</w:t>
      </w:r>
      <w:r w:rsidR="00766173">
        <w:rPr>
          <w:lang w:val="en-US"/>
        </w:rPr>
        <w:t xml:space="preserve">a disturbance of </w:t>
      </w:r>
      <w:r w:rsidR="00053AF7" w:rsidRPr="00053AF7">
        <w:rPr>
          <w:lang w:val="en-US"/>
        </w:rPr>
        <w:t>evolutionary stable</w:t>
      </w:r>
      <w:r w:rsidR="00766173">
        <w:rPr>
          <w:lang w:val="en-US"/>
        </w:rPr>
        <w:t xml:space="preserve"> input of many </w:t>
      </w:r>
      <w:r w:rsidR="00765A84">
        <w:rPr>
          <w:lang w:val="en-US"/>
        </w:rPr>
        <w:t>trace</w:t>
      </w:r>
      <w:r w:rsidR="00766173">
        <w:rPr>
          <w:lang w:val="en-US"/>
        </w:rPr>
        <w:t xml:space="preserve"> elements</w:t>
      </w:r>
      <w:r w:rsidR="00244A74">
        <w:rPr>
          <w:lang w:val="en-US"/>
        </w:rPr>
        <w:t xml:space="preserve"> (</w:t>
      </w:r>
      <w:r w:rsidR="00765A84">
        <w:rPr>
          <w:lang w:val="en-US"/>
        </w:rPr>
        <w:t>TE</w:t>
      </w:r>
      <w:r w:rsidR="004E4064">
        <w:rPr>
          <w:lang w:val="en-US"/>
        </w:rPr>
        <w:t>)</w:t>
      </w:r>
      <w:r w:rsidR="00766173">
        <w:rPr>
          <w:lang w:val="en-US"/>
        </w:rPr>
        <w:t xml:space="preserve"> in human body after industrial revolution</w:t>
      </w:r>
      <w:r w:rsidR="00196847">
        <w:rPr>
          <w:lang w:val="en-US"/>
        </w:rPr>
        <w:t xml:space="preserve"> plays a significant role</w:t>
      </w:r>
      <w:r w:rsidR="0018215F">
        <w:rPr>
          <w:lang w:val="en-US"/>
        </w:rPr>
        <w:t xml:space="preserve"> in etiology of </w:t>
      </w:r>
      <w:r w:rsidR="004E4064" w:rsidRPr="00D9733B">
        <w:rPr>
          <w:lang w:val="en-US"/>
        </w:rPr>
        <w:t>TBNs</w:t>
      </w:r>
      <w:commentRangeEnd w:id="32"/>
      <w:r w:rsidR="004664EA">
        <w:rPr>
          <w:rStyle w:val="CommentReference"/>
        </w:rPr>
        <w:commentReference w:id="32"/>
      </w:r>
      <w:r w:rsidR="00766173">
        <w:rPr>
          <w:lang w:val="en-US"/>
        </w:rPr>
        <w:t>[</w:t>
      </w:r>
      <w:commentRangeStart w:id="36"/>
      <w:r w:rsidR="008C7277">
        <w:rPr>
          <w:lang w:val="en-US"/>
        </w:rPr>
        <w:t>12</w:t>
      </w:r>
      <w:r w:rsidR="00EF42AA">
        <w:rPr>
          <w:lang w:val="en-US"/>
        </w:rPr>
        <w:t xml:space="preserve">]. </w:t>
      </w:r>
      <w:commentRangeEnd w:id="36"/>
      <w:r w:rsidR="003C1FCD">
        <w:rPr>
          <w:rStyle w:val="CommentReference"/>
        </w:rPr>
        <w:commentReference w:id="36"/>
      </w:r>
    </w:p>
    <w:p w:rsidR="00DA4B51" w:rsidRPr="00442024" w:rsidRDefault="00442024" w:rsidP="00204280">
      <w:pPr>
        <w:spacing w:line="276" w:lineRule="auto"/>
        <w:jc w:val="both"/>
        <w:rPr>
          <w:lang w:val="en-US"/>
        </w:rPr>
      </w:pPr>
      <w:commentRangeStart w:id="37"/>
      <w:r w:rsidRPr="00442024">
        <w:rPr>
          <w:lang w:val="en-US"/>
        </w:rPr>
        <w:t xml:space="preserve">Besides </w:t>
      </w:r>
      <w:r w:rsidR="008C7277" w:rsidRPr="0088585E">
        <w:rPr>
          <w:lang w:val="en-US"/>
        </w:rPr>
        <w:t>iodine</w:t>
      </w:r>
      <w:r w:rsidRPr="00442024">
        <w:rPr>
          <w:lang w:val="en-US"/>
        </w:rPr>
        <w:t xml:space="preserve">, </w:t>
      </w:r>
      <w:r w:rsidR="000864D3">
        <w:rPr>
          <w:lang w:val="en-US"/>
        </w:rPr>
        <w:t xml:space="preserve">many </w:t>
      </w:r>
      <w:r w:rsidRPr="00442024">
        <w:rPr>
          <w:lang w:val="en-US"/>
        </w:rPr>
        <w:t xml:space="preserve">other </w:t>
      </w:r>
      <w:r w:rsidR="00765A84">
        <w:rPr>
          <w:lang w:val="en-US"/>
        </w:rPr>
        <w:t>TE</w:t>
      </w:r>
      <w:r w:rsidR="00B3211B">
        <w:rPr>
          <w:lang w:val="en-US"/>
        </w:rPr>
        <w:t xml:space="preserve"> </w:t>
      </w:r>
      <w:r w:rsidR="00DA4B51" w:rsidRPr="00442024">
        <w:rPr>
          <w:lang w:val="en-US"/>
        </w:rPr>
        <w:t>have</w:t>
      </w:r>
      <w:r w:rsidR="00B3211B">
        <w:rPr>
          <w:lang w:val="en-US"/>
        </w:rPr>
        <w:t xml:space="preserve"> </w:t>
      </w:r>
      <w:r w:rsidRPr="00442024">
        <w:rPr>
          <w:lang w:val="en-US"/>
        </w:rPr>
        <w:t xml:space="preserve">also </w:t>
      </w:r>
      <w:r w:rsidR="00DA4B51" w:rsidRPr="00442024">
        <w:rPr>
          <w:lang w:val="en-US"/>
        </w:rPr>
        <w:t xml:space="preserve">essential physiological functions </w:t>
      </w:r>
      <w:commentRangeStart w:id="38"/>
      <w:r w:rsidR="00457335">
        <w:rPr>
          <w:lang w:val="en-US"/>
        </w:rPr>
        <w:t>[</w:t>
      </w:r>
      <w:r w:rsidR="008C7277">
        <w:rPr>
          <w:lang w:val="en-US"/>
        </w:rPr>
        <w:t>13</w:t>
      </w:r>
      <w:r w:rsidR="00457335">
        <w:rPr>
          <w:lang w:val="en-US"/>
        </w:rPr>
        <w:t>]</w:t>
      </w:r>
      <w:r w:rsidR="00DA4B51" w:rsidRPr="00442024">
        <w:rPr>
          <w:lang w:val="en-US"/>
        </w:rPr>
        <w:t xml:space="preserve">. </w:t>
      </w:r>
      <w:commentRangeEnd w:id="38"/>
      <w:r w:rsidR="00B3211B">
        <w:rPr>
          <w:rStyle w:val="CommentReference"/>
        </w:rPr>
        <w:commentReference w:id="38"/>
      </w:r>
      <w:r w:rsidR="00DA4B51" w:rsidRPr="00442024">
        <w:rPr>
          <w:lang w:val="en-US"/>
        </w:rPr>
        <w:t>Essential or toxic (</w:t>
      </w:r>
      <w:r w:rsidR="00DE4BF3" w:rsidRPr="00DE4BF3">
        <w:rPr>
          <w:lang w:val="en-US"/>
        </w:rPr>
        <w:t>goitrogen</w:t>
      </w:r>
      <w:r w:rsidR="00DE4BF3">
        <w:rPr>
          <w:lang w:val="en-US"/>
        </w:rPr>
        <w:t xml:space="preserve">ic, </w:t>
      </w:r>
      <w:r w:rsidR="00DA4B51" w:rsidRPr="00442024">
        <w:rPr>
          <w:lang w:val="en-US"/>
        </w:rPr>
        <w:t xml:space="preserve">mutagenic, carcinogenic) properties of </w:t>
      </w:r>
      <w:r w:rsidR="00765A84">
        <w:rPr>
          <w:lang w:val="en-US"/>
        </w:rPr>
        <w:t>TE</w:t>
      </w:r>
      <w:r w:rsidR="00DA4B51" w:rsidRPr="00442024">
        <w:rPr>
          <w:lang w:val="en-US"/>
        </w:rPr>
        <w:t xml:space="preserve">depend on tissue-specific need or tolerance, respectively </w:t>
      </w:r>
      <w:commentRangeStart w:id="39"/>
      <w:r w:rsidR="00DA4B51" w:rsidRPr="00442024">
        <w:rPr>
          <w:lang w:val="en-US"/>
        </w:rPr>
        <w:t>[</w:t>
      </w:r>
      <w:r w:rsidR="008C7277">
        <w:rPr>
          <w:lang w:val="en-US"/>
        </w:rPr>
        <w:t>13</w:t>
      </w:r>
      <w:r w:rsidR="00DA4B51" w:rsidRPr="00442024">
        <w:rPr>
          <w:lang w:val="en-US"/>
        </w:rPr>
        <w:t>].</w:t>
      </w:r>
      <w:commentRangeEnd w:id="39"/>
      <w:r w:rsidR="008E075B">
        <w:rPr>
          <w:rStyle w:val="CommentReference"/>
        </w:rPr>
        <w:commentReference w:id="39"/>
      </w:r>
      <w:r w:rsidR="00DA4B51" w:rsidRPr="00442024">
        <w:rPr>
          <w:lang w:val="en-US"/>
        </w:rPr>
        <w:t xml:space="preserve">Excessive accumulation or an imbalance of the </w:t>
      </w:r>
      <w:r w:rsidR="00765A84">
        <w:rPr>
          <w:lang w:val="en-US"/>
        </w:rPr>
        <w:t>TE</w:t>
      </w:r>
      <w:r w:rsidR="00DA4B51" w:rsidRPr="00442024">
        <w:rPr>
          <w:lang w:val="en-US"/>
        </w:rPr>
        <w:t>may disturb the cell functions and may result in cellular degeneration, death</w:t>
      </w:r>
      <w:r w:rsidR="00457335">
        <w:rPr>
          <w:lang w:val="en-US"/>
        </w:rPr>
        <w:t>, benign</w:t>
      </w:r>
      <w:r w:rsidR="00DA4B51" w:rsidRPr="00442024">
        <w:rPr>
          <w:lang w:val="en-US"/>
        </w:rPr>
        <w:t xml:space="preserve"> or malignant transformation </w:t>
      </w:r>
      <w:commentRangeStart w:id="40"/>
      <w:r w:rsidR="00DA4B51" w:rsidRPr="00442024">
        <w:rPr>
          <w:lang w:val="en-US"/>
        </w:rPr>
        <w:t>[</w:t>
      </w:r>
      <w:r w:rsidR="008C7277">
        <w:rPr>
          <w:lang w:val="en-US"/>
        </w:rPr>
        <w:t>13-15</w:t>
      </w:r>
      <w:r w:rsidR="00DA4B51" w:rsidRPr="00442024">
        <w:rPr>
          <w:lang w:val="en-US"/>
        </w:rPr>
        <w:t>]</w:t>
      </w:r>
      <w:commentRangeEnd w:id="40"/>
      <w:r w:rsidR="008E075B">
        <w:rPr>
          <w:rStyle w:val="CommentReference"/>
        </w:rPr>
        <w:commentReference w:id="40"/>
      </w:r>
      <w:r w:rsidR="00DA4B51" w:rsidRPr="00442024">
        <w:rPr>
          <w:lang w:val="en-US"/>
        </w:rPr>
        <w:t>.</w:t>
      </w:r>
    </w:p>
    <w:p w:rsidR="007F79BA" w:rsidRDefault="008C7277" w:rsidP="00204280">
      <w:pPr>
        <w:spacing w:line="276" w:lineRule="auto"/>
        <w:jc w:val="both"/>
        <w:rPr>
          <w:lang w:val="en-US"/>
        </w:rPr>
      </w:pPr>
      <w:r>
        <w:rPr>
          <w:lang w:val="en-US"/>
        </w:rPr>
        <w:t>In our previous studies</w:t>
      </w:r>
      <w:r w:rsidR="008E075B">
        <w:rPr>
          <w:lang w:val="en-US"/>
        </w:rPr>
        <w:t xml:space="preserve"> </w:t>
      </w:r>
      <w:r w:rsidR="009822A2">
        <w:rPr>
          <w:lang w:val="en-US"/>
        </w:rPr>
        <w:t xml:space="preserve">the complex of </w:t>
      </w:r>
      <w:commentRangeStart w:id="41"/>
      <w:r w:rsidR="009822A2">
        <w:rPr>
          <w:lang w:val="en-US"/>
        </w:rPr>
        <w:t xml:space="preserve">in vivo </w:t>
      </w:r>
      <w:commentRangeEnd w:id="41"/>
      <w:r w:rsidR="004A5972">
        <w:rPr>
          <w:rStyle w:val="CommentReference"/>
        </w:rPr>
        <w:commentReference w:id="41"/>
      </w:r>
      <w:r w:rsidR="009822A2">
        <w:rPr>
          <w:lang w:val="en-US"/>
        </w:rPr>
        <w:t xml:space="preserve">and </w:t>
      </w:r>
      <w:commentRangeStart w:id="42"/>
      <w:r w:rsidR="009822A2">
        <w:rPr>
          <w:lang w:val="en-US"/>
        </w:rPr>
        <w:t xml:space="preserve">in vitro </w:t>
      </w:r>
      <w:commentRangeEnd w:id="42"/>
      <w:r w:rsidR="004A5972">
        <w:rPr>
          <w:rStyle w:val="CommentReference"/>
        </w:rPr>
        <w:commentReference w:id="42"/>
      </w:r>
      <w:r w:rsidR="009822A2">
        <w:rPr>
          <w:lang w:val="en-US"/>
        </w:rPr>
        <w:t xml:space="preserve">nuclear analytical and related methods was developed and used for the investigation of iodine and other </w:t>
      </w:r>
      <w:r w:rsidR="00765A84">
        <w:rPr>
          <w:lang w:val="en-US"/>
        </w:rPr>
        <w:t xml:space="preserve">TE </w:t>
      </w:r>
      <w:r w:rsidR="009822A2">
        <w:rPr>
          <w:lang w:val="en-US"/>
        </w:rPr>
        <w:t xml:space="preserve">contents in the normal and pathological thyroid </w:t>
      </w:r>
      <w:commentRangeStart w:id="43"/>
      <w:r w:rsidR="009822A2">
        <w:rPr>
          <w:lang w:val="en-US"/>
        </w:rPr>
        <w:t>[</w:t>
      </w:r>
      <w:r w:rsidR="007940A6">
        <w:rPr>
          <w:lang w:val="en-US"/>
        </w:rPr>
        <w:t xml:space="preserve">16-22]. </w:t>
      </w:r>
      <w:commentRangeEnd w:id="43"/>
      <w:r w:rsidR="008E075B">
        <w:rPr>
          <w:rStyle w:val="CommentReference"/>
        </w:rPr>
        <w:commentReference w:id="43"/>
      </w:r>
      <w:r w:rsidR="007940A6">
        <w:rPr>
          <w:lang w:val="en-US"/>
        </w:rPr>
        <w:t xml:space="preserve">Iodine </w:t>
      </w:r>
      <w:r w:rsidR="00E51D3D">
        <w:rPr>
          <w:lang w:val="en-US"/>
        </w:rPr>
        <w:t>levelin</w:t>
      </w:r>
      <w:r w:rsidR="007940A6">
        <w:rPr>
          <w:lang w:val="en-US"/>
        </w:rPr>
        <w:t xml:space="preserve"> the normal thyroid was </w:t>
      </w:r>
      <w:r w:rsidR="002D2873">
        <w:rPr>
          <w:lang w:val="en-US"/>
        </w:rPr>
        <w:t xml:space="preserve">investigated in relation to age, </w:t>
      </w:r>
      <w:r w:rsidR="007940A6">
        <w:rPr>
          <w:lang w:val="en-US"/>
        </w:rPr>
        <w:t>gender</w:t>
      </w:r>
      <w:r w:rsidR="002D2873">
        <w:rPr>
          <w:lang w:val="en-US"/>
        </w:rPr>
        <w:t xml:space="preserve"> and some non-thyroidal diseases </w:t>
      </w:r>
      <w:commentRangeEnd w:id="37"/>
      <w:r w:rsidR="004664EA">
        <w:rPr>
          <w:rStyle w:val="CommentReference"/>
        </w:rPr>
        <w:commentReference w:id="37"/>
      </w:r>
      <w:commentRangeStart w:id="44"/>
      <w:r w:rsidR="002D2873">
        <w:rPr>
          <w:lang w:val="en-US"/>
        </w:rPr>
        <w:t xml:space="preserve">[23,24]. </w:t>
      </w:r>
      <w:commentRangeEnd w:id="44"/>
      <w:r w:rsidR="008E075B">
        <w:rPr>
          <w:rStyle w:val="CommentReference"/>
        </w:rPr>
        <w:commentReference w:id="44"/>
      </w:r>
      <w:commentRangeStart w:id="45"/>
      <w:r w:rsidR="002D2873">
        <w:rPr>
          <w:lang w:val="en-US"/>
        </w:rPr>
        <w:t>A</w:t>
      </w:r>
      <w:r w:rsidR="002D2873" w:rsidRPr="002D2873">
        <w:rPr>
          <w:lang w:val="en-US"/>
        </w:rPr>
        <w:t>fter that</w:t>
      </w:r>
      <w:r w:rsidR="00E51D3D">
        <w:rPr>
          <w:lang w:val="en-US"/>
        </w:rPr>
        <w:t>,</w:t>
      </w:r>
      <w:r w:rsidR="002D2873">
        <w:rPr>
          <w:lang w:val="en-US"/>
        </w:rPr>
        <w:t xml:space="preserve"> variations </w:t>
      </w:r>
      <w:r w:rsidR="00E51D3D">
        <w:rPr>
          <w:lang w:val="en-US"/>
        </w:rPr>
        <w:t>of</w:t>
      </w:r>
      <w:r w:rsidR="00987A6A">
        <w:rPr>
          <w:lang w:val="en-US"/>
        </w:rPr>
        <w:t>many</w:t>
      </w:r>
      <w:r w:rsidR="00765A84">
        <w:rPr>
          <w:lang w:val="en-US"/>
        </w:rPr>
        <w:t xml:space="preserve">TE </w:t>
      </w:r>
      <w:r w:rsidR="00E51D3D">
        <w:rPr>
          <w:lang w:val="en-US"/>
        </w:rPr>
        <w:t xml:space="preserve">content </w:t>
      </w:r>
      <w:r w:rsidR="002D2873">
        <w:rPr>
          <w:lang w:val="en-US"/>
        </w:rPr>
        <w:t>with age</w:t>
      </w:r>
      <w:r w:rsidR="00E51D3D">
        <w:rPr>
          <w:lang w:val="en-US"/>
        </w:rPr>
        <w:t xml:space="preserve"> in </w:t>
      </w:r>
      <w:r w:rsidR="00D6643B">
        <w:rPr>
          <w:lang w:val="en-US"/>
        </w:rPr>
        <w:t xml:space="preserve">the </w:t>
      </w:r>
      <w:r w:rsidR="00E51D3D">
        <w:rPr>
          <w:lang w:val="en-US"/>
        </w:rPr>
        <w:t>thyroid of males and female</w:t>
      </w:r>
      <w:r w:rsidR="002D2873">
        <w:rPr>
          <w:lang w:val="en-US"/>
        </w:rPr>
        <w:t>s</w:t>
      </w:r>
      <w:r w:rsidR="00664F8D">
        <w:rPr>
          <w:lang w:val="en-US"/>
        </w:rPr>
        <w:t>were</w:t>
      </w:r>
      <w:r w:rsidR="00E51D3D">
        <w:rPr>
          <w:lang w:val="en-US"/>
        </w:rPr>
        <w:t xml:space="preserve"> studied and </w:t>
      </w:r>
      <w:r w:rsidR="00664F8D">
        <w:rPr>
          <w:lang w:val="en-US"/>
        </w:rPr>
        <w:t xml:space="preserve">age- and </w:t>
      </w:r>
      <w:r w:rsidR="00E51D3D">
        <w:rPr>
          <w:lang w:val="en-US"/>
        </w:rPr>
        <w:t xml:space="preserve">gender-dependence of some </w:t>
      </w:r>
      <w:r w:rsidR="00762EAA">
        <w:rPr>
          <w:lang w:val="en-US"/>
        </w:rPr>
        <w:t>TE</w:t>
      </w:r>
      <w:r w:rsidR="00D6643B" w:rsidRPr="00A72FC3">
        <w:rPr>
          <w:lang w:val="en-US"/>
        </w:rPr>
        <w:t xml:space="preserve">was observed </w:t>
      </w:r>
      <w:r w:rsidR="00664F8D">
        <w:rPr>
          <w:lang w:val="en-US"/>
        </w:rPr>
        <w:t>[</w:t>
      </w:r>
      <w:commentRangeStart w:id="46"/>
      <w:r w:rsidR="00664F8D">
        <w:rPr>
          <w:lang w:val="en-US"/>
        </w:rPr>
        <w:t>25-41</w:t>
      </w:r>
      <w:commentRangeEnd w:id="46"/>
      <w:r w:rsidR="008E075B">
        <w:rPr>
          <w:rStyle w:val="CommentReference"/>
        </w:rPr>
        <w:commentReference w:id="46"/>
      </w:r>
      <w:r w:rsidR="00664F8D" w:rsidRPr="00A6756B">
        <w:rPr>
          <w:lang w:val="en-US"/>
        </w:rPr>
        <w:t xml:space="preserve">]. </w:t>
      </w:r>
      <w:r w:rsidR="00D6643B" w:rsidRPr="00A6756B">
        <w:rPr>
          <w:lang w:val="en-US"/>
        </w:rPr>
        <w:t xml:space="preserve">Furthermore, a significant difference between some </w:t>
      </w:r>
      <w:r w:rsidR="00762EAA">
        <w:rPr>
          <w:lang w:val="en-US"/>
        </w:rPr>
        <w:t>TE</w:t>
      </w:r>
      <w:r w:rsidR="00D6643B" w:rsidRPr="00A6756B">
        <w:rPr>
          <w:lang w:val="en-US"/>
        </w:rPr>
        <w:t>contents</w:t>
      </w:r>
      <w:r w:rsidR="000864D3" w:rsidRPr="00A6756B">
        <w:rPr>
          <w:lang w:val="en-US"/>
        </w:rPr>
        <w:t xml:space="preserve"> in CGand T</w:t>
      </w:r>
      <w:r w:rsidR="003038DA">
        <w:rPr>
          <w:lang w:val="en-US"/>
        </w:rPr>
        <w:t>A</w:t>
      </w:r>
      <w:r w:rsidR="00D6643B" w:rsidRPr="00A6756B">
        <w:rPr>
          <w:lang w:val="en-US"/>
        </w:rPr>
        <w:t xml:space="preserve"> in </w:t>
      </w:r>
      <w:r w:rsidR="000864D3" w:rsidRPr="00A6756B">
        <w:rPr>
          <w:lang w:val="en-US"/>
        </w:rPr>
        <w:t xml:space="preserve">comparison with </w:t>
      </w:r>
      <w:r w:rsidR="00D6643B" w:rsidRPr="00A6756B">
        <w:rPr>
          <w:lang w:val="en-US"/>
        </w:rPr>
        <w:t>normal thyroid was demonstrated</w:t>
      </w:r>
      <w:commentRangeEnd w:id="45"/>
      <w:r w:rsidR="00BA7456">
        <w:rPr>
          <w:rStyle w:val="CommentReference"/>
        </w:rPr>
        <w:commentReference w:id="45"/>
      </w:r>
      <w:r w:rsidR="00D6643B" w:rsidRPr="00A6756B">
        <w:rPr>
          <w:lang w:val="en-US"/>
        </w:rPr>
        <w:t xml:space="preserve"> </w:t>
      </w:r>
      <w:commentRangeStart w:id="47"/>
      <w:r w:rsidR="00D6643B" w:rsidRPr="00D207C1">
        <w:rPr>
          <w:lang w:val="en-US"/>
        </w:rPr>
        <w:t>[</w:t>
      </w:r>
      <w:r w:rsidR="003F4E0D" w:rsidRPr="00D207C1">
        <w:rPr>
          <w:lang w:val="en-US"/>
        </w:rPr>
        <w:t>42-4</w:t>
      </w:r>
      <w:r w:rsidR="00D207C1" w:rsidRPr="00D207C1">
        <w:rPr>
          <w:lang w:val="en-US"/>
        </w:rPr>
        <w:t>4</w:t>
      </w:r>
      <w:r w:rsidR="00D6643B" w:rsidRPr="00D207C1">
        <w:rPr>
          <w:lang w:val="en-US"/>
        </w:rPr>
        <w:t>]</w:t>
      </w:r>
      <w:commentRangeEnd w:id="47"/>
      <w:r w:rsidR="008E075B">
        <w:rPr>
          <w:rStyle w:val="CommentReference"/>
        </w:rPr>
        <w:commentReference w:id="47"/>
      </w:r>
      <w:r w:rsidR="00D6643B" w:rsidRPr="00D207C1">
        <w:rPr>
          <w:lang w:val="en-US"/>
        </w:rPr>
        <w:t>.</w:t>
      </w:r>
    </w:p>
    <w:p w:rsidR="008E075B" w:rsidRDefault="008E075B" w:rsidP="00204280">
      <w:pPr>
        <w:spacing w:line="276" w:lineRule="auto"/>
        <w:jc w:val="both"/>
        <w:rPr>
          <w:rStyle w:val="hps"/>
          <w:lang w:val="en-US"/>
        </w:rPr>
      </w:pPr>
    </w:p>
    <w:p w:rsidR="007F6AC7" w:rsidRDefault="00BC116F" w:rsidP="00E307FF">
      <w:pPr>
        <w:spacing w:line="276" w:lineRule="auto"/>
        <w:jc w:val="both"/>
        <w:rPr>
          <w:lang w:val="en-US"/>
        </w:rPr>
      </w:pPr>
      <w:commentRangeStart w:id="48"/>
      <w:r>
        <w:rPr>
          <w:rStyle w:val="hps"/>
          <w:lang w:val="en-US"/>
        </w:rPr>
        <w:t>T</w:t>
      </w:r>
      <w:r w:rsidRPr="00012C89">
        <w:rPr>
          <w:rStyle w:val="hps"/>
          <w:lang w:val="en-US"/>
        </w:rPr>
        <w:t>o date</w:t>
      </w:r>
      <w:r>
        <w:rPr>
          <w:rStyle w:val="hps"/>
          <w:lang w:val="en-US"/>
        </w:rPr>
        <w:t>,</w:t>
      </w:r>
      <w:r w:rsidR="008E075B">
        <w:rPr>
          <w:rStyle w:val="hps"/>
          <w:lang w:val="en-US"/>
        </w:rPr>
        <w:t xml:space="preserve"> </w:t>
      </w:r>
      <w:r w:rsidR="00E47DFB" w:rsidRPr="00E47DFB">
        <w:rPr>
          <w:lang w:val="en-US"/>
        </w:rPr>
        <w:t xml:space="preserve">the </w:t>
      </w:r>
      <w:r w:rsidR="00806D0B">
        <w:rPr>
          <w:lang w:val="en-US"/>
        </w:rPr>
        <w:t xml:space="preserve">etiology and </w:t>
      </w:r>
      <w:r w:rsidR="00E47DFB" w:rsidRPr="00E47DFB">
        <w:rPr>
          <w:lang w:val="en-US"/>
        </w:rPr>
        <w:t xml:space="preserve">pathogenesis of </w:t>
      </w:r>
      <w:r w:rsidR="00D207C1" w:rsidRPr="00A6756B">
        <w:rPr>
          <w:lang w:val="en-US"/>
        </w:rPr>
        <w:t>CG</w:t>
      </w:r>
      <w:r w:rsidR="008E075B">
        <w:rPr>
          <w:lang w:val="en-US"/>
        </w:rPr>
        <w:t xml:space="preserve"> </w:t>
      </w:r>
      <w:r w:rsidR="00D207C1" w:rsidRPr="00A6756B">
        <w:rPr>
          <w:lang w:val="en-US"/>
        </w:rPr>
        <w:t>and T</w:t>
      </w:r>
      <w:r w:rsidR="00D207C1">
        <w:rPr>
          <w:lang w:val="en-US"/>
        </w:rPr>
        <w:t>A</w:t>
      </w:r>
      <w:r w:rsidR="008E075B">
        <w:rPr>
          <w:lang w:val="en-US"/>
        </w:rPr>
        <w:t xml:space="preserve"> </w:t>
      </w:r>
      <w:commentRangeStart w:id="49"/>
      <w:r w:rsidR="00E47DFB">
        <w:rPr>
          <w:lang w:val="en-US"/>
        </w:rPr>
        <w:t xml:space="preserve">has to </w:t>
      </w:r>
      <w:commentRangeEnd w:id="49"/>
      <w:r w:rsidR="008E075B">
        <w:rPr>
          <w:rStyle w:val="CommentReference"/>
        </w:rPr>
        <w:commentReference w:id="49"/>
      </w:r>
      <w:r w:rsidR="00E47DFB">
        <w:rPr>
          <w:lang w:val="en-US"/>
        </w:rPr>
        <w:t xml:space="preserve">be considered </w:t>
      </w:r>
      <w:commentRangeStart w:id="50"/>
      <w:r w:rsidR="00E47DFB">
        <w:rPr>
          <w:lang w:val="en-US"/>
        </w:rPr>
        <w:t>as</w:t>
      </w:r>
      <w:commentRangeEnd w:id="50"/>
      <w:r w:rsidR="008E075B">
        <w:rPr>
          <w:rStyle w:val="CommentReference"/>
        </w:rPr>
        <w:commentReference w:id="50"/>
      </w:r>
      <w:r w:rsidR="00E47DFB">
        <w:rPr>
          <w:lang w:val="en-US"/>
        </w:rPr>
        <w:t xml:space="preserve"> </w:t>
      </w:r>
      <w:r w:rsidR="00E47DFB" w:rsidRPr="00E47DFB">
        <w:rPr>
          <w:lang w:val="en-US"/>
        </w:rPr>
        <w:t>multifactorial</w:t>
      </w:r>
      <w:r w:rsidR="00E47DFB">
        <w:rPr>
          <w:lang w:val="en-US"/>
        </w:rPr>
        <w:t>. The present study was performed to</w:t>
      </w:r>
      <w:r w:rsidR="003F4E0D">
        <w:rPr>
          <w:lang w:val="en-US"/>
        </w:rPr>
        <w:t xml:space="preserve"> </w:t>
      </w:r>
      <w:commentRangeStart w:id="51"/>
      <w:r w:rsidR="003F4E0D">
        <w:rPr>
          <w:lang w:val="en-US"/>
        </w:rPr>
        <w:t>find</w:t>
      </w:r>
      <w:commentRangeEnd w:id="51"/>
      <w:r w:rsidR="008E075B">
        <w:rPr>
          <w:rStyle w:val="CommentReference"/>
        </w:rPr>
        <w:commentReference w:id="51"/>
      </w:r>
      <w:r w:rsidR="003F4E0D">
        <w:rPr>
          <w:lang w:val="en-US"/>
        </w:rPr>
        <w:t xml:space="preserve"> differences in </w:t>
      </w:r>
      <w:r w:rsidR="00F16DCE">
        <w:rPr>
          <w:lang w:val="en-US"/>
        </w:rPr>
        <w:t>TE</w:t>
      </w:r>
      <w:r w:rsidR="008E075B">
        <w:rPr>
          <w:lang w:val="en-US"/>
        </w:rPr>
        <w:t xml:space="preserve"> </w:t>
      </w:r>
      <w:r w:rsidR="003F4E0D">
        <w:rPr>
          <w:lang w:val="en-US"/>
        </w:rPr>
        <w:t xml:space="preserve">contents between </w:t>
      </w:r>
      <w:commentRangeStart w:id="52"/>
      <w:r w:rsidR="00D207C1" w:rsidRPr="00A6756B">
        <w:rPr>
          <w:lang w:val="en-US"/>
        </w:rPr>
        <w:t>CG</w:t>
      </w:r>
      <w:r w:rsidR="008E075B">
        <w:rPr>
          <w:lang w:val="en-US"/>
        </w:rPr>
        <w:t xml:space="preserve"> </w:t>
      </w:r>
      <w:r w:rsidR="00D207C1" w:rsidRPr="00A6756B">
        <w:rPr>
          <w:lang w:val="en-US"/>
        </w:rPr>
        <w:t>and T</w:t>
      </w:r>
      <w:r w:rsidR="00D207C1">
        <w:rPr>
          <w:lang w:val="en-US"/>
        </w:rPr>
        <w:t xml:space="preserve">A </w:t>
      </w:r>
      <w:r w:rsidR="00244A74">
        <w:rPr>
          <w:lang w:val="en-US"/>
        </w:rPr>
        <w:t>group of samples</w:t>
      </w:r>
      <w:commentRangeEnd w:id="52"/>
      <w:r w:rsidR="008E075B">
        <w:rPr>
          <w:rStyle w:val="CommentReference"/>
        </w:rPr>
        <w:commentReference w:id="52"/>
      </w:r>
      <w:r w:rsidR="003F4E0D">
        <w:rPr>
          <w:lang w:val="en-US"/>
        </w:rPr>
        <w:t xml:space="preserve">, as well as to </w:t>
      </w:r>
      <w:r w:rsidR="00E47DFB">
        <w:rPr>
          <w:lang w:val="en-US"/>
        </w:rPr>
        <w:t xml:space="preserve">clarify </w:t>
      </w:r>
      <w:commentRangeEnd w:id="48"/>
      <w:r w:rsidR="004664EA">
        <w:rPr>
          <w:rStyle w:val="CommentReference"/>
        </w:rPr>
        <w:commentReference w:id="48"/>
      </w:r>
      <w:r w:rsidR="00DE4BF3">
        <w:rPr>
          <w:lang w:val="en-US"/>
        </w:rPr>
        <w:t xml:space="preserve">the role of some </w:t>
      </w:r>
      <w:r w:rsidR="00F16DCE">
        <w:rPr>
          <w:lang w:val="en-US"/>
        </w:rPr>
        <w:t>TE</w:t>
      </w:r>
      <w:r w:rsidR="008E075B">
        <w:rPr>
          <w:lang w:val="en-US"/>
        </w:rPr>
        <w:t xml:space="preserve"> </w:t>
      </w:r>
      <w:r w:rsidR="00DE4BF3">
        <w:rPr>
          <w:lang w:val="en-US"/>
        </w:rPr>
        <w:t xml:space="preserve">in </w:t>
      </w:r>
      <w:r w:rsidR="00DE4BF3" w:rsidRPr="00AA11C6">
        <w:rPr>
          <w:lang w:val="en-US"/>
        </w:rPr>
        <w:t xml:space="preserve">the </w:t>
      </w:r>
      <w:r w:rsidR="00806D0B">
        <w:rPr>
          <w:lang w:val="en-US"/>
        </w:rPr>
        <w:t>etiology</w:t>
      </w:r>
      <w:r w:rsidR="00D207C1">
        <w:rPr>
          <w:lang w:val="en-US"/>
        </w:rPr>
        <w:t xml:space="preserve"> of </w:t>
      </w:r>
      <w:commentRangeStart w:id="53"/>
      <w:r w:rsidR="00D207C1">
        <w:rPr>
          <w:lang w:val="en-US"/>
        </w:rPr>
        <w:t>these</w:t>
      </w:r>
      <w:commentRangeEnd w:id="53"/>
      <w:r w:rsidR="008E075B">
        <w:rPr>
          <w:rStyle w:val="CommentReference"/>
        </w:rPr>
        <w:commentReference w:id="53"/>
      </w:r>
      <w:r w:rsidR="00D207C1">
        <w:rPr>
          <w:lang w:val="en-US"/>
        </w:rPr>
        <w:t xml:space="preserve"> thyroid lesions</w:t>
      </w:r>
      <w:r w:rsidR="00710051">
        <w:rPr>
          <w:lang w:val="en-US"/>
        </w:rPr>
        <w:t xml:space="preserve">. </w:t>
      </w:r>
      <w:commentRangeStart w:id="54"/>
      <w:commentRangeStart w:id="55"/>
      <w:r w:rsidR="00CE2040">
        <w:t xml:space="preserve">Having this in mind, </w:t>
      </w:r>
      <w:commentRangeStart w:id="56"/>
      <w:r w:rsidR="00CE2040">
        <w:t>our aim</w:t>
      </w:r>
      <w:r w:rsidR="00DA4B51" w:rsidRPr="00DE4BF3">
        <w:rPr>
          <w:lang w:val="en-US"/>
        </w:rPr>
        <w:t xml:space="preserve"> was </w:t>
      </w:r>
      <w:commentRangeEnd w:id="56"/>
      <w:r w:rsidR="00BA7456">
        <w:rPr>
          <w:rStyle w:val="CommentReference"/>
        </w:rPr>
        <w:commentReference w:id="56"/>
      </w:r>
      <w:r w:rsidR="00DA4B51" w:rsidRPr="00DE4BF3">
        <w:rPr>
          <w:lang w:val="en-US"/>
        </w:rPr>
        <w:t xml:space="preserve">to assess the </w:t>
      </w:r>
      <w:r w:rsidR="00F16DCE" w:rsidRPr="00911EA3">
        <w:rPr>
          <w:lang w:val="en-US"/>
        </w:rPr>
        <w:t>silver (Ag), aluminum (Al),  arsenic (As), gold (Au), boron (B),, beryllium (Be), bismuth (Bi), cadmium (Cd), cerium (Ce), cobalt (Co), chromium (Cr), cesium (Cs), dysprosium (Dy), iron (Fe), erbium (Er), europium (Eu), gallium (Ga), gadolinium (Gd), mercury (Hg), holmium (Ho), iridium (Ir), lanthanum (La), lithium (Li), lutecium (Lu), manganese (Mn), molybdenum (Mo), niobium (Nb), neodymium (Nd), nickel (Ni), lead (Pb), palladium (Pd), praseodymium (Pr), platinum (Pt), rubidium (Rb), antimony (Sb), scandium (Sc), selenium (Se), samarium (Sm), tin (Sn), terbium (Tb), tellurium (Te), thorium (Th), titanium (Ti), thallium (Tl), thulium (Tm), uranium (U), yttrium (Y), ytterbium (Yb), zinc (Zn), and zirconium (Zr)</w:t>
      </w:r>
      <w:r w:rsidR="00DA4B51" w:rsidRPr="00DE4BF3">
        <w:rPr>
          <w:lang w:val="en-US"/>
        </w:rPr>
        <w:t xml:space="preserve">contents in </w:t>
      </w:r>
      <w:r w:rsidR="00D207C1">
        <w:rPr>
          <w:lang w:val="en-US"/>
        </w:rPr>
        <w:t>CG and</w:t>
      </w:r>
      <w:r w:rsidR="003F4E0D">
        <w:rPr>
          <w:lang w:val="en-US"/>
        </w:rPr>
        <w:t xml:space="preserve"> TA</w:t>
      </w:r>
      <w:r w:rsidR="00DA4B51" w:rsidRPr="00DE4BF3">
        <w:rPr>
          <w:lang w:val="en-US"/>
        </w:rPr>
        <w:t>tissue</w:t>
      </w:r>
      <w:r w:rsidR="00A97D09">
        <w:rPr>
          <w:lang w:val="en-US"/>
        </w:rPr>
        <w:t xml:space="preserve"> samples</w:t>
      </w:r>
      <w:r w:rsidR="00DA4B51" w:rsidRPr="00DE4BF3">
        <w:rPr>
          <w:lang w:val="en-US"/>
        </w:rPr>
        <w:t xml:space="preserve"> using </w:t>
      </w:r>
      <w:r w:rsidR="00D207C1" w:rsidRPr="00034A9D">
        <w:rPr>
          <w:lang w:val="en-US"/>
        </w:rPr>
        <w:t xml:space="preserve">a combination of non-destructive and destructive methods: instrumental neutron activation analysis with high resolution spectrometry of </w:t>
      </w:r>
      <w:r w:rsidR="00F16DCE">
        <w:rPr>
          <w:lang w:val="en-US"/>
        </w:rPr>
        <w:t>long-lived radionuclides (INAA-L</w:t>
      </w:r>
      <w:r w:rsidR="00D207C1" w:rsidRPr="00034A9D">
        <w:rPr>
          <w:lang w:val="en-US"/>
        </w:rPr>
        <w:t xml:space="preserve">LR) and inductively coupled plasma </w:t>
      </w:r>
      <w:r w:rsidR="00F16DCE">
        <w:rPr>
          <w:lang w:val="en-US"/>
        </w:rPr>
        <w:t>mass</w:t>
      </w:r>
      <w:r w:rsidR="006B4650">
        <w:rPr>
          <w:lang w:val="en-US"/>
        </w:rPr>
        <w:t xml:space="preserve"> spectrometry (ICP-M</w:t>
      </w:r>
      <w:r w:rsidR="00D207C1" w:rsidRPr="00034A9D">
        <w:rPr>
          <w:lang w:val="en-US"/>
        </w:rPr>
        <w:t>S), respectively</w:t>
      </w:r>
      <w:r w:rsidR="00DA4B51" w:rsidRPr="00DE4BF3">
        <w:rPr>
          <w:lang w:val="en-US"/>
        </w:rPr>
        <w:t xml:space="preserve">. </w:t>
      </w:r>
      <w:r w:rsidR="00CE2040">
        <w:rPr>
          <w:lang w:val="en-US"/>
        </w:rPr>
        <w:t>A further</w:t>
      </w:r>
      <w:r w:rsidR="00DA4B51" w:rsidRPr="00DE4BF3">
        <w:rPr>
          <w:lang w:val="en-US"/>
        </w:rPr>
        <w:t xml:space="preserve"> aim was to compare the levels of </w:t>
      </w:r>
      <w:r w:rsidR="007F6AC7">
        <w:rPr>
          <w:lang w:val="en-US"/>
        </w:rPr>
        <w:t xml:space="preserve">these </w:t>
      </w:r>
      <w:r w:rsidR="006B4650">
        <w:rPr>
          <w:lang w:val="en-US"/>
        </w:rPr>
        <w:t>TE</w:t>
      </w:r>
      <w:r w:rsidR="00D16883">
        <w:rPr>
          <w:lang w:val="en-US"/>
        </w:rPr>
        <w:t xml:space="preserve"> </w:t>
      </w:r>
      <w:r w:rsidR="00DA4B51" w:rsidRPr="00DE4BF3">
        <w:rPr>
          <w:lang w:val="en-US"/>
        </w:rPr>
        <w:t xml:space="preserve">in </w:t>
      </w:r>
      <w:r w:rsidR="00AE7237">
        <w:rPr>
          <w:lang w:val="en-US"/>
        </w:rPr>
        <w:t xml:space="preserve">CG </w:t>
      </w:r>
      <w:r w:rsidR="00D207C1">
        <w:rPr>
          <w:lang w:val="en-US"/>
        </w:rPr>
        <w:t xml:space="preserve">and </w:t>
      </w:r>
      <w:r w:rsidR="00AE7237">
        <w:rPr>
          <w:lang w:val="en-US"/>
        </w:rPr>
        <w:t xml:space="preserve">TA </w:t>
      </w:r>
      <w:r w:rsidR="00A97D09">
        <w:rPr>
          <w:lang w:val="en-US"/>
        </w:rPr>
        <w:t>group of samples</w:t>
      </w:r>
      <w:r w:rsidR="007F6AC7">
        <w:rPr>
          <w:lang w:val="en-US"/>
        </w:rPr>
        <w:t xml:space="preserve">. </w:t>
      </w:r>
      <w:commentRangeEnd w:id="54"/>
      <w:r w:rsidR="00D16883">
        <w:rPr>
          <w:rStyle w:val="CommentReference"/>
        </w:rPr>
        <w:commentReference w:id="54"/>
      </w:r>
      <w:commentRangeEnd w:id="55"/>
      <w:r w:rsidR="00D16883">
        <w:rPr>
          <w:rStyle w:val="CommentReference"/>
        </w:rPr>
        <w:commentReference w:id="55"/>
      </w:r>
    </w:p>
    <w:p w:rsidR="00D16883" w:rsidRDefault="00D16883" w:rsidP="00204280">
      <w:pPr>
        <w:pStyle w:val="BodyText"/>
        <w:spacing w:after="0" w:line="276" w:lineRule="auto"/>
        <w:rPr>
          <w:lang w:val="en-US"/>
        </w:rPr>
      </w:pPr>
    </w:p>
    <w:p w:rsidR="00DA4B51" w:rsidRDefault="00DA4B51" w:rsidP="00204280">
      <w:pPr>
        <w:pStyle w:val="BodyText"/>
        <w:spacing w:after="0" w:line="276" w:lineRule="auto"/>
        <w:rPr>
          <w:b/>
          <w:bCs/>
          <w:caps/>
          <w:sz w:val="24"/>
          <w:szCs w:val="24"/>
          <w:lang w:val="en-US"/>
        </w:rPr>
      </w:pPr>
      <w:r w:rsidRPr="004D43DA">
        <w:rPr>
          <w:b/>
          <w:bCs/>
          <w:caps/>
          <w:sz w:val="24"/>
          <w:szCs w:val="24"/>
          <w:lang w:val="en-US"/>
        </w:rPr>
        <w:t>Material and Methods</w:t>
      </w:r>
    </w:p>
    <w:p w:rsidR="00DA4B51" w:rsidRDefault="00DA4B51" w:rsidP="00204280">
      <w:pPr>
        <w:spacing w:line="276" w:lineRule="auto"/>
        <w:jc w:val="both"/>
        <w:rPr>
          <w:lang w:val="en-US"/>
        </w:rPr>
      </w:pPr>
      <w:commentRangeStart w:id="57"/>
      <w:r w:rsidRPr="00893C5E">
        <w:rPr>
          <w:lang w:val="en-US"/>
        </w:rPr>
        <w:t xml:space="preserve">All patients suffered from </w:t>
      </w:r>
      <w:r w:rsidR="00114AF0" w:rsidRPr="00893C5E">
        <w:rPr>
          <w:lang w:val="en-US"/>
        </w:rPr>
        <w:t>CG (n=46, mean age M</w:t>
      </w:r>
      <w:r w:rsidR="00114AF0" w:rsidRPr="00893C5E">
        <w:sym w:font="Symbol" w:char="F0B1"/>
      </w:r>
      <w:r w:rsidR="00114AF0" w:rsidRPr="00893C5E">
        <w:rPr>
          <w:lang w:val="en-US"/>
        </w:rPr>
        <w:t>SD was 48</w:t>
      </w:r>
      <w:r w:rsidR="00114AF0" w:rsidRPr="00893C5E">
        <w:sym w:font="Symbol" w:char="F0B1"/>
      </w:r>
      <w:r w:rsidR="00246C0F">
        <w:rPr>
          <w:lang w:val="en-US"/>
        </w:rPr>
        <w:t>12 years, range 30-64) and</w:t>
      </w:r>
      <w:r w:rsidR="003034FB">
        <w:rPr>
          <w:lang w:val="en-US"/>
        </w:rPr>
        <w:t xml:space="preserve"> </w:t>
      </w:r>
      <w:r w:rsidR="00806D0B" w:rsidRPr="00893C5E">
        <w:rPr>
          <w:lang w:val="en-US"/>
        </w:rPr>
        <w:t>TA</w:t>
      </w:r>
      <w:r w:rsidRPr="00872213">
        <w:rPr>
          <w:lang w:val="en-US"/>
        </w:rPr>
        <w:t>(n=</w:t>
      </w:r>
      <w:r w:rsidR="00806D0B">
        <w:rPr>
          <w:lang w:val="en-US"/>
        </w:rPr>
        <w:t>19</w:t>
      </w:r>
      <w:r>
        <w:rPr>
          <w:lang w:val="en-US"/>
        </w:rPr>
        <w:t xml:space="preserve">, </w:t>
      </w:r>
      <w:r w:rsidRPr="009E229C">
        <w:rPr>
          <w:lang w:val="en-US"/>
        </w:rPr>
        <w:t>mean age M</w:t>
      </w:r>
      <w:r w:rsidRPr="009E229C">
        <w:sym w:font="Symbol" w:char="F0B1"/>
      </w:r>
      <w:r w:rsidRPr="009E229C">
        <w:rPr>
          <w:lang w:val="en-US"/>
        </w:rPr>
        <w:t xml:space="preserve">SD was </w:t>
      </w:r>
      <w:r w:rsidR="009E229C" w:rsidRPr="009E229C">
        <w:rPr>
          <w:lang w:val="en-US"/>
        </w:rPr>
        <w:t>4</w:t>
      </w:r>
      <w:r w:rsidR="00806D0B">
        <w:rPr>
          <w:lang w:val="en-US"/>
        </w:rPr>
        <w:t>1</w:t>
      </w:r>
      <w:r w:rsidRPr="009E229C">
        <w:sym w:font="Symbol" w:char="F0B1"/>
      </w:r>
      <w:r w:rsidR="009E229C" w:rsidRPr="009E229C">
        <w:rPr>
          <w:lang w:val="en-US"/>
        </w:rPr>
        <w:t>1</w:t>
      </w:r>
      <w:r w:rsidR="00806D0B">
        <w:rPr>
          <w:lang w:val="en-US"/>
        </w:rPr>
        <w:t>1</w:t>
      </w:r>
      <w:r w:rsidRPr="009E229C">
        <w:rPr>
          <w:lang w:val="en-US"/>
        </w:rPr>
        <w:t xml:space="preserve"> years, range </w:t>
      </w:r>
      <w:r w:rsidR="00806D0B">
        <w:rPr>
          <w:lang w:val="en-US"/>
        </w:rPr>
        <w:t>22</w:t>
      </w:r>
      <w:r w:rsidRPr="009E229C">
        <w:rPr>
          <w:lang w:val="en-US"/>
        </w:rPr>
        <w:t>-</w:t>
      </w:r>
      <w:r w:rsidR="00806D0B">
        <w:rPr>
          <w:lang w:val="en-US"/>
        </w:rPr>
        <w:t>55</w:t>
      </w:r>
      <w:r w:rsidR="00246C0F">
        <w:rPr>
          <w:lang w:val="en-US"/>
        </w:rPr>
        <w:t xml:space="preserve">) </w:t>
      </w:r>
      <w:r w:rsidRPr="009E229C">
        <w:rPr>
          <w:lang w:val="en-US"/>
        </w:rPr>
        <w:t>were</w:t>
      </w:r>
      <w:r w:rsidRPr="00872213">
        <w:rPr>
          <w:lang w:val="en-US"/>
        </w:rPr>
        <w:t xml:space="preserve"> hospitalized in the </w:t>
      </w:r>
      <w:r w:rsidR="00FC7F49">
        <w:rPr>
          <w:lang w:val="en-US"/>
        </w:rPr>
        <w:t>Head and Neck</w:t>
      </w:r>
      <w:r w:rsidRPr="00872213">
        <w:rPr>
          <w:lang w:val="en-US"/>
        </w:rPr>
        <w:t xml:space="preserve"> Department of the Medical Radiological Research Centre. </w:t>
      </w:r>
      <w:r w:rsidR="00FC7F49">
        <w:rPr>
          <w:lang w:val="en-US"/>
        </w:rPr>
        <w:t xml:space="preserve">Thick-needle </w:t>
      </w:r>
      <w:r w:rsidRPr="00872213">
        <w:rPr>
          <w:lang w:val="en-US"/>
        </w:rPr>
        <w:t xml:space="preserve">puncture biopsy of suspicious </w:t>
      </w:r>
      <w:r w:rsidR="00FC7F49">
        <w:rPr>
          <w:lang w:val="en-US"/>
        </w:rPr>
        <w:t>nodules</w:t>
      </w:r>
      <w:r w:rsidRPr="00872213">
        <w:rPr>
          <w:lang w:val="en-US"/>
        </w:rPr>
        <w:t xml:space="preserve"> of the</w:t>
      </w:r>
      <w:r w:rsidR="003034FB">
        <w:rPr>
          <w:lang w:val="en-US"/>
        </w:rPr>
        <w:t xml:space="preserve"> </w:t>
      </w:r>
      <w:r w:rsidR="00FC7F49">
        <w:rPr>
          <w:lang w:val="en-US"/>
        </w:rPr>
        <w:t>thyroid</w:t>
      </w:r>
      <w:r w:rsidRPr="00872213">
        <w:rPr>
          <w:lang w:val="en-US"/>
        </w:rPr>
        <w:t xml:space="preserve"> was performed for every patient, to permit morphological study of </w:t>
      </w:r>
      <w:r w:rsidR="00FC7F49">
        <w:rPr>
          <w:lang w:val="en-US"/>
        </w:rPr>
        <w:t>thyroid</w:t>
      </w:r>
      <w:r w:rsidRPr="00872213">
        <w:rPr>
          <w:lang w:val="en-US"/>
        </w:rPr>
        <w:t xml:space="preserve"> tissue at these sites and to estimate their </w:t>
      </w:r>
      <w:r w:rsidR="009E229C">
        <w:rPr>
          <w:lang w:val="en-US"/>
        </w:rPr>
        <w:t>TE</w:t>
      </w:r>
      <w:r w:rsidRPr="00872213">
        <w:rPr>
          <w:lang w:val="en-US"/>
        </w:rPr>
        <w:t xml:space="preserve"> contents. </w:t>
      </w:r>
      <w:r w:rsidR="00246C0F">
        <w:rPr>
          <w:lang w:val="en-US"/>
        </w:rPr>
        <w:t>For</w:t>
      </w:r>
      <w:r w:rsidR="00246C0F" w:rsidRPr="00872213">
        <w:rPr>
          <w:lang w:val="en-US"/>
        </w:rPr>
        <w:t xml:space="preserve"> all </w:t>
      </w:r>
      <w:r w:rsidR="00246C0F">
        <w:rPr>
          <w:lang w:val="en-US"/>
        </w:rPr>
        <w:t>patients</w:t>
      </w:r>
      <w:r w:rsidR="00246C0F" w:rsidRPr="00872213">
        <w:rPr>
          <w:lang w:val="en-US"/>
        </w:rPr>
        <w:t xml:space="preserve"> the diagnosis has been confirmed by clinical and morphological results obtained during studies </w:t>
      </w:r>
      <w:commentRangeEnd w:id="57"/>
      <w:r w:rsidR="004664EA">
        <w:rPr>
          <w:rStyle w:val="CommentReference"/>
        </w:rPr>
        <w:commentReference w:id="57"/>
      </w:r>
      <w:r w:rsidR="00246C0F" w:rsidRPr="00872213">
        <w:rPr>
          <w:lang w:val="en-US"/>
        </w:rPr>
        <w:t xml:space="preserve">of biopsy and resected </w:t>
      </w:r>
      <w:r w:rsidR="00246C0F" w:rsidRPr="00872213">
        <w:rPr>
          <w:lang w:val="en-US"/>
        </w:rPr>
        <w:lastRenderedPageBreak/>
        <w:t>materials</w:t>
      </w:r>
      <w:r w:rsidR="00246C0F">
        <w:rPr>
          <w:lang w:val="en-US"/>
        </w:rPr>
        <w:t xml:space="preserve"> (46 </w:t>
      </w:r>
      <w:r w:rsidR="00246C0F" w:rsidRPr="00246C0F">
        <w:rPr>
          <w:lang w:val="en-US"/>
        </w:rPr>
        <w:t>euthyroid</w:t>
      </w:r>
      <w:r w:rsidR="00246C0F">
        <w:rPr>
          <w:lang w:val="en-US"/>
        </w:rPr>
        <w:t xml:space="preserve"> CG</w:t>
      </w:r>
      <w:r w:rsidR="006B4650">
        <w:rPr>
          <w:lang w:val="en-US"/>
        </w:rPr>
        <w:t>, 4 toxic TA and 15 non-toxic</w:t>
      </w:r>
      <w:r w:rsidR="00246C0F" w:rsidRPr="00246C0F">
        <w:rPr>
          <w:lang w:val="en-US"/>
        </w:rPr>
        <w:t xml:space="preserve"> TA)</w:t>
      </w:r>
      <w:r w:rsidR="00246C0F">
        <w:rPr>
          <w:lang w:val="en-US"/>
        </w:rPr>
        <w:t xml:space="preserve">. </w:t>
      </w:r>
      <w:commentRangeStart w:id="58"/>
      <w:r w:rsidR="00246C0F">
        <w:rPr>
          <w:lang w:val="en-US"/>
        </w:rPr>
        <w:t xml:space="preserve">Histological conclusion for all thyroidal lesions was the CG (16 </w:t>
      </w:r>
      <w:r w:rsidR="00246C0F" w:rsidRPr="00662BB6">
        <w:rPr>
          <w:lang w:val="en-US"/>
        </w:rPr>
        <w:t>macro-follicular</w:t>
      </w:r>
      <w:r w:rsidR="00246C0F">
        <w:rPr>
          <w:lang w:val="en-US"/>
        </w:rPr>
        <w:t xml:space="preserve">,13 </w:t>
      </w:r>
      <w:r w:rsidR="00246C0F" w:rsidRPr="00662BB6">
        <w:rPr>
          <w:lang w:val="en-US"/>
        </w:rPr>
        <w:t>micro-follicular</w:t>
      </w:r>
      <w:r w:rsidR="00246C0F">
        <w:rPr>
          <w:lang w:val="en-US"/>
        </w:rPr>
        <w:t xml:space="preserve">, and 17 </w:t>
      </w:r>
      <w:r w:rsidR="00246C0F" w:rsidRPr="00662BB6">
        <w:rPr>
          <w:lang w:val="en-US"/>
        </w:rPr>
        <w:t>macro-micro</w:t>
      </w:r>
      <w:r w:rsidR="00246C0F">
        <w:rPr>
          <w:lang w:val="en-US"/>
        </w:rPr>
        <w:t>-</w:t>
      </w:r>
      <w:r w:rsidR="00246C0F" w:rsidRPr="00662BB6">
        <w:rPr>
          <w:lang w:val="en-US"/>
        </w:rPr>
        <w:t>follicular</w:t>
      </w:r>
      <w:r w:rsidR="00246C0F">
        <w:rPr>
          <w:lang w:val="en-US"/>
        </w:rPr>
        <w:t xml:space="preserve">) and TA </w:t>
      </w:r>
      <w:r w:rsidR="00246C0F" w:rsidRPr="00F74CCD">
        <w:rPr>
          <w:lang w:val="en-US"/>
        </w:rPr>
        <w:t>(4 macro-follicular, 4 micro-follicular, 11 macro-micro follicular)</w:t>
      </w:r>
      <w:r w:rsidR="00246C0F">
        <w:rPr>
          <w:lang w:val="en-US"/>
        </w:rPr>
        <w:t>.</w:t>
      </w:r>
    </w:p>
    <w:p w:rsidR="004D43DA" w:rsidRPr="004D43DA" w:rsidRDefault="004D43DA" w:rsidP="00204280">
      <w:pPr>
        <w:spacing w:line="276" w:lineRule="auto"/>
        <w:jc w:val="both"/>
        <w:rPr>
          <w:lang w:val="en-US"/>
        </w:rPr>
      </w:pPr>
      <w:r w:rsidRPr="004D43DA">
        <w:rPr>
          <w:position w:val="1"/>
          <w:lang w:val="en-US"/>
        </w:rPr>
        <w:t xml:space="preserve">All studies were approved by the Ethical Committees of the Medical </w:t>
      </w:r>
      <w:r w:rsidRPr="004D43DA">
        <w:rPr>
          <w:u w:val="thick" w:color="FDE994"/>
          <w:lang w:val="en-US"/>
        </w:rPr>
        <w:t xml:space="preserve">Radiological Research Centre (MRRC), Obninsk (Reference number </w:t>
      </w:r>
      <w:r w:rsidRPr="004D43DA">
        <w:rPr>
          <w:lang w:val="en-US"/>
        </w:rPr>
        <w:t>115050610007, year 2017)</w:t>
      </w:r>
      <w:r w:rsidRPr="004D43DA">
        <w:rPr>
          <w:u w:val="thick" w:color="FDE994"/>
          <w:lang w:val="en-US"/>
        </w:rPr>
        <w:t xml:space="preserve">. </w:t>
      </w:r>
      <w:commentRangeStart w:id="59"/>
      <w:r w:rsidRPr="004D43DA">
        <w:rPr>
          <w:u w:val="thick" w:color="FDE994"/>
          <w:lang w:val="en-US"/>
        </w:rPr>
        <w:t>All the procedures</w:t>
      </w:r>
      <w:r w:rsidRPr="004D43DA">
        <w:rPr>
          <w:lang w:val="en-US"/>
        </w:rPr>
        <w:t xml:space="preserve"> </w:t>
      </w:r>
      <w:commentRangeEnd w:id="59"/>
      <w:r w:rsidR="00BA7456">
        <w:rPr>
          <w:rStyle w:val="CommentReference"/>
        </w:rPr>
        <w:commentReference w:id="59"/>
      </w:r>
      <w:r w:rsidRPr="004D43DA">
        <w:rPr>
          <w:lang w:val="en-US"/>
        </w:rPr>
        <w:t xml:space="preserve">performed in studies involving human participants were in </w:t>
      </w:r>
      <w:r w:rsidRPr="004D43DA">
        <w:rPr>
          <w:position w:val="1"/>
          <w:lang w:val="en-US"/>
        </w:rPr>
        <w:t xml:space="preserve">accordance with the ethical standards of the institutional and/ornational research committee and with the 1964 </w:t>
      </w:r>
      <w:r w:rsidRPr="004D43DA">
        <w:rPr>
          <w:u w:val="thick" w:color="FDE994"/>
          <w:lang w:val="en-US"/>
        </w:rPr>
        <w:t>Helsinki declaration and its later amendments</w:t>
      </w:r>
      <w:r w:rsidRPr="004D43DA">
        <w:rPr>
          <w:color w:val="FF0000"/>
          <w:u w:val="thick" w:color="FDE994"/>
          <w:lang w:val="en-US"/>
        </w:rPr>
        <w:t>,</w:t>
      </w:r>
      <w:r w:rsidRPr="004D43DA">
        <w:rPr>
          <w:u w:val="thick" w:color="FDE994"/>
          <w:lang w:val="en-US"/>
        </w:rPr>
        <w:t xml:space="preserve"> or</w:t>
      </w:r>
      <w:r w:rsidRPr="004D43DA">
        <w:rPr>
          <w:lang w:val="en-US"/>
        </w:rPr>
        <w:t xml:space="preserve"> with </w:t>
      </w:r>
      <w:r w:rsidRPr="004D43DA">
        <w:rPr>
          <w:position w:val="1"/>
          <w:lang w:val="en-US"/>
        </w:rPr>
        <w:t>comparable ethical standards</w:t>
      </w:r>
    </w:p>
    <w:commentRangeEnd w:id="58"/>
    <w:p w:rsidR="00F74CCD" w:rsidRDefault="004664EA" w:rsidP="00204280">
      <w:pPr>
        <w:spacing w:line="276" w:lineRule="auto"/>
        <w:jc w:val="both"/>
        <w:rPr>
          <w:lang w:val="en-US"/>
        </w:rPr>
      </w:pPr>
      <w:r>
        <w:rPr>
          <w:rStyle w:val="CommentReference"/>
        </w:rPr>
        <w:commentReference w:id="58"/>
      </w:r>
      <w:commentRangeStart w:id="60"/>
      <w:r w:rsidR="00DA4B51">
        <w:rPr>
          <w:lang w:val="en-US"/>
        </w:rPr>
        <w:t>All t</w:t>
      </w:r>
      <w:r w:rsidR="00DA4B51" w:rsidRPr="00872213">
        <w:rPr>
          <w:lang w:val="en-US"/>
        </w:rPr>
        <w:t xml:space="preserve">issue samples were divided into two </w:t>
      </w:r>
      <w:r w:rsidR="00DA4B51" w:rsidRPr="00DC0A4A">
        <w:rPr>
          <w:lang w:val="en-US"/>
        </w:rPr>
        <w:t>portions</w:t>
      </w:r>
      <w:r w:rsidR="00DC0A4A" w:rsidRPr="00DC0A4A">
        <w:rPr>
          <w:lang w:val="en-US"/>
        </w:rPr>
        <w:t xml:space="preserve"> using a titanium scalpel </w:t>
      </w:r>
      <w:commentRangeEnd w:id="60"/>
      <w:r w:rsidR="00BA7456">
        <w:rPr>
          <w:rStyle w:val="CommentReference"/>
        </w:rPr>
        <w:commentReference w:id="60"/>
      </w:r>
      <w:commentRangeStart w:id="61"/>
      <w:r w:rsidR="00DC0A4A" w:rsidRPr="00DC0A4A">
        <w:rPr>
          <w:lang w:val="en-US"/>
        </w:rPr>
        <w:t>[</w:t>
      </w:r>
      <w:r w:rsidR="008D1FBE">
        <w:rPr>
          <w:lang w:val="en-US"/>
        </w:rPr>
        <w:t>4</w:t>
      </w:r>
      <w:r w:rsidR="00F74CCD">
        <w:rPr>
          <w:lang w:val="en-US"/>
        </w:rPr>
        <w:t>5</w:t>
      </w:r>
      <w:r w:rsidR="00DC0A4A" w:rsidRPr="00DC0A4A">
        <w:rPr>
          <w:lang w:val="en-US"/>
        </w:rPr>
        <w:t>]</w:t>
      </w:r>
      <w:r w:rsidR="00DA4B51" w:rsidRPr="00DC0A4A">
        <w:rPr>
          <w:lang w:val="en-US"/>
        </w:rPr>
        <w:t>.</w:t>
      </w:r>
      <w:r w:rsidR="00DA4B51" w:rsidRPr="00872213">
        <w:rPr>
          <w:lang w:val="en-US"/>
        </w:rPr>
        <w:t xml:space="preserve"> </w:t>
      </w:r>
      <w:commentRangeEnd w:id="61"/>
      <w:r w:rsidR="00E145F5">
        <w:rPr>
          <w:rStyle w:val="CommentReference"/>
        </w:rPr>
        <w:commentReference w:id="61"/>
      </w:r>
      <w:r w:rsidR="00DA4B51" w:rsidRPr="00872213">
        <w:rPr>
          <w:lang w:val="en-US"/>
        </w:rPr>
        <w:t xml:space="preserve">One was used for morphological study while the other was intended for </w:t>
      </w:r>
      <w:r w:rsidR="009E229C">
        <w:rPr>
          <w:lang w:val="en-US"/>
        </w:rPr>
        <w:t>TE</w:t>
      </w:r>
      <w:r w:rsidR="00DA4B51" w:rsidRPr="00872213">
        <w:rPr>
          <w:lang w:val="en-US"/>
        </w:rPr>
        <w:t xml:space="preserve"> analysis. After the samples intended for </w:t>
      </w:r>
      <w:r w:rsidR="009E229C">
        <w:rPr>
          <w:lang w:val="en-US"/>
        </w:rPr>
        <w:t>TE</w:t>
      </w:r>
      <w:r w:rsidR="00DA4B51" w:rsidRPr="00872213">
        <w:rPr>
          <w:lang w:val="en-US"/>
        </w:rPr>
        <w:t xml:space="preserve"> analysis were weighed, they were freeze-dried and homogenized</w:t>
      </w:r>
      <w:r w:rsidR="00E54F77">
        <w:rPr>
          <w:lang w:val="en-US"/>
        </w:rPr>
        <w:t xml:space="preserve"> </w:t>
      </w:r>
      <w:commentRangeStart w:id="62"/>
      <w:r w:rsidR="00E54F77">
        <w:rPr>
          <w:lang w:val="en-US"/>
        </w:rPr>
        <w:t>[</w:t>
      </w:r>
      <w:commentRangeStart w:id="63"/>
      <w:r w:rsidR="008D1FBE">
        <w:rPr>
          <w:lang w:val="en-US"/>
        </w:rPr>
        <w:t>4</w:t>
      </w:r>
      <w:r w:rsidR="00F74CCD">
        <w:rPr>
          <w:lang w:val="en-US"/>
        </w:rPr>
        <w:t>6</w:t>
      </w:r>
      <w:commentRangeEnd w:id="63"/>
      <w:r w:rsidR="00BA7456">
        <w:rPr>
          <w:rStyle w:val="CommentReference"/>
        </w:rPr>
        <w:commentReference w:id="63"/>
      </w:r>
      <w:r w:rsidR="00E54F77">
        <w:rPr>
          <w:lang w:val="en-US"/>
        </w:rPr>
        <w:t>]</w:t>
      </w:r>
      <w:r w:rsidR="00B64D4A">
        <w:rPr>
          <w:lang w:val="en-US"/>
        </w:rPr>
        <w:t xml:space="preserve">. </w:t>
      </w:r>
      <w:commentRangeEnd w:id="62"/>
      <w:r w:rsidR="00E145F5">
        <w:rPr>
          <w:rStyle w:val="CommentReference"/>
        </w:rPr>
        <w:commentReference w:id="62"/>
      </w:r>
    </w:p>
    <w:p w:rsidR="00E12C81" w:rsidRDefault="00F74CCD" w:rsidP="00204280">
      <w:pPr>
        <w:spacing w:line="276" w:lineRule="auto"/>
        <w:jc w:val="both"/>
        <w:rPr>
          <w:lang w:val="en-US"/>
        </w:rPr>
      </w:pPr>
      <w:commentRangeStart w:id="64"/>
      <w:r w:rsidRPr="00F74CCD">
        <w:rPr>
          <w:lang w:val="en-US"/>
        </w:rPr>
        <w:t>The pounded samples weighing about 10 mg (for biopsy) and 100 mg (for resected materials) were us</w:t>
      </w:r>
      <w:r w:rsidR="006B4650">
        <w:rPr>
          <w:lang w:val="en-US"/>
        </w:rPr>
        <w:t xml:space="preserve">ed for </w:t>
      </w:r>
      <w:commentRangeStart w:id="65"/>
      <w:r w:rsidR="006B4650">
        <w:rPr>
          <w:lang w:val="en-US"/>
        </w:rPr>
        <w:t xml:space="preserve">ChE </w:t>
      </w:r>
      <w:commentRangeEnd w:id="65"/>
      <w:r w:rsidR="00BA7456">
        <w:rPr>
          <w:rStyle w:val="CommentReference"/>
        </w:rPr>
        <w:commentReference w:id="65"/>
      </w:r>
      <w:r w:rsidR="006B4650">
        <w:rPr>
          <w:lang w:val="en-US"/>
        </w:rPr>
        <w:t>measurement by INAA-L</w:t>
      </w:r>
      <w:r w:rsidRPr="00F74CCD">
        <w:rPr>
          <w:lang w:val="en-US"/>
        </w:rPr>
        <w:t xml:space="preserve">LR. The content of </w:t>
      </w:r>
      <w:r w:rsidR="006B4650" w:rsidRPr="007D2F8F">
        <w:rPr>
          <w:lang w:val="en-US"/>
        </w:rPr>
        <w:t xml:space="preserve">Ag, Co, Cr, Fe, Hg, Rb, Sb, Sc, Se, and Zn </w:t>
      </w:r>
      <w:r w:rsidR="006B4650">
        <w:rPr>
          <w:lang w:val="en-US"/>
        </w:rPr>
        <w:t>were determined by INAA-L</w:t>
      </w:r>
      <w:r w:rsidRPr="00F74CCD">
        <w:rPr>
          <w:lang w:val="en-US"/>
        </w:rPr>
        <w:t xml:space="preserve">LR using a </w:t>
      </w:r>
      <w:r w:rsidR="006B4650">
        <w:rPr>
          <w:lang w:val="en-US"/>
        </w:rPr>
        <w:t>vertical</w:t>
      </w:r>
      <w:r w:rsidRPr="00F74CCD">
        <w:rPr>
          <w:lang w:val="en-US"/>
        </w:rPr>
        <w:t xml:space="preserve"> channel of the </w:t>
      </w:r>
      <w:commentRangeStart w:id="66"/>
      <w:r w:rsidRPr="00F74CCD">
        <w:rPr>
          <w:lang w:val="en-US"/>
        </w:rPr>
        <w:t>WWR</w:t>
      </w:r>
      <w:commentRangeEnd w:id="66"/>
      <w:r w:rsidR="00BA7456">
        <w:rPr>
          <w:rStyle w:val="CommentReference"/>
        </w:rPr>
        <w:commentReference w:id="66"/>
      </w:r>
      <w:r w:rsidRPr="00F74CCD">
        <w:rPr>
          <w:lang w:val="en-US"/>
        </w:rPr>
        <w:t>-c research nuclear reactor (Branch of Karpov Institute, Obnins</w:t>
      </w:r>
      <w:r w:rsidR="006B4650">
        <w:rPr>
          <w:lang w:val="en-US"/>
        </w:rPr>
        <w:t>k). After non-destructive INAA-L</w:t>
      </w:r>
      <w:r w:rsidRPr="00F74CCD">
        <w:rPr>
          <w:lang w:val="en-US"/>
        </w:rPr>
        <w:t>LR investigation the thyr</w:t>
      </w:r>
      <w:r w:rsidR="006B4650">
        <w:rPr>
          <w:lang w:val="en-US"/>
        </w:rPr>
        <w:t>oid samples were used for ICP-M</w:t>
      </w:r>
      <w:r w:rsidRPr="00F74CCD">
        <w:rPr>
          <w:lang w:val="en-US"/>
        </w:rPr>
        <w:t>S. The samples were decomposed in autoclaves</w:t>
      </w:r>
      <w:r>
        <w:rPr>
          <w:lang w:val="en-US"/>
        </w:rPr>
        <w:t xml:space="preserve"> and </w:t>
      </w:r>
      <w:r w:rsidRPr="00F74CCD">
        <w:rPr>
          <w:lang w:val="en-US"/>
        </w:rPr>
        <w:t>aliquots</w:t>
      </w:r>
      <w:r w:rsidR="00E12C81">
        <w:rPr>
          <w:lang w:val="en-US"/>
        </w:rPr>
        <w:t xml:space="preserve"> of solut</w:t>
      </w:r>
      <w:r>
        <w:rPr>
          <w:lang w:val="en-US"/>
        </w:rPr>
        <w:t>ions</w:t>
      </w:r>
      <w:r w:rsidRPr="00F74CCD">
        <w:rPr>
          <w:lang w:val="en-US"/>
        </w:rPr>
        <w:t xml:space="preserve"> were used to determine the </w:t>
      </w:r>
      <w:r w:rsidR="0083129B" w:rsidRPr="00811392">
        <w:rPr>
          <w:lang w:val="en-US"/>
        </w:rPr>
        <w:t>Ag, Al, As, Au, B, Be, Bi, Cd, Ce, Co, Cr, Cs, Dy, Er, Eu, Ga, Gd, Hg, Ho, Ir, La, Li, Lu, Mn, Mo, Nb, Nd, Ni, Pb, Pd, Pr, Pt, Rb, Sb, Se, Sm, Sn, Tb, Te, Th, Ti, Tl, Tm, U, Y, Yb, Zn, and Zr</w:t>
      </w:r>
      <w:r w:rsidRPr="00F74CCD">
        <w:rPr>
          <w:lang w:val="en-US"/>
        </w:rPr>
        <w:t xml:space="preserve"> mass fractions</w:t>
      </w:r>
      <w:r w:rsidRPr="00F74CCD">
        <w:rPr>
          <w:spacing w:val="-4"/>
          <w:lang w:val="en-US"/>
        </w:rPr>
        <w:t xml:space="preserve"> by </w:t>
      </w:r>
      <w:r w:rsidR="0083129B">
        <w:rPr>
          <w:lang w:val="en-US"/>
        </w:rPr>
        <w:t>ICP-M</w:t>
      </w:r>
      <w:r w:rsidRPr="00F74CCD">
        <w:rPr>
          <w:lang w:val="en-US"/>
        </w:rPr>
        <w:t xml:space="preserve">S </w:t>
      </w:r>
      <w:r w:rsidR="0083129B" w:rsidRPr="00811392">
        <w:rPr>
          <w:lang w:val="en-US"/>
        </w:rPr>
        <w:t>using an ICP-MS Thermo-Fisher “X-</w:t>
      </w:r>
      <w:smartTag w:uri="urn:schemas-microsoft-com:office:smarttags" w:element="metricconverter">
        <w:smartTagPr>
          <w:attr w:name="ProductID" w:val="7”"/>
        </w:smartTagPr>
        <w:r w:rsidR="0083129B" w:rsidRPr="00811392">
          <w:rPr>
            <w:lang w:val="en-US"/>
          </w:rPr>
          <w:t>7</w:t>
        </w:r>
        <w:r w:rsidR="0083129B" w:rsidRPr="00811392">
          <w:rPr>
            <w:spacing w:val="-4"/>
            <w:lang w:val="en-US"/>
          </w:rPr>
          <w:t>”</w:t>
        </w:r>
      </w:smartTag>
      <w:r w:rsidR="0083129B" w:rsidRPr="00811392">
        <w:rPr>
          <w:spacing w:val="-4"/>
          <w:lang w:val="en-US"/>
        </w:rPr>
        <w:t xml:space="preserve"> Spectrometer (Thermo Electron, USA)</w:t>
      </w:r>
      <w:r w:rsidRPr="00F74CCD">
        <w:rPr>
          <w:lang w:val="en-US"/>
        </w:rPr>
        <w:t>.</w:t>
      </w:r>
      <w:r w:rsidR="00E12C81" w:rsidRPr="00E12C81">
        <w:rPr>
          <w:lang w:val="en-US"/>
        </w:rPr>
        <w:t>Info</w:t>
      </w:r>
      <w:r w:rsidR="0083129B">
        <w:rPr>
          <w:lang w:val="en-US"/>
        </w:rPr>
        <w:t>rmation detailing with the NAA-LLR and ICP-M</w:t>
      </w:r>
      <w:r w:rsidR="00E12C81" w:rsidRPr="00E12C81">
        <w:rPr>
          <w:lang w:val="en-US"/>
        </w:rPr>
        <w:t xml:space="preserve">S methods used and other details of the analysis were presented in our earlier publications concerning </w:t>
      </w:r>
      <w:r w:rsidR="0083129B">
        <w:rPr>
          <w:lang w:val="en-US"/>
        </w:rPr>
        <w:t>TE</w:t>
      </w:r>
      <w:r w:rsidR="00E12C81" w:rsidRPr="00E12C81">
        <w:rPr>
          <w:lang w:val="en-US"/>
        </w:rPr>
        <w:t xml:space="preserve"> contents in human thyroid, prostate</w:t>
      </w:r>
      <w:r w:rsidR="00E12C81">
        <w:rPr>
          <w:lang w:val="en-US"/>
        </w:rPr>
        <w:t xml:space="preserve">, and </w:t>
      </w:r>
      <w:r w:rsidR="00E12C81" w:rsidRPr="00E12C81">
        <w:rPr>
          <w:lang w:val="en-US"/>
        </w:rPr>
        <w:t xml:space="preserve">scalp </w:t>
      </w:r>
      <w:commentRangeEnd w:id="64"/>
      <w:r w:rsidR="004664EA">
        <w:rPr>
          <w:rStyle w:val="CommentReference"/>
        </w:rPr>
        <w:commentReference w:id="64"/>
      </w:r>
      <w:r w:rsidR="00E12C81" w:rsidRPr="00E12C81">
        <w:rPr>
          <w:lang w:val="en-US"/>
        </w:rPr>
        <w:t>hair [</w:t>
      </w:r>
      <w:commentRangeStart w:id="67"/>
      <w:commentRangeStart w:id="68"/>
      <w:r w:rsidR="00D87FE5" w:rsidRPr="00D87FE5">
        <w:rPr>
          <w:lang w:val="en-US"/>
        </w:rPr>
        <w:t>29,30,35</w:t>
      </w:r>
      <w:r w:rsidR="004746F4">
        <w:rPr>
          <w:lang w:val="en-US"/>
        </w:rPr>
        <w:t>,47-53</w:t>
      </w:r>
      <w:commentRangeEnd w:id="67"/>
      <w:r w:rsidR="00BA7456">
        <w:rPr>
          <w:rStyle w:val="CommentReference"/>
        </w:rPr>
        <w:commentReference w:id="67"/>
      </w:r>
      <w:r w:rsidR="00E12C81" w:rsidRPr="00E12C81">
        <w:rPr>
          <w:lang w:val="en-US"/>
        </w:rPr>
        <w:t>]</w:t>
      </w:r>
      <w:r w:rsidR="00E12C81">
        <w:rPr>
          <w:lang w:val="en-US"/>
        </w:rPr>
        <w:t>.</w:t>
      </w:r>
      <w:commentRangeEnd w:id="68"/>
      <w:r w:rsidR="00E145F5">
        <w:rPr>
          <w:rStyle w:val="CommentReference"/>
        </w:rPr>
        <w:commentReference w:id="68"/>
      </w:r>
    </w:p>
    <w:p w:rsidR="00B64D4A" w:rsidRDefault="008330C2" w:rsidP="00204280">
      <w:pPr>
        <w:spacing w:line="276" w:lineRule="auto"/>
        <w:jc w:val="both"/>
        <w:rPr>
          <w:color w:val="131413"/>
          <w:lang w:val="en-US"/>
        </w:rPr>
      </w:pPr>
      <w:commentRangeStart w:id="69"/>
      <w:r w:rsidRPr="008330C2">
        <w:rPr>
          <w:lang w:val="en-US"/>
        </w:rPr>
        <w:t xml:space="preserve">To determine contents of the </w:t>
      </w:r>
      <w:r w:rsidR="004746F4">
        <w:rPr>
          <w:lang w:val="en-US"/>
        </w:rPr>
        <w:t>TE</w:t>
      </w:r>
      <w:r w:rsidRPr="008330C2">
        <w:rPr>
          <w:lang w:val="en-US"/>
        </w:rPr>
        <w:t xml:space="preserve"> by comparison with a known standard, biological synthetic standards (BSS) prepared from phenol-formaldehyde resins were used </w:t>
      </w:r>
      <w:commentRangeStart w:id="70"/>
      <w:r w:rsidRPr="008330C2">
        <w:rPr>
          <w:lang w:val="en-US"/>
        </w:rPr>
        <w:t>[</w:t>
      </w:r>
      <w:r>
        <w:rPr>
          <w:lang w:val="en-US"/>
        </w:rPr>
        <w:t>5</w:t>
      </w:r>
      <w:r w:rsidR="004746F4">
        <w:rPr>
          <w:lang w:val="en-US"/>
        </w:rPr>
        <w:t>4</w:t>
      </w:r>
      <w:r w:rsidRPr="008330C2">
        <w:rPr>
          <w:lang w:val="en-US"/>
        </w:rPr>
        <w:t>].</w:t>
      </w:r>
      <w:commentRangeEnd w:id="70"/>
      <w:r w:rsidR="00E145F5">
        <w:rPr>
          <w:rStyle w:val="CommentReference"/>
        </w:rPr>
        <w:commentReference w:id="70"/>
      </w:r>
      <w:r w:rsidRPr="008330C2">
        <w:rPr>
          <w:lang w:val="en-US"/>
        </w:rPr>
        <w:t xml:space="preserve">In addition to BSS, aliquots of commercial, chemically pure compounds were also used as standards. Ten sub-samples of certified reference material (CRM) IAEA H-4 (animal muscle) and five sub-samples of CRM of the Institute of Nuclear Chemistry and Technology (INCT, Warszawa, Poland) INCT-SBF-4 Soya Bean Flour, </w:t>
      </w:r>
      <w:r w:rsidRPr="008330C2">
        <w:rPr>
          <w:bCs/>
          <w:lang w:val="en-US"/>
        </w:rPr>
        <w:t>INCT-TL-1 Tea Leaves, and INCT-MPH-2Mixed Polish Herbs</w:t>
      </w:r>
      <w:r w:rsidRPr="008330C2">
        <w:rPr>
          <w:lang w:val="en-US"/>
        </w:rPr>
        <w:t xml:space="preserve"> were treated and analyzed in the same conditions that thyroid samples to estimate the precision and accuracy of results</w:t>
      </w:r>
      <w:commentRangeEnd w:id="69"/>
      <w:r w:rsidR="004664EA">
        <w:rPr>
          <w:rStyle w:val="CommentReference"/>
        </w:rPr>
        <w:commentReference w:id="69"/>
      </w:r>
    </w:p>
    <w:p w:rsidR="002B7550" w:rsidRPr="00872213" w:rsidRDefault="00D31A30" w:rsidP="00204280">
      <w:pPr>
        <w:spacing w:line="276" w:lineRule="auto"/>
        <w:jc w:val="both"/>
        <w:rPr>
          <w:lang w:val="en-US"/>
        </w:rPr>
      </w:pPr>
      <w:commentRangeStart w:id="71"/>
      <w:r w:rsidRPr="00F72804">
        <w:rPr>
          <w:color w:val="000000"/>
          <w:lang w:val="en-US"/>
        </w:rPr>
        <w:t xml:space="preserve">A dedicated computer program for </w:t>
      </w:r>
      <w:r w:rsidRPr="00F72804">
        <w:rPr>
          <w:lang w:val="en-US"/>
        </w:rPr>
        <w:t>INAA</w:t>
      </w:r>
      <w:r>
        <w:rPr>
          <w:lang w:val="en-US"/>
        </w:rPr>
        <w:t>-SLR</w:t>
      </w:r>
      <w:r w:rsidRPr="00F72804">
        <w:rPr>
          <w:color w:val="000000"/>
          <w:lang w:val="en-US"/>
        </w:rPr>
        <w:t>mode optimization was used</w:t>
      </w:r>
      <w:r>
        <w:rPr>
          <w:color w:val="000000"/>
          <w:lang w:val="en-US"/>
        </w:rPr>
        <w:t xml:space="preserve"> [</w:t>
      </w:r>
      <w:r w:rsidR="004746F4">
        <w:rPr>
          <w:color w:val="000000"/>
          <w:lang w:val="en-US"/>
        </w:rPr>
        <w:t>55</w:t>
      </w:r>
      <w:r>
        <w:rPr>
          <w:color w:val="000000"/>
          <w:lang w:val="en-US"/>
        </w:rPr>
        <w:t>].</w:t>
      </w:r>
      <w:r w:rsidR="002B7550" w:rsidRPr="00792BFF">
        <w:rPr>
          <w:color w:val="131413"/>
          <w:lang w:val="en-US"/>
        </w:rPr>
        <w:t xml:space="preserve">All thyroid samples were prepared in duplicate, and mean values of </w:t>
      </w:r>
      <w:r w:rsidR="00D314A4">
        <w:rPr>
          <w:lang w:val="en-US"/>
        </w:rPr>
        <w:t>TE</w:t>
      </w:r>
      <w:r w:rsidR="002B5C33">
        <w:rPr>
          <w:lang w:val="en-US"/>
        </w:rPr>
        <w:t xml:space="preserve"> </w:t>
      </w:r>
      <w:r w:rsidR="002B7550" w:rsidRPr="00792BFF">
        <w:rPr>
          <w:color w:val="131413"/>
          <w:lang w:val="en-US"/>
        </w:rPr>
        <w:t xml:space="preserve">contents were used in final calculation. </w:t>
      </w:r>
      <w:r w:rsidR="005E110C">
        <w:rPr>
          <w:color w:val="131413"/>
          <w:lang w:val="en-US"/>
        </w:rPr>
        <w:t xml:space="preserve">Mean values of </w:t>
      </w:r>
      <w:r w:rsidR="00D314A4">
        <w:rPr>
          <w:lang w:val="en-US"/>
        </w:rPr>
        <w:t>TE</w:t>
      </w:r>
      <w:r w:rsidR="002B5C33">
        <w:rPr>
          <w:lang w:val="en-US"/>
        </w:rPr>
        <w:t xml:space="preserve"> </w:t>
      </w:r>
      <w:r w:rsidR="005E110C">
        <w:rPr>
          <w:color w:val="131413"/>
          <w:lang w:val="en-US"/>
        </w:rPr>
        <w:t xml:space="preserve">contents were used in </w:t>
      </w:r>
      <w:r w:rsidR="005E110C" w:rsidRPr="00094634">
        <w:rPr>
          <w:color w:val="131413"/>
          <w:lang w:val="en-US"/>
        </w:rPr>
        <w:t>final calculation</w:t>
      </w:r>
      <w:r w:rsidR="005E110C">
        <w:rPr>
          <w:color w:val="131413"/>
          <w:lang w:val="en-US"/>
        </w:rPr>
        <w:t xml:space="preserve"> for </w:t>
      </w:r>
      <w:r w:rsidR="005E110C" w:rsidRPr="00543C78">
        <w:rPr>
          <w:lang w:val="en-US"/>
        </w:rPr>
        <w:t xml:space="preserve">the </w:t>
      </w:r>
      <w:r w:rsidR="00D314A4">
        <w:rPr>
          <w:lang w:val="en-US"/>
        </w:rPr>
        <w:t>Ag</w:t>
      </w:r>
      <w:r w:rsidR="005E110C" w:rsidRPr="00543C78">
        <w:rPr>
          <w:lang w:val="en-US"/>
        </w:rPr>
        <w:t xml:space="preserve">, </w:t>
      </w:r>
      <w:r w:rsidR="00D314A4">
        <w:rPr>
          <w:lang w:val="en-US"/>
        </w:rPr>
        <w:t>Co</w:t>
      </w:r>
      <w:r w:rsidR="005E110C" w:rsidRPr="00543C78">
        <w:rPr>
          <w:lang w:val="en-US"/>
        </w:rPr>
        <w:t xml:space="preserve">, </w:t>
      </w:r>
      <w:r w:rsidR="00D314A4">
        <w:rPr>
          <w:lang w:val="en-US"/>
        </w:rPr>
        <w:t>Cr</w:t>
      </w:r>
      <w:r w:rsidR="005E110C" w:rsidRPr="00543C78">
        <w:rPr>
          <w:lang w:val="en-US"/>
        </w:rPr>
        <w:t xml:space="preserve">, </w:t>
      </w:r>
      <w:r w:rsidR="00D314A4">
        <w:rPr>
          <w:lang w:val="en-US"/>
        </w:rPr>
        <w:t xml:space="preserve">Hg, Rb, Sb, Se, </w:t>
      </w:r>
      <w:r w:rsidR="005E110C" w:rsidRPr="00543C78">
        <w:rPr>
          <w:lang w:val="en-US"/>
        </w:rPr>
        <w:t xml:space="preserve">and </w:t>
      </w:r>
      <w:r w:rsidR="00D314A4">
        <w:rPr>
          <w:lang w:val="en-US"/>
        </w:rPr>
        <w:t>Zn</w:t>
      </w:r>
      <w:r w:rsidR="005E110C" w:rsidRPr="00543C78">
        <w:rPr>
          <w:lang w:val="en-US"/>
        </w:rPr>
        <w:t xml:space="preserve"> mass fractions </w:t>
      </w:r>
      <w:r w:rsidR="005E110C">
        <w:rPr>
          <w:color w:val="131413"/>
          <w:lang w:val="en-US"/>
        </w:rPr>
        <w:t>measured by two methods.</w:t>
      </w:r>
      <w:r w:rsidR="002B5C33">
        <w:rPr>
          <w:color w:val="131413"/>
          <w:lang w:val="en-US"/>
        </w:rPr>
        <w:t xml:space="preserve"> </w:t>
      </w:r>
      <w:r w:rsidR="002B7550" w:rsidRPr="00792BFF">
        <w:rPr>
          <w:color w:val="000000"/>
          <w:lang w:val="en-US"/>
        </w:rPr>
        <w:t>Using Microsoft Office Excel</w:t>
      </w:r>
      <w:r w:rsidR="002B5C33">
        <w:rPr>
          <w:color w:val="000000"/>
          <w:lang w:val="en-US"/>
        </w:rPr>
        <w:t xml:space="preserve"> </w:t>
      </w:r>
      <w:r w:rsidR="002B7550">
        <w:rPr>
          <w:lang w:val="en-US"/>
        </w:rPr>
        <w:t>software</w:t>
      </w:r>
      <w:r w:rsidR="002B7550" w:rsidRPr="00792BFF">
        <w:rPr>
          <w:color w:val="000000"/>
          <w:lang w:val="en-US"/>
        </w:rPr>
        <w:t>, a summary of the statistics, including</w:t>
      </w:r>
      <w:r w:rsidR="002B7550" w:rsidRPr="00792BFF">
        <w:rPr>
          <w:lang w:val="en-US"/>
        </w:rPr>
        <w:t xml:space="preserve">, arithmetic mean, standard deviation, standard error of mean, and </w:t>
      </w:r>
      <w:r w:rsidR="00D314A4">
        <w:rPr>
          <w:lang w:val="en-US"/>
        </w:rPr>
        <w:t xml:space="preserve">range (minimal - maximal value), </w:t>
      </w:r>
      <w:r w:rsidR="002B7550" w:rsidRPr="00792BFF">
        <w:rPr>
          <w:lang w:val="en-US"/>
        </w:rPr>
        <w:t xml:space="preserve">was calculated for </w:t>
      </w:r>
      <w:r w:rsidR="00D314A4">
        <w:rPr>
          <w:lang w:val="en-US"/>
        </w:rPr>
        <w:t>TE</w:t>
      </w:r>
      <w:r w:rsidR="002B5C33">
        <w:rPr>
          <w:lang w:val="en-US"/>
        </w:rPr>
        <w:t xml:space="preserve"> </w:t>
      </w:r>
      <w:r w:rsidR="002B7550" w:rsidRPr="00792BFF">
        <w:rPr>
          <w:lang w:val="en-US"/>
        </w:rPr>
        <w:t>contents</w:t>
      </w:r>
      <w:r w:rsidR="002B7550" w:rsidRPr="00872213">
        <w:rPr>
          <w:lang w:val="en-US"/>
        </w:rPr>
        <w:t xml:space="preserve"> in </w:t>
      </w:r>
      <w:r w:rsidR="00D9039E">
        <w:rPr>
          <w:lang w:val="en-US"/>
        </w:rPr>
        <w:t>CG</w:t>
      </w:r>
      <w:r w:rsidR="002B5C33">
        <w:rPr>
          <w:lang w:val="en-US"/>
        </w:rPr>
        <w:t xml:space="preserve"> </w:t>
      </w:r>
      <w:r w:rsidR="00D9039E">
        <w:rPr>
          <w:lang w:val="en-US"/>
        </w:rPr>
        <w:t>and T</w:t>
      </w:r>
      <w:r w:rsidR="006A1247">
        <w:rPr>
          <w:lang w:val="en-US"/>
        </w:rPr>
        <w:t>A</w:t>
      </w:r>
      <w:r w:rsidR="002B5C33">
        <w:rPr>
          <w:lang w:val="en-US"/>
        </w:rPr>
        <w:t xml:space="preserve"> </w:t>
      </w:r>
      <w:r w:rsidR="002B7550" w:rsidRPr="00872213">
        <w:rPr>
          <w:lang w:val="en-US"/>
        </w:rPr>
        <w:t>tissue</w:t>
      </w:r>
      <w:r>
        <w:rPr>
          <w:lang w:val="en-US"/>
        </w:rPr>
        <w:t xml:space="preserve"> samples</w:t>
      </w:r>
      <w:r w:rsidR="002B7550" w:rsidRPr="00872213">
        <w:rPr>
          <w:lang w:val="en-US"/>
        </w:rPr>
        <w:t>.</w:t>
      </w:r>
      <w:r w:rsidR="002B5C33">
        <w:rPr>
          <w:lang w:val="en-US"/>
        </w:rPr>
        <w:t xml:space="preserve"> </w:t>
      </w:r>
      <w:r w:rsidR="002B7550" w:rsidRPr="00792BFF">
        <w:rPr>
          <w:color w:val="000000"/>
          <w:lang w:val="en-US"/>
        </w:rPr>
        <w:t xml:space="preserve">The difference in the results between </w:t>
      </w:r>
      <w:r w:rsidR="006A1247">
        <w:rPr>
          <w:color w:val="000000"/>
          <w:lang w:val="en-US"/>
        </w:rPr>
        <w:t>two</w:t>
      </w:r>
      <w:r w:rsidR="002B7550" w:rsidRPr="00792BFF">
        <w:rPr>
          <w:color w:val="000000"/>
          <w:lang w:val="en-US"/>
        </w:rPr>
        <w:t xml:space="preserve"> groups</w:t>
      </w:r>
      <w:r w:rsidR="00D9039E">
        <w:rPr>
          <w:color w:val="000000"/>
          <w:lang w:val="en-US"/>
        </w:rPr>
        <w:t xml:space="preserve"> of samples</w:t>
      </w:r>
      <w:r w:rsidR="002B5C33">
        <w:rPr>
          <w:color w:val="000000"/>
          <w:lang w:val="en-US"/>
        </w:rPr>
        <w:t xml:space="preserve"> </w:t>
      </w:r>
      <w:commentRangeStart w:id="72"/>
      <w:r w:rsidR="002B7550" w:rsidRPr="00792BFF">
        <w:rPr>
          <w:color w:val="000000"/>
          <w:lang w:val="en-US"/>
        </w:rPr>
        <w:t xml:space="preserve">was </w:t>
      </w:r>
      <w:commentRangeEnd w:id="72"/>
      <w:r w:rsidR="00743B16">
        <w:rPr>
          <w:rStyle w:val="CommentReference"/>
        </w:rPr>
        <w:commentReference w:id="72"/>
      </w:r>
      <w:r w:rsidR="002B7550" w:rsidRPr="00792BFF">
        <w:rPr>
          <w:color w:val="000000"/>
          <w:lang w:val="en-US"/>
        </w:rPr>
        <w:t xml:space="preserve">evaluated by the parametric Student’s </w:t>
      </w:r>
      <w:r w:rsidR="002B7550" w:rsidRPr="00792BFF">
        <w:rPr>
          <w:i/>
          <w:iCs/>
          <w:color w:val="000000"/>
          <w:lang w:val="en-US"/>
        </w:rPr>
        <w:t>t</w:t>
      </w:r>
      <w:r w:rsidR="002B7550" w:rsidRPr="00792BFF">
        <w:rPr>
          <w:color w:val="000000"/>
          <w:lang w:val="en-US"/>
        </w:rPr>
        <w:t xml:space="preserve">-test and </w:t>
      </w:r>
      <w:r w:rsidR="002B7550" w:rsidRPr="00792BFF">
        <w:rPr>
          <w:lang w:val="en-US"/>
        </w:rPr>
        <w:t>non-</w:t>
      </w:r>
      <w:r w:rsidR="002B7550" w:rsidRPr="00792BFF">
        <w:rPr>
          <w:color w:val="000000"/>
          <w:lang w:val="en-US"/>
        </w:rPr>
        <w:t>parametric</w:t>
      </w:r>
      <w:r w:rsidR="002B5C33">
        <w:rPr>
          <w:color w:val="000000"/>
          <w:lang w:val="en-US"/>
        </w:rPr>
        <w:t xml:space="preserve"> </w:t>
      </w:r>
      <w:r w:rsidR="002B7550" w:rsidRPr="00792BFF">
        <w:rPr>
          <w:bCs/>
          <w:color w:val="000000"/>
          <w:spacing w:val="1"/>
          <w:lang w:val="en-US"/>
        </w:rPr>
        <w:t>Wilcoxon-</w:t>
      </w:r>
      <w:r w:rsidR="002B7550" w:rsidRPr="00792BFF">
        <w:rPr>
          <w:bCs/>
          <w:lang w:val="en-US"/>
        </w:rPr>
        <w:t>Mann-</w:t>
      </w:r>
      <w:commentRangeEnd w:id="71"/>
      <w:r w:rsidR="004664EA">
        <w:rPr>
          <w:rStyle w:val="CommentReference"/>
        </w:rPr>
        <w:commentReference w:id="71"/>
      </w:r>
      <w:r w:rsidR="002B7550" w:rsidRPr="00792BFF">
        <w:rPr>
          <w:bCs/>
          <w:lang w:val="en-US"/>
        </w:rPr>
        <w:t xml:space="preserve">Whitney </w:t>
      </w:r>
      <w:r w:rsidR="002B7550" w:rsidRPr="00792BFF">
        <w:rPr>
          <w:bCs/>
          <w:i/>
          <w:lang w:val="en-US"/>
        </w:rPr>
        <w:t>U</w:t>
      </w:r>
      <w:r w:rsidR="002B7550" w:rsidRPr="00792BFF">
        <w:rPr>
          <w:bCs/>
          <w:lang w:val="en-US"/>
        </w:rPr>
        <w:t>-test</w:t>
      </w:r>
      <w:r w:rsidR="002B7550" w:rsidRPr="00792BFF">
        <w:rPr>
          <w:color w:val="000000"/>
          <w:lang w:val="en-US"/>
        </w:rPr>
        <w:t>.</w:t>
      </w:r>
    </w:p>
    <w:p w:rsidR="006C5B6D" w:rsidRDefault="006C5B6D" w:rsidP="00204280">
      <w:pPr>
        <w:spacing w:line="276" w:lineRule="auto"/>
        <w:rPr>
          <w:b/>
          <w:bCs/>
          <w:sz w:val="28"/>
          <w:szCs w:val="28"/>
          <w:lang w:val="en-US"/>
        </w:rPr>
      </w:pPr>
    </w:p>
    <w:p w:rsidR="00DA4B51" w:rsidRDefault="00DA4B51" w:rsidP="00204280">
      <w:pPr>
        <w:spacing w:line="276" w:lineRule="auto"/>
        <w:rPr>
          <w:b/>
          <w:bCs/>
          <w:caps/>
          <w:lang w:val="en-US"/>
        </w:rPr>
      </w:pPr>
      <w:r w:rsidRPr="004D43DA">
        <w:rPr>
          <w:b/>
          <w:bCs/>
          <w:caps/>
          <w:lang w:val="en-US"/>
        </w:rPr>
        <w:t>Results</w:t>
      </w:r>
    </w:p>
    <w:p w:rsidR="00FB6F8C" w:rsidRPr="004D43DA" w:rsidRDefault="00FB6F8C" w:rsidP="00204280">
      <w:pPr>
        <w:spacing w:line="276" w:lineRule="auto"/>
        <w:rPr>
          <w:b/>
          <w:bCs/>
          <w:caps/>
          <w:lang w:val="en-US"/>
        </w:rPr>
      </w:pPr>
    </w:p>
    <w:p w:rsidR="00DA4B51" w:rsidRDefault="00265E82" w:rsidP="00204280">
      <w:pPr>
        <w:spacing w:line="276" w:lineRule="auto"/>
        <w:jc w:val="both"/>
        <w:rPr>
          <w:lang w:val="en-US"/>
        </w:rPr>
      </w:pPr>
      <w:commentRangeStart w:id="73"/>
      <w:r w:rsidRPr="005772BA">
        <w:rPr>
          <w:lang w:val="en-US"/>
        </w:rPr>
        <w:t>Table 1</w:t>
      </w:r>
      <w:r w:rsidR="00DA4B51" w:rsidRPr="00013AF3">
        <w:rPr>
          <w:lang w:val="en-US"/>
        </w:rPr>
        <w:t xml:space="preserve"> presents certain statistical parameters (arithmetic mean, standard deviation, standard error of mean</w:t>
      </w:r>
      <w:r w:rsidR="005772BA">
        <w:rPr>
          <w:lang w:val="en-US"/>
        </w:rPr>
        <w:t>, and range</w:t>
      </w:r>
      <w:r w:rsidR="00DA4B51" w:rsidRPr="00013AF3">
        <w:rPr>
          <w:lang w:val="en-US"/>
        </w:rPr>
        <w:t xml:space="preserve">) of the </w:t>
      </w:r>
      <w:r w:rsidR="00D314A4" w:rsidRPr="00500EEC">
        <w:rPr>
          <w:lang w:val="en-US"/>
        </w:rPr>
        <w:t>Ag, Al, As, Au, B, Be, Bi, Cd, Ce, Co, Cr, Cs, Dy, Er, Eu, Fe, Ga, Gd, Hg, Ho, Ir, La, Li, Lu, Mn, Mo, Nb, Nd, Ni, Pb, Pd, Pr, Pt, Rb, Sb, Sc, Se, Sm, Sn, Tb, Te, Th, Ti, Tl, Tm, U, Y, Yb, Zn, and Zr</w:t>
      </w:r>
      <w:r w:rsidR="00DA4B51">
        <w:rPr>
          <w:lang w:val="en-US"/>
        </w:rPr>
        <w:t>mass fraction</w:t>
      </w:r>
      <w:r w:rsidR="00DA4B51" w:rsidRPr="00013AF3">
        <w:rPr>
          <w:lang w:val="en-US"/>
        </w:rPr>
        <w:t xml:space="preserve">in </w:t>
      </w:r>
      <w:r>
        <w:rPr>
          <w:lang w:val="en-US"/>
        </w:rPr>
        <w:t>CG</w:t>
      </w:r>
      <w:r w:rsidR="005772BA">
        <w:rPr>
          <w:lang w:val="en-US"/>
        </w:rPr>
        <w:t xml:space="preserve"> and </w:t>
      </w:r>
      <w:r>
        <w:rPr>
          <w:lang w:val="en-US"/>
        </w:rPr>
        <w:t xml:space="preserve">TA </w:t>
      </w:r>
      <w:r w:rsidRPr="00872213">
        <w:rPr>
          <w:lang w:val="en-US"/>
        </w:rPr>
        <w:t>tissue</w:t>
      </w:r>
      <w:r w:rsidR="006012DD">
        <w:rPr>
          <w:lang w:val="en-US"/>
        </w:rPr>
        <w:t xml:space="preserve"> samples</w:t>
      </w:r>
      <w:commentRangeEnd w:id="73"/>
      <w:r w:rsidR="004664EA">
        <w:rPr>
          <w:rStyle w:val="CommentReference"/>
        </w:rPr>
        <w:commentReference w:id="73"/>
      </w:r>
      <w:r w:rsidRPr="00872213">
        <w:rPr>
          <w:lang w:val="en-US"/>
        </w:rPr>
        <w:t>.</w:t>
      </w:r>
    </w:p>
    <w:p w:rsidR="00DA4B51" w:rsidRPr="00CA52A2" w:rsidRDefault="00DA4B51" w:rsidP="00204280">
      <w:pPr>
        <w:spacing w:line="276" w:lineRule="auto"/>
        <w:jc w:val="both"/>
        <w:rPr>
          <w:b/>
          <w:bCs/>
          <w:lang w:val="en-US"/>
        </w:rPr>
      </w:pPr>
      <w:commentRangeStart w:id="74"/>
      <w:r w:rsidRPr="00C670EB">
        <w:rPr>
          <w:lang w:val="en-US"/>
        </w:rPr>
        <w:t xml:space="preserve">The ratios of means and the </w:t>
      </w:r>
      <w:r w:rsidR="00265E82">
        <w:rPr>
          <w:lang w:val="en-US"/>
        </w:rPr>
        <w:t>comparison of</w:t>
      </w:r>
      <w:r w:rsidRPr="00C670EB">
        <w:rPr>
          <w:lang w:val="en-US"/>
        </w:rPr>
        <w:t xml:space="preserve"> mean values of </w:t>
      </w:r>
      <w:r w:rsidR="00CA52A2">
        <w:rPr>
          <w:lang w:val="en-US"/>
        </w:rPr>
        <w:t>Ag</w:t>
      </w:r>
      <w:r w:rsidR="00CA52A2" w:rsidRPr="008A5193">
        <w:rPr>
          <w:lang w:val="en-US"/>
        </w:rPr>
        <w:t xml:space="preserve">, </w:t>
      </w:r>
      <w:r w:rsidR="00CA52A2">
        <w:rPr>
          <w:lang w:val="en-US"/>
        </w:rPr>
        <w:t>Al, Au, B, Be, Bi, Cd, Ce, Co</w:t>
      </w:r>
      <w:r w:rsidR="00CA52A2" w:rsidRPr="008A5193">
        <w:rPr>
          <w:lang w:val="en-US"/>
        </w:rPr>
        <w:t xml:space="preserve">, </w:t>
      </w:r>
      <w:r w:rsidR="00CA52A2">
        <w:rPr>
          <w:lang w:val="en-US"/>
        </w:rPr>
        <w:t>Cr</w:t>
      </w:r>
      <w:r w:rsidR="00CA52A2" w:rsidRPr="008A5193">
        <w:rPr>
          <w:lang w:val="en-US"/>
        </w:rPr>
        <w:t>,</w:t>
      </w:r>
      <w:r w:rsidR="00CA52A2">
        <w:rPr>
          <w:lang w:val="en-US"/>
        </w:rPr>
        <w:t xml:space="preserve"> Cs, Er, Fe,Ga, Hg</w:t>
      </w:r>
      <w:r w:rsidR="00CA52A2" w:rsidRPr="008A5193">
        <w:rPr>
          <w:lang w:val="en-US"/>
        </w:rPr>
        <w:t xml:space="preserve">, </w:t>
      </w:r>
      <w:r w:rsidR="00CA52A2">
        <w:rPr>
          <w:lang w:val="en-US"/>
        </w:rPr>
        <w:t>La, Li, Mn, Mo, Nd, Ni, Pb, Pr, Rb</w:t>
      </w:r>
      <w:r w:rsidR="00CA52A2" w:rsidRPr="008A5193">
        <w:rPr>
          <w:lang w:val="en-US"/>
        </w:rPr>
        <w:t>,</w:t>
      </w:r>
      <w:r w:rsidR="00CA52A2">
        <w:rPr>
          <w:lang w:val="en-US"/>
        </w:rPr>
        <w:t xml:space="preserve"> Sb, Sc,Se, Sm, Sn, Tl, U, Y, Yb, Zn, </w:t>
      </w:r>
      <w:r w:rsidR="00CA52A2" w:rsidRPr="008A5193">
        <w:rPr>
          <w:lang w:val="en-US"/>
        </w:rPr>
        <w:t xml:space="preserve">and </w:t>
      </w:r>
      <w:r w:rsidR="00CA52A2">
        <w:rPr>
          <w:lang w:val="en-US"/>
        </w:rPr>
        <w:t>Zr</w:t>
      </w:r>
      <w:r w:rsidRPr="00C670EB">
        <w:rPr>
          <w:lang w:val="en-US"/>
        </w:rPr>
        <w:t xml:space="preserve">mass fractions in </w:t>
      </w:r>
      <w:r w:rsidR="00265E82">
        <w:rPr>
          <w:lang w:val="en-US"/>
        </w:rPr>
        <w:t>CG and TA</w:t>
      </w:r>
      <w:r w:rsidRPr="00C670EB">
        <w:rPr>
          <w:lang w:val="en-US"/>
        </w:rPr>
        <w:t>are presented in Table</w:t>
      </w:r>
      <w:r w:rsidR="00265E82">
        <w:rPr>
          <w:lang w:val="en-US"/>
        </w:rPr>
        <w:t xml:space="preserve"> </w:t>
      </w:r>
      <w:commentRangeEnd w:id="74"/>
      <w:r w:rsidR="004664EA">
        <w:rPr>
          <w:rStyle w:val="CommentReference"/>
        </w:rPr>
        <w:commentReference w:id="74"/>
      </w:r>
      <w:r w:rsidR="00265E82">
        <w:rPr>
          <w:lang w:val="en-US"/>
        </w:rPr>
        <w:t>2</w:t>
      </w:r>
      <w:r w:rsidRPr="00C670EB">
        <w:rPr>
          <w:lang w:val="en-US"/>
        </w:rPr>
        <w:t>.</w:t>
      </w:r>
    </w:p>
    <w:p w:rsidR="006C5B6D" w:rsidRPr="00CA52A2" w:rsidRDefault="005772BA" w:rsidP="00204280">
      <w:pPr>
        <w:spacing w:line="276" w:lineRule="auto"/>
        <w:jc w:val="both"/>
        <w:rPr>
          <w:b/>
          <w:bCs/>
          <w:lang w:val="en-US"/>
        </w:rPr>
      </w:pPr>
      <w:r>
        <w:rPr>
          <w:bCs/>
          <w:lang w:val="en-US"/>
        </w:rPr>
        <w:lastRenderedPageBreak/>
        <w:t>Table 3</w:t>
      </w:r>
      <w:r w:rsidR="006C5B6D">
        <w:rPr>
          <w:bCs/>
          <w:lang w:val="en-US"/>
        </w:rPr>
        <w:t xml:space="preserve"> depicts the results of </w:t>
      </w:r>
      <w:r w:rsidR="006C5B6D">
        <w:rPr>
          <w:lang w:val="en-US"/>
        </w:rPr>
        <w:t xml:space="preserve">comparison the contents </w:t>
      </w:r>
      <w:r w:rsidR="006C5B6D" w:rsidRPr="00D10782">
        <w:rPr>
          <w:lang w:val="en-US"/>
        </w:rPr>
        <w:t xml:space="preserve">of </w:t>
      </w:r>
      <w:r w:rsidR="00CA52A2">
        <w:rPr>
          <w:lang w:val="en-US"/>
        </w:rPr>
        <w:t>Ag</w:t>
      </w:r>
      <w:r w:rsidR="00CA52A2" w:rsidRPr="008A5193">
        <w:rPr>
          <w:lang w:val="en-US"/>
        </w:rPr>
        <w:t xml:space="preserve">, </w:t>
      </w:r>
      <w:r w:rsidR="00CA52A2">
        <w:rPr>
          <w:lang w:val="en-US"/>
        </w:rPr>
        <w:t>Al, Au, B, Be, Bi, Cd, Ce, Co</w:t>
      </w:r>
      <w:r w:rsidR="00CA52A2" w:rsidRPr="008A5193">
        <w:rPr>
          <w:lang w:val="en-US"/>
        </w:rPr>
        <w:t xml:space="preserve">, </w:t>
      </w:r>
      <w:r w:rsidR="00CA52A2">
        <w:rPr>
          <w:lang w:val="en-US"/>
        </w:rPr>
        <w:t>Cr</w:t>
      </w:r>
      <w:r w:rsidR="00CA52A2" w:rsidRPr="008A5193">
        <w:rPr>
          <w:lang w:val="en-US"/>
        </w:rPr>
        <w:t>,</w:t>
      </w:r>
      <w:r w:rsidR="00CA52A2">
        <w:rPr>
          <w:lang w:val="en-US"/>
        </w:rPr>
        <w:t xml:space="preserve"> Cs, Er, Fe,Ga, Hg</w:t>
      </w:r>
      <w:r w:rsidR="00CA52A2" w:rsidRPr="008A5193">
        <w:rPr>
          <w:lang w:val="en-US"/>
        </w:rPr>
        <w:t xml:space="preserve">, </w:t>
      </w:r>
      <w:r w:rsidR="00CA52A2">
        <w:rPr>
          <w:lang w:val="en-US"/>
        </w:rPr>
        <w:t>La, Li, Mn, Mo, Nd, Ni, Pb, Pr, Rb</w:t>
      </w:r>
      <w:r w:rsidR="00CA52A2" w:rsidRPr="008A5193">
        <w:rPr>
          <w:lang w:val="en-US"/>
        </w:rPr>
        <w:t>,</w:t>
      </w:r>
      <w:r w:rsidR="00CA52A2">
        <w:rPr>
          <w:lang w:val="en-US"/>
        </w:rPr>
        <w:t xml:space="preserve"> Sb, Sc,Se, Sm, Sn, Tl, U, Y, Yb, Zn, </w:t>
      </w:r>
      <w:r w:rsidR="00CA52A2" w:rsidRPr="008A5193">
        <w:rPr>
          <w:lang w:val="en-US"/>
        </w:rPr>
        <w:t xml:space="preserve">and </w:t>
      </w:r>
      <w:r w:rsidR="00CA52A2">
        <w:rPr>
          <w:lang w:val="en-US"/>
        </w:rPr>
        <w:t>Zr</w:t>
      </w:r>
      <w:r w:rsidR="006C5B6D">
        <w:rPr>
          <w:lang w:val="en-US"/>
        </w:rPr>
        <w:t xml:space="preserve">in </w:t>
      </w:r>
      <w:r w:rsidR="006012DD">
        <w:rPr>
          <w:lang w:val="en-US"/>
        </w:rPr>
        <w:t>CG</w:t>
      </w:r>
      <w:r w:rsidR="002B5C33">
        <w:rPr>
          <w:lang w:val="en-US"/>
        </w:rPr>
        <w:t xml:space="preserve"> </w:t>
      </w:r>
      <w:r w:rsidR="00F2230C">
        <w:rPr>
          <w:lang w:val="en-US"/>
        </w:rPr>
        <w:t xml:space="preserve">and </w:t>
      </w:r>
      <w:r w:rsidR="006012DD">
        <w:rPr>
          <w:lang w:val="en-US"/>
        </w:rPr>
        <w:t>T</w:t>
      </w:r>
      <w:r>
        <w:rPr>
          <w:lang w:val="en-US"/>
        </w:rPr>
        <w:t>A</w:t>
      </w:r>
      <w:r w:rsidR="002B5C33">
        <w:rPr>
          <w:lang w:val="en-US"/>
        </w:rPr>
        <w:t xml:space="preserve"> </w:t>
      </w:r>
      <w:r w:rsidR="006012DD">
        <w:rPr>
          <w:lang w:val="en-US"/>
        </w:rPr>
        <w:t xml:space="preserve">sample groups </w:t>
      </w:r>
      <w:r w:rsidR="00F2230C">
        <w:rPr>
          <w:lang w:val="en-US"/>
        </w:rPr>
        <w:t xml:space="preserve">with </w:t>
      </w:r>
      <w:r w:rsidR="006012DD">
        <w:rPr>
          <w:lang w:val="en-US"/>
        </w:rPr>
        <w:t xml:space="preserve">those in </w:t>
      </w:r>
      <w:r w:rsidR="00F2230C">
        <w:rPr>
          <w:lang w:val="en-US"/>
        </w:rPr>
        <w:t>normal thyroid</w:t>
      </w:r>
      <w:r w:rsidR="00830522">
        <w:rPr>
          <w:lang w:val="en-US"/>
        </w:rPr>
        <w:t>(f</w:t>
      </w:r>
      <w:r w:rsidR="00830522" w:rsidRPr="00546718">
        <w:rPr>
          <w:lang w:val="en-US"/>
        </w:rPr>
        <w:t xml:space="preserve">rom </w:t>
      </w:r>
      <w:r w:rsidR="00830522">
        <w:rPr>
          <w:lang w:val="en-US"/>
        </w:rPr>
        <w:t xml:space="preserve">data </w:t>
      </w:r>
      <w:r w:rsidR="00830522" w:rsidRPr="00546718">
        <w:rPr>
          <w:lang w:val="en-US"/>
        </w:rPr>
        <w:t xml:space="preserve">analysis of previous publications </w:t>
      </w:r>
      <w:commentRangeStart w:id="75"/>
      <w:r w:rsidR="004157A1">
        <w:rPr>
          <w:lang w:val="en-US"/>
        </w:rPr>
        <w:t>[</w:t>
      </w:r>
      <w:r w:rsidR="00546718">
        <w:rPr>
          <w:lang w:val="en-US"/>
        </w:rPr>
        <w:t>43</w:t>
      </w:r>
      <w:r>
        <w:rPr>
          <w:lang w:val="en-US"/>
        </w:rPr>
        <w:t>,44</w:t>
      </w:r>
      <w:r w:rsidR="004157A1">
        <w:rPr>
          <w:lang w:val="en-US"/>
        </w:rPr>
        <w:t>]</w:t>
      </w:r>
      <w:commentRangeEnd w:id="75"/>
      <w:r w:rsidR="002B5C33">
        <w:rPr>
          <w:rStyle w:val="CommentReference"/>
        </w:rPr>
        <w:commentReference w:id="75"/>
      </w:r>
      <w:r w:rsidR="00830522">
        <w:rPr>
          <w:lang w:val="en-US"/>
        </w:rPr>
        <w:t>)</w:t>
      </w:r>
      <w:r w:rsidR="00F2230C">
        <w:rPr>
          <w:lang w:val="en-US"/>
        </w:rPr>
        <w:t xml:space="preserve">, as well as </w:t>
      </w:r>
      <w:r w:rsidR="006012DD">
        <w:rPr>
          <w:lang w:val="en-US"/>
        </w:rPr>
        <w:t xml:space="preserve">comparison the contents </w:t>
      </w:r>
      <w:r w:rsidR="006012DD" w:rsidRPr="00D10782">
        <w:rPr>
          <w:lang w:val="en-US"/>
        </w:rPr>
        <w:t>of</w:t>
      </w:r>
      <w:r w:rsidR="006012DD">
        <w:rPr>
          <w:lang w:val="en-US"/>
        </w:rPr>
        <w:t xml:space="preserve"> these ChE in</w:t>
      </w:r>
      <w:r w:rsidR="006C4BCB">
        <w:rPr>
          <w:lang w:val="en-US"/>
        </w:rPr>
        <w:t xml:space="preserve"> CG</w:t>
      </w:r>
      <w:r w:rsidR="002B5C33">
        <w:rPr>
          <w:lang w:val="en-US"/>
        </w:rPr>
        <w:t xml:space="preserve"> </w:t>
      </w:r>
      <w:r w:rsidR="006012DD">
        <w:rPr>
          <w:lang w:val="en-US"/>
        </w:rPr>
        <w:t>and T</w:t>
      </w:r>
      <w:r>
        <w:rPr>
          <w:lang w:val="en-US"/>
        </w:rPr>
        <w:t>A</w:t>
      </w:r>
      <w:r w:rsidR="006012DD">
        <w:rPr>
          <w:lang w:val="en-US"/>
        </w:rPr>
        <w:t xml:space="preserve"> sample groups</w:t>
      </w:r>
      <w:r>
        <w:rPr>
          <w:lang w:val="en-US"/>
        </w:rPr>
        <w:t>.</w:t>
      </w:r>
    </w:p>
    <w:p w:rsidR="00284F5D" w:rsidRPr="007156F8" w:rsidRDefault="00284F5D" w:rsidP="00204280">
      <w:pPr>
        <w:spacing w:line="276" w:lineRule="auto"/>
        <w:jc w:val="both"/>
        <w:rPr>
          <w:lang w:val="en-US"/>
        </w:rPr>
      </w:pPr>
    </w:p>
    <w:p w:rsidR="00DA4B51" w:rsidRDefault="00DA4B51" w:rsidP="00204280">
      <w:pPr>
        <w:pStyle w:val="BodyText"/>
        <w:spacing w:after="0" w:line="276" w:lineRule="auto"/>
        <w:rPr>
          <w:b/>
          <w:bCs/>
          <w:caps/>
          <w:sz w:val="24"/>
          <w:szCs w:val="24"/>
          <w:lang w:val="en-US"/>
        </w:rPr>
      </w:pPr>
      <w:commentRangeStart w:id="76"/>
      <w:r w:rsidRPr="004D43DA">
        <w:rPr>
          <w:b/>
          <w:bCs/>
          <w:caps/>
          <w:sz w:val="24"/>
          <w:szCs w:val="24"/>
          <w:lang w:val="en-US"/>
        </w:rPr>
        <w:t>Discussion</w:t>
      </w:r>
      <w:commentRangeEnd w:id="76"/>
      <w:r w:rsidR="00BA7456">
        <w:rPr>
          <w:rStyle w:val="CommentReference"/>
        </w:rPr>
        <w:commentReference w:id="76"/>
      </w:r>
    </w:p>
    <w:p w:rsidR="00FB6F8C" w:rsidRPr="004D43DA" w:rsidRDefault="00FB6F8C" w:rsidP="00204280">
      <w:pPr>
        <w:pStyle w:val="BodyText"/>
        <w:spacing w:after="0" w:line="276" w:lineRule="auto"/>
        <w:rPr>
          <w:b/>
          <w:bCs/>
          <w:caps/>
          <w:sz w:val="24"/>
          <w:szCs w:val="24"/>
          <w:lang w:val="en-US"/>
        </w:rPr>
      </w:pPr>
    </w:p>
    <w:p w:rsidR="00DA4B51" w:rsidRPr="009A5CA0" w:rsidRDefault="009930D1" w:rsidP="00204280">
      <w:pPr>
        <w:spacing w:line="276" w:lineRule="auto"/>
        <w:jc w:val="both"/>
        <w:rPr>
          <w:lang w:val="en-US"/>
        </w:rPr>
      </w:pPr>
      <w:r w:rsidRPr="009D5E1B">
        <w:rPr>
          <w:lang w:val="en-US"/>
        </w:rPr>
        <w:t xml:space="preserve">As was shown before </w:t>
      </w:r>
      <w:r w:rsidR="00736A71" w:rsidRPr="009D5E1B">
        <w:rPr>
          <w:lang w:val="en-US"/>
        </w:rPr>
        <w:t>[</w:t>
      </w:r>
      <w:r w:rsidR="000554D4" w:rsidRPr="00D87FE5">
        <w:rPr>
          <w:lang w:val="en-US"/>
        </w:rPr>
        <w:t>29,30,35</w:t>
      </w:r>
      <w:r w:rsidR="000554D4">
        <w:rPr>
          <w:lang w:val="en-US"/>
        </w:rPr>
        <w:t>,47-53</w:t>
      </w:r>
      <w:r w:rsidR="00736A71" w:rsidRPr="009D5E1B">
        <w:rPr>
          <w:lang w:val="en-US"/>
        </w:rPr>
        <w:t xml:space="preserve">] </w:t>
      </w:r>
      <w:r w:rsidRPr="009D5E1B">
        <w:rPr>
          <w:lang w:val="en-US"/>
        </w:rPr>
        <w:t xml:space="preserve">good agreement of the </w:t>
      </w:r>
      <w:r w:rsidR="000554D4">
        <w:rPr>
          <w:lang w:val="en-US"/>
        </w:rPr>
        <w:t xml:space="preserve">50 TE </w:t>
      </w:r>
      <w:r w:rsidR="007C1A2B" w:rsidRPr="007C1A2B">
        <w:rPr>
          <w:lang w:val="en-US"/>
        </w:rPr>
        <w:t xml:space="preserve">mass fractions </w:t>
      </w:r>
      <w:r w:rsidR="00F232B0">
        <w:rPr>
          <w:lang w:val="en-US"/>
        </w:rPr>
        <w:t>in</w:t>
      </w:r>
      <w:r w:rsidR="00F232B0" w:rsidRPr="007C1A2B">
        <w:rPr>
          <w:lang w:val="en-US"/>
        </w:rPr>
        <w:t xml:space="preserve"> CRM IAEA H-4, INCT-SBF-4, </w:t>
      </w:r>
      <w:r w:rsidR="00F232B0" w:rsidRPr="007C1A2B">
        <w:rPr>
          <w:bCs/>
          <w:lang w:val="en-US"/>
        </w:rPr>
        <w:t>INCT-TL-1, and INCT-MPH-2</w:t>
      </w:r>
      <w:r w:rsidR="002B5C33">
        <w:rPr>
          <w:bCs/>
          <w:lang w:val="en-US"/>
        </w:rPr>
        <w:t xml:space="preserve"> </w:t>
      </w:r>
      <w:r w:rsidR="00F232B0" w:rsidRPr="009D5E1B">
        <w:rPr>
          <w:lang w:val="en-US"/>
        </w:rPr>
        <w:t xml:space="preserve">samples </w:t>
      </w:r>
      <w:r w:rsidR="00F232B0">
        <w:rPr>
          <w:lang w:val="en-US"/>
        </w:rPr>
        <w:t>determined by both INAA-LLR and ICP-M</w:t>
      </w:r>
      <w:r w:rsidR="00F232B0" w:rsidRPr="00F55067">
        <w:rPr>
          <w:lang w:val="en-US"/>
        </w:rPr>
        <w:t>S methods</w:t>
      </w:r>
      <w:r w:rsidR="00F232B0" w:rsidRPr="009D5E1B">
        <w:rPr>
          <w:lang w:val="en-US"/>
        </w:rPr>
        <w:t xml:space="preserve"> with the certified data of </w:t>
      </w:r>
      <w:r w:rsidR="00F232B0">
        <w:rPr>
          <w:lang w:val="en-US"/>
        </w:rPr>
        <w:t>these</w:t>
      </w:r>
      <w:r w:rsidR="00F232B0" w:rsidRPr="009D5E1B">
        <w:rPr>
          <w:lang w:val="en-US"/>
        </w:rPr>
        <w:t xml:space="preserve"> CRM</w:t>
      </w:r>
      <w:r w:rsidR="00F232B0">
        <w:rPr>
          <w:lang w:val="en-US"/>
        </w:rPr>
        <w:t>s</w:t>
      </w:r>
      <w:r w:rsidR="00F232B0" w:rsidRPr="009D5E1B">
        <w:rPr>
          <w:lang w:val="en-US"/>
        </w:rPr>
        <w:t xml:space="preserve"> indicates acceptable accuracy of the results obtained in the study of CG</w:t>
      </w:r>
      <w:r w:rsidR="00F232B0">
        <w:rPr>
          <w:lang w:val="en-US"/>
        </w:rPr>
        <w:t xml:space="preserve"> and</w:t>
      </w:r>
      <w:r w:rsidR="00F232B0" w:rsidRPr="009D5E1B">
        <w:rPr>
          <w:lang w:val="en-US"/>
        </w:rPr>
        <w:t xml:space="preserve"> TA samples </w:t>
      </w:r>
      <w:r w:rsidR="00F232B0">
        <w:rPr>
          <w:lang w:val="en-US"/>
        </w:rPr>
        <w:t xml:space="preserve">and </w:t>
      </w:r>
      <w:r w:rsidR="00F232B0" w:rsidRPr="009D5E1B">
        <w:rPr>
          <w:lang w:val="en-US"/>
        </w:rPr>
        <w:t xml:space="preserve">presented in </w:t>
      </w:r>
      <w:commentRangeStart w:id="77"/>
      <w:r w:rsidR="00F232B0" w:rsidRPr="009D5E1B">
        <w:rPr>
          <w:lang w:val="en-US"/>
        </w:rPr>
        <w:t>Tables 1–</w:t>
      </w:r>
      <w:r w:rsidR="00F232B0">
        <w:rPr>
          <w:lang w:val="en-US"/>
        </w:rPr>
        <w:t>3</w:t>
      </w:r>
      <w:r w:rsidR="00F232B0" w:rsidRPr="009D5E1B">
        <w:rPr>
          <w:lang w:val="en-US"/>
        </w:rPr>
        <w:t>.</w:t>
      </w:r>
      <w:commentRangeEnd w:id="77"/>
      <w:r w:rsidR="00743B16">
        <w:rPr>
          <w:rStyle w:val="CommentReference"/>
        </w:rPr>
        <w:commentReference w:id="77"/>
      </w:r>
    </w:p>
    <w:p w:rsidR="003C745B" w:rsidRDefault="00682C49" w:rsidP="00B17BEF">
      <w:pPr>
        <w:spacing w:line="276" w:lineRule="auto"/>
        <w:rPr>
          <w:lang w:val="en-US"/>
        </w:rPr>
      </w:pPr>
      <w:commentRangeStart w:id="78"/>
      <w:r w:rsidRPr="00487499">
        <w:rPr>
          <w:lang w:val="en-US"/>
        </w:rPr>
        <w:t xml:space="preserve">In a general </w:t>
      </w:r>
      <w:commentRangeStart w:id="79"/>
      <w:r w:rsidRPr="00487499">
        <w:rPr>
          <w:lang w:val="en-US"/>
        </w:rPr>
        <w:t xml:space="preserve">sense variations </w:t>
      </w:r>
      <w:commentRangeEnd w:id="79"/>
      <w:r w:rsidR="003C745B">
        <w:rPr>
          <w:rStyle w:val="CommentReference"/>
        </w:rPr>
        <w:commentReference w:id="79"/>
      </w:r>
      <w:r w:rsidRPr="00487499">
        <w:rPr>
          <w:lang w:val="en-US"/>
        </w:rPr>
        <w:t xml:space="preserve">found for </w:t>
      </w:r>
      <w:r w:rsidR="0092428F" w:rsidRPr="0092428F">
        <w:rPr>
          <w:lang w:val="en-US"/>
        </w:rPr>
        <w:t>Ag, Al, Au, Be, Cr, Cs, Hg, Mn, Pb, Rb, Sb,Sc, Th, Yb, Zn, and Zr</w:t>
      </w:r>
      <w:r w:rsidR="002B5C33">
        <w:rPr>
          <w:lang w:val="en-US"/>
        </w:rPr>
        <w:t xml:space="preserve"> </w:t>
      </w:r>
      <w:r w:rsidRPr="00487499">
        <w:rPr>
          <w:lang w:val="en-US"/>
        </w:rPr>
        <w:t>contents in CG</w:t>
      </w:r>
      <w:r w:rsidRPr="00682C49">
        <w:rPr>
          <w:lang w:val="en-US"/>
        </w:rPr>
        <w:t xml:space="preserve"> and</w:t>
      </w:r>
      <w:r w:rsidRPr="00487499">
        <w:rPr>
          <w:lang w:val="en-US"/>
        </w:rPr>
        <w:t xml:space="preserve"> TA</w:t>
      </w:r>
      <w:r w:rsidRPr="00682C49">
        <w:rPr>
          <w:lang w:val="en-US"/>
        </w:rPr>
        <w:t xml:space="preserve"> tissue samples </w:t>
      </w:r>
      <w:r w:rsidRPr="00487499">
        <w:rPr>
          <w:lang w:val="en-US"/>
        </w:rPr>
        <w:t xml:space="preserve">were similar in comparison with normal thyroid tissue </w:t>
      </w:r>
      <w:r>
        <w:rPr>
          <w:lang w:val="en-US"/>
        </w:rPr>
        <w:t>(Table 3</w:t>
      </w:r>
      <w:r w:rsidRPr="00487499">
        <w:rPr>
          <w:lang w:val="en-US"/>
        </w:rPr>
        <w:t xml:space="preserve">). In affected tissues contents of </w:t>
      </w:r>
      <w:r w:rsidR="0092428F" w:rsidRPr="0092428F">
        <w:rPr>
          <w:lang w:val="en-US"/>
        </w:rPr>
        <w:t xml:space="preserve">Ag, Al, Cr, Hg, Mn, Th, </w:t>
      </w:r>
      <w:r w:rsidRPr="00487499">
        <w:rPr>
          <w:lang w:val="en-US"/>
        </w:rPr>
        <w:t xml:space="preserve">and Zn increased, whereas levels of </w:t>
      </w:r>
      <w:r w:rsidR="0092428F" w:rsidRPr="0092428F">
        <w:rPr>
          <w:lang w:val="en-US"/>
        </w:rPr>
        <w:t xml:space="preserve">Au, Be, Cs, Pb, Rb, Sb, Sc, Th, Yb, </w:t>
      </w:r>
      <w:r w:rsidR="00DE6594">
        <w:rPr>
          <w:lang w:val="en-US"/>
        </w:rPr>
        <w:t xml:space="preserve">and </w:t>
      </w:r>
      <w:r w:rsidR="0092428F" w:rsidRPr="0092428F">
        <w:rPr>
          <w:lang w:val="en-US"/>
        </w:rPr>
        <w:t>Zr</w:t>
      </w:r>
      <w:r w:rsidRPr="00487499">
        <w:rPr>
          <w:lang w:val="en-US"/>
        </w:rPr>
        <w:t>did not changed</w:t>
      </w:r>
      <w:r w:rsidR="0092428F">
        <w:rPr>
          <w:lang w:val="en-US"/>
        </w:rPr>
        <w:t xml:space="preserve"> in both groups of samples (Table 3</w:t>
      </w:r>
      <w:r w:rsidR="0092428F" w:rsidRPr="00487499">
        <w:rPr>
          <w:lang w:val="en-US"/>
        </w:rPr>
        <w:t>)</w:t>
      </w:r>
      <w:r w:rsidRPr="00487499">
        <w:rPr>
          <w:lang w:val="en-US"/>
        </w:rPr>
        <w:t>.</w:t>
      </w:r>
      <w:r w:rsidR="00BB4292" w:rsidRPr="00705F69">
        <w:rPr>
          <w:lang w:val="en-US"/>
        </w:rPr>
        <w:t xml:space="preserve">There was not found any differences between </w:t>
      </w:r>
      <w:r w:rsidR="0092428F">
        <w:rPr>
          <w:lang w:val="en-US"/>
        </w:rPr>
        <w:t>TE</w:t>
      </w:r>
      <w:r w:rsidR="00BB4292" w:rsidRPr="00705F69">
        <w:rPr>
          <w:lang w:val="en-US"/>
        </w:rPr>
        <w:t xml:space="preserve"> contents of CG and TA, </w:t>
      </w:r>
      <w:r w:rsidR="0092428F">
        <w:rPr>
          <w:lang w:val="en-US"/>
        </w:rPr>
        <w:t xml:space="preserve">when results for these groups </w:t>
      </w:r>
      <w:r w:rsidR="00DE6594">
        <w:rPr>
          <w:lang w:val="en-US"/>
        </w:rPr>
        <w:t>were</w:t>
      </w:r>
      <w:r w:rsidR="0092428F">
        <w:rPr>
          <w:lang w:val="en-US"/>
        </w:rPr>
        <w:t xml:space="preserve"> compared with each other</w:t>
      </w:r>
      <w:r w:rsidR="00BB4292" w:rsidRPr="00705F69">
        <w:rPr>
          <w:lang w:val="en-US"/>
        </w:rPr>
        <w:t xml:space="preserve"> (</w:t>
      </w:r>
      <w:commentRangeStart w:id="80"/>
      <w:r w:rsidR="00BB4292" w:rsidRPr="00705F69">
        <w:rPr>
          <w:lang w:val="en-US"/>
        </w:rPr>
        <w:t>Table</w:t>
      </w:r>
      <w:r w:rsidR="00BB4292">
        <w:rPr>
          <w:lang w:val="en-US"/>
        </w:rPr>
        <w:t>s</w:t>
      </w:r>
      <w:r w:rsidR="00BB4292" w:rsidRPr="00705F69">
        <w:rPr>
          <w:lang w:val="en-US"/>
        </w:rPr>
        <w:t xml:space="preserve"> 2 and </w:t>
      </w:r>
      <w:r w:rsidR="00BB4292">
        <w:rPr>
          <w:lang w:val="en-US"/>
        </w:rPr>
        <w:t>3</w:t>
      </w:r>
      <w:commentRangeEnd w:id="80"/>
      <w:r w:rsidR="00752256">
        <w:rPr>
          <w:rStyle w:val="CommentReference"/>
        </w:rPr>
        <w:commentReference w:id="80"/>
      </w:r>
      <w:r w:rsidR="00BB4292" w:rsidRPr="00705F69">
        <w:rPr>
          <w:lang w:val="en-US"/>
        </w:rPr>
        <w:t xml:space="preserve">). </w:t>
      </w:r>
      <w:commentRangeEnd w:id="78"/>
      <w:r w:rsidR="003C745B">
        <w:rPr>
          <w:rStyle w:val="CommentReference"/>
        </w:rPr>
        <w:commentReference w:id="78"/>
      </w:r>
      <w:r w:rsidR="003C745B">
        <w:rPr>
          <w:lang w:val="en-US"/>
        </w:rPr>
        <w:br w:type="page"/>
      </w:r>
    </w:p>
    <w:p w:rsidR="00682C49" w:rsidRPr="00682C49" w:rsidRDefault="00682C49" w:rsidP="002B5C33">
      <w:pPr>
        <w:spacing w:line="276" w:lineRule="auto"/>
        <w:rPr>
          <w:lang w:val="en-US"/>
        </w:rPr>
      </w:pPr>
    </w:p>
    <w:p w:rsidR="005772BA" w:rsidRDefault="005772BA" w:rsidP="00204280">
      <w:pPr>
        <w:spacing w:line="276" w:lineRule="auto"/>
        <w:rPr>
          <w:b/>
          <w:bCs/>
          <w:lang w:val="en-US"/>
        </w:rPr>
      </w:pPr>
    </w:p>
    <w:p w:rsidR="0092428F" w:rsidRPr="00F87922" w:rsidRDefault="0092428F" w:rsidP="00B54AFE">
      <w:pPr>
        <w:spacing w:after="120" w:line="276" w:lineRule="auto"/>
        <w:rPr>
          <w:lang w:val="en-US"/>
        </w:rPr>
      </w:pPr>
      <w:commentRangeStart w:id="81"/>
      <w:r>
        <w:rPr>
          <w:b/>
          <w:bCs/>
          <w:lang w:val="en-US"/>
        </w:rPr>
        <w:t>Table 1</w:t>
      </w:r>
      <w:r w:rsidRPr="00F87922">
        <w:rPr>
          <w:bCs/>
          <w:lang w:val="en-US"/>
        </w:rPr>
        <w:t>.</w:t>
      </w:r>
      <w:r w:rsidR="00B54AFE" w:rsidRPr="00B54AFE">
        <w:rPr>
          <w:rFonts w:ascii="Arial" w:hAnsi="Arial" w:cs="Arial"/>
          <w:color w:val="4D5156"/>
          <w:sz w:val="27"/>
          <w:szCs w:val="27"/>
          <w:shd w:val="clear" w:color="auto" w:fill="FFFFFF"/>
        </w:rPr>
        <w:t xml:space="preserve"> </w:t>
      </w:r>
      <w:r w:rsidR="00B54AFE">
        <w:rPr>
          <w:rFonts w:ascii="Arial" w:hAnsi="Arial" w:cs="Arial"/>
          <w:color w:val="4D5156"/>
          <w:sz w:val="27"/>
          <w:szCs w:val="27"/>
          <w:shd w:val="clear" w:color="auto" w:fill="FFFFFF"/>
          <w:lang w:val="en-US"/>
        </w:rPr>
        <w:t xml:space="preserve"> </w:t>
      </w:r>
      <w:r w:rsidRPr="00F87922">
        <w:rPr>
          <w:lang w:val="en-US"/>
        </w:rPr>
        <w:t xml:space="preserve">Some statistical parameters of 50 trace element mass fraction (mg/kg, dry mass basis) in the </w:t>
      </w:r>
      <w:r>
        <w:rPr>
          <w:lang w:val="en-US"/>
        </w:rPr>
        <w:t xml:space="preserve">thyroid </w:t>
      </w:r>
      <w:r w:rsidRPr="00F87922">
        <w:rPr>
          <w:lang w:val="en-US"/>
        </w:rPr>
        <w:t xml:space="preserve">colloid goiter </w:t>
      </w:r>
      <w:r>
        <w:rPr>
          <w:lang w:val="en-US"/>
        </w:rPr>
        <w:t>and adenoma</w:t>
      </w:r>
      <w:commentRangeEnd w:id="81"/>
      <w:r w:rsidR="005777B6">
        <w:rPr>
          <w:rStyle w:val="CommentReference"/>
        </w:rPr>
        <w:commentReference w:id="81"/>
      </w:r>
    </w:p>
    <w:tbl>
      <w:tblPr>
        <w:tblW w:w="9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6"/>
        <w:gridCol w:w="1066"/>
        <w:gridCol w:w="1066"/>
        <w:gridCol w:w="1830"/>
        <w:gridCol w:w="1070"/>
        <w:gridCol w:w="1066"/>
        <w:gridCol w:w="1883"/>
      </w:tblGrid>
      <w:tr w:rsidR="0092428F" w:rsidRPr="00F87922" w:rsidTr="0092428F">
        <w:trPr>
          <w:trHeight w:val="263"/>
        </w:trPr>
        <w:tc>
          <w:tcPr>
            <w:tcW w:w="1136" w:type="dxa"/>
            <w:vMerge w:val="restart"/>
            <w:tcBorders>
              <w:left w:val="nil"/>
              <w:right w:val="nil"/>
            </w:tcBorders>
          </w:tcPr>
          <w:p w:rsidR="0092428F" w:rsidRPr="00F87922" w:rsidRDefault="0092428F" w:rsidP="00204280">
            <w:pPr>
              <w:spacing w:line="276" w:lineRule="auto"/>
              <w:rPr>
                <w:lang w:val="en-US"/>
              </w:rPr>
            </w:pPr>
            <w:r w:rsidRPr="00F87922">
              <w:rPr>
                <w:lang w:val="en-US"/>
              </w:rPr>
              <w:t>Element</w:t>
            </w:r>
          </w:p>
        </w:tc>
        <w:tc>
          <w:tcPr>
            <w:tcW w:w="3962" w:type="dxa"/>
            <w:gridSpan w:val="3"/>
            <w:tcBorders>
              <w:left w:val="nil"/>
              <w:bottom w:val="single" w:sz="4" w:space="0" w:color="auto"/>
              <w:right w:val="nil"/>
            </w:tcBorders>
          </w:tcPr>
          <w:p w:rsidR="0092428F" w:rsidRPr="00F87922" w:rsidRDefault="0092428F" w:rsidP="00204280">
            <w:pPr>
              <w:spacing w:line="276" w:lineRule="auto"/>
              <w:jc w:val="center"/>
              <w:rPr>
                <w:lang w:val="en-US"/>
              </w:rPr>
            </w:pPr>
            <w:r>
              <w:rPr>
                <w:lang w:val="en-US"/>
              </w:rPr>
              <w:t>C</w:t>
            </w:r>
            <w:r w:rsidRPr="00F87922">
              <w:rPr>
                <w:lang w:val="en-US"/>
              </w:rPr>
              <w:t>olloid nodular goiter (n=46)</w:t>
            </w:r>
          </w:p>
        </w:tc>
        <w:tc>
          <w:tcPr>
            <w:tcW w:w="4019" w:type="dxa"/>
            <w:gridSpan w:val="3"/>
            <w:tcBorders>
              <w:left w:val="nil"/>
              <w:bottom w:val="single" w:sz="4" w:space="0" w:color="auto"/>
              <w:right w:val="nil"/>
            </w:tcBorders>
          </w:tcPr>
          <w:p w:rsidR="0092428F" w:rsidRPr="00F87922" w:rsidRDefault="0092428F" w:rsidP="00204280">
            <w:pPr>
              <w:spacing w:line="276" w:lineRule="auto"/>
              <w:jc w:val="center"/>
              <w:rPr>
                <w:lang w:val="en-US"/>
              </w:rPr>
            </w:pPr>
            <w:r>
              <w:rPr>
                <w:lang w:val="en-US"/>
              </w:rPr>
              <w:t xml:space="preserve">Adenoma </w:t>
            </w:r>
            <w:r w:rsidRPr="00F87922">
              <w:rPr>
                <w:lang w:val="en-US"/>
              </w:rPr>
              <w:t>(n=</w:t>
            </w:r>
            <w:r>
              <w:rPr>
                <w:lang w:val="en-US"/>
              </w:rPr>
              <w:t>19</w:t>
            </w:r>
            <w:r w:rsidRPr="00F87922">
              <w:rPr>
                <w:lang w:val="en-US"/>
              </w:rPr>
              <w:t>)</w:t>
            </w:r>
          </w:p>
        </w:tc>
      </w:tr>
      <w:tr w:rsidR="0092428F" w:rsidRPr="00F87922" w:rsidTr="0092428F">
        <w:trPr>
          <w:trHeight w:val="263"/>
        </w:trPr>
        <w:tc>
          <w:tcPr>
            <w:tcW w:w="1136" w:type="dxa"/>
            <w:vMerge/>
            <w:tcBorders>
              <w:left w:val="nil"/>
              <w:bottom w:val="single" w:sz="4" w:space="0" w:color="auto"/>
              <w:right w:val="nil"/>
            </w:tcBorders>
          </w:tcPr>
          <w:p w:rsidR="0092428F" w:rsidRPr="00F87922" w:rsidRDefault="0092428F" w:rsidP="00204280">
            <w:pPr>
              <w:spacing w:line="276" w:lineRule="auto"/>
            </w:pPr>
          </w:p>
        </w:tc>
        <w:tc>
          <w:tcPr>
            <w:tcW w:w="1066" w:type="dxa"/>
            <w:tcBorders>
              <w:left w:val="nil"/>
              <w:bottom w:val="single" w:sz="4" w:space="0" w:color="auto"/>
              <w:right w:val="nil"/>
            </w:tcBorders>
          </w:tcPr>
          <w:p w:rsidR="0092428F" w:rsidRPr="00F87922" w:rsidRDefault="0092428F" w:rsidP="00204280">
            <w:pPr>
              <w:spacing w:line="276" w:lineRule="auto"/>
              <w:jc w:val="center"/>
            </w:pPr>
            <w:r w:rsidRPr="00F87922">
              <w:rPr>
                <w:lang w:val="en-US"/>
              </w:rPr>
              <w:t>M</w:t>
            </w:r>
          </w:p>
        </w:tc>
        <w:tc>
          <w:tcPr>
            <w:tcW w:w="1066" w:type="dxa"/>
            <w:tcBorders>
              <w:left w:val="nil"/>
              <w:bottom w:val="single" w:sz="4" w:space="0" w:color="auto"/>
              <w:right w:val="nil"/>
            </w:tcBorders>
          </w:tcPr>
          <w:p w:rsidR="0092428F" w:rsidRPr="00F87922" w:rsidRDefault="0092428F" w:rsidP="00204280">
            <w:pPr>
              <w:spacing w:line="276" w:lineRule="auto"/>
              <w:jc w:val="center"/>
              <w:rPr>
                <w:lang w:val="en-US"/>
              </w:rPr>
            </w:pPr>
            <w:r w:rsidRPr="00F87922">
              <w:rPr>
                <w:lang w:val="en-US"/>
              </w:rPr>
              <w:t>SD</w:t>
            </w:r>
          </w:p>
        </w:tc>
        <w:tc>
          <w:tcPr>
            <w:tcW w:w="1830" w:type="dxa"/>
            <w:tcBorders>
              <w:left w:val="nil"/>
              <w:bottom w:val="single" w:sz="4" w:space="0" w:color="auto"/>
              <w:right w:val="nil"/>
            </w:tcBorders>
          </w:tcPr>
          <w:p w:rsidR="0092428F" w:rsidRPr="00F87922" w:rsidRDefault="0092428F" w:rsidP="00204280">
            <w:pPr>
              <w:spacing w:line="276" w:lineRule="auto"/>
              <w:jc w:val="center"/>
              <w:rPr>
                <w:lang w:val="en-US"/>
              </w:rPr>
            </w:pPr>
            <w:r>
              <w:rPr>
                <w:lang w:val="en-US"/>
              </w:rPr>
              <w:t>Range</w:t>
            </w:r>
          </w:p>
        </w:tc>
        <w:tc>
          <w:tcPr>
            <w:tcW w:w="1070" w:type="dxa"/>
            <w:tcBorders>
              <w:left w:val="nil"/>
              <w:bottom w:val="single" w:sz="4" w:space="0" w:color="auto"/>
              <w:right w:val="nil"/>
            </w:tcBorders>
          </w:tcPr>
          <w:p w:rsidR="0092428F" w:rsidRPr="00F87922" w:rsidRDefault="0092428F" w:rsidP="00204280">
            <w:pPr>
              <w:spacing w:line="276" w:lineRule="auto"/>
              <w:jc w:val="center"/>
            </w:pPr>
            <w:r w:rsidRPr="00F87922">
              <w:rPr>
                <w:lang w:val="en-US"/>
              </w:rPr>
              <w:t>M</w:t>
            </w:r>
          </w:p>
        </w:tc>
        <w:tc>
          <w:tcPr>
            <w:tcW w:w="1066" w:type="dxa"/>
            <w:tcBorders>
              <w:left w:val="nil"/>
              <w:bottom w:val="single" w:sz="4" w:space="0" w:color="auto"/>
              <w:right w:val="nil"/>
            </w:tcBorders>
          </w:tcPr>
          <w:p w:rsidR="0092428F" w:rsidRPr="00F87922" w:rsidRDefault="0092428F" w:rsidP="00204280">
            <w:pPr>
              <w:spacing w:line="276" w:lineRule="auto"/>
              <w:jc w:val="center"/>
              <w:rPr>
                <w:lang w:val="en-US"/>
              </w:rPr>
            </w:pPr>
            <w:r w:rsidRPr="00F87922">
              <w:rPr>
                <w:lang w:val="en-US"/>
              </w:rPr>
              <w:t>SD</w:t>
            </w:r>
          </w:p>
        </w:tc>
        <w:tc>
          <w:tcPr>
            <w:tcW w:w="1883" w:type="dxa"/>
            <w:tcBorders>
              <w:left w:val="nil"/>
              <w:bottom w:val="single" w:sz="4" w:space="0" w:color="auto"/>
              <w:right w:val="nil"/>
            </w:tcBorders>
          </w:tcPr>
          <w:p w:rsidR="0092428F" w:rsidRPr="00F87922" w:rsidRDefault="0092428F" w:rsidP="00204280">
            <w:pPr>
              <w:spacing w:line="276" w:lineRule="auto"/>
              <w:jc w:val="center"/>
              <w:rPr>
                <w:lang w:val="en-US"/>
              </w:rPr>
            </w:pPr>
            <w:r>
              <w:rPr>
                <w:lang w:val="en-US"/>
              </w:rPr>
              <w:t>Range</w:t>
            </w:r>
          </w:p>
        </w:tc>
      </w:tr>
      <w:tr w:rsidR="0092428F" w:rsidRPr="00F87922" w:rsidTr="0092428F">
        <w:trPr>
          <w:trHeight w:val="197"/>
        </w:trPr>
        <w:tc>
          <w:tcPr>
            <w:tcW w:w="1136" w:type="dxa"/>
            <w:tcBorders>
              <w:top w:val="single" w:sz="4" w:space="0" w:color="auto"/>
              <w:left w:val="nil"/>
              <w:bottom w:val="nil"/>
              <w:right w:val="nil"/>
            </w:tcBorders>
          </w:tcPr>
          <w:p w:rsidR="0092428F" w:rsidRPr="0092428F" w:rsidRDefault="0092428F" w:rsidP="00204280">
            <w:pPr>
              <w:spacing w:line="276" w:lineRule="auto"/>
            </w:pPr>
            <w:r w:rsidRPr="0092428F">
              <w:rPr>
                <w:sz w:val="22"/>
                <w:szCs w:val="22"/>
              </w:rPr>
              <w:t>Ag</w:t>
            </w:r>
          </w:p>
        </w:tc>
        <w:tc>
          <w:tcPr>
            <w:tcW w:w="1066" w:type="dxa"/>
            <w:tcBorders>
              <w:top w:val="single" w:sz="4" w:space="0" w:color="auto"/>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0.192</w:t>
            </w:r>
          </w:p>
        </w:tc>
        <w:tc>
          <w:tcPr>
            <w:tcW w:w="1066" w:type="dxa"/>
            <w:tcBorders>
              <w:top w:val="single" w:sz="4" w:space="0" w:color="auto"/>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0.214</w:t>
            </w:r>
          </w:p>
        </w:tc>
        <w:tc>
          <w:tcPr>
            <w:tcW w:w="1830" w:type="dxa"/>
            <w:tcBorders>
              <w:top w:val="single" w:sz="4" w:space="0" w:color="auto"/>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0.002-0.842</w:t>
            </w:r>
          </w:p>
        </w:tc>
        <w:tc>
          <w:tcPr>
            <w:tcW w:w="1070" w:type="dxa"/>
            <w:tcBorders>
              <w:top w:val="single" w:sz="4" w:space="0" w:color="auto"/>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0.181</w:t>
            </w:r>
          </w:p>
        </w:tc>
        <w:tc>
          <w:tcPr>
            <w:tcW w:w="1066" w:type="dxa"/>
            <w:tcBorders>
              <w:top w:val="single" w:sz="4" w:space="0" w:color="auto"/>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0.180</w:t>
            </w:r>
          </w:p>
        </w:tc>
        <w:tc>
          <w:tcPr>
            <w:tcW w:w="1883" w:type="dxa"/>
            <w:tcBorders>
              <w:top w:val="single" w:sz="4" w:space="0" w:color="auto"/>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0.0012-0.6790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Al</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27.1</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24.7</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6.6-95.1</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34.2</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24.1</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8.7-78.4</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As</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&lt;0.004</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&lt;0.004</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Au</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0.0141</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0.0152</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0.0030-0.0585</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0.0287</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0.0293</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0.0030-0.0709</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B</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5.50</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17.8</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0.9-85.2</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3.38</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2.74</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1.00-7.30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Be</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0.00072</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0.00053</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0.0002-0.0020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0.00181</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0.00222</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0.00020-0.00600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Bi</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0.0585</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0.0560</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0.0039-0.2140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0.112</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0.157</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0.0113-0.4220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Cd</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1.26</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1.30</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0.126-5.360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2.78</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2.51</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0.31-6.39</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Ce</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0.0186</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0.0185</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0.0031-0.0696</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0.0246</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0.0174</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0.0073-0.0459</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Co</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0.0576</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0.0282</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0.015-0.147</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0.0660</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0.0469</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0.0159-0.1590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Cr</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1.18</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1.38</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0.144-7.300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1.36</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0.82</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0.259-2.79</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Cs</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0.0216</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0.0232</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0.0076-0.1140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0.052</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0.085</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0.0111-0.205</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Dy</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&lt;0.005</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&lt;0.005</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Er</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0.00299</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0.00332</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0.0010-0.0138</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0.00400</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0.00390</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0.0010-0.0090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Eu</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&lt;0.001</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&lt;0.001</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Fe</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449</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597</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62-2734</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571</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675</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52.3-2563.0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Ga</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0.0210</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0.0080</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0.0100-0.0340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0.0223</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0.0097</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0.0100-0.0300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Gd</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&lt;0.001</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&lt;0.001</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Hg</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1.18</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1.01</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0.10-5.18</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1.16</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1.26</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0.193-5.200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Ho</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&lt;0.0002</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&lt;0.0002</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Ir</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&lt;0.0003</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&lt;0.0003</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La</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0.00990</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0.00921</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0.0017-0.0356</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0.0116</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0.0105</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0.0054-0.0237</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Li</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0.0281</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0.0117</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0.0073-0.0541</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0.0401</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0.0236</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0.0185-0.0680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Lu</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&lt;0.0002</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&lt;0.0002</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Mn</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1.77</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1.13</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0.45-5.50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1.67</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1.88</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0.10-6.12</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rPr>
                <w:lang w:val="en-US"/>
              </w:rPr>
            </w:pPr>
            <w:r w:rsidRPr="0092428F">
              <w:rPr>
                <w:sz w:val="22"/>
                <w:szCs w:val="22"/>
                <w:lang w:val="en-US"/>
              </w:rPr>
              <w:t>Mo</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0.183</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0.121</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0.049-0.627</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0.233</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0.145</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0.046-0.448</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Nb</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&lt;0.013</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&lt;0.013</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Nd</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0.0139</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0.0087</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0.0031-0.0331</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0.0141</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0.0047</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0.0096-0.0190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Ni</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2.63</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2.43</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0.13-10.40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3.95</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3.39</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0.48-9.00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Pb</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0.94</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1.86</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0.12-8.90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1.86</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3.29</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0.26-9.30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Pd</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&lt;0.012</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&lt;0.012</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Pr</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0.00396</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0.00359</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0.00053-0.01310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0.00475</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0.00345</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0.0012-0.0093</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Pt</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&lt;0.0002</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&lt;0.0002</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Rb</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9.50</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4.23</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2.5-22.1</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8.96</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3.19</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3.6-16.4</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Sb</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0.127</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0.113</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0.00102-0.42500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0.140</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0.117</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0.0449-0.4660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Sc</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0.0196</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0.0316</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0.0002-0.1130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0.0286</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0.0451</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0.0003-0.1400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Se</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3.54</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3.31</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0.86-13.80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3.01</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2.43</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0.72-10.60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Sm</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0.00169</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0.00156</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0.00040-0.00690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0.00252</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0.00263</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0.0004-0.0080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Sn</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0.0458</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0.0384</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0.0143-0.1720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0.0756</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0.0443</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0.0331-0.1570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Tb</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&lt;0.0001</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&lt;0.0001</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Te</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&lt;0.007</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&lt;0.007</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Th</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0.0074</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0.0062</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0.0020-0.0210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0.0229</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0.0293</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0.0020-0.0783</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rPr>
                <w:lang w:val="en-US"/>
              </w:rPr>
            </w:pPr>
            <w:r w:rsidRPr="0092428F">
              <w:rPr>
                <w:sz w:val="22"/>
                <w:szCs w:val="22"/>
              </w:rPr>
              <w:t>Ti</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&lt;0.4</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&lt;0.4</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Tl</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0.00174</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0.00093</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0.00052-0.00350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0.00238</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0.00164</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0.0011-0.0054</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Tm</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&lt;0.0003</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&lt;0.0003</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lastRenderedPageBreak/>
              <w:t>U</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0.00145</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0.00053</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0.00082-0.00240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0.00083</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0.00035</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0.00044-0.00110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Y</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0.0113</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0.0103</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0.0036-0.0346</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0.0115</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0.0140</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0.0031-0.0361</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Yb</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0.000246</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0.000087</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0.00020-0.00040</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0.000375</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0.000236</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0.00020-0.00070</w:t>
            </w:r>
          </w:p>
        </w:tc>
      </w:tr>
      <w:tr w:rsidR="0092428F" w:rsidRPr="00F87922" w:rsidTr="0092428F">
        <w:trPr>
          <w:trHeight w:val="197"/>
        </w:trPr>
        <w:tc>
          <w:tcPr>
            <w:tcW w:w="1136" w:type="dxa"/>
            <w:tcBorders>
              <w:top w:val="nil"/>
              <w:left w:val="nil"/>
              <w:bottom w:val="nil"/>
              <w:right w:val="nil"/>
            </w:tcBorders>
          </w:tcPr>
          <w:p w:rsidR="0092428F" w:rsidRPr="0092428F" w:rsidRDefault="0092428F" w:rsidP="00204280">
            <w:pPr>
              <w:spacing w:line="276" w:lineRule="auto"/>
            </w:pPr>
            <w:r w:rsidRPr="0092428F">
              <w:rPr>
                <w:sz w:val="22"/>
                <w:szCs w:val="22"/>
              </w:rPr>
              <w:t>Zn</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121</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51</w:t>
            </w:r>
          </w:p>
        </w:tc>
        <w:tc>
          <w:tcPr>
            <w:tcW w:w="183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47-264</w:t>
            </w:r>
          </w:p>
        </w:tc>
        <w:tc>
          <w:tcPr>
            <w:tcW w:w="1070"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129</w:t>
            </w:r>
          </w:p>
        </w:tc>
        <w:tc>
          <w:tcPr>
            <w:tcW w:w="1066"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58</w:t>
            </w:r>
          </w:p>
        </w:tc>
        <w:tc>
          <w:tcPr>
            <w:tcW w:w="1883" w:type="dxa"/>
            <w:tcBorders>
              <w:top w:val="nil"/>
              <w:left w:val="nil"/>
              <w:bottom w:val="nil"/>
              <w:right w:val="nil"/>
            </w:tcBorders>
            <w:vAlign w:val="bottom"/>
          </w:tcPr>
          <w:p w:rsidR="0092428F" w:rsidRPr="0092428F" w:rsidRDefault="0092428F" w:rsidP="00204280">
            <w:pPr>
              <w:spacing w:line="276" w:lineRule="auto"/>
              <w:jc w:val="center"/>
              <w:rPr>
                <w:lang w:val="en-US"/>
              </w:rPr>
            </w:pPr>
            <w:r w:rsidRPr="0092428F">
              <w:rPr>
                <w:sz w:val="22"/>
                <w:szCs w:val="22"/>
                <w:lang w:val="en-US"/>
              </w:rPr>
              <w:t>57.7-251.0</w:t>
            </w:r>
          </w:p>
        </w:tc>
      </w:tr>
      <w:tr w:rsidR="0092428F" w:rsidRPr="00F87922" w:rsidTr="0092428F">
        <w:trPr>
          <w:trHeight w:val="197"/>
        </w:trPr>
        <w:tc>
          <w:tcPr>
            <w:tcW w:w="1136" w:type="dxa"/>
            <w:tcBorders>
              <w:top w:val="nil"/>
              <w:left w:val="nil"/>
              <w:bottom w:val="single" w:sz="4" w:space="0" w:color="auto"/>
              <w:right w:val="nil"/>
            </w:tcBorders>
          </w:tcPr>
          <w:p w:rsidR="0092428F" w:rsidRPr="0092428F" w:rsidRDefault="0092428F" w:rsidP="00204280">
            <w:pPr>
              <w:spacing w:line="276" w:lineRule="auto"/>
            </w:pPr>
            <w:r w:rsidRPr="0092428F">
              <w:rPr>
                <w:sz w:val="22"/>
                <w:szCs w:val="22"/>
              </w:rPr>
              <w:t>Zr</w:t>
            </w:r>
          </w:p>
        </w:tc>
        <w:tc>
          <w:tcPr>
            <w:tcW w:w="1066" w:type="dxa"/>
            <w:tcBorders>
              <w:top w:val="nil"/>
              <w:left w:val="nil"/>
              <w:bottom w:val="single" w:sz="4" w:space="0" w:color="auto"/>
              <w:right w:val="nil"/>
            </w:tcBorders>
            <w:vAlign w:val="bottom"/>
          </w:tcPr>
          <w:p w:rsidR="0092428F" w:rsidRPr="0092428F" w:rsidRDefault="0092428F" w:rsidP="00204280">
            <w:pPr>
              <w:spacing w:line="276" w:lineRule="auto"/>
              <w:jc w:val="center"/>
              <w:rPr>
                <w:lang w:val="en-US"/>
              </w:rPr>
            </w:pPr>
            <w:r w:rsidRPr="0092428F">
              <w:rPr>
                <w:sz w:val="22"/>
                <w:szCs w:val="22"/>
                <w:lang w:val="en-US"/>
              </w:rPr>
              <w:t>0.074</w:t>
            </w:r>
          </w:p>
        </w:tc>
        <w:tc>
          <w:tcPr>
            <w:tcW w:w="1066" w:type="dxa"/>
            <w:tcBorders>
              <w:top w:val="nil"/>
              <w:left w:val="nil"/>
              <w:bottom w:val="single" w:sz="4" w:space="0" w:color="auto"/>
              <w:right w:val="nil"/>
            </w:tcBorders>
            <w:vAlign w:val="bottom"/>
          </w:tcPr>
          <w:p w:rsidR="0092428F" w:rsidRPr="0092428F" w:rsidRDefault="0092428F" w:rsidP="00204280">
            <w:pPr>
              <w:spacing w:line="276" w:lineRule="auto"/>
              <w:jc w:val="center"/>
              <w:rPr>
                <w:lang w:val="en-US"/>
              </w:rPr>
            </w:pPr>
            <w:r w:rsidRPr="0092428F">
              <w:rPr>
                <w:sz w:val="22"/>
                <w:szCs w:val="22"/>
                <w:lang w:val="en-US"/>
              </w:rPr>
              <w:t>0.045</w:t>
            </w:r>
          </w:p>
        </w:tc>
        <w:tc>
          <w:tcPr>
            <w:tcW w:w="1830" w:type="dxa"/>
            <w:tcBorders>
              <w:top w:val="nil"/>
              <w:left w:val="nil"/>
              <w:bottom w:val="single" w:sz="4" w:space="0" w:color="auto"/>
              <w:right w:val="nil"/>
            </w:tcBorders>
            <w:vAlign w:val="bottom"/>
          </w:tcPr>
          <w:p w:rsidR="0092428F" w:rsidRPr="0092428F" w:rsidRDefault="0092428F" w:rsidP="00204280">
            <w:pPr>
              <w:spacing w:line="276" w:lineRule="auto"/>
              <w:jc w:val="center"/>
              <w:rPr>
                <w:lang w:val="en-US"/>
              </w:rPr>
            </w:pPr>
            <w:r w:rsidRPr="0092428F">
              <w:rPr>
                <w:sz w:val="22"/>
                <w:szCs w:val="22"/>
                <w:lang w:val="en-US"/>
              </w:rPr>
              <w:t>0.031-0.205</w:t>
            </w:r>
          </w:p>
        </w:tc>
        <w:tc>
          <w:tcPr>
            <w:tcW w:w="1070" w:type="dxa"/>
            <w:tcBorders>
              <w:top w:val="nil"/>
              <w:left w:val="nil"/>
              <w:bottom w:val="single" w:sz="4" w:space="0" w:color="auto"/>
              <w:right w:val="nil"/>
            </w:tcBorders>
            <w:vAlign w:val="bottom"/>
          </w:tcPr>
          <w:p w:rsidR="0092428F" w:rsidRPr="0092428F" w:rsidRDefault="0092428F" w:rsidP="00204280">
            <w:pPr>
              <w:spacing w:line="276" w:lineRule="auto"/>
              <w:jc w:val="center"/>
              <w:rPr>
                <w:lang w:val="en-US"/>
              </w:rPr>
            </w:pPr>
            <w:r w:rsidRPr="0092428F">
              <w:rPr>
                <w:sz w:val="22"/>
                <w:szCs w:val="22"/>
                <w:lang w:val="en-US"/>
              </w:rPr>
              <w:t>0.080</w:t>
            </w:r>
          </w:p>
        </w:tc>
        <w:tc>
          <w:tcPr>
            <w:tcW w:w="1066" w:type="dxa"/>
            <w:tcBorders>
              <w:top w:val="nil"/>
              <w:left w:val="nil"/>
              <w:bottom w:val="single" w:sz="4" w:space="0" w:color="auto"/>
              <w:right w:val="nil"/>
            </w:tcBorders>
            <w:vAlign w:val="bottom"/>
          </w:tcPr>
          <w:p w:rsidR="0092428F" w:rsidRPr="0092428F" w:rsidRDefault="0092428F" w:rsidP="00204280">
            <w:pPr>
              <w:spacing w:line="276" w:lineRule="auto"/>
              <w:jc w:val="center"/>
              <w:rPr>
                <w:lang w:val="en-US"/>
              </w:rPr>
            </w:pPr>
            <w:r w:rsidRPr="0092428F">
              <w:rPr>
                <w:sz w:val="22"/>
                <w:szCs w:val="22"/>
                <w:lang w:val="en-US"/>
              </w:rPr>
              <w:t>0.059</w:t>
            </w:r>
          </w:p>
        </w:tc>
        <w:tc>
          <w:tcPr>
            <w:tcW w:w="1883" w:type="dxa"/>
            <w:tcBorders>
              <w:top w:val="nil"/>
              <w:left w:val="nil"/>
              <w:bottom w:val="single" w:sz="4" w:space="0" w:color="auto"/>
              <w:right w:val="nil"/>
            </w:tcBorders>
            <w:vAlign w:val="bottom"/>
          </w:tcPr>
          <w:p w:rsidR="0092428F" w:rsidRPr="0092428F" w:rsidRDefault="0092428F" w:rsidP="00204280">
            <w:pPr>
              <w:spacing w:line="276" w:lineRule="auto"/>
              <w:jc w:val="center"/>
              <w:rPr>
                <w:lang w:val="en-US"/>
              </w:rPr>
            </w:pPr>
            <w:r w:rsidRPr="0092428F">
              <w:rPr>
                <w:sz w:val="22"/>
                <w:szCs w:val="22"/>
                <w:lang w:val="en-US"/>
              </w:rPr>
              <w:t>0.031-0.165</w:t>
            </w:r>
          </w:p>
        </w:tc>
      </w:tr>
    </w:tbl>
    <w:p w:rsidR="0092428F" w:rsidRPr="00F87922" w:rsidRDefault="0092428F" w:rsidP="00204280">
      <w:pPr>
        <w:spacing w:line="276" w:lineRule="auto"/>
        <w:rPr>
          <w:sz w:val="20"/>
          <w:szCs w:val="20"/>
          <w:lang w:val="en-US"/>
        </w:rPr>
      </w:pPr>
      <w:r w:rsidRPr="00F87922">
        <w:rPr>
          <w:sz w:val="20"/>
          <w:szCs w:val="20"/>
          <w:lang w:val="en-US"/>
        </w:rPr>
        <w:t>M – arithmetic mean, SD – standard deviation.</w:t>
      </w:r>
    </w:p>
    <w:p w:rsidR="0092428F" w:rsidRDefault="0092428F" w:rsidP="00204280">
      <w:pPr>
        <w:spacing w:after="200" w:line="276" w:lineRule="auto"/>
        <w:rPr>
          <w:b/>
          <w:bCs/>
          <w:lang w:val="en-US"/>
        </w:rPr>
      </w:pPr>
    </w:p>
    <w:p w:rsidR="00F40878" w:rsidRPr="00173813" w:rsidRDefault="00F40878" w:rsidP="00204280">
      <w:pPr>
        <w:spacing w:after="120" w:line="276" w:lineRule="auto"/>
        <w:rPr>
          <w:lang w:val="en-US"/>
        </w:rPr>
      </w:pPr>
      <w:r>
        <w:rPr>
          <w:b/>
          <w:bCs/>
          <w:lang w:val="en-US"/>
        </w:rPr>
        <w:t>Table 2</w:t>
      </w:r>
      <w:r w:rsidRPr="00173813">
        <w:rPr>
          <w:b/>
          <w:bCs/>
          <w:lang w:val="en-US"/>
        </w:rPr>
        <w:t>.</w:t>
      </w:r>
      <w:r w:rsidRPr="00173813">
        <w:rPr>
          <w:lang w:val="en-US"/>
        </w:rPr>
        <w:t>Differences between mean values (M</w:t>
      </w:r>
      <w:r w:rsidRPr="00173813">
        <w:sym w:font="Symbol" w:char="F0B1"/>
      </w:r>
      <w:r w:rsidRPr="00173813">
        <w:rPr>
          <w:lang w:val="en-US"/>
        </w:rPr>
        <w:t xml:space="preserve">SEM) of trace element mass fractions (mg/kg, dry mass basis) in </w:t>
      </w:r>
      <w:r>
        <w:rPr>
          <w:lang w:val="en-US"/>
        </w:rPr>
        <w:t>thyroid</w:t>
      </w:r>
      <w:r w:rsidRPr="00173813">
        <w:rPr>
          <w:lang w:val="en-US"/>
        </w:rPr>
        <w:t xml:space="preserve"> colloid goiter</w:t>
      </w:r>
      <w:r>
        <w:rPr>
          <w:lang w:val="en-US"/>
        </w:rPr>
        <w:t xml:space="preserve"> and adenoma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8"/>
        <w:gridCol w:w="2218"/>
        <w:gridCol w:w="2097"/>
        <w:gridCol w:w="2095"/>
        <w:gridCol w:w="1163"/>
        <w:gridCol w:w="998"/>
      </w:tblGrid>
      <w:tr w:rsidR="00F40878" w:rsidRPr="00173813" w:rsidTr="00F40878">
        <w:trPr>
          <w:trHeight w:val="263"/>
        </w:trPr>
        <w:tc>
          <w:tcPr>
            <w:tcW w:w="1068" w:type="dxa"/>
            <w:vMerge w:val="restart"/>
            <w:tcBorders>
              <w:left w:val="nil"/>
              <w:right w:val="nil"/>
            </w:tcBorders>
          </w:tcPr>
          <w:p w:rsidR="00F40878" w:rsidRPr="00173813" w:rsidRDefault="00F40878" w:rsidP="00204280">
            <w:pPr>
              <w:spacing w:line="276" w:lineRule="auto"/>
              <w:rPr>
                <w:lang w:val="en-US"/>
              </w:rPr>
            </w:pPr>
            <w:r w:rsidRPr="00173813">
              <w:rPr>
                <w:lang w:val="en-US"/>
              </w:rPr>
              <w:t>Element</w:t>
            </w:r>
          </w:p>
        </w:tc>
        <w:tc>
          <w:tcPr>
            <w:tcW w:w="7573" w:type="dxa"/>
            <w:gridSpan w:val="4"/>
            <w:tcBorders>
              <w:left w:val="nil"/>
              <w:bottom w:val="single" w:sz="4" w:space="0" w:color="auto"/>
              <w:right w:val="nil"/>
            </w:tcBorders>
          </w:tcPr>
          <w:p w:rsidR="00F40878" w:rsidRPr="00173813" w:rsidRDefault="00F40878" w:rsidP="00204280">
            <w:pPr>
              <w:spacing w:line="276" w:lineRule="auto"/>
              <w:jc w:val="center"/>
              <w:rPr>
                <w:lang w:val="en-US"/>
              </w:rPr>
            </w:pPr>
            <w:r w:rsidRPr="00173813">
              <w:rPr>
                <w:lang w:val="en-US"/>
              </w:rPr>
              <w:t>Thyroid tissue</w:t>
            </w:r>
          </w:p>
        </w:tc>
        <w:tc>
          <w:tcPr>
            <w:tcW w:w="998" w:type="dxa"/>
            <w:tcBorders>
              <w:left w:val="nil"/>
              <w:bottom w:val="nil"/>
              <w:right w:val="nil"/>
            </w:tcBorders>
          </w:tcPr>
          <w:p w:rsidR="00F40878" w:rsidRPr="00173813" w:rsidRDefault="00F40878" w:rsidP="00204280">
            <w:pPr>
              <w:spacing w:line="276" w:lineRule="auto"/>
              <w:jc w:val="center"/>
              <w:rPr>
                <w:lang w:val="fr-FR"/>
              </w:rPr>
            </w:pPr>
            <w:r w:rsidRPr="00173813">
              <w:rPr>
                <w:lang w:val="en-US"/>
              </w:rPr>
              <w:t>Ratio</w:t>
            </w:r>
          </w:p>
        </w:tc>
      </w:tr>
      <w:tr w:rsidR="00F40878" w:rsidRPr="00173813" w:rsidTr="00F40878">
        <w:trPr>
          <w:trHeight w:val="263"/>
        </w:trPr>
        <w:tc>
          <w:tcPr>
            <w:tcW w:w="1068" w:type="dxa"/>
            <w:vMerge/>
            <w:tcBorders>
              <w:left w:val="nil"/>
              <w:bottom w:val="single" w:sz="4" w:space="0" w:color="auto"/>
              <w:right w:val="nil"/>
            </w:tcBorders>
          </w:tcPr>
          <w:p w:rsidR="00F40878" w:rsidRPr="00173813" w:rsidRDefault="00F40878" w:rsidP="00204280">
            <w:pPr>
              <w:spacing w:line="276" w:lineRule="auto"/>
              <w:rPr>
                <w:lang w:val="fr-FR"/>
              </w:rPr>
            </w:pPr>
          </w:p>
        </w:tc>
        <w:tc>
          <w:tcPr>
            <w:tcW w:w="2218" w:type="dxa"/>
            <w:tcBorders>
              <w:left w:val="nil"/>
              <w:bottom w:val="single" w:sz="4" w:space="0" w:color="auto"/>
              <w:right w:val="nil"/>
            </w:tcBorders>
          </w:tcPr>
          <w:p w:rsidR="00F40878" w:rsidRDefault="00F40878" w:rsidP="00204280">
            <w:pPr>
              <w:spacing w:line="276" w:lineRule="auto"/>
              <w:jc w:val="center"/>
              <w:rPr>
                <w:lang w:val="en-US"/>
              </w:rPr>
            </w:pPr>
            <w:r>
              <w:rPr>
                <w:lang w:val="en-US"/>
              </w:rPr>
              <w:t>C</w:t>
            </w:r>
            <w:r w:rsidRPr="00173813">
              <w:rPr>
                <w:lang w:val="en-US"/>
              </w:rPr>
              <w:t xml:space="preserve">olloid goiter </w:t>
            </w:r>
            <w:r>
              <w:rPr>
                <w:lang w:val="en-US"/>
              </w:rPr>
              <w:t>(CG)</w:t>
            </w:r>
          </w:p>
          <w:p w:rsidR="00F40878" w:rsidRPr="00173813" w:rsidRDefault="00F40878" w:rsidP="00204280">
            <w:pPr>
              <w:spacing w:line="276" w:lineRule="auto"/>
              <w:jc w:val="center"/>
              <w:rPr>
                <w:lang w:val="en-US"/>
              </w:rPr>
            </w:pPr>
          </w:p>
        </w:tc>
        <w:tc>
          <w:tcPr>
            <w:tcW w:w="2097" w:type="dxa"/>
            <w:tcBorders>
              <w:left w:val="nil"/>
              <w:bottom w:val="single" w:sz="4" w:space="0" w:color="auto"/>
              <w:right w:val="nil"/>
            </w:tcBorders>
          </w:tcPr>
          <w:p w:rsidR="00F40878" w:rsidRPr="00173813" w:rsidRDefault="00F40878" w:rsidP="00204280">
            <w:pPr>
              <w:spacing w:line="276" w:lineRule="auto"/>
              <w:jc w:val="center"/>
              <w:rPr>
                <w:lang w:val="en-US"/>
              </w:rPr>
            </w:pPr>
            <w:r>
              <w:rPr>
                <w:lang w:val="en-US"/>
              </w:rPr>
              <w:t>Adenoma (TA)</w:t>
            </w:r>
          </w:p>
          <w:p w:rsidR="00F40878" w:rsidRPr="00173813" w:rsidRDefault="00F40878" w:rsidP="00204280">
            <w:pPr>
              <w:spacing w:line="276" w:lineRule="auto"/>
              <w:jc w:val="center"/>
              <w:rPr>
                <w:lang w:val="en-US"/>
              </w:rPr>
            </w:pPr>
          </w:p>
        </w:tc>
        <w:tc>
          <w:tcPr>
            <w:tcW w:w="2095" w:type="dxa"/>
            <w:tcBorders>
              <w:left w:val="nil"/>
              <w:bottom w:val="single" w:sz="4" w:space="0" w:color="auto"/>
              <w:right w:val="nil"/>
            </w:tcBorders>
          </w:tcPr>
          <w:p w:rsidR="00F40878" w:rsidRPr="00173813" w:rsidRDefault="00F40878" w:rsidP="00204280">
            <w:pPr>
              <w:spacing w:line="276" w:lineRule="auto"/>
              <w:jc w:val="center"/>
              <w:rPr>
                <w:lang w:val="en-US"/>
              </w:rPr>
            </w:pPr>
            <w:r w:rsidRPr="00173813">
              <w:rPr>
                <w:lang w:val="en-US"/>
              </w:rPr>
              <w:t>Student’s t-test</w:t>
            </w:r>
            <w:r>
              <w:rPr>
                <w:lang w:val="en-US"/>
              </w:rPr>
              <w:t xml:space="preserve">, </w:t>
            </w:r>
            <w:r w:rsidRPr="00173813">
              <w:rPr>
                <w:i/>
                <w:lang w:val="en-GB"/>
              </w:rPr>
              <w:t>p</w:t>
            </w:r>
            <w:r w:rsidRPr="00173813">
              <w:sym w:font="Symbol" w:char="F0A3"/>
            </w:r>
          </w:p>
        </w:tc>
        <w:tc>
          <w:tcPr>
            <w:tcW w:w="1163" w:type="dxa"/>
            <w:tcBorders>
              <w:left w:val="nil"/>
              <w:bottom w:val="single" w:sz="4" w:space="0" w:color="auto"/>
              <w:right w:val="nil"/>
            </w:tcBorders>
          </w:tcPr>
          <w:p w:rsidR="00F40878" w:rsidRPr="00173813" w:rsidRDefault="00F40878" w:rsidP="00204280">
            <w:pPr>
              <w:spacing w:line="276" w:lineRule="auto"/>
              <w:jc w:val="center"/>
              <w:rPr>
                <w:lang w:val="en-US"/>
              </w:rPr>
            </w:pPr>
            <w:r w:rsidRPr="00173813">
              <w:rPr>
                <w:iCs/>
                <w:lang w:val="en-US"/>
              </w:rPr>
              <w:t>U</w:t>
            </w:r>
            <w:r w:rsidRPr="00173813">
              <w:rPr>
                <w:lang w:val="en-US"/>
              </w:rPr>
              <w:t>-test</w:t>
            </w:r>
            <w:r>
              <w:rPr>
                <w:lang w:val="en-US"/>
              </w:rPr>
              <w:t xml:space="preserve">, </w:t>
            </w:r>
            <w:r w:rsidRPr="00173813">
              <w:rPr>
                <w:i/>
                <w:lang w:val="en-US"/>
              </w:rPr>
              <w:t>p</w:t>
            </w:r>
          </w:p>
        </w:tc>
        <w:tc>
          <w:tcPr>
            <w:tcW w:w="998" w:type="dxa"/>
            <w:tcBorders>
              <w:top w:val="single" w:sz="4" w:space="0" w:color="auto"/>
              <w:left w:val="nil"/>
              <w:bottom w:val="single" w:sz="4" w:space="0" w:color="auto"/>
              <w:right w:val="nil"/>
            </w:tcBorders>
          </w:tcPr>
          <w:p w:rsidR="00F40878" w:rsidRPr="00173813" w:rsidRDefault="00F40878" w:rsidP="00204280">
            <w:pPr>
              <w:spacing w:line="276" w:lineRule="auto"/>
              <w:jc w:val="center"/>
              <w:rPr>
                <w:lang w:val="en-US"/>
              </w:rPr>
            </w:pPr>
            <w:r>
              <w:rPr>
                <w:lang w:val="en-US"/>
              </w:rPr>
              <w:t>CG/TA</w:t>
            </w:r>
          </w:p>
        </w:tc>
      </w:tr>
      <w:tr w:rsidR="00F40878" w:rsidRPr="00821808" w:rsidTr="00F40878">
        <w:trPr>
          <w:trHeight w:val="148"/>
        </w:trPr>
        <w:tc>
          <w:tcPr>
            <w:tcW w:w="1068" w:type="dxa"/>
            <w:tcBorders>
              <w:left w:val="nil"/>
              <w:bottom w:val="nil"/>
              <w:right w:val="nil"/>
            </w:tcBorders>
          </w:tcPr>
          <w:p w:rsidR="00F40878" w:rsidRPr="001F7849" w:rsidRDefault="00F40878" w:rsidP="00204280">
            <w:pPr>
              <w:spacing w:line="276" w:lineRule="auto"/>
            </w:pPr>
            <w:r w:rsidRPr="001F7849">
              <w:rPr>
                <w:sz w:val="22"/>
                <w:szCs w:val="22"/>
              </w:rPr>
              <w:t>Ag</w:t>
            </w:r>
          </w:p>
        </w:tc>
        <w:tc>
          <w:tcPr>
            <w:tcW w:w="2218" w:type="dxa"/>
            <w:tcBorders>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0.192±0.038</w:t>
            </w:r>
          </w:p>
        </w:tc>
        <w:tc>
          <w:tcPr>
            <w:tcW w:w="2097" w:type="dxa"/>
            <w:tcBorders>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0.181±0.050</w:t>
            </w:r>
          </w:p>
        </w:tc>
        <w:tc>
          <w:tcPr>
            <w:tcW w:w="2095" w:type="dxa"/>
            <w:tcBorders>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0.861</w:t>
            </w:r>
          </w:p>
        </w:tc>
        <w:tc>
          <w:tcPr>
            <w:tcW w:w="1163" w:type="dxa"/>
            <w:tcBorders>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1.06</w:t>
            </w:r>
          </w:p>
        </w:tc>
      </w:tr>
      <w:tr w:rsidR="00F40878" w:rsidRPr="00821808" w:rsidTr="00F40878">
        <w:trPr>
          <w:trHeight w:val="229"/>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Al</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27.1±5.3</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34.2±9.1</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0.516</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0.79</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Au</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0.0141±0.0030</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0.0287±0.0110</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0.247</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0.49</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B</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5.50±3.8</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3.38±1.12</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0.598</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1.63</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Be</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0.00072±0.00011</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0.00181±0.00090</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0.279</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0.40</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Bi</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0.0585±0.0130</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0.112±0.064</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0.450</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0.52</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Cd</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1.26±0.28</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2.78±0.95</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0.167</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pPr>
            <w:r w:rsidRPr="001F7849">
              <w:rPr>
                <w:sz w:val="22"/>
                <w:szCs w:val="22"/>
              </w:rPr>
              <w:t>0.45</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Ce</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0.0186±0.0040</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0.0246±0.0090</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0.567</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0.76</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Co</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0.0576±0.0049</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0.0660±0.0135</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0.571</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0.87</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Cr</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1.18±0.24</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1.36±0.24</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0.596</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0.87</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Cs</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0.0216±0.0050</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0.052±0.038</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0.467</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0.42</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Er</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0.00299±0.00100</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0.00400±0.00200</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0.580</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0.75</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Fe</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449±92</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571±174</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0.542</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0.79</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Ga</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0.0210±0.0020</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0.0223±0.0050</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0.825</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0.94</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Hg</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1.18±0.17</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1.16±0.34</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0.948</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1.02</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La</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0.00990±0.00200</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0.0116±0.0060</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0.814</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0.85</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Li</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0.0281±0.0030</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0.0401±0.0100</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0.275</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pPr>
            <w:r w:rsidRPr="001F7849">
              <w:rPr>
                <w:sz w:val="22"/>
                <w:szCs w:val="22"/>
              </w:rPr>
              <w:t>0.70</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Mn</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1.77±0.23</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1.67±0.54</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0.875</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1.06</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rPr>
                <w:lang w:val="en-US"/>
              </w:rPr>
            </w:pPr>
            <w:r w:rsidRPr="001F7849">
              <w:rPr>
                <w:sz w:val="22"/>
                <w:szCs w:val="22"/>
                <w:lang w:val="en-US"/>
              </w:rPr>
              <w:t>Mo</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0.183±0.026</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0.233±0.055</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0.429</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0.79</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Nd</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0.0139±0.0020</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0.0141±0.0030</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0.948</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0.99</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Ni</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2.63±0.54</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3.95±1.39</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0.406</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0.67</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Pb</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0.94±0.41</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1.86±1.24</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0.503</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0.51</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Pr</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0.00396±0.00100</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0.00475±0.00200</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0.695</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pPr>
            <w:r w:rsidRPr="001F7849">
              <w:rPr>
                <w:sz w:val="22"/>
                <w:szCs w:val="22"/>
              </w:rPr>
              <w:t>0.83</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Rb</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9.50±0.50</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8.96±0.82</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0.815</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pPr>
            <w:r w:rsidRPr="001F7849">
              <w:rPr>
                <w:sz w:val="22"/>
                <w:szCs w:val="22"/>
              </w:rPr>
              <w:t>1.06</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Sb</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0.127±0.019</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0.140±0.034</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0.749</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pPr>
            <w:r w:rsidRPr="001F7849">
              <w:rPr>
                <w:sz w:val="22"/>
                <w:szCs w:val="22"/>
              </w:rPr>
              <w:t>0.91</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Sc</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0.0196±0.0060</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0.0286±0.0140</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0.552</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pPr>
            <w:r w:rsidRPr="001F7849">
              <w:rPr>
                <w:sz w:val="22"/>
                <w:szCs w:val="22"/>
              </w:rPr>
              <w:t>0.69</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Se</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3.54±0.56</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3.01±0.65</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0.548</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pPr>
            <w:r w:rsidRPr="001F7849">
              <w:rPr>
                <w:sz w:val="22"/>
                <w:szCs w:val="22"/>
              </w:rPr>
              <w:t>1.18</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Sm</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0.00169±0.00033</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0.00252±0.00099</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0.410</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pPr>
            <w:r w:rsidRPr="001F7849">
              <w:rPr>
                <w:sz w:val="22"/>
                <w:szCs w:val="22"/>
              </w:rPr>
              <w:t>0.67</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Sn</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0.0458±0.0090</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0.0756±0.0170</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0.146</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pPr>
            <w:r w:rsidRPr="001F7849">
              <w:rPr>
                <w:sz w:val="22"/>
                <w:szCs w:val="22"/>
              </w:rPr>
              <w:t>0.61</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Th</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0.0074±0.0010</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0.0229±0.0011</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0.214</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pPr>
            <w:r w:rsidRPr="001F7849">
              <w:rPr>
                <w:sz w:val="22"/>
                <w:szCs w:val="22"/>
              </w:rPr>
              <w:t>0.32</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Tl</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0.00174±0.00021</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0.00238±0.00067</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0.391</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pPr>
            <w:r w:rsidRPr="001F7849">
              <w:rPr>
                <w:sz w:val="22"/>
                <w:szCs w:val="22"/>
              </w:rPr>
              <w:t>0.73</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U</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0.00145±0.00022</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0.00083±0.00020</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0.077</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pPr>
            <w:r w:rsidRPr="001F7849">
              <w:rPr>
                <w:sz w:val="22"/>
                <w:szCs w:val="22"/>
              </w:rPr>
              <w:t>1.75</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Y</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0.0113±0.0030</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0.0115±0.0060</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0.979</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pPr>
            <w:r w:rsidRPr="001F7849">
              <w:rPr>
                <w:sz w:val="22"/>
                <w:szCs w:val="22"/>
              </w:rPr>
              <w:t>0.98</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Yb</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0.000246±0.000024</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0.000375±0.000118</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0.358</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pPr>
            <w:r w:rsidRPr="001F7849">
              <w:rPr>
                <w:sz w:val="22"/>
                <w:szCs w:val="22"/>
              </w:rPr>
              <w:t>0.66</w:t>
            </w:r>
          </w:p>
        </w:tc>
      </w:tr>
      <w:tr w:rsidR="00F40878" w:rsidRPr="00821808" w:rsidTr="00F40878">
        <w:trPr>
          <w:trHeight w:val="197"/>
        </w:trPr>
        <w:tc>
          <w:tcPr>
            <w:tcW w:w="1068" w:type="dxa"/>
            <w:tcBorders>
              <w:top w:val="nil"/>
              <w:left w:val="nil"/>
              <w:bottom w:val="nil"/>
              <w:right w:val="nil"/>
            </w:tcBorders>
          </w:tcPr>
          <w:p w:rsidR="00F40878" w:rsidRPr="001F7849" w:rsidRDefault="00F40878" w:rsidP="00204280">
            <w:pPr>
              <w:spacing w:line="276" w:lineRule="auto"/>
            </w:pPr>
            <w:r w:rsidRPr="001F7849">
              <w:rPr>
                <w:sz w:val="22"/>
                <w:szCs w:val="22"/>
              </w:rPr>
              <w:t>Zn</w:t>
            </w:r>
          </w:p>
        </w:tc>
        <w:tc>
          <w:tcPr>
            <w:tcW w:w="2218"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121±8</w:t>
            </w:r>
          </w:p>
        </w:tc>
        <w:tc>
          <w:tcPr>
            <w:tcW w:w="2097"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129±13</w:t>
            </w:r>
          </w:p>
        </w:tc>
        <w:tc>
          <w:tcPr>
            <w:tcW w:w="2095" w:type="dxa"/>
            <w:tcBorders>
              <w:top w:val="nil"/>
              <w:left w:val="nil"/>
              <w:bottom w:val="nil"/>
              <w:right w:val="nil"/>
            </w:tcBorders>
            <w:vAlign w:val="bottom"/>
          </w:tcPr>
          <w:p w:rsidR="00F40878" w:rsidRPr="001F7849" w:rsidRDefault="00F40878" w:rsidP="00204280">
            <w:pPr>
              <w:spacing w:line="276" w:lineRule="auto"/>
              <w:jc w:val="center"/>
              <w:rPr>
                <w:lang w:val="en-US"/>
              </w:rPr>
            </w:pPr>
            <w:r w:rsidRPr="001F7849">
              <w:rPr>
                <w:sz w:val="22"/>
                <w:szCs w:val="22"/>
                <w:lang w:val="en-US"/>
              </w:rPr>
              <w:t>0.577</w:t>
            </w:r>
          </w:p>
        </w:tc>
        <w:tc>
          <w:tcPr>
            <w:tcW w:w="1163" w:type="dxa"/>
            <w:tcBorders>
              <w:top w:val="nil"/>
              <w:left w:val="nil"/>
              <w:bottom w:val="nil"/>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nil"/>
              <w:right w:val="nil"/>
            </w:tcBorders>
            <w:vAlign w:val="bottom"/>
          </w:tcPr>
          <w:p w:rsidR="00F40878" w:rsidRPr="001F7849" w:rsidRDefault="00F40878" w:rsidP="00204280">
            <w:pPr>
              <w:spacing w:line="276" w:lineRule="auto"/>
              <w:jc w:val="center"/>
            </w:pPr>
            <w:r w:rsidRPr="001F7849">
              <w:rPr>
                <w:sz w:val="22"/>
                <w:szCs w:val="22"/>
              </w:rPr>
              <w:t>0.94</w:t>
            </w:r>
          </w:p>
        </w:tc>
      </w:tr>
      <w:tr w:rsidR="00F40878" w:rsidRPr="00821808" w:rsidTr="00F40878">
        <w:trPr>
          <w:trHeight w:val="197"/>
        </w:trPr>
        <w:tc>
          <w:tcPr>
            <w:tcW w:w="1068" w:type="dxa"/>
            <w:tcBorders>
              <w:top w:val="nil"/>
              <w:left w:val="nil"/>
              <w:bottom w:val="single" w:sz="4" w:space="0" w:color="auto"/>
              <w:right w:val="nil"/>
            </w:tcBorders>
          </w:tcPr>
          <w:p w:rsidR="00F40878" w:rsidRPr="001F7849" w:rsidRDefault="00F40878" w:rsidP="00204280">
            <w:pPr>
              <w:spacing w:line="276" w:lineRule="auto"/>
            </w:pPr>
            <w:r w:rsidRPr="001F7849">
              <w:rPr>
                <w:sz w:val="22"/>
                <w:szCs w:val="22"/>
              </w:rPr>
              <w:t>Zr</w:t>
            </w:r>
          </w:p>
        </w:tc>
        <w:tc>
          <w:tcPr>
            <w:tcW w:w="2218" w:type="dxa"/>
            <w:tcBorders>
              <w:top w:val="nil"/>
              <w:left w:val="nil"/>
              <w:bottom w:val="single" w:sz="4" w:space="0" w:color="auto"/>
              <w:right w:val="nil"/>
            </w:tcBorders>
            <w:vAlign w:val="bottom"/>
          </w:tcPr>
          <w:p w:rsidR="00F40878" w:rsidRPr="001F7849" w:rsidRDefault="00F40878" w:rsidP="00204280">
            <w:pPr>
              <w:spacing w:line="276" w:lineRule="auto"/>
              <w:jc w:val="center"/>
              <w:rPr>
                <w:lang w:val="en-US"/>
              </w:rPr>
            </w:pPr>
            <w:r w:rsidRPr="001F7849">
              <w:rPr>
                <w:sz w:val="22"/>
                <w:szCs w:val="22"/>
                <w:lang w:val="en-US"/>
              </w:rPr>
              <w:t>0.074±0.010</w:t>
            </w:r>
          </w:p>
        </w:tc>
        <w:tc>
          <w:tcPr>
            <w:tcW w:w="2097" w:type="dxa"/>
            <w:tcBorders>
              <w:top w:val="nil"/>
              <w:left w:val="nil"/>
              <w:bottom w:val="single" w:sz="4" w:space="0" w:color="auto"/>
              <w:right w:val="nil"/>
            </w:tcBorders>
            <w:vAlign w:val="bottom"/>
          </w:tcPr>
          <w:p w:rsidR="00F40878" w:rsidRPr="001F7849" w:rsidRDefault="00F40878" w:rsidP="00204280">
            <w:pPr>
              <w:spacing w:line="276" w:lineRule="auto"/>
              <w:jc w:val="center"/>
              <w:rPr>
                <w:lang w:val="en-US"/>
              </w:rPr>
            </w:pPr>
            <w:r w:rsidRPr="001F7849">
              <w:rPr>
                <w:sz w:val="22"/>
                <w:szCs w:val="22"/>
                <w:lang w:val="en-US"/>
              </w:rPr>
              <w:t>0.080±0.029</w:t>
            </w:r>
          </w:p>
        </w:tc>
        <w:tc>
          <w:tcPr>
            <w:tcW w:w="2095" w:type="dxa"/>
            <w:tcBorders>
              <w:top w:val="nil"/>
              <w:left w:val="nil"/>
              <w:bottom w:val="single" w:sz="4" w:space="0" w:color="auto"/>
              <w:right w:val="nil"/>
            </w:tcBorders>
            <w:vAlign w:val="bottom"/>
          </w:tcPr>
          <w:p w:rsidR="00F40878" w:rsidRPr="001F7849" w:rsidRDefault="00F40878" w:rsidP="00204280">
            <w:pPr>
              <w:spacing w:line="276" w:lineRule="auto"/>
              <w:jc w:val="center"/>
              <w:rPr>
                <w:lang w:val="en-US"/>
              </w:rPr>
            </w:pPr>
            <w:r w:rsidRPr="001F7849">
              <w:rPr>
                <w:sz w:val="22"/>
                <w:szCs w:val="22"/>
                <w:lang w:val="en-US"/>
              </w:rPr>
              <w:t>0.846</w:t>
            </w:r>
          </w:p>
        </w:tc>
        <w:tc>
          <w:tcPr>
            <w:tcW w:w="1163" w:type="dxa"/>
            <w:tcBorders>
              <w:top w:val="nil"/>
              <w:left w:val="nil"/>
              <w:bottom w:val="single" w:sz="4" w:space="0" w:color="auto"/>
              <w:right w:val="nil"/>
            </w:tcBorders>
          </w:tcPr>
          <w:p w:rsidR="00F40878" w:rsidRPr="001F7849" w:rsidRDefault="00F40878" w:rsidP="00204280">
            <w:pPr>
              <w:spacing w:line="276" w:lineRule="auto"/>
              <w:jc w:val="center"/>
            </w:pPr>
            <w:r w:rsidRPr="001F7849">
              <w:rPr>
                <w:sz w:val="22"/>
                <w:szCs w:val="22"/>
                <w:lang w:val="en-US"/>
              </w:rPr>
              <w:t>&gt;0.05</w:t>
            </w:r>
          </w:p>
        </w:tc>
        <w:tc>
          <w:tcPr>
            <w:tcW w:w="998" w:type="dxa"/>
            <w:tcBorders>
              <w:top w:val="nil"/>
              <w:left w:val="nil"/>
              <w:bottom w:val="single" w:sz="4" w:space="0" w:color="auto"/>
              <w:right w:val="nil"/>
            </w:tcBorders>
            <w:vAlign w:val="bottom"/>
          </w:tcPr>
          <w:p w:rsidR="00F40878" w:rsidRPr="001F7849" w:rsidRDefault="00F40878" w:rsidP="00204280">
            <w:pPr>
              <w:spacing w:line="276" w:lineRule="auto"/>
              <w:jc w:val="center"/>
            </w:pPr>
            <w:r w:rsidRPr="001F7849">
              <w:rPr>
                <w:sz w:val="22"/>
                <w:szCs w:val="22"/>
              </w:rPr>
              <w:t>0.93</w:t>
            </w:r>
          </w:p>
        </w:tc>
      </w:tr>
    </w:tbl>
    <w:p w:rsidR="00F40878" w:rsidRPr="00E229FB" w:rsidRDefault="00F40878" w:rsidP="00204280">
      <w:pPr>
        <w:spacing w:line="276" w:lineRule="auto"/>
        <w:rPr>
          <w:sz w:val="20"/>
          <w:szCs w:val="20"/>
          <w:lang w:val="en-US"/>
        </w:rPr>
      </w:pPr>
      <w:r w:rsidRPr="00E229FB">
        <w:rPr>
          <w:sz w:val="20"/>
          <w:szCs w:val="20"/>
          <w:lang w:val="en-US"/>
        </w:rPr>
        <w:t xml:space="preserve">M – arithmetic mean, SEM – standard error of mean. </w:t>
      </w:r>
    </w:p>
    <w:p w:rsidR="00067F6F" w:rsidRDefault="00067F6F" w:rsidP="00204280">
      <w:pPr>
        <w:spacing w:line="276" w:lineRule="auto"/>
        <w:jc w:val="both"/>
        <w:rPr>
          <w:lang w:val="en-US"/>
        </w:rPr>
      </w:pPr>
    </w:p>
    <w:p w:rsidR="00302AD2" w:rsidRPr="00DE6594" w:rsidRDefault="00FA58BA" w:rsidP="00204280">
      <w:pPr>
        <w:spacing w:line="276" w:lineRule="auto"/>
        <w:jc w:val="both"/>
        <w:rPr>
          <w:lang w:val="en-US"/>
        </w:rPr>
      </w:pPr>
      <w:r w:rsidRPr="00DE6594">
        <w:rPr>
          <w:lang w:val="en-US"/>
        </w:rPr>
        <w:lastRenderedPageBreak/>
        <w:t>Published d</w:t>
      </w:r>
      <w:r w:rsidR="008F7DF0" w:rsidRPr="00DE6594">
        <w:rPr>
          <w:lang w:val="en-US"/>
        </w:rPr>
        <w:t xml:space="preserve">ata on comparison of </w:t>
      </w:r>
      <w:r w:rsidR="00DE6594" w:rsidRPr="00DE6594">
        <w:rPr>
          <w:lang w:val="en-US"/>
        </w:rPr>
        <w:t>Ag, Al, As, Au, B, Be, Bi, Cd, Ce, Co, Cr, Cs, Dy, Er, Eu, Fe, Ga, Gd, Hg, Ho, Ir, La, Li, Lu, Mn, Mo, Nb, Nd, Ni, Pb, Pd, Pr, Pt, Rb, Sb, Sc, Se, Sm, Sn, Tb, Te, Th, Ti, Tl, Tm, U, Y, Yb, Zn, and Zr</w:t>
      </w:r>
      <w:r w:rsidR="008F7DF0" w:rsidRPr="00DE6594">
        <w:rPr>
          <w:lang w:val="en-US"/>
        </w:rPr>
        <w:t>levels in CG and T</w:t>
      </w:r>
      <w:r w:rsidR="009143E7" w:rsidRPr="00DE6594">
        <w:rPr>
          <w:lang w:val="en-US"/>
        </w:rPr>
        <w:t>A</w:t>
      </w:r>
      <w:r w:rsidR="00392A5E">
        <w:rPr>
          <w:lang w:val="en-US"/>
        </w:rPr>
        <w:t xml:space="preserve"> </w:t>
      </w:r>
      <w:r w:rsidRPr="00DE6594">
        <w:rPr>
          <w:lang w:val="en-US"/>
        </w:rPr>
        <w:t xml:space="preserve">were not </w:t>
      </w:r>
      <w:commentRangeStart w:id="82"/>
      <w:r w:rsidRPr="00DE6594">
        <w:rPr>
          <w:lang w:val="en-US"/>
        </w:rPr>
        <w:t>found</w:t>
      </w:r>
      <w:commentRangeEnd w:id="82"/>
      <w:r w:rsidR="00392A5E">
        <w:rPr>
          <w:rStyle w:val="CommentReference"/>
        </w:rPr>
        <w:commentReference w:id="82"/>
      </w:r>
      <w:r w:rsidRPr="00DE6594">
        <w:rPr>
          <w:lang w:val="en-US"/>
        </w:rPr>
        <w:t>.</w:t>
      </w:r>
      <w:r w:rsidR="00392A5E">
        <w:rPr>
          <w:lang w:val="en-US"/>
        </w:rPr>
        <w:t xml:space="preserve"> </w:t>
      </w:r>
    </w:p>
    <w:p w:rsidR="009143E7" w:rsidRDefault="00FA58BA" w:rsidP="00204280">
      <w:pPr>
        <w:spacing w:line="276" w:lineRule="auto"/>
        <w:jc w:val="both"/>
        <w:rPr>
          <w:lang w:val="en-US"/>
        </w:rPr>
      </w:pPr>
      <w:r w:rsidRPr="00DE6594">
        <w:rPr>
          <w:lang w:val="en-US"/>
        </w:rPr>
        <w:t>Thus, from obtained results it was possible to conclude that the common characteristics of CG and T</w:t>
      </w:r>
      <w:r w:rsidR="009143E7" w:rsidRPr="00DE6594">
        <w:rPr>
          <w:lang w:val="en-US"/>
        </w:rPr>
        <w:t>A</w:t>
      </w:r>
      <w:r w:rsidR="00392A5E">
        <w:rPr>
          <w:lang w:val="en-US"/>
        </w:rPr>
        <w:t xml:space="preserve"> </w:t>
      </w:r>
      <w:r w:rsidR="009143E7" w:rsidRPr="00DE6594">
        <w:rPr>
          <w:lang w:val="en-US"/>
        </w:rPr>
        <w:t xml:space="preserve">tissue </w:t>
      </w:r>
      <w:r w:rsidRPr="00DE6594">
        <w:rPr>
          <w:lang w:val="en-US"/>
        </w:rPr>
        <w:t xml:space="preserve">samples </w:t>
      </w:r>
      <w:r w:rsidR="00DE6594" w:rsidRPr="00DE6594">
        <w:rPr>
          <w:lang w:val="en-US"/>
        </w:rPr>
        <w:t xml:space="preserve">in comparison with normal thyroid </w:t>
      </w:r>
      <w:r w:rsidRPr="00DE6594">
        <w:rPr>
          <w:lang w:val="en-US"/>
        </w:rPr>
        <w:t xml:space="preserve">were elevated </w:t>
      </w:r>
      <w:r w:rsidR="00C275ED" w:rsidRPr="00DE6594">
        <w:rPr>
          <w:lang w:val="en-US"/>
        </w:rPr>
        <w:t>level</w:t>
      </w:r>
      <w:r w:rsidRPr="00DE6594">
        <w:rPr>
          <w:lang w:val="en-US"/>
        </w:rPr>
        <w:t xml:space="preserve"> of </w:t>
      </w:r>
      <w:r w:rsidR="00DE6594" w:rsidRPr="00DE6594">
        <w:rPr>
          <w:lang w:val="en-US"/>
        </w:rPr>
        <w:t>Ag, Al, Cr, Hg, Mn, Th, and</w:t>
      </w:r>
      <w:r w:rsidR="00AF1A41">
        <w:rPr>
          <w:lang w:val="en-US"/>
        </w:rPr>
        <w:t xml:space="preserve"> Zn. T</w:t>
      </w:r>
      <w:r w:rsidRPr="00DE6594">
        <w:rPr>
          <w:lang w:val="en-US"/>
        </w:rPr>
        <w:t xml:space="preserve">herefore, </w:t>
      </w:r>
      <w:r w:rsidR="00AF1A41">
        <w:rPr>
          <w:lang w:val="en-US"/>
        </w:rPr>
        <w:t xml:space="preserve">it is reasonable to conclude that </w:t>
      </w:r>
      <w:r w:rsidRPr="00DE6594">
        <w:rPr>
          <w:lang w:val="en-US"/>
        </w:rPr>
        <w:t xml:space="preserve">these </w:t>
      </w:r>
      <w:r w:rsidR="00DE6594" w:rsidRPr="00DE6594">
        <w:rPr>
          <w:lang w:val="en-US"/>
        </w:rPr>
        <w:t>TE</w:t>
      </w:r>
      <w:r w:rsidR="00392A5E">
        <w:rPr>
          <w:lang w:val="en-US"/>
        </w:rPr>
        <w:t xml:space="preserve"> </w:t>
      </w:r>
      <w:r w:rsidR="00865AD5" w:rsidRPr="00DE6594">
        <w:rPr>
          <w:lang w:val="en-US"/>
        </w:rPr>
        <w:t>can be</w:t>
      </w:r>
      <w:r w:rsidRPr="00DE6594">
        <w:rPr>
          <w:lang w:val="en-US"/>
        </w:rPr>
        <w:t xml:space="preserve"> involved in etiology </w:t>
      </w:r>
      <w:r w:rsidR="009143E7" w:rsidRPr="00DE6594">
        <w:rPr>
          <w:lang w:val="en-US"/>
        </w:rPr>
        <w:t>and</w:t>
      </w:r>
      <w:r w:rsidRPr="00DE6594">
        <w:rPr>
          <w:lang w:val="en-US"/>
        </w:rPr>
        <w:t xml:space="preserve"> pathogenesis of </w:t>
      </w:r>
      <w:r w:rsidR="00335577" w:rsidRPr="00DE6594">
        <w:rPr>
          <w:lang w:val="en-US"/>
        </w:rPr>
        <w:t>such thyroid disorders as CG and T</w:t>
      </w:r>
      <w:r w:rsidR="009143E7" w:rsidRPr="00DE6594">
        <w:rPr>
          <w:lang w:val="en-US"/>
        </w:rPr>
        <w:t>A</w:t>
      </w:r>
      <w:r w:rsidR="00335577" w:rsidRPr="00DE6594">
        <w:rPr>
          <w:lang w:val="en-US"/>
        </w:rPr>
        <w:t>.</w:t>
      </w:r>
    </w:p>
    <w:p w:rsidR="00AF1A41" w:rsidRDefault="00AF1A41" w:rsidP="00204280">
      <w:pPr>
        <w:spacing w:line="276" w:lineRule="auto"/>
        <w:jc w:val="both"/>
        <w:rPr>
          <w:rStyle w:val="st1"/>
          <w:rFonts w:eastAsia="Arial Unicode MS"/>
          <w:bCs/>
          <w:i/>
          <w:lang w:val="en-US"/>
        </w:rPr>
      </w:pPr>
    </w:p>
    <w:p w:rsidR="00DE6594" w:rsidRPr="004D43DA" w:rsidRDefault="00DE6594" w:rsidP="00204280">
      <w:pPr>
        <w:spacing w:line="276" w:lineRule="auto"/>
        <w:jc w:val="both"/>
        <w:rPr>
          <w:rStyle w:val="st1"/>
          <w:rFonts w:eastAsia="Arial Unicode MS"/>
          <w:b/>
          <w:bCs/>
          <w:lang w:val="pt-BR"/>
        </w:rPr>
      </w:pPr>
      <w:commentRangeStart w:id="83"/>
      <w:r w:rsidRPr="004D43DA">
        <w:rPr>
          <w:rStyle w:val="st1"/>
          <w:rFonts w:eastAsia="Arial Unicode MS"/>
          <w:b/>
          <w:bCs/>
          <w:lang w:val="pt-BR"/>
        </w:rPr>
        <w:t xml:space="preserve">Silver </w:t>
      </w:r>
      <w:commentRangeEnd w:id="83"/>
      <w:r w:rsidR="00BA7456">
        <w:rPr>
          <w:rStyle w:val="CommentReference"/>
        </w:rPr>
        <w:commentReference w:id="83"/>
      </w:r>
    </w:p>
    <w:p w:rsidR="009143E7" w:rsidRDefault="00DE6594" w:rsidP="00204280">
      <w:pPr>
        <w:spacing w:line="276" w:lineRule="auto"/>
        <w:jc w:val="both"/>
        <w:rPr>
          <w:rStyle w:val="st1"/>
          <w:rFonts w:eastAsia="Arial Unicode MS"/>
          <w:bCs/>
          <w:i/>
          <w:lang w:val="pt-BR"/>
        </w:rPr>
      </w:pPr>
      <w:r w:rsidRPr="00C64FEB">
        <w:rPr>
          <w:lang w:val="en-US"/>
        </w:rPr>
        <w:t>Ag</w:t>
      </w:r>
      <w:r w:rsidRPr="00CD6EDC">
        <w:rPr>
          <w:lang w:val="en-US"/>
        </w:rPr>
        <w:t xml:space="preserve"> is a </w:t>
      </w:r>
      <w:r>
        <w:rPr>
          <w:lang w:val="en-US"/>
        </w:rPr>
        <w:t>TE</w:t>
      </w:r>
      <w:r w:rsidRPr="00CD6EDC">
        <w:rPr>
          <w:lang w:val="en-US"/>
        </w:rPr>
        <w:t xml:space="preserve"> with no recognized trace metal value in the human body</w:t>
      </w:r>
      <w:r>
        <w:rPr>
          <w:lang w:val="en-US"/>
        </w:rPr>
        <w:t xml:space="preserve"> </w:t>
      </w:r>
      <w:commentRangeStart w:id="84"/>
      <w:r>
        <w:rPr>
          <w:lang w:val="en-US"/>
        </w:rPr>
        <w:t>[56]</w:t>
      </w:r>
      <w:r w:rsidRPr="00CD6EDC">
        <w:rPr>
          <w:lang w:val="en-US"/>
        </w:rPr>
        <w:t xml:space="preserve">. </w:t>
      </w:r>
      <w:commentRangeEnd w:id="84"/>
      <w:r w:rsidR="00392A5E">
        <w:rPr>
          <w:rStyle w:val="CommentReference"/>
        </w:rPr>
        <w:commentReference w:id="84"/>
      </w:r>
      <w:r>
        <w:rPr>
          <w:lang w:val="en-US"/>
        </w:rPr>
        <w:t>Ag in</w:t>
      </w:r>
      <w:r w:rsidRPr="0083117F">
        <w:rPr>
          <w:lang w:val="en-US"/>
        </w:rPr>
        <w:t xml:space="preserve"> metal</w:t>
      </w:r>
      <w:r>
        <w:rPr>
          <w:lang w:val="en-US"/>
        </w:rPr>
        <w:t xml:space="preserve"> form</w:t>
      </w:r>
      <w:r w:rsidRPr="0083117F">
        <w:rPr>
          <w:lang w:val="en-US"/>
        </w:rPr>
        <w:t xml:space="preserve"> and inorganic </w:t>
      </w:r>
      <w:r>
        <w:rPr>
          <w:lang w:val="en-US"/>
        </w:rPr>
        <w:t>Ag</w:t>
      </w:r>
      <w:r w:rsidRPr="0083117F">
        <w:rPr>
          <w:lang w:val="en-US"/>
        </w:rPr>
        <w:t xml:space="preserve"> compounds ionize in the presence of water, body fluids or tissue exudates. The silver ion</w:t>
      </w:r>
      <w:r>
        <w:rPr>
          <w:lang w:val="en-US"/>
        </w:rPr>
        <w:t xml:space="preserve"> Ag</w:t>
      </w:r>
      <w:r w:rsidRPr="00D51467">
        <w:rPr>
          <w:vertAlign w:val="superscript"/>
          <w:lang w:val="en-US"/>
        </w:rPr>
        <w:t>+</w:t>
      </w:r>
      <w:r w:rsidRPr="0083117F">
        <w:rPr>
          <w:lang w:val="en-US"/>
        </w:rPr>
        <w:t xml:space="preserve"> is biologically active and readily interacts with proteins, amino acid residues, free anions and receptors on mammalian and eukaryotic cell membranes</w:t>
      </w:r>
      <w:r>
        <w:rPr>
          <w:lang w:val="en-US"/>
        </w:rPr>
        <w:t xml:space="preserve"> </w:t>
      </w:r>
      <w:commentRangeStart w:id="85"/>
      <w:r>
        <w:rPr>
          <w:lang w:val="en-US"/>
        </w:rPr>
        <w:t>[57</w:t>
      </w:r>
      <w:commentRangeEnd w:id="85"/>
      <w:r w:rsidR="00392A5E">
        <w:rPr>
          <w:rStyle w:val="CommentReference"/>
        </w:rPr>
        <w:commentReference w:id="85"/>
      </w:r>
      <w:r>
        <w:rPr>
          <w:lang w:val="en-US"/>
        </w:rPr>
        <w:t xml:space="preserve">]. </w:t>
      </w:r>
      <w:r w:rsidRPr="00DB235A">
        <w:rPr>
          <w:lang w:val="en-US"/>
        </w:rPr>
        <w:t xml:space="preserve">Besides </w:t>
      </w:r>
      <w:r>
        <w:rPr>
          <w:lang w:val="en-US"/>
        </w:rPr>
        <w:t>such t</w:t>
      </w:r>
      <w:r w:rsidRPr="00DB235A">
        <w:rPr>
          <w:lang w:val="en-US"/>
        </w:rPr>
        <w:t xml:space="preserve">he adverse effects of chronic exposure to </w:t>
      </w:r>
      <w:r>
        <w:rPr>
          <w:lang w:val="en-US"/>
        </w:rPr>
        <w:t>Ag</w:t>
      </w:r>
      <w:r w:rsidR="00392A5E">
        <w:rPr>
          <w:lang w:val="en-US"/>
        </w:rPr>
        <w:t xml:space="preserve"> </w:t>
      </w:r>
      <w:r>
        <w:rPr>
          <w:lang w:val="en-US"/>
        </w:rPr>
        <w:t xml:space="preserve">as </w:t>
      </w:r>
      <w:r w:rsidRPr="00DB235A">
        <w:rPr>
          <w:lang w:val="en-US"/>
        </w:rPr>
        <w:t xml:space="preserve">a permanent bluish-gray discoloration of the skin (argyria) or eyes (argyrosis), exposure to soluble </w:t>
      </w:r>
      <w:r>
        <w:rPr>
          <w:lang w:val="en-US"/>
        </w:rPr>
        <w:t>Ag</w:t>
      </w:r>
      <w:r w:rsidRPr="00DB235A">
        <w:rPr>
          <w:lang w:val="en-US"/>
        </w:rPr>
        <w:t xml:space="preserve"> compounds may produce other toxic effects, including liver and kidney damage, irritation of the eyes, skin, respiratory, and intestinal tract, and changes in blood cells</w:t>
      </w:r>
      <w:r>
        <w:rPr>
          <w:lang w:val="en-US"/>
        </w:rPr>
        <w:t xml:space="preserve"> </w:t>
      </w:r>
      <w:commentRangeStart w:id="86"/>
      <w:r>
        <w:rPr>
          <w:lang w:val="en-US"/>
        </w:rPr>
        <w:t>[58]</w:t>
      </w:r>
      <w:r w:rsidRPr="00DB235A">
        <w:rPr>
          <w:lang w:val="en-US"/>
        </w:rPr>
        <w:t>.</w:t>
      </w:r>
      <w:r w:rsidR="00AF1A41">
        <w:rPr>
          <w:lang w:val="en-US"/>
        </w:rPr>
        <w:t xml:space="preserve"> </w:t>
      </w:r>
      <w:commentRangeEnd w:id="86"/>
      <w:r w:rsidR="00270D36">
        <w:rPr>
          <w:rStyle w:val="CommentReference"/>
        </w:rPr>
        <w:commentReference w:id="86"/>
      </w:r>
      <w:r w:rsidR="00AF1A41">
        <w:rPr>
          <w:lang w:val="en-US"/>
        </w:rPr>
        <w:t>In e</w:t>
      </w:r>
      <w:r>
        <w:rPr>
          <w:lang w:val="en-US"/>
        </w:rPr>
        <w:t xml:space="preserve">xperimental studies </w:t>
      </w:r>
      <w:r w:rsidR="00AF1A41">
        <w:rPr>
          <w:lang w:val="en-US"/>
        </w:rPr>
        <w:t xml:space="preserve">it was </w:t>
      </w:r>
      <w:r>
        <w:rPr>
          <w:lang w:val="en-US"/>
        </w:rPr>
        <w:t xml:space="preserve">shown that Ag </w:t>
      </w:r>
      <w:r w:rsidRPr="00017158">
        <w:rPr>
          <w:bCs/>
          <w:kern w:val="36"/>
          <w:lang w:val="en-US"/>
        </w:rPr>
        <w:t xml:space="preserve">nanoparticles </w:t>
      </w:r>
      <w:r w:rsidRPr="007167A9">
        <w:rPr>
          <w:bCs/>
          <w:kern w:val="36"/>
          <w:lang w:val="en-US"/>
        </w:rPr>
        <w:t xml:space="preserve">may </w:t>
      </w:r>
      <w:r w:rsidRPr="00017158">
        <w:rPr>
          <w:lang w:val="en-US"/>
        </w:rPr>
        <w:t xml:space="preserve">affect thyroid hormone metabolism </w:t>
      </w:r>
      <w:commentRangeStart w:id="87"/>
      <w:r>
        <w:rPr>
          <w:lang w:val="en-US"/>
        </w:rPr>
        <w:t xml:space="preserve">[59]. </w:t>
      </w:r>
      <w:r w:rsidRPr="000C02E0">
        <w:rPr>
          <w:lang w:val="en-US"/>
        </w:rPr>
        <w:t xml:space="preserve"> </w:t>
      </w:r>
      <w:commentRangeEnd w:id="87"/>
      <w:r w:rsidR="00270D36">
        <w:rPr>
          <w:rStyle w:val="CommentReference"/>
        </w:rPr>
        <w:commentReference w:id="87"/>
      </w:r>
      <w:r w:rsidRPr="000C02E0">
        <w:rPr>
          <w:lang w:val="en-US"/>
        </w:rPr>
        <w:t>More d</w:t>
      </w:r>
      <w:r w:rsidRPr="00D01033">
        <w:rPr>
          <w:lang w:val="en-US"/>
        </w:rPr>
        <w:t xml:space="preserve">etailed knowledge of the </w:t>
      </w:r>
      <w:r w:rsidRPr="000C02E0">
        <w:rPr>
          <w:lang w:val="en-US"/>
        </w:rPr>
        <w:t>Ag</w:t>
      </w:r>
      <w:r w:rsidRPr="00D01033">
        <w:rPr>
          <w:lang w:val="en-US"/>
        </w:rPr>
        <w:t xml:space="preserve"> toxicity can lead to a better understanding of the impact on human health</w:t>
      </w:r>
      <w:r>
        <w:rPr>
          <w:lang w:val="en-US"/>
        </w:rPr>
        <w:t>, including thyroid function.</w:t>
      </w:r>
    </w:p>
    <w:p w:rsidR="00F40878" w:rsidRDefault="00F40878" w:rsidP="00204280">
      <w:pPr>
        <w:spacing w:line="276" w:lineRule="auto"/>
        <w:jc w:val="both"/>
        <w:rPr>
          <w:rStyle w:val="st1"/>
          <w:rFonts w:eastAsia="Arial Unicode MS"/>
          <w:bCs/>
          <w:i/>
          <w:lang w:val="pt-BR"/>
        </w:rPr>
      </w:pPr>
    </w:p>
    <w:p w:rsidR="00F40878" w:rsidRPr="00F40878" w:rsidRDefault="00F40878" w:rsidP="00204280">
      <w:pPr>
        <w:spacing w:after="120" w:line="276" w:lineRule="auto"/>
        <w:rPr>
          <w:lang w:val="en-US"/>
        </w:rPr>
      </w:pPr>
      <w:r w:rsidRPr="00F40878">
        <w:rPr>
          <w:b/>
          <w:bCs/>
          <w:lang w:val="en-US"/>
        </w:rPr>
        <w:t>Table 3.</w:t>
      </w:r>
      <w:r w:rsidRPr="00F40878">
        <w:rPr>
          <w:lang w:val="en-US"/>
        </w:rPr>
        <w:t xml:space="preserve">Comparison the trace element contents in different pathological transformations of thyroid </w:t>
      </w:r>
    </w:p>
    <w:tbl>
      <w:tblPr>
        <w:tblW w:w="9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3"/>
        <w:gridCol w:w="1790"/>
        <w:gridCol w:w="2650"/>
        <w:gridCol w:w="2559"/>
      </w:tblGrid>
      <w:tr w:rsidR="00F40878" w:rsidRPr="009F3C8D" w:rsidTr="001939D8">
        <w:trPr>
          <w:trHeight w:val="263"/>
        </w:trPr>
        <w:tc>
          <w:tcPr>
            <w:tcW w:w="2063" w:type="dxa"/>
            <w:tcBorders>
              <w:left w:val="nil"/>
              <w:right w:val="nil"/>
            </w:tcBorders>
          </w:tcPr>
          <w:p w:rsidR="00F40878" w:rsidRPr="009F3C8D" w:rsidRDefault="00F40878" w:rsidP="00204280">
            <w:pPr>
              <w:spacing w:line="276" w:lineRule="auto"/>
            </w:pPr>
            <w:r w:rsidRPr="009F3C8D">
              <w:t>Comparison</w:t>
            </w:r>
            <w:r w:rsidR="00861104">
              <w:rPr>
                <w:lang w:val="en-US"/>
              </w:rPr>
              <w:t xml:space="preserve"> </w:t>
            </w:r>
            <w:r w:rsidRPr="009F3C8D">
              <w:t>with:</w:t>
            </w:r>
          </w:p>
        </w:tc>
        <w:tc>
          <w:tcPr>
            <w:tcW w:w="4440" w:type="dxa"/>
            <w:gridSpan w:val="2"/>
            <w:tcBorders>
              <w:left w:val="nil"/>
              <w:bottom w:val="single" w:sz="4" w:space="0" w:color="auto"/>
              <w:right w:val="nil"/>
            </w:tcBorders>
          </w:tcPr>
          <w:p w:rsidR="00F40878" w:rsidRPr="009F3C8D" w:rsidRDefault="00F40878" w:rsidP="00204280">
            <w:pPr>
              <w:spacing w:line="276" w:lineRule="auto"/>
              <w:jc w:val="center"/>
            </w:pPr>
            <w:r w:rsidRPr="009F3C8D">
              <w:t>Normal</w:t>
            </w:r>
            <w:r w:rsidR="00861104">
              <w:rPr>
                <w:lang w:val="en-US"/>
              </w:rPr>
              <w:t xml:space="preserve"> </w:t>
            </w:r>
            <w:r w:rsidRPr="009F3C8D">
              <w:t>thyroid*</w:t>
            </w:r>
          </w:p>
        </w:tc>
        <w:tc>
          <w:tcPr>
            <w:tcW w:w="2559" w:type="dxa"/>
            <w:tcBorders>
              <w:left w:val="nil"/>
              <w:bottom w:val="nil"/>
              <w:right w:val="nil"/>
            </w:tcBorders>
          </w:tcPr>
          <w:p w:rsidR="00F40878" w:rsidRPr="009F3C8D" w:rsidRDefault="00F40878" w:rsidP="00204280">
            <w:pPr>
              <w:spacing w:line="276" w:lineRule="auto"/>
              <w:jc w:val="center"/>
              <w:rPr>
                <w:lang w:val="fr-FR"/>
              </w:rPr>
            </w:pPr>
            <w:r w:rsidRPr="009F3C8D">
              <w:t>Colloid</w:t>
            </w:r>
            <w:r w:rsidR="00861104">
              <w:rPr>
                <w:lang w:val="en-US"/>
              </w:rPr>
              <w:t xml:space="preserve"> </w:t>
            </w:r>
            <w:r w:rsidRPr="009F3C8D">
              <w:t>Goiter</w:t>
            </w:r>
          </w:p>
        </w:tc>
      </w:tr>
      <w:tr w:rsidR="00F40878" w:rsidRPr="009F3C8D" w:rsidTr="001939D8">
        <w:trPr>
          <w:trHeight w:val="263"/>
        </w:trPr>
        <w:tc>
          <w:tcPr>
            <w:tcW w:w="2063" w:type="dxa"/>
            <w:tcBorders>
              <w:left w:val="nil"/>
              <w:bottom w:val="single" w:sz="4" w:space="0" w:color="auto"/>
              <w:right w:val="nil"/>
            </w:tcBorders>
          </w:tcPr>
          <w:p w:rsidR="00F40878" w:rsidRPr="009F3C8D" w:rsidRDefault="00F40878" w:rsidP="00204280">
            <w:pPr>
              <w:spacing w:line="276" w:lineRule="auto"/>
              <w:rPr>
                <w:lang w:val="fr-FR"/>
              </w:rPr>
            </w:pPr>
            <w:r w:rsidRPr="009F3C8D">
              <w:t>Element</w:t>
            </w:r>
          </w:p>
        </w:tc>
        <w:tc>
          <w:tcPr>
            <w:tcW w:w="1790" w:type="dxa"/>
            <w:tcBorders>
              <w:left w:val="nil"/>
              <w:bottom w:val="single" w:sz="4" w:space="0" w:color="auto"/>
              <w:right w:val="nil"/>
            </w:tcBorders>
          </w:tcPr>
          <w:p w:rsidR="00F40878" w:rsidRPr="009F3C8D" w:rsidRDefault="00F40878" w:rsidP="00204280">
            <w:pPr>
              <w:spacing w:line="276" w:lineRule="auto"/>
              <w:jc w:val="center"/>
            </w:pPr>
            <w:r w:rsidRPr="009F3C8D">
              <w:t>ColloidGoiter</w:t>
            </w:r>
          </w:p>
        </w:tc>
        <w:tc>
          <w:tcPr>
            <w:tcW w:w="2650" w:type="dxa"/>
            <w:tcBorders>
              <w:left w:val="nil"/>
              <w:bottom w:val="single" w:sz="4" w:space="0" w:color="auto"/>
              <w:right w:val="nil"/>
            </w:tcBorders>
          </w:tcPr>
          <w:p w:rsidR="00F40878" w:rsidRPr="009F3C8D" w:rsidRDefault="00F40878" w:rsidP="00204280">
            <w:pPr>
              <w:spacing w:line="276" w:lineRule="auto"/>
              <w:jc w:val="center"/>
            </w:pPr>
            <w:r w:rsidRPr="009F3C8D">
              <w:t>Adenoma</w:t>
            </w:r>
          </w:p>
        </w:tc>
        <w:tc>
          <w:tcPr>
            <w:tcW w:w="2559" w:type="dxa"/>
            <w:tcBorders>
              <w:left w:val="nil"/>
              <w:bottom w:val="single" w:sz="4" w:space="0" w:color="auto"/>
              <w:right w:val="nil"/>
            </w:tcBorders>
          </w:tcPr>
          <w:p w:rsidR="00F40878" w:rsidRPr="009F3C8D" w:rsidRDefault="00F40878" w:rsidP="00204280">
            <w:pPr>
              <w:spacing w:line="276" w:lineRule="auto"/>
              <w:jc w:val="center"/>
            </w:pPr>
            <w:r w:rsidRPr="009F3C8D">
              <w:t>Adenoma</w:t>
            </w:r>
          </w:p>
        </w:tc>
      </w:tr>
      <w:tr w:rsidR="00F40878" w:rsidRPr="00352B7F" w:rsidTr="001939D8">
        <w:trPr>
          <w:trHeight w:val="148"/>
        </w:trPr>
        <w:tc>
          <w:tcPr>
            <w:tcW w:w="2063" w:type="dxa"/>
            <w:tcBorders>
              <w:left w:val="nil"/>
              <w:bottom w:val="nil"/>
              <w:right w:val="nil"/>
            </w:tcBorders>
          </w:tcPr>
          <w:p w:rsidR="00F40878" w:rsidRPr="00352B7F" w:rsidRDefault="00F40878" w:rsidP="00204280">
            <w:pPr>
              <w:spacing w:line="276" w:lineRule="auto"/>
              <w:rPr>
                <w:sz w:val="20"/>
                <w:szCs w:val="20"/>
              </w:rPr>
            </w:pPr>
            <w:r w:rsidRPr="00352B7F">
              <w:rPr>
                <w:sz w:val="20"/>
                <w:szCs w:val="20"/>
              </w:rPr>
              <w:t>Ag</w:t>
            </w:r>
          </w:p>
        </w:tc>
        <w:tc>
          <w:tcPr>
            <w:tcW w:w="1790" w:type="dxa"/>
            <w:tcBorders>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650" w:type="dxa"/>
            <w:tcBorders>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559" w:type="dxa"/>
            <w:tcBorders>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r>
      <w:tr w:rsidR="00F40878" w:rsidRPr="00352B7F" w:rsidTr="001939D8">
        <w:trPr>
          <w:trHeight w:val="229"/>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Al</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r>
      <w:tr w:rsidR="00F40878" w:rsidRPr="00352B7F" w:rsidTr="001939D8">
        <w:trPr>
          <w:trHeight w:val="229"/>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Au</w:t>
            </w:r>
          </w:p>
        </w:tc>
        <w:tc>
          <w:tcPr>
            <w:tcW w:w="179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r>
      <w:tr w:rsidR="00F40878" w:rsidRPr="00352B7F" w:rsidTr="001939D8">
        <w:trPr>
          <w:trHeight w:val="131"/>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B</w:t>
            </w:r>
          </w:p>
        </w:tc>
        <w:tc>
          <w:tcPr>
            <w:tcW w:w="179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Be</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Bi</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Cd</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Ce</w:t>
            </w:r>
          </w:p>
        </w:tc>
        <w:tc>
          <w:tcPr>
            <w:tcW w:w="179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Co</w:t>
            </w:r>
          </w:p>
        </w:tc>
        <w:tc>
          <w:tcPr>
            <w:tcW w:w="179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Cr</w:t>
            </w:r>
          </w:p>
        </w:tc>
        <w:tc>
          <w:tcPr>
            <w:tcW w:w="179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Cs</w:t>
            </w:r>
          </w:p>
        </w:tc>
        <w:tc>
          <w:tcPr>
            <w:tcW w:w="179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Er</w:t>
            </w:r>
          </w:p>
        </w:tc>
        <w:tc>
          <w:tcPr>
            <w:tcW w:w="179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Fe</w:t>
            </w:r>
          </w:p>
        </w:tc>
        <w:tc>
          <w:tcPr>
            <w:tcW w:w="179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Ga</w:t>
            </w:r>
          </w:p>
        </w:tc>
        <w:tc>
          <w:tcPr>
            <w:tcW w:w="179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Hg</w:t>
            </w:r>
          </w:p>
        </w:tc>
        <w:tc>
          <w:tcPr>
            <w:tcW w:w="179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La</w:t>
            </w:r>
          </w:p>
        </w:tc>
        <w:tc>
          <w:tcPr>
            <w:tcW w:w="179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Li</w:t>
            </w:r>
          </w:p>
        </w:tc>
        <w:tc>
          <w:tcPr>
            <w:tcW w:w="179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Mn</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lang w:val="en-US"/>
              </w:rPr>
            </w:pPr>
            <w:r w:rsidRPr="00352B7F">
              <w:rPr>
                <w:sz w:val="20"/>
                <w:szCs w:val="20"/>
                <w:lang w:val="en-US"/>
              </w:rPr>
              <w:t>Mo</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Nd</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Ni</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Pb</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Pr</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Rb</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Sb</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Sc</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Se</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Sm</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Sn</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Th</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lastRenderedPageBreak/>
              <w:t>Tl</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U</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Y</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Yb</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nil"/>
              <w:right w:val="nil"/>
            </w:tcBorders>
          </w:tcPr>
          <w:p w:rsidR="00F40878" w:rsidRPr="00352B7F" w:rsidRDefault="00F40878" w:rsidP="00204280">
            <w:pPr>
              <w:spacing w:line="276" w:lineRule="auto"/>
              <w:rPr>
                <w:sz w:val="20"/>
                <w:szCs w:val="20"/>
              </w:rPr>
            </w:pPr>
            <w:r w:rsidRPr="00352B7F">
              <w:rPr>
                <w:sz w:val="20"/>
                <w:szCs w:val="20"/>
              </w:rPr>
              <w:t>Zn</w:t>
            </w:r>
          </w:p>
        </w:tc>
        <w:tc>
          <w:tcPr>
            <w:tcW w:w="1790" w:type="dxa"/>
            <w:tcBorders>
              <w:top w:val="nil"/>
              <w:left w:val="nil"/>
              <w:bottom w:val="nil"/>
              <w:right w:val="nil"/>
            </w:tcBorders>
            <w:vAlign w:val="bottom"/>
          </w:tcPr>
          <w:p w:rsidR="00F40878" w:rsidRPr="00352B7F" w:rsidRDefault="00F40878" w:rsidP="00204280">
            <w:pPr>
              <w:spacing w:line="276" w:lineRule="auto"/>
              <w:jc w:val="center"/>
              <w:rPr>
                <w:sz w:val="20"/>
                <w:szCs w:val="20"/>
              </w:rPr>
            </w:pPr>
            <w:r w:rsidRPr="00352B7F">
              <w:rPr>
                <w:sz w:val="20"/>
                <w:szCs w:val="20"/>
              </w:rPr>
              <w:t>↑</w:t>
            </w:r>
          </w:p>
        </w:tc>
        <w:tc>
          <w:tcPr>
            <w:tcW w:w="2650"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sz w:val="20"/>
                <w:szCs w:val="20"/>
              </w:rPr>
              <w:t>↑</w:t>
            </w:r>
          </w:p>
        </w:tc>
        <w:tc>
          <w:tcPr>
            <w:tcW w:w="2559" w:type="dxa"/>
            <w:tcBorders>
              <w:top w:val="nil"/>
              <w:left w:val="nil"/>
              <w:bottom w:val="nil"/>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r>
      <w:tr w:rsidR="00F40878" w:rsidRPr="00352B7F" w:rsidTr="001939D8">
        <w:trPr>
          <w:trHeight w:val="197"/>
        </w:trPr>
        <w:tc>
          <w:tcPr>
            <w:tcW w:w="2063" w:type="dxa"/>
            <w:tcBorders>
              <w:top w:val="nil"/>
              <w:left w:val="nil"/>
              <w:bottom w:val="single" w:sz="4" w:space="0" w:color="auto"/>
              <w:right w:val="nil"/>
            </w:tcBorders>
          </w:tcPr>
          <w:p w:rsidR="00F40878" w:rsidRPr="00352B7F" w:rsidRDefault="00F40878" w:rsidP="00204280">
            <w:pPr>
              <w:spacing w:line="276" w:lineRule="auto"/>
              <w:rPr>
                <w:sz w:val="20"/>
                <w:szCs w:val="20"/>
              </w:rPr>
            </w:pPr>
            <w:r w:rsidRPr="00352B7F">
              <w:rPr>
                <w:sz w:val="20"/>
                <w:szCs w:val="20"/>
              </w:rPr>
              <w:t>Zr</w:t>
            </w:r>
          </w:p>
        </w:tc>
        <w:tc>
          <w:tcPr>
            <w:tcW w:w="1790" w:type="dxa"/>
            <w:tcBorders>
              <w:top w:val="nil"/>
              <w:left w:val="nil"/>
              <w:bottom w:val="single" w:sz="4" w:space="0" w:color="auto"/>
              <w:right w:val="nil"/>
            </w:tcBorders>
            <w:vAlign w:val="bottom"/>
          </w:tcPr>
          <w:p w:rsidR="00F40878" w:rsidRPr="00352B7F" w:rsidRDefault="00F40878" w:rsidP="00204280">
            <w:pPr>
              <w:spacing w:line="276" w:lineRule="auto"/>
              <w:jc w:val="center"/>
              <w:rPr>
                <w:b/>
                <w:sz w:val="20"/>
                <w:szCs w:val="20"/>
              </w:rPr>
            </w:pPr>
            <w:r w:rsidRPr="00352B7F">
              <w:rPr>
                <w:b/>
                <w:sz w:val="20"/>
                <w:szCs w:val="20"/>
              </w:rPr>
              <w:t>=</w:t>
            </w:r>
          </w:p>
        </w:tc>
        <w:tc>
          <w:tcPr>
            <w:tcW w:w="2650" w:type="dxa"/>
            <w:tcBorders>
              <w:top w:val="nil"/>
              <w:left w:val="nil"/>
              <w:bottom w:val="single" w:sz="4" w:space="0" w:color="auto"/>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c>
          <w:tcPr>
            <w:tcW w:w="2559" w:type="dxa"/>
            <w:tcBorders>
              <w:top w:val="nil"/>
              <w:left w:val="nil"/>
              <w:bottom w:val="single" w:sz="4" w:space="0" w:color="auto"/>
              <w:right w:val="nil"/>
            </w:tcBorders>
            <w:vAlign w:val="bottom"/>
          </w:tcPr>
          <w:p w:rsidR="00F40878" w:rsidRPr="00352B7F" w:rsidRDefault="00F40878" w:rsidP="00204280">
            <w:pPr>
              <w:spacing w:line="276" w:lineRule="auto"/>
              <w:jc w:val="center"/>
              <w:rPr>
                <w:sz w:val="20"/>
                <w:szCs w:val="20"/>
              </w:rPr>
            </w:pPr>
            <w:r w:rsidRPr="00352B7F">
              <w:rPr>
                <w:b/>
                <w:sz w:val="20"/>
                <w:szCs w:val="20"/>
              </w:rPr>
              <w:t>=</w:t>
            </w:r>
          </w:p>
        </w:tc>
      </w:tr>
    </w:tbl>
    <w:p w:rsidR="00F40878" w:rsidRPr="00F40878" w:rsidRDefault="00F40878" w:rsidP="00204280">
      <w:pPr>
        <w:spacing w:line="276" w:lineRule="auto"/>
        <w:rPr>
          <w:sz w:val="20"/>
          <w:szCs w:val="20"/>
          <w:lang w:val="en-US"/>
        </w:rPr>
      </w:pPr>
      <w:r w:rsidRPr="00F40878">
        <w:rPr>
          <w:sz w:val="20"/>
          <w:szCs w:val="20"/>
          <w:lang w:val="en-US"/>
        </w:rPr>
        <w:t>* From analysis of previous publications [</w:t>
      </w:r>
      <w:r w:rsidR="000F142C">
        <w:rPr>
          <w:sz w:val="20"/>
          <w:szCs w:val="20"/>
          <w:lang w:val="en-US"/>
        </w:rPr>
        <w:t>43,44</w:t>
      </w:r>
      <w:r w:rsidRPr="00F40878">
        <w:rPr>
          <w:sz w:val="20"/>
          <w:szCs w:val="20"/>
          <w:lang w:val="en-US"/>
        </w:rPr>
        <w:t xml:space="preserve">],↑ - element content is higher, ↓ - element content is lower, </w:t>
      </w:r>
      <w:r w:rsidRPr="00F40878">
        <w:rPr>
          <w:b/>
          <w:sz w:val="20"/>
          <w:szCs w:val="20"/>
          <w:lang w:val="en-US"/>
        </w:rPr>
        <w:t xml:space="preserve">= </w:t>
      </w:r>
      <w:r w:rsidRPr="00F40878">
        <w:rPr>
          <w:sz w:val="20"/>
          <w:szCs w:val="20"/>
          <w:lang w:val="en-US"/>
        </w:rPr>
        <w:t>- no difference</w:t>
      </w:r>
    </w:p>
    <w:p w:rsidR="007C53CD" w:rsidRPr="004D43DA" w:rsidRDefault="007C53CD" w:rsidP="00204280">
      <w:pPr>
        <w:adjustRightInd w:val="0"/>
        <w:snapToGrid w:val="0"/>
        <w:spacing w:line="276" w:lineRule="auto"/>
        <w:rPr>
          <w:b/>
          <w:lang w:val="en-US"/>
        </w:rPr>
      </w:pPr>
      <w:r w:rsidRPr="004D43DA">
        <w:rPr>
          <w:b/>
          <w:lang w:val="en-US"/>
        </w:rPr>
        <w:t xml:space="preserve">Aluminum </w:t>
      </w:r>
    </w:p>
    <w:p w:rsidR="00444A66" w:rsidRDefault="00F22714" w:rsidP="00204280">
      <w:pPr>
        <w:spacing w:line="276" w:lineRule="auto"/>
        <w:jc w:val="both"/>
        <w:rPr>
          <w:lang w:val="en-US"/>
        </w:rPr>
      </w:pPr>
      <w:commentRangeStart w:id="88"/>
      <w:r w:rsidRPr="005739CB">
        <w:rPr>
          <w:color w:val="000000"/>
          <w:lang w:val="en-US"/>
        </w:rPr>
        <w:t>Al is the most widely distributed metal in the environment</w:t>
      </w:r>
      <w:commentRangeEnd w:id="88"/>
      <w:r w:rsidR="00861104">
        <w:rPr>
          <w:rStyle w:val="CommentReference"/>
        </w:rPr>
        <w:commentReference w:id="88"/>
      </w:r>
      <w:r w:rsidRPr="005739CB">
        <w:rPr>
          <w:color w:val="000000"/>
          <w:lang w:val="en-US"/>
        </w:rPr>
        <w:t xml:space="preserve">. Environmental media may be contaminated </w:t>
      </w:r>
      <w:commentRangeStart w:id="89"/>
      <w:r w:rsidRPr="005739CB">
        <w:rPr>
          <w:color w:val="000000"/>
          <w:lang w:val="en-US"/>
        </w:rPr>
        <w:t xml:space="preserve">by </w:t>
      </w:r>
      <w:commentRangeEnd w:id="89"/>
      <w:r w:rsidR="00861104">
        <w:rPr>
          <w:rStyle w:val="CommentReference"/>
        </w:rPr>
        <w:commentReference w:id="89"/>
      </w:r>
      <w:r w:rsidRPr="005739CB">
        <w:rPr>
          <w:color w:val="000000"/>
          <w:lang w:val="en-US"/>
        </w:rPr>
        <w:t xml:space="preserve">Al from anthropogenic sources and through the weathering of rocks and minerals </w:t>
      </w:r>
      <w:commentRangeStart w:id="90"/>
      <w:r w:rsidRPr="005739CB">
        <w:rPr>
          <w:color w:val="000000"/>
          <w:lang w:val="en-US"/>
        </w:rPr>
        <w:t>[</w:t>
      </w:r>
      <w:r w:rsidR="00013362">
        <w:rPr>
          <w:color w:val="000000"/>
          <w:lang w:val="en-US"/>
        </w:rPr>
        <w:t>60</w:t>
      </w:r>
      <w:r w:rsidRPr="005739CB">
        <w:rPr>
          <w:color w:val="000000"/>
          <w:lang w:val="en-US"/>
        </w:rPr>
        <w:t>].</w:t>
      </w:r>
      <w:commentRangeEnd w:id="90"/>
      <w:r w:rsidR="00861104">
        <w:rPr>
          <w:rStyle w:val="CommentReference"/>
        </w:rPr>
        <w:commentReference w:id="90"/>
      </w:r>
      <w:r w:rsidRPr="005739CB">
        <w:rPr>
          <w:color w:val="000000"/>
          <w:lang w:val="en-US"/>
        </w:rPr>
        <w:t xml:space="preserve"> </w:t>
      </w:r>
      <w:r w:rsidR="007C53CD" w:rsidRPr="005739CB">
        <w:rPr>
          <w:rFonts w:eastAsia="GulliverRM"/>
          <w:lang w:val="en-US"/>
        </w:rPr>
        <w:t xml:space="preserve">The trace element Al is not described as essential, </w:t>
      </w:r>
      <w:commentRangeStart w:id="91"/>
      <w:r w:rsidR="007C53CD" w:rsidRPr="005739CB">
        <w:rPr>
          <w:rFonts w:eastAsia="GulliverRM"/>
          <w:lang w:val="en-US"/>
        </w:rPr>
        <w:t>because no biochemical function has been directly connected to it.</w:t>
      </w:r>
      <w:commentRangeEnd w:id="91"/>
      <w:r w:rsidR="00861104">
        <w:rPr>
          <w:rStyle w:val="CommentReference"/>
        </w:rPr>
        <w:commentReference w:id="91"/>
      </w:r>
      <w:r w:rsidR="007C53CD" w:rsidRPr="005739CB">
        <w:rPr>
          <w:rFonts w:eastAsia="GulliverRM"/>
          <w:lang w:val="en-US"/>
        </w:rPr>
        <w:t xml:space="preserve"> </w:t>
      </w:r>
      <w:commentRangeStart w:id="92"/>
      <w:r w:rsidRPr="005739CB">
        <w:rPr>
          <w:lang w:val="en-US"/>
        </w:rPr>
        <w:t xml:space="preserve">Toxic actions of Al induce </w:t>
      </w:r>
      <w:commentRangeEnd w:id="92"/>
      <w:r w:rsidR="00861104">
        <w:rPr>
          <w:rStyle w:val="CommentReference"/>
        </w:rPr>
        <w:commentReference w:id="92"/>
      </w:r>
      <w:r w:rsidRPr="005739CB">
        <w:rPr>
          <w:lang w:val="en-US"/>
        </w:rPr>
        <w:t>oxidative stress, immunologic alterations, genotoxicity, and other disorders, including cell membrane perturbation, apoptosis, necrosis and dysplasia</w:t>
      </w:r>
      <w:r w:rsidR="005739CB" w:rsidRPr="005739CB">
        <w:rPr>
          <w:lang w:val="en-US"/>
        </w:rPr>
        <w:t xml:space="preserve"> </w:t>
      </w:r>
      <w:commentRangeStart w:id="93"/>
      <w:r w:rsidR="005739CB" w:rsidRPr="005739CB">
        <w:rPr>
          <w:lang w:val="en-US"/>
        </w:rPr>
        <w:t>[</w:t>
      </w:r>
      <w:commentRangeStart w:id="94"/>
      <w:r w:rsidR="00013362">
        <w:rPr>
          <w:lang w:val="en-US"/>
        </w:rPr>
        <w:t>60</w:t>
      </w:r>
      <w:commentRangeEnd w:id="94"/>
      <w:r w:rsidR="00BA7456">
        <w:rPr>
          <w:rStyle w:val="CommentReference"/>
        </w:rPr>
        <w:commentReference w:id="94"/>
      </w:r>
      <w:r w:rsidR="005739CB" w:rsidRPr="005739CB">
        <w:rPr>
          <w:lang w:val="en-US"/>
        </w:rPr>
        <w:t xml:space="preserve">]. </w:t>
      </w:r>
      <w:commentRangeEnd w:id="93"/>
      <w:r w:rsidR="0016777F">
        <w:rPr>
          <w:rStyle w:val="CommentReference"/>
        </w:rPr>
        <w:commentReference w:id="93"/>
      </w:r>
      <w:commentRangeStart w:id="95"/>
      <w:r w:rsidR="005739CB" w:rsidRPr="005739CB">
        <w:rPr>
          <w:lang w:val="en-US"/>
        </w:rPr>
        <w:t xml:space="preserve">Furthermore, </w:t>
      </w:r>
      <w:commentRangeStart w:id="96"/>
      <w:r w:rsidR="005739CB" w:rsidRPr="005739CB">
        <w:rPr>
          <w:lang w:val="en-US"/>
        </w:rPr>
        <w:t>i</w:t>
      </w:r>
      <w:r w:rsidRPr="005739CB">
        <w:rPr>
          <w:lang w:val="en-US"/>
        </w:rPr>
        <w:t xml:space="preserve">t was </w:t>
      </w:r>
      <w:commentRangeEnd w:id="96"/>
      <w:r w:rsidR="0016777F">
        <w:rPr>
          <w:rStyle w:val="CommentReference"/>
        </w:rPr>
        <w:commentReference w:id="96"/>
      </w:r>
      <w:r w:rsidRPr="005739CB">
        <w:rPr>
          <w:lang w:val="en-US"/>
        </w:rPr>
        <w:t xml:space="preserve">shown in experimental and epidemiological studies that </w:t>
      </w:r>
      <w:r w:rsidRPr="00B378FC">
        <w:rPr>
          <w:lang w:val="en-US"/>
        </w:rPr>
        <w:t xml:space="preserve">Al </w:t>
      </w:r>
      <w:r w:rsidRPr="005739CB">
        <w:rPr>
          <w:lang w:val="en-US"/>
        </w:rPr>
        <w:t>can</w:t>
      </w:r>
      <w:r w:rsidRPr="00B378FC">
        <w:rPr>
          <w:lang w:val="en-US"/>
        </w:rPr>
        <w:t xml:space="preserve"> affect thyroid iodide uptake </w:t>
      </w:r>
      <w:commentRangeEnd w:id="95"/>
      <w:r w:rsidR="00BA7456">
        <w:rPr>
          <w:rStyle w:val="CommentReference"/>
        </w:rPr>
        <w:commentReference w:id="95"/>
      </w:r>
      <w:r w:rsidRPr="00B378FC">
        <w:rPr>
          <w:lang w:val="en-US"/>
        </w:rPr>
        <w:t>and hormones secretion</w:t>
      </w:r>
      <w:r w:rsidR="005739CB" w:rsidRPr="005739CB">
        <w:rPr>
          <w:lang w:val="en-US"/>
        </w:rPr>
        <w:t xml:space="preserve"> </w:t>
      </w:r>
      <w:commentRangeStart w:id="97"/>
      <w:r w:rsidR="005739CB" w:rsidRPr="005739CB">
        <w:rPr>
          <w:lang w:val="en-US"/>
        </w:rPr>
        <w:t>[</w:t>
      </w:r>
      <w:r w:rsidR="00013362">
        <w:rPr>
          <w:lang w:val="en-US"/>
        </w:rPr>
        <w:t>61</w:t>
      </w:r>
      <w:r w:rsidR="005739CB" w:rsidRPr="005739CB">
        <w:rPr>
          <w:lang w:val="en-US"/>
        </w:rPr>
        <w:t>,</w:t>
      </w:r>
      <w:r w:rsidR="00013362">
        <w:rPr>
          <w:lang w:val="en-US"/>
        </w:rPr>
        <w:t>62</w:t>
      </w:r>
      <w:commentRangeEnd w:id="97"/>
      <w:r w:rsidR="0016777F">
        <w:rPr>
          <w:rStyle w:val="CommentReference"/>
        </w:rPr>
        <w:commentReference w:id="97"/>
      </w:r>
      <w:r w:rsidR="005739CB" w:rsidRPr="005739CB">
        <w:rPr>
          <w:lang w:val="en-US"/>
        </w:rPr>
        <w:t>].</w:t>
      </w:r>
    </w:p>
    <w:p w:rsidR="00013362" w:rsidRPr="00861104" w:rsidRDefault="00013362" w:rsidP="00204280">
      <w:pPr>
        <w:spacing w:line="276" w:lineRule="auto"/>
        <w:jc w:val="both"/>
        <w:rPr>
          <w:rStyle w:val="st1"/>
          <w:rFonts w:eastAsia="Arial Unicode MS"/>
          <w:bCs/>
          <w:i/>
          <w:lang w:val="en-US"/>
        </w:rPr>
      </w:pPr>
    </w:p>
    <w:p w:rsidR="00013362" w:rsidRPr="004D43DA" w:rsidRDefault="00013362" w:rsidP="00204280">
      <w:pPr>
        <w:spacing w:line="276" w:lineRule="auto"/>
        <w:jc w:val="both"/>
        <w:rPr>
          <w:rStyle w:val="st1"/>
          <w:rFonts w:eastAsia="Arial Unicode MS"/>
          <w:b/>
          <w:bCs/>
          <w:lang w:val="pt-BR"/>
        </w:rPr>
      </w:pPr>
      <w:r w:rsidRPr="004D43DA">
        <w:rPr>
          <w:rStyle w:val="st1"/>
          <w:rFonts w:eastAsia="Arial Unicode MS"/>
          <w:b/>
          <w:bCs/>
          <w:lang w:val="pt-BR"/>
        </w:rPr>
        <w:t>Chromium</w:t>
      </w:r>
    </w:p>
    <w:p w:rsidR="0047362F" w:rsidRDefault="00013362" w:rsidP="00204280">
      <w:pPr>
        <w:shd w:val="clear" w:color="auto" w:fill="FFFFFF"/>
        <w:spacing w:line="276" w:lineRule="auto"/>
        <w:jc w:val="both"/>
        <w:rPr>
          <w:lang w:val="en-US"/>
        </w:rPr>
      </w:pPr>
      <w:r>
        <w:t>Cr-compounds are cytotoxic, genotoxic, and carcinogenic in nature.</w:t>
      </w:r>
      <w:r>
        <w:rPr>
          <w:rFonts w:eastAsia="GulliverRM"/>
          <w:lang w:val="pt-BR"/>
        </w:rPr>
        <w:t xml:space="preserve"> S</w:t>
      </w:r>
      <w:r w:rsidRPr="00CB2F74">
        <w:rPr>
          <w:rFonts w:eastAsia="GulliverRM"/>
          <w:lang w:val="pt-BR"/>
        </w:rPr>
        <w:t xml:space="preserve">ome </w:t>
      </w:r>
      <w:r>
        <w:rPr>
          <w:rFonts w:eastAsia="GulliverRM"/>
          <w:lang w:val="en-US"/>
        </w:rPr>
        <w:t xml:space="preserve">Cr </w:t>
      </w:r>
      <w:r w:rsidRPr="00D557FF">
        <w:rPr>
          <w:rFonts w:eastAsia="GulliverRM"/>
          <w:lang w:val="en-US"/>
        </w:rPr>
        <w:t>forms, including hexavalent chromium</w:t>
      </w:r>
      <w:r>
        <w:t xml:space="preserve"> (Cr</w:t>
      </w:r>
      <w:r>
        <w:rPr>
          <w:vertAlign w:val="superscript"/>
        </w:rPr>
        <w:t>6+</w:t>
      </w:r>
      <w:r>
        <w:t xml:space="preserve">), are toxicants known for their carcinogenic effect in humans. </w:t>
      </w:r>
      <w:r w:rsidRPr="00CB2F74">
        <w:t xml:space="preserve">They have been classified as certain or probable carcinogens by the International </w:t>
      </w:r>
      <w:r>
        <w:t xml:space="preserve">Agency for Research on Cancer </w:t>
      </w:r>
      <w:commentRangeStart w:id="98"/>
      <w:r>
        <w:t>[63</w:t>
      </w:r>
      <w:r w:rsidRPr="00CB2F74">
        <w:t>].</w:t>
      </w:r>
      <w:r>
        <w:t xml:space="preserve"> </w:t>
      </w:r>
      <w:commentRangeEnd w:id="98"/>
      <w:r w:rsidR="0016777F">
        <w:rPr>
          <w:rStyle w:val="CommentReference"/>
        </w:rPr>
        <w:commentReference w:id="98"/>
      </w:r>
      <w:r>
        <w:t xml:space="preserve">The lung cancer risk is prevalent in pigment chromate handlers, ferrochromium production workers, stainless steel welders, and chrome-platers </w:t>
      </w:r>
      <w:commentRangeStart w:id="99"/>
      <w:r>
        <w:t xml:space="preserve">[64]. </w:t>
      </w:r>
      <w:commentRangeEnd w:id="99"/>
      <w:r w:rsidR="0016777F">
        <w:rPr>
          <w:rStyle w:val="CommentReference"/>
        </w:rPr>
        <w:commentReference w:id="99"/>
      </w:r>
      <w:r>
        <w:rPr>
          <w:rFonts w:eastAsia="GulliverRM"/>
          <w:lang w:val="en-US"/>
        </w:rPr>
        <w:t>E</w:t>
      </w:r>
      <w:r w:rsidRPr="00D557FF">
        <w:rPr>
          <w:rFonts w:eastAsia="GulliverRM"/>
          <w:lang w:val="en-US"/>
        </w:rPr>
        <w:t xml:space="preserve">xcept in </w:t>
      </w:r>
      <w:r>
        <w:rPr>
          <w:rFonts w:eastAsia="GulliverRM"/>
          <w:lang w:val="en-US"/>
        </w:rPr>
        <w:t>Cr</w:t>
      </w:r>
      <w:r w:rsidRPr="00D557FF">
        <w:rPr>
          <w:rFonts w:eastAsia="GulliverRM"/>
          <w:lang w:val="en-US"/>
        </w:rPr>
        <w:t>-related industries and associated environments</w:t>
      </w:r>
      <w:r>
        <w:rPr>
          <w:rFonts w:eastAsia="GulliverRM"/>
          <w:lang w:val="en-US"/>
        </w:rPr>
        <w:t>, Cr</w:t>
      </w:r>
      <w:r w:rsidRPr="00D557FF">
        <w:rPr>
          <w:rFonts w:eastAsia="GulliverRM"/>
          <w:lang w:val="en-US"/>
        </w:rPr>
        <w:t xml:space="preserve"> intoxication from envir</w:t>
      </w:r>
      <w:r>
        <w:rPr>
          <w:rFonts w:eastAsia="GulliverRM"/>
          <w:lang w:val="en-US"/>
        </w:rPr>
        <w:t xml:space="preserve">onmental exposure is not common. </w:t>
      </w:r>
      <w:r w:rsidRPr="00D557FF">
        <w:rPr>
          <w:rFonts w:eastAsia="GulliverRM"/>
          <w:lang w:val="en-US"/>
        </w:rPr>
        <w:t xml:space="preserve">However, </w:t>
      </w:r>
      <w:r>
        <w:rPr>
          <w:rFonts w:eastAsia="GulliverRM"/>
          <w:lang w:val="en-US"/>
        </w:rPr>
        <w:t xml:space="preserve">it was found, </w:t>
      </w:r>
      <w:r w:rsidRPr="00B15EC8">
        <w:rPr>
          <w:rFonts w:eastAsia="GulliverRM"/>
          <w:lang w:val="en-US"/>
        </w:rPr>
        <w:t xml:space="preserve">that </w:t>
      </w:r>
      <w:r>
        <w:rPr>
          <w:lang w:val="en-US"/>
        </w:rPr>
        <w:t>d</w:t>
      </w:r>
      <w:r w:rsidRPr="00B15EC8">
        <w:rPr>
          <w:lang w:val="en-US"/>
        </w:rPr>
        <w:t xml:space="preserve">rinking water suppliesin many geographic areas contain chromium in the +3 and +6 oxidation states. Exposure of animals to </w:t>
      </w:r>
      <w:r>
        <w:t>Cr</w:t>
      </w:r>
      <w:r>
        <w:rPr>
          <w:vertAlign w:val="superscript"/>
        </w:rPr>
        <w:t xml:space="preserve">6+ </w:t>
      </w:r>
      <w:r w:rsidRPr="00B15EC8">
        <w:rPr>
          <w:lang w:val="en-US"/>
        </w:rPr>
        <w:t>in drinking water induced tumors in the mouse small intestine</w:t>
      </w:r>
      <w:r>
        <w:rPr>
          <w:lang w:val="en-US"/>
        </w:rPr>
        <w:t xml:space="preserve"> </w:t>
      </w:r>
      <w:commentRangeStart w:id="100"/>
      <w:r>
        <w:rPr>
          <w:lang w:val="en-US"/>
        </w:rPr>
        <w:t xml:space="preserve">[65]. </w:t>
      </w:r>
      <w:commentRangeEnd w:id="100"/>
      <w:r w:rsidR="0016777F">
        <w:rPr>
          <w:rStyle w:val="CommentReference"/>
        </w:rPr>
        <w:commentReference w:id="100"/>
      </w:r>
      <w:r>
        <w:rPr>
          <w:lang w:val="en-US"/>
        </w:rPr>
        <w:t xml:space="preserve">Many other </w:t>
      </w:r>
      <w:r w:rsidRPr="00D557FF">
        <w:rPr>
          <w:rFonts w:eastAsia="GulliverRM"/>
          <w:lang w:val="en-US"/>
        </w:rPr>
        <w:t xml:space="preserve">animal experiments and </w:t>
      </w:r>
      <w:commentRangeStart w:id="101"/>
      <w:r w:rsidRPr="00D557FF">
        <w:rPr>
          <w:rFonts w:eastAsia="GulliverRM"/>
          <w:lang w:val="en-US"/>
        </w:rPr>
        <w:t xml:space="preserve">in vitro </w:t>
      </w:r>
      <w:commentRangeEnd w:id="101"/>
      <w:r w:rsidR="004A5972">
        <w:rPr>
          <w:rStyle w:val="CommentReference"/>
        </w:rPr>
        <w:commentReference w:id="101"/>
      </w:r>
      <w:r w:rsidRPr="00D557FF">
        <w:rPr>
          <w:rFonts w:eastAsia="GulliverRM"/>
          <w:lang w:val="en-US"/>
        </w:rPr>
        <w:t xml:space="preserve">studies demonstrate </w:t>
      </w:r>
      <w:r>
        <w:rPr>
          <w:rFonts w:eastAsia="GulliverRM"/>
          <w:lang w:val="en-US"/>
        </w:rPr>
        <w:t xml:space="preserve">also </w:t>
      </w:r>
      <w:r w:rsidRPr="00D557FF">
        <w:rPr>
          <w:rFonts w:eastAsia="GulliverRM"/>
          <w:lang w:val="en-US"/>
        </w:rPr>
        <w:t xml:space="preserve">that </w:t>
      </w:r>
      <w:r>
        <w:rPr>
          <w:rFonts w:eastAsia="GulliverRM"/>
          <w:lang w:val="en-US"/>
        </w:rPr>
        <w:t>Cr</w:t>
      </w:r>
      <w:r w:rsidRPr="00D557FF">
        <w:rPr>
          <w:rFonts w:eastAsia="GulliverRM"/>
          <w:lang w:val="en-US"/>
        </w:rPr>
        <w:t xml:space="preserve"> can induce oxidative stress and exert cytotoxic effects</w:t>
      </w:r>
      <w:r>
        <w:rPr>
          <w:rFonts w:eastAsia="GulliverRM"/>
          <w:lang w:val="en-US"/>
        </w:rPr>
        <w:t xml:space="preserve"> [</w:t>
      </w:r>
      <w:commentRangeStart w:id="102"/>
      <w:r>
        <w:rPr>
          <w:rFonts w:eastAsia="GulliverRM"/>
          <w:lang w:val="en-US"/>
        </w:rPr>
        <w:t>66]</w:t>
      </w:r>
      <w:commentRangeEnd w:id="102"/>
      <w:r w:rsidR="00490A7B">
        <w:rPr>
          <w:rStyle w:val="CommentReference"/>
        </w:rPr>
        <w:commentReference w:id="102"/>
      </w:r>
      <w:r w:rsidRPr="00D557FF">
        <w:rPr>
          <w:rFonts w:eastAsia="GulliverRM"/>
          <w:lang w:val="en-US"/>
        </w:rPr>
        <w:t>.</w:t>
      </w:r>
      <w:r>
        <w:rPr>
          <w:rFonts w:eastAsia="GulliverRM"/>
          <w:lang w:val="en-US"/>
        </w:rPr>
        <w:t xml:space="preserve"> Besides </w:t>
      </w:r>
      <w:r>
        <w:t>reactive oxygen species (ROS) generation, oxidative stress,</w:t>
      </w:r>
      <w:r w:rsidRPr="00D557FF">
        <w:rPr>
          <w:rFonts w:eastAsia="GulliverRM"/>
          <w:lang w:val="en-US"/>
        </w:rPr>
        <w:t xml:space="preserve"> and cytotoxic effects</w:t>
      </w:r>
      <w:r>
        <w:rPr>
          <w:rFonts w:eastAsia="GulliverRM"/>
          <w:lang w:val="en-US"/>
        </w:rPr>
        <w:t xml:space="preserve"> of Cr exposure, </w:t>
      </w:r>
      <w:r>
        <w:t>a variety of other changes like DNA damage, increased formation of DNA adducts and DNA-protein cross-links, DNA strand breaks, chromosomal aberrations and instability, disruption of mitotic cell division, chromosomal aberration, premature cell division, S or G2/M cell cycle phase arrest, and carcinogenesis also occur in humans or experimental test systems [64].</w:t>
      </w:r>
      <w:r w:rsidR="001939D8">
        <w:t xml:space="preserve"> R</w:t>
      </w:r>
      <w:r w:rsidR="0078670C">
        <w:t>ecent</w:t>
      </w:r>
      <w:r w:rsidR="001939D8">
        <w:t xml:space="preserve">ly, </w:t>
      </w:r>
      <w:r w:rsidR="00E56049">
        <w:t xml:space="preserve">in </w:t>
      </w:r>
      <w:r w:rsidR="001939D8">
        <w:t>a</w:t>
      </w:r>
      <w:r w:rsidR="0078670C" w:rsidRPr="00717268">
        <w:rPr>
          <w:bCs/>
          <w:kern w:val="36"/>
          <w:lang w:val="en-US"/>
        </w:rPr>
        <w:t xml:space="preserve">case-control study on the association of </w:t>
      </w:r>
      <w:r w:rsidR="0078670C">
        <w:rPr>
          <w:bCs/>
          <w:kern w:val="36"/>
          <w:lang w:val="en-US"/>
        </w:rPr>
        <w:t>TE</w:t>
      </w:r>
      <w:r w:rsidR="0078670C" w:rsidRPr="00717268">
        <w:rPr>
          <w:bCs/>
          <w:kern w:val="36"/>
          <w:lang w:val="en-US"/>
        </w:rPr>
        <w:t xml:space="preserve"> exposure and </w:t>
      </w:r>
      <w:r w:rsidR="0047362F">
        <w:rPr>
          <w:bCs/>
          <w:kern w:val="36"/>
          <w:lang w:val="en-US"/>
        </w:rPr>
        <w:t xml:space="preserve">TBNs </w:t>
      </w:r>
      <w:commentRangeStart w:id="103"/>
      <w:r w:rsidR="00E56049">
        <w:rPr>
          <w:bCs/>
          <w:kern w:val="36"/>
          <w:lang w:val="en-US"/>
        </w:rPr>
        <w:t xml:space="preserve">it was </w:t>
      </w:r>
      <w:commentRangeEnd w:id="103"/>
      <w:r w:rsidR="00490A7B">
        <w:rPr>
          <w:rStyle w:val="CommentReference"/>
        </w:rPr>
        <w:commentReference w:id="103"/>
      </w:r>
      <w:r w:rsidR="0047362F">
        <w:rPr>
          <w:bCs/>
          <w:kern w:val="36"/>
          <w:lang w:val="en-US"/>
        </w:rPr>
        <w:t xml:space="preserve">shown that Cr is a </w:t>
      </w:r>
      <w:r w:rsidR="0047362F" w:rsidRPr="0047362F">
        <w:rPr>
          <w:lang w:val="en-US"/>
        </w:rPr>
        <w:t>potential influencing factor for the r</w:t>
      </w:r>
      <w:r w:rsidR="0047362F">
        <w:rPr>
          <w:lang w:val="en-US"/>
        </w:rPr>
        <w:t xml:space="preserve">isk of thyroid tumor and goiter </w:t>
      </w:r>
      <w:commentRangeStart w:id="104"/>
      <w:r w:rsidR="0047362F">
        <w:rPr>
          <w:lang w:val="en-US"/>
        </w:rPr>
        <w:t>[67].</w:t>
      </w:r>
      <w:commentRangeEnd w:id="104"/>
      <w:r w:rsidR="00490A7B">
        <w:rPr>
          <w:rStyle w:val="CommentReference"/>
        </w:rPr>
        <w:commentReference w:id="104"/>
      </w:r>
    </w:p>
    <w:p w:rsidR="0047362F" w:rsidRDefault="0047362F" w:rsidP="00204280">
      <w:pPr>
        <w:shd w:val="clear" w:color="auto" w:fill="FFFFFF"/>
        <w:spacing w:line="276" w:lineRule="auto"/>
        <w:jc w:val="both"/>
        <w:rPr>
          <w:lang w:val="en-US"/>
        </w:rPr>
      </w:pPr>
    </w:p>
    <w:p w:rsidR="0047362F" w:rsidRPr="00C375D5" w:rsidRDefault="0047362F" w:rsidP="00204280">
      <w:pPr>
        <w:spacing w:line="276" w:lineRule="auto"/>
        <w:jc w:val="both"/>
        <w:rPr>
          <w:b/>
        </w:rPr>
      </w:pPr>
      <w:r w:rsidRPr="00C375D5">
        <w:rPr>
          <w:b/>
        </w:rPr>
        <w:t>Mercury</w:t>
      </w:r>
    </w:p>
    <w:p w:rsidR="0047362F" w:rsidRPr="00717268" w:rsidRDefault="0047362F" w:rsidP="00204280">
      <w:pPr>
        <w:shd w:val="clear" w:color="auto" w:fill="FFFFFF"/>
        <w:spacing w:line="276" w:lineRule="auto"/>
        <w:jc w:val="both"/>
        <w:rPr>
          <w:lang w:val="en-US"/>
        </w:rPr>
      </w:pPr>
      <w:r w:rsidRPr="00E04A18">
        <w:t>Hg</w:t>
      </w:r>
      <w:r w:rsidRPr="006354A8">
        <w:t xml:space="preserve"> is one of the most dangerous environmental pollutant</w:t>
      </w:r>
      <w:r>
        <w:t xml:space="preserve">s </w:t>
      </w:r>
      <w:commentRangeStart w:id="105"/>
      <w:r>
        <w:t>[68].</w:t>
      </w:r>
      <w:commentRangeEnd w:id="105"/>
      <w:r w:rsidR="00C46D31">
        <w:rPr>
          <w:rStyle w:val="CommentReference"/>
        </w:rPr>
        <w:commentReference w:id="105"/>
      </w:r>
      <w:r w:rsidRPr="004F52A2">
        <w:rPr>
          <w:lang w:val="en-US"/>
        </w:rPr>
        <w:t>The growing use of this metal in diverse areas of industry has resulted in a significant increase of environment contamination and episodes of human intoxication</w:t>
      </w:r>
      <w:r w:rsidRPr="00E04A18">
        <w:rPr>
          <w:lang w:val="en-US"/>
        </w:rPr>
        <w:t>.</w:t>
      </w:r>
      <w:r>
        <w:t>Many experimental</w:t>
      </w:r>
      <w:r w:rsidR="00B8211D">
        <w:t xml:space="preserve">, </w:t>
      </w:r>
      <w:r w:rsidR="00B8211D">
        <w:rPr>
          <w:lang w:val="en-US"/>
        </w:rPr>
        <w:t>epidemiologic,</w:t>
      </w:r>
      <w:r>
        <w:t xml:space="preserve"> and occupational studies of Hg in </w:t>
      </w:r>
      <w:r w:rsidRPr="00040FD2">
        <w:rPr>
          <w:color w:val="212121"/>
          <w:lang w:val="en-US"/>
        </w:rPr>
        <w:t>different chemical states</w:t>
      </w:r>
      <w:r>
        <w:rPr>
          <w:color w:val="212121"/>
          <w:lang w:val="en-US"/>
        </w:rPr>
        <w:t xml:space="preserve"> shown significant </w:t>
      </w:r>
      <w:r w:rsidRPr="00040FD2">
        <w:rPr>
          <w:color w:val="212121"/>
          <w:lang w:val="en-US"/>
        </w:rPr>
        <w:t>alterations in thyroid hormones</w:t>
      </w:r>
      <w:r>
        <w:rPr>
          <w:color w:val="212121"/>
          <w:lang w:val="en-US"/>
        </w:rPr>
        <w:t xml:space="preserve"> metabolism</w:t>
      </w:r>
      <w:r w:rsidRPr="00040FD2">
        <w:rPr>
          <w:color w:val="212121"/>
          <w:lang w:val="en-US"/>
        </w:rPr>
        <w:t xml:space="preserve"> and thyroid gland parenchyma</w:t>
      </w:r>
      <w:r>
        <w:rPr>
          <w:color w:val="212121"/>
          <w:lang w:val="en-US"/>
        </w:rPr>
        <w:t xml:space="preserve"> </w:t>
      </w:r>
      <w:commentRangeStart w:id="106"/>
      <w:r>
        <w:rPr>
          <w:color w:val="212121"/>
          <w:lang w:val="en-US"/>
        </w:rPr>
        <w:t xml:space="preserve">[67,69,70]. </w:t>
      </w:r>
      <w:commentRangeEnd w:id="106"/>
      <w:r w:rsidR="00C46D31">
        <w:rPr>
          <w:rStyle w:val="CommentReference"/>
        </w:rPr>
        <w:commentReference w:id="106"/>
      </w:r>
      <w:r>
        <w:rPr>
          <w:color w:val="212121"/>
          <w:lang w:val="en-US"/>
        </w:rPr>
        <w:t xml:space="preserve">Moreover, </w:t>
      </w:r>
      <w:r w:rsidRPr="00E04A18">
        <w:t xml:space="preserve">Hg </w:t>
      </w:r>
      <w:r>
        <w:t>was</w:t>
      </w:r>
      <w:r w:rsidRPr="00E04A18">
        <w:t xml:space="preserve"> classified as certain or probable carcinogen by the International Agency for Research on Cancer </w:t>
      </w:r>
      <w:commentRangeStart w:id="107"/>
      <w:r w:rsidRPr="00E04A18">
        <w:t>[</w:t>
      </w:r>
      <w:hyperlink r:id="rId9" w:anchor="B1" w:history="1">
        <w:r w:rsidR="009E1B87">
          <w:rPr>
            <w:rStyle w:val="Hyperlink"/>
            <w:rFonts w:eastAsia="Arial Unicode MS"/>
            <w:u w:val="none"/>
          </w:rPr>
          <w:t>63</w:t>
        </w:r>
      </w:hyperlink>
      <w:r w:rsidRPr="00E04A18">
        <w:t xml:space="preserve">]. </w:t>
      </w:r>
      <w:commentRangeEnd w:id="107"/>
      <w:r w:rsidR="00C46D31">
        <w:rPr>
          <w:rStyle w:val="CommentReference"/>
        </w:rPr>
        <w:commentReference w:id="107"/>
      </w:r>
      <w:r w:rsidRPr="00E04A18">
        <w:t xml:space="preserve">For example, </w:t>
      </w:r>
      <w:r w:rsidRPr="00E04A18">
        <w:rPr>
          <w:lang w:val="en-US"/>
        </w:rPr>
        <w:t>in</w:t>
      </w:r>
      <w:r>
        <w:rPr>
          <w:lang w:val="en-US"/>
        </w:rPr>
        <w:t xml:space="preserve"> Hg polluted </w:t>
      </w:r>
      <w:r w:rsidRPr="00091E3A">
        <w:rPr>
          <w:lang w:val="en-US"/>
        </w:rPr>
        <w:t>area</w:t>
      </w:r>
      <w:r>
        <w:rPr>
          <w:lang w:val="en-US"/>
        </w:rPr>
        <w:t xml:space="preserve"> t</w:t>
      </w:r>
      <w:r w:rsidRPr="00091E3A">
        <w:rPr>
          <w:lang w:val="en-US"/>
        </w:rPr>
        <w:t>hyroid cancer incidence</w:t>
      </w:r>
      <w:r>
        <w:rPr>
          <w:lang w:val="en-US"/>
        </w:rPr>
        <w:t xml:space="preserve"> was almost 2 times higher than in </w:t>
      </w:r>
      <w:r w:rsidRPr="00091E3A">
        <w:rPr>
          <w:lang w:val="en-US"/>
        </w:rPr>
        <w:t>adjacent control areas</w:t>
      </w:r>
      <w:r>
        <w:rPr>
          <w:lang w:val="en-US"/>
        </w:rPr>
        <w:t xml:space="preserve"> </w:t>
      </w:r>
      <w:commentRangeStart w:id="108"/>
      <w:r>
        <w:rPr>
          <w:lang w:val="en-US"/>
        </w:rPr>
        <w:t>[7</w:t>
      </w:r>
      <w:r w:rsidR="009E1B87">
        <w:rPr>
          <w:lang w:val="en-US"/>
        </w:rPr>
        <w:t>1</w:t>
      </w:r>
      <w:r>
        <w:rPr>
          <w:lang w:val="en-US"/>
        </w:rPr>
        <w:t xml:space="preserve">]. </w:t>
      </w:r>
      <w:commentRangeEnd w:id="108"/>
      <w:r w:rsidR="00C46D31">
        <w:rPr>
          <w:rStyle w:val="CommentReference"/>
        </w:rPr>
        <w:commentReference w:id="108"/>
      </w:r>
    </w:p>
    <w:p w:rsidR="00544BB6" w:rsidRDefault="00544BB6" w:rsidP="00204280">
      <w:pPr>
        <w:spacing w:line="276" w:lineRule="auto"/>
        <w:jc w:val="both"/>
        <w:rPr>
          <w:i/>
          <w:lang w:val="en-US"/>
        </w:rPr>
      </w:pPr>
    </w:p>
    <w:p w:rsidR="00E47482" w:rsidRPr="00C375D5" w:rsidRDefault="00EA0DC2" w:rsidP="00204280">
      <w:pPr>
        <w:spacing w:line="276" w:lineRule="auto"/>
        <w:jc w:val="both"/>
        <w:rPr>
          <w:b/>
          <w:lang w:val="en-US"/>
        </w:rPr>
      </w:pPr>
      <w:r w:rsidRPr="00C375D5">
        <w:rPr>
          <w:b/>
          <w:lang w:val="en-US"/>
        </w:rPr>
        <w:t>Manganese</w:t>
      </w:r>
    </w:p>
    <w:p w:rsidR="00E47482" w:rsidRPr="00C46D31" w:rsidRDefault="00EA0DC2" w:rsidP="00C46D31">
      <w:pPr>
        <w:spacing w:line="276" w:lineRule="auto"/>
        <w:jc w:val="both"/>
        <w:rPr>
          <w:lang w:val="en-US"/>
        </w:rPr>
      </w:pPr>
      <w:r>
        <w:rPr>
          <w:lang w:val="en-US"/>
        </w:rPr>
        <w:t>Mn</w:t>
      </w:r>
      <w:r w:rsidR="00C46D31">
        <w:rPr>
          <w:lang w:val="en-US"/>
        </w:rPr>
        <w:t xml:space="preserve"> </w:t>
      </w:r>
      <w:r>
        <w:rPr>
          <w:lang w:val="en-US"/>
        </w:rPr>
        <w:t xml:space="preserve">is </w:t>
      </w:r>
      <w:r w:rsidRPr="006B22A8">
        <w:rPr>
          <w:lang w:val="en-US"/>
        </w:rPr>
        <w:t xml:space="preserve">an essential </w:t>
      </w:r>
      <w:r>
        <w:rPr>
          <w:lang w:val="en-US"/>
        </w:rPr>
        <w:t>micronutrient because this TE</w:t>
      </w:r>
      <w:r w:rsidRPr="006B22A8">
        <w:rPr>
          <w:lang w:val="en-US"/>
        </w:rPr>
        <w:t xml:space="preserve"> acts as a co-factor in </w:t>
      </w:r>
      <w:r>
        <w:rPr>
          <w:lang w:val="en-US"/>
        </w:rPr>
        <w:t>many</w:t>
      </w:r>
      <w:r w:rsidRPr="006B22A8">
        <w:rPr>
          <w:lang w:val="en-US"/>
        </w:rPr>
        <w:t xml:space="preserve"> enzymatic reactions involved in the metabolisms of lipid, protein, carbohydrate and amino acid, etc. </w:t>
      </w:r>
      <w:commentRangeStart w:id="109"/>
      <w:r w:rsidRPr="006B22A8">
        <w:rPr>
          <w:lang w:val="en-US"/>
        </w:rPr>
        <w:t>[</w:t>
      </w:r>
      <w:hyperlink r:id="rId10" w:anchor="B1-ijerph-16-02157" w:history="1">
        <w:r w:rsidR="00C27A92" w:rsidRPr="001939D8">
          <w:rPr>
            <w:rStyle w:val="Hyperlink"/>
            <w:color w:val="auto"/>
            <w:u w:val="none"/>
            <w:lang w:val="en-US"/>
          </w:rPr>
          <w:t>7</w:t>
        </w:r>
        <w:r w:rsidR="009E1B87">
          <w:rPr>
            <w:rStyle w:val="Hyperlink"/>
            <w:color w:val="auto"/>
            <w:u w:val="none"/>
            <w:lang w:val="en-US"/>
          </w:rPr>
          <w:t>2</w:t>
        </w:r>
      </w:hyperlink>
      <w:r w:rsidRPr="006B22A8">
        <w:rPr>
          <w:lang w:val="en-US"/>
        </w:rPr>
        <w:t>]</w:t>
      </w:r>
      <w:commentRangeEnd w:id="109"/>
      <w:r w:rsidR="00C46D31">
        <w:rPr>
          <w:rStyle w:val="CommentReference"/>
        </w:rPr>
        <w:commentReference w:id="109"/>
      </w:r>
      <w:r w:rsidRPr="006B22A8">
        <w:rPr>
          <w:lang w:val="en-US"/>
        </w:rPr>
        <w:t>. The diet, natural and</w:t>
      </w:r>
      <w:r>
        <w:rPr>
          <w:lang w:val="en-US"/>
        </w:rPr>
        <w:t xml:space="preserve"> anthropogenic contaminated</w:t>
      </w:r>
      <w:r w:rsidR="00C46D31">
        <w:rPr>
          <w:lang w:val="en-US"/>
        </w:rPr>
        <w:t xml:space="preserve"> </w:t>
      </w:r>
      <w:r>
        <w:rPr>
          <w:lang w:val="en-US"/>
        </w:rPr>
        <w:t>environment</w:t>
      </w:r>
      <w:r w:rsidRPr="006B22A8">
        <w:rPr>
          <w:lang w:val="en-US"/>
        </w:rPr>
        <w:t xml:space="preserve"> are the main sources of Mn</w:t>
      </w:r>
      <w:r w:rsidR="00C46D31">
        <w:rPr>
          <w:lang w:val="en-US"/>
        </w:rPr>
        <w:t xml:space="preserve"> </w:t>
      </w:r>
      <w:r w:rsidR="00C27A92">
        <w:rPr>
          <w:lang w:val="en-US"/>
        </w:rPr>
        <w:t xml:space="preserve">exposure in </w:t>
      </w:r>
      <w:r w:rsidR="00C27A92">
        <w:rPr>
          <w:lang w:val="en-US"/>
        </w:rPr>
        <w:lastRenderedPageBreak/>
        <w:t>general populations</w:t>
      </w:r>
      <w:r w:rsidRPr="006B22A8">
        <w:rPr>
          <w:lang w:val="en-US"/>
        </w:rPr>
        <w:t>.</w:t>
      </w:r>
      <w:r w:rsidR="00C46D31">
        <w:rPr>
          <w:lang w:val="en-US"/>
        </w:rPr>
        <w:t xml:space="preserve"> </w:t>
      </w:r>
      <w:r w:rsidR="00E56049">
        <w:rPr>
          <w:lang w:val="en-US"/>
        </w:rPr>
        <w:t xml:space="preserve">It was found in many </w:t>
      </w:r>
      <w:r w:rsidR="00B8211D">
        <w:rPr>
          <w:lang w:val="en-US"/>
        </w:rPr>
        <w:t>experimental and epidemiologic</w:t>
      </w:r>
      <w:r w:rsidR="00C46D31">
        <w:rPr>
          <w:lang w:val="en-US"/>
        </w:rPr>
        <w:t xml:space="preserve"> </w:t>
      </w:r>
      <w:r w:rsidR="00E56049" w:rsidRPr="00E56049">
        <w:rPr>
          <w:lang w:val="en-US"/>
        </w:rPr>
        <w:t>studies that e</w:t>
      </w:r>
      <w:r w:rsidR="001939D8" w:rsidRPr="00E56049">
        <w:rPr>
          <w:lang w:val="en-US"/>
        </w:rPr>
        <w:t>xcessive environmental Mn exposure may affect the balance of thyroid hormone homeostasis v</w:t>
      </w:r>
      <w:r w:rsidR="001939D8" w:rsidRPr="006B22A8">
        <w:rPr>
          <w:lang w:val="en-US"/>
        </w:rPr>
        <w:t>ia decreasing serum thyroid hormone levels, including T3 and T4</w:t>
      </w:r>
      <w:commentRangeStart w:id="110"/>
      <w:r w:rsidR="00E56049">
        <w:rPr>
          <w:lang w:val="en-US"/>
        </w:rPr>
        <w:t>[7</w:t>
      </w:r>
      <w:r w:rsidR="009E1B87">
        <w:rPr>
          <w:lang w:val="en-US"/>
        </w:rPr>
        <w:t>2</w:t>
      </w:r>
      <w:r w:rsidR="00E56049">
        <w:rPr>
          <w:lang w:val="en-US"/>
        </w:rPr>
        <w:t xml:space="preserve">]. </w:t>
      </w:r>
      <w:commentRangeEnd w:id="110"/>
      <w:r w:rsidR="00C46D31">
        <w:rPr>
          <w:rStyle w:val="CommentReference"/>
        </w:rPr>
        <w:commentReference w:id="110"/>
      </w:r>
      <w:r w:rsidR="00E56049">
        <w:rPr>
          <w:lang w:val="en-US"/>
        </w:rPr>
        <w:t xml:space="preserve">Furthermore, </w:t>
      </w:r>
      <w:r w:rsidR="00E56049">
        <w:t xml:space="preserve">recently, in a </w:t>
      </w:r>
      <w:r w:rsidR="00E56049" w:rsidRPr="00717268">
        <w:rPr>
          <w:bCs/>
          <w:kern w:val="36"/>
          <w:lang w:val="en-US"/>
        </w:rPr>
        <w:t xml:space="preserve">case-control study on the association of </w:t>
      </w:r>
      <w:r w:rsidR="00E56049">
        <w:rPr>
          <w:bCs/>
          <w:kern w:val="36"/>
          <w:lang w:val="en-US"/>
        </w:rPr>
        <w:t>TE</w:t>
      </w:r>
      <w:r w:rsidR="00E56049" w:rsidRPr="00717268">
        <w:rPr>
          <w:bCs/>
          <w:kern w:val="36"/>
          <w:lang w:val="en-US"/>
        </w:rPr>
        <w:t xml:space="preserve"> exposure and </w:t>
      </w:r>
      <w:r w:rsidR="00E56049">
        <w:rPr>
          <w:bCs/>
          <w:kern w:val="36"/>
          <w:lang w:val="en-US"/>
        </w:rPr>
        <w:t xml:space="preserve">TBNs it was shown that Cr is a </w:t>
      </w:r>
      <w:r w:rsidR="00E56049" w:rsidRPr="0047362F">
        <w:rPr>
          <w:lang w:val="en-US"/>
        </w:rPr>
        <w:t>potential influencing factor for the r</w:t>
      </w:r>
      <w:r w:rsidR="00E56049">
        <w:rPr>
          <w:lang w:val="en-US"/>
        </w:rPr>
        <w:t xml:space="preserve">isk of thyroid tumor and goiter </w:t>
      </w:r>
      <w:commentRangeStart w:id="111"/>
      <w:r w:rsidR="00E56049">
        <w:rPr>
          <w:lang w:val="en-US"/>
        </w:rPr>
        <w:t>[67].</w:t>
      </w:r>
      <w:commentRangeEnd w:id="111"/>
      <w:r w:rsidR="00C46D31">
        <w:rPr>
          <w:rStyle w:val="CommentReference"/>
        </w:rPr>
        <w:commentReference w:id="111"/>
      </w:r>
    </w:p>
    <w:p w:rsidR="00EA0DC2" w:rsidRDefault="00EA0DC2" w:rsidP="00204280">
      <w:pPr>
        <w:spacing w:line="276" w:lineRule="auto"/>
        <w:jc w:val="both"/>
        <w:rPr>
          <w:i/>
          <w:lang w:val="en-US"/>
        </w:rPr>
      </w:pPr>
    </w:p>
    <w:p w:rsidR="00C12716" w:rsidRPr="00C375D5" w:rsidRDefault="00C12716" w:rsidP="00204280">
      <w:pPr>
        <w:spacing w:line="276" w:lineRule="auto"/>
        <w:jc w:val="both"/>
        <w:rPr>
          <w:b/>
          <w:lang w:val="en-US"/>
        </w:rPr>
      </w:pPr>
      <w:r w:rsidRPr="00C375D5">
        <w:rPr>
          <w:b/>
          <w:lang w:val="en-US"/>
        </w:rPr>
        <w:t>T</w:t>
      </w:r>
      <w:r w:rsidRPr="00BB3E9C">
        <w:rPr>
          <w:b/>
          <w:lang w:val="en-US"/>
        </w:rPr>
        <w:t>horium</w:t>
      </w:r>
    </w:p>
    <w:p w:rsidR="00C12716" w:rsidRDefault="00E47482" w:rsidP="00204280">
      <w:pPr>
        <w:spacing w:line="276" w:lineRule="auto"/>
        <w:jc w:val="both"/>
        <w:rPr>
          <w:lang w:val="en-US"/>
        </w:rPr>
      </w:pPr>
      <w:r w:rsidRPr="00C12716">
        <w:rPr>
          <w:lang w:val="en-US"/>
        </w:rPr>
        <w:t>Th</w:t>
      </w:r>
      <w:r w:rsidR="00682FB9">
        <w:rPr>
          <w:lang w:val="en-US"/>
        </w:rPr>
        <w:t xml:space="preserve"> is</w:t>
      </w:r>
      <w:r w:rsidR="00722D99">
        <w:rPr>
          <w:lang w:val="en-US"/>
        </w:rPr>
        <w:t xml:space="preserve"> </w:t>
      </w:r>
      <w:r w:rsidR="00C12716" w:rsidRPr="00BB3E9C">
        <w:rPr>
          <w:lang w:val="en-US"/>
        </w:rPr>
        <w:t xml:space="preserve">a naturally radioactive </w:t>
      </w:r>
      <w:r w:rsidR="008B54A7">
        <w:rPr>
          <w:lang w:val="en-US"/>
        </w:rPr>
        <w:t>TE</w:t>
      </w:r>
      <w:r w:rsidR="00C12716">
        <w:rPr>
          <w:lang w:val="en-US"/>
        </w:rPr>
        <w:t xml:space="preserve">, which </w:t>
      </w:r>
      <w:r w:rsidR="00C12716" w:rsidRPr="00BB3E9C">
        <w:rPr>
          <w:lang w:val="en-US"/>
        </w:rPr>
        <w:t xml:space="preserve">effects </w:t>
      </w:r>
      <w:r w:rsidR="00C12716">
        <w:rPr>
          <w:lang w:val="en-US"/>
        </w:rPr>
        <w:t xml:space="preserve">by its chemical toxicity and radiation on skeleton, </w:t>
      </w:r>
      <w:r w:rsidR="00C12716" w:rsidRPr="00BB3E9C">
        <w:rPr>
          <w:lang w:val="en-US"/>
        </w:rPr>
        <w:t>nervous and endocrine systems</w:t>
      </w:r>
      <w:r w:rsidR="00C12716">
        <w:rPr>
          <w:lang w:val="en-US"/>
        </w:rPr>
        <w:t xml:space="preserve">. The </w:t>
      </w:r>
      <w:r w:rsidR="00C12716" w:rsidRPr="00BB3E9C">
        <w:rPr>
          <w:lang w:val="en-US"/>
        </w:rPr>
        <w:t>results</w:t>
      </w:r>
      <w:r w:rsidR="00C12716">
        <w:rPr>
          <w:lang w:val="en-US"/>
        </w:rPr>
        <w:t xml:space="preserve"> of </w:t>
      </w:r>
      <w:r w:rsidR="001852A4">
        <w:rPr>
          <w:lang w:val="en-US"/>
        </w:rPr>
        <w:t xml:space="preserve">many </w:t>
      </w:r>
      <w:r w:rsidR="00C12716">
        <w:rPr>
          <w:lang w:val="en-US"/>
        </w:rPr>
        <w:t>experimental studies</w:t>
      </w:r>
      <w:r w:rsidR="00C12716" w:rsidRPr="00BB3E9C">
        <w:rPr>
          <w:lang w:val="en-US"/>
        </w:rPr>
        <w:t xml:space="preserve"> indicate that </w:t>
      </w:r>
      <w:r w:rsidR="00C12716">
        <w:rPr>
          <w:lang w:val="en-US"/>
        </w:rPr>
        <w:t>Th</w:t>
      </w:r>
      <w:r w:rsidR="00C12716" w:rsidRPr="00BB3E9C">
        <w:rPr>
          <w:lang w:val="en-US"/>
        </w:rPr>
        <w:t xml:space="preserve"> administration exerts hazardous effects on the neuroendocrine axis</w:t>
      </w:r>
      <w:r w:rsidR="00682FB9">
        <w:rPr>
          <w:lang w:val="en-US"/>
        </w:rPr>
        <w:t xml:space="preserve"> andcauses</w:t>
      </w:r>
      <w:r w:rsidR="00A74772">
        <w:rPr>
          <w:lang w:val="en-US"/>
        </w:rPr>
        <w:t xml:space="preserve">the imbalance of thyroid hormones and </w:t>
      </w:r>
      <w:r w:rsidR="00682FB9" w:rsidRPr="00AA6867">
        <w:rPr>
          <w:lang w:val="en-US"/>
        </w:rPr>
        <w:t xml:space="preserve">structural changes in thyroid gland </w:t>
      </w:r>
      <w:r w:rsidR="00A74772">
        <w:rPr>
          <w:lang w:val="en-US"/>
        </w:rPr>
        <w:t>[</w:t>
      </w:r>
      <w:commentRangeStart w:id="112"/>
      <w:r w:rsidR="00A74772">
        <w:rPr>
          <w:lang w:val="en-US"/>
        </w:rPr>
        <w:t>7</w:t>
      </w:r>
      <w:r w:rsidR="009E1B87">
        <w:rPr>
          <w:lang w:val="en-US"/>
        </w:rPr>
        <w:t>3</w:t>
      </w:r>
      <w:r w:rsidR="00A74772">
        <w:rPr>
          <w:lang w:val="en-US"/>
        </w:rPr>
        <w:t>,7</w:t>
      </w:r>
      <w:r w:rsidR="009E1B87">
        <w:rPr>
          <w:lang w:val="en-US"/>
        </w:rPr>
        <w:t>4</w:t>
      </w:r>
      <w:r w:rsidR="00A74772">
        <w:rPr>
          <w:lang w:val="en-US"/>
        </w:rPr>
        <w:t>].</w:t>
      </w:r>
      <w:r w:rsidR="001852A4">
        <w:rPr>
          <w:lang w:val="en-US"/>
        </w:rPr>
        <w:t xml:space="preserve"> </w:t>
      </w:r>
      <w:commentRangeEnd w:id="112"/>
      <w:r w:rsidR="00722D99">
        <w:rPr>
          <w:rStyle w:val="CommentReference"/>
        </w:rPr>
        <w:commentReference w:id="112"/>
      </w:r>
      <w:r w:rsidR="001852A4">
        <w:rPr>
          <w:lang w:val="en-US"/>
        </w:rPr>
        <w:t xml:space="preserve">Moreover, </w:t>
      </w:r>
      <w:r w:rsidR="001852A4" w:rsidRPr="00CE65E6">
        <w:rPr>
          <w:bCs/>
          <w:kern w:val="36"/>
          <w:lang w:val="en-US"/>
        </w:rPr>
        <w:t>an epidemiologic and clinicopathologic study</w:t>
      </w:r>
      <w:r w:rsidR="001852A4">
        <w:rPr>
          <w:bCs/>
          <w:kern w:val="36"/>
          <w:lang w:val="en-US"/>
        </w:rPr>
        <w:t xml:space="preserve"> found </w:t>
      </w:r>
      <w:r w:rsidR="001852A4" w:rsidRPr="00CE65E6">
        <w:rPr>
          <w:lang w:val="en-US"/>
        </w:rPr>
        <w:t>an apparentincreased prevalence of both benign and malignant thyroid disease in</w:t>
      </w:r>
      <w:r w:rsidR="001852A4">
        <w:rPr>
          <w:lang w:val="en-US"/>
        </w:rPr>
        <w:t xml:space="preserve"> the group of patients treated with Th-contained compound (</w:t>
      </w:r>
      <w:r w:rsidR="001852A4" w:rsidRPr="00CE65E6">
        <w:rPr>
          <w:lang w:val="en-US"/>
        </w:rPr>
        <w:t>Thorotrast</w:t>
      </w:r>
      <w:r w:rsidR="001852A4">
        <w:rPr>
          <w:lang w:val="en-US"/>
        </w:rPr>
        <w:t>)</w:t>
      </w:r>
      <w:r w:rsidR="008B54A7">
        <w:rPr>
          <w:lang w:val="en-US"/>
        </w:rPr>
        <w:t xml:space="preserve"> </w:t>
      </w:r>
      <w:commentRangeStart w:id="113"/>
      <w:r w:rsidR="008B54A7">
        <w:rPr>
          <w:lang w:val="en-US"/>
        </w:rPr>
        <w:t>[7</w:t>
      </w:r>
      <w:r w:rsidR="009E1B87">
        <w:rPr>
          <w:lang w:val="en-US"/>
        </w:rPr>
        <w:t>5</w:t>
      </w:r>
      <w:r w:rsidR="008B54A7">
        <w:rPr>
          <w:lang w:val="en-US"/>
        </w:rPr>
        <w:t>].</w:t>
      </w:r>
      <w:commentRangeEnd w:id="113"/>
      <w:r w:rsidR="00722D99">
        <w:rPr>
          <w:rStyle w:val="CommentReference"/>
        </w:rPr>
        <w:commentReference w:id="113"/>
      </w:r>
    </w:p>
    <w:p w:rsidR="00A74772" w:rsidRDefault="00A74772" w:rsidP="00204280">
      <w:pPr>
        <w:spacing w:line="276" w:lineRule="auto"/>
        <w:jc w:val="both"/>
        <w:rPr>
          <w:rFonts w:eastAsia="GulliverRM"/>
          <w:color w:val="000000"/>
          <w:lang w:val="en-US"/>
        </w:rPr>
      </w:pPr>
    </w:p>
    <w:p w:rsidR="00181545" w:rsidRPr="00C375D5" w:rsidRDefault="00181545" w:rsidP="00204280">
      <w:pPr>
        <w:spacing w:line="276" w:lineRule="auto"/>
        <w:jc w:val="both"/>
        <w:rPr>
          <w:b/>
        </w:rPr>
      </w:pPr>
      <w:r w:rsidRPr="00C375D5">
        <w:rPr>
          <w:b/>
        </w:rPr>
        <w:t>Zinc</w:t>
      </w:r>
    </w:p>
    <w:p w:rsidR="00181545" w:rsidRDefault="00181545" w:rsidP="00204280">
      <w:pPr>
        <w:spacing w:line="276" w:lineRule="auto"/>
        <w:jc w:val="both"/>
        <w:rPr>
          <w:lang w:val="en-US"/>
        </w:rPr>
      </w:pPr>
      <w:r w:rsidRPr="00732655">
        <w:t>Zn</w:t>
      </w:r>
      <w:r w:rsidR="000B4B2C">
        <w:t>,</w:t>
      </w:r>
      <w:r w:rsidRPr="00732655">
        <w:t xml:space="preserve"> as a trace metal</w:t>
      </w:r>
      <w:r w:rsidR="000B4B2C">
        <w:t>,</w:t>
      </w:r>
      <w:r w:rsidRPr="00732655">
        <w:rPr>
          <w:color w:val="000000"/>
          <w:lang w:val="en-US"/>
        </w:rPr>
        <w:t xml:space="preserve">has structural, catalytic and regulatory roles in normal and pathophysiology. This </w:t>
      </w:r>
      <w:r w:rsidR="000B4B2C">
        <w:rPr>
          <w:color w:val="000000"/>
          <w:lang w:val="en-US"/>
        </w:rPr>
        <w:t>T</w:t>
      </w:r>
      <w:r w:rsidR="00E35196" w:rsidRPr="00732655">
        <w:rPr>
          <w:color w:val="000000"/>
          <w:lang w:val="en-US"/>
        </w:rPr>
        <w:t xml:space="preserve">E </w:t>
      </w:r>
      <w:r w:rsidRPr="00732655">
        <w:rPr>
          <w:color w:val="000000"/>
          <w:lang w:val="en-US"/>
        </w:rPr>
        <w:t xml:space="preserve">is a constituent of more than 3000 proteins and is a cofactor for over 300 enzymes </w:t>
      </w:r>
      <w:commentRangeStart w:id="114"/>
      <w:r w:rsidRPr="00732655">
        <w:rPr>
          <w:color w:val="000000"/>
          <w:lang w:val="en-US"/>
        </w:rPr>
        <w:t>[</w:t>
      </w:r>
      <w:r w:rsidR="000B4B2C">
        <w:rPr>
          <w:color w:val="000000"/>
          <w:lang w:val="en-US"/>
        </w:rPr>
        <w:t>7</w:t>
      </w:r>
      <w:r w:rsidR="009E1B87">
        <w:rPr>
          <w:color w:val="000000"/>
          <w:lang w:val="en-US"/>
        </w:rPr>
        <w:t>6</w:t>
      </w:r>
      <w:r w:rsidRPr="00732655">
        <w:rPr>
          <w:color w:val="000000"/>
          <w:lang w:val="en-US"/>
        </w:rPr>
        <w:t xml:space="preserve">]. </w:t>
      </w:r>
      <w:commentRangeEnd w:id="114"/>
      <w:r w:rsidR="00722D99">
        <w:rPr>
          <w:rStyle w:val="CommentReference"/>
        </w:rPr>
        <w:commentReference w:id="114"/>
      </w:r>
      <w:r w:rsidRPr="00732655">
        <w:rPr>
          <w:color w:val="000000"/>
          <w:lang w:val="en-US"/>
        </w:rPr>
        <w:t>Zn is an essential</w:t>
      </w:r>
      <w:r w:rsidRPr="002F42F9">
        <w:rPr>
          <w:color w:val="000000"/>
          <w:lang w:val="en-US"/>
        </w:rPr>
        <w:t xml:space="preserve"> mediator of cell proliferation and differentiation through the regulation of DNA synthesis and mitosis. </w:t>
      </w:r>
      <w:r>
        <w:rPr>
          <w:color w:val="000000"/>
          <w:lang w:val="en-US"/>
        </w:rPr>
        <w:t>Zn</w:t>
      </w:r>
      <w:r w:rsidRPr="002F42F9">
        <w:rPr>
          <w:color w:val="000000"/>
          <w:lang w:val="en-US"/>
        </w:rPr>
        <w:t xml:space="preserve"> also affects DNA repair pathways by regulating multiple intracellular signaling pathways and altering proteins involved in DNA maintenance</w:t>
      </w:r>
      <w:r>
        <w:rPr>
          <w:color w:val="000000"/>
          <w:lang w:val="en-US"/>
        </w:rPr>
        <w:t xml:space="preserve"> </w:t>
      </w:r>
      <w:commentRangeStart w:id="115"/>
      <w:r>
        <w:rPr>
          <w:color w:val="000000"/>
          <w:lang w:val="en-US"/>
        </w:rPr>
        <w:t>[</w:t>
      </w:r>
      <w:r w:rsidR="00B17E6F">
        <w:rPr>
          <w:color w:val="000000"/>
          <w:lang w:val="en-US"/>
        </w:rPr>
        <w:t>7</w:t>
      </w:r>
      <w:r w:rsidR="009E1B87">
        <w:rPr>
          <w:color w:val="000000"/>
          <w:lang w:val="en-US"/>
        </w:rPr>
        <w:t>7</w:t>
      </w:r>
      <w:r>
        <w:rPr>
          <w:color w:val="000000"/>
          <w:lang w:val="en-US"/>
        </w:rPr>
        <w:t xml:space="preserve">]. </w:t>
      </w:r>
      <w:commentRangeEnd w:id="115"/>
      <w:r w:rsidR="00722D99">
        <w:rPr>
          <w:rStyle w:val="CommentReference"/>
        </w:rPr>
        <w:commentReference w:id="115"/>
      </w:r>
      <w:r>
        <w:rPr>
          <w:color w:val="000000"/>
          <w:lang w:val="en-US"/>
        </w:rPr>
        <w:t xml:space="preserve">This metal also </w:t>
      </w:r>
      <w:r w:rsidRPr="001360C9">
        <w:rPr>
          <w:color w:val="000000"/>
          <w:lang w:val="en-US"/>
        </w:rPr>
        <w:t>maintenance</w:t>
      </w:r>
      <w:r>
        <w:rPr>
          <w:color w:val="000000"/>
          <w:lang w:val="en-US"/>
        </w:rPr>
        <w:t xml:space="preserve"> the </w:t>
      </w:r>
      <w:r w:rsidRPr="003D689A">
        <w:rPr>
          <w:lang w:val="en-US"/>
        </w:rPr>
        <w:t>balance</w:t>
      </w:r>
      <w:r>
        <w:rPr>
          <w:color w:val="000000"/>
          <w:lang w:val="en-US"/>
        </w:rPr>
        <w:t xml:space="preserve"> of</w:t>
      </w:r>
      <w:r>
        <w:rPr>
          <w:lang w:val="en-US"/>
        </w:rPr>
        <w:t>a cellular redox [</w:t>
      </w:r>
      <w:commentRangeStart w:id="116"/>
      <w:r w:rsidR="00B17E6F">
        <w:rPr>
          <w:lang w:val="en-US"/>
        </w:rPr>
        <w:t>7</w:t>
      </w:r>
      <w:r w:rsidR="009E1B87">
        <w:rPr>
          <w:lang w:val="en-US"/>
        </w:rPr>
        <w:t>8</w:t>
      </w:r>
      <w:r>
        <w:rPr>
          <w:lang w:val="en-US"/>
        </w:rPr>
        <w:t>]</w:t>
      </w:r>
      <w:commentRangeEnd w:id="116"/>
      <w:r w:rsidR="00722D99">
        <w:rPr>
          <w:rStyle w:val="CommentReference"/>
        </w:rPr>
        <w:commentReference w:id="116"/>
      </w:r>
      <w:r>
        <w:rPr>
          <w:lang w:val="en-US"/>
        </w:rPr>
        <w:t xml:space="preserve">. Thus, </w:t>
      </w:r>
      <w:r w:rsidRPr="003D21F2">
        <w:rPr>
          <w:lang w:val="en-US"/>
        </w:rPr>
        <w:t>Zn is important cofactor</w:t>
      </w:r>
      <w:r>
        <w:rPr>
          <w:lang w:val="en-US"/>
        </w:rPr>
        <w:t xml:space="preserve">s in diverse cellular processes. </w:t>
      </w:r>
      <w:r>
        <w:rPr>
          <w:color w:val="000000"/>
          <w:lang w:val="en-US"/>
        </w:rPr>
        <w:t>Concern the thyroid function, Zn</w:t>
      </w:r>
      <w:r w:rsidRPr="002C7A97">
        <w:rPr>
          <w:color w:val="000000"/>
          <w:lang w:val="en-US"/>
        </w:rPr>
        <w:t xml:space="preserve"> is involved in the synthesis of TSH</w:t>
      </w:r>
      <w:r>
        <w:rPr>
          <w:color w:val="000000"/>
          <w:lang w:val="en-US"/>
        </w:rPr>
        <w:t xml:space="preserve"> and </w:t>
      </w:r>
      <w:r w:rsidRPr="002C7A97">
        <w:rPr>
          <w:color w:val="000000"/>
          <w:lang w:val="en-US"/>
        </w:rPr>
        <w:t xml:space="preserve">important for the proper functioning of T3 because T3 nuclear receptors contain </w:t>
      </w:r>
      <w:r>
        <w:rPr>
          <w:color w:val="000000"/>
          <w:lang w:val="en-US"/>
        </w:rPr>
        <w:t>Zn</w:t>
      </w:r>
      <w:r w:rsidRPr="002C7A97">
        <w:rPr>
          <w:color w:val="000000"/>
          <w:lang w:val="en-US"/>
        </w:rPr>
        <w:t xml:space="preserve"> ions</w:t>
      </w:r>
      <w:r>
        <w:rPr>
          <w:color w:val="000000"/>
          <w:lang w:val="en-US"/>
        </w:rPr>
        <w:t xml:space="preserve"> [</w:t>
      </w:r>
      <w:commentRangeStart w:id="117"/>
      <w:r w:rsidR="009E1B87">
        <w:rPr>
          <w:color w:val="000000"/>
          <w:lang w:val="en-US"/>
        </w:rPr>
        <w:t>79</w:t>
      </w:r>
      <w:r>
        <w:rPr>
          <w:color w:val="000000"/>
          <w:lang w:val="en-US"/>
        </w:rPr>
        <w:t>]</w:t>
      </w:r>
      <w:commentRangeEnd w:id="117"/>
      <w:r w:rsidR="00722D99">
        <w:rPr>
          <w:rStyle w:val="CommentReference"/>
        </w:rPr>
        <w:commentReference w:id="117"/>
      </w:r>
      <w:r>
        <w:rPr>
          <w:color w:val="000000"/>
          <w:lang w:val="en-US"/>
        </w:rPr>
        <w:t xml:space="preserve">. However, </w:t>
      </w:r>
      <w:r w:rsidRPr="00416F78">
        <w:rPr>
          <w:color w:val="000000"/>
          <w:lang w:val="en-US"/>
        </w:rPr>
        <w:t xml:space="preserve">high </w:t>
      </w:r>
      <w:r>
        <w:rPr>
          <w:color w:val="000000"/>
          <w:lang w:val="en-US"/>
        </w:rPr>
        <w:t xml:space="preserve">Zn </w:t>
      </w:r>
      <w:r w:rsidRPr="00416F78">
        <w:rPr>
          <w:color w:val="000000"/>
          <w:lang w:val="en-US"/>
        </w:rPr>
        <w:t>concentrations are toxic to the cells</w:t>
      </w:r>
      <w:r>
        <w:rPr>
          <w:color w:val="000000"/>
          <w:lang w:val="en-US"/>
        </w:rPr>
        <w:t xml:space="preserve"> and t</w:t>
      </w:r>
      <w:r>
        <w:rPr>
          <w:lang w:val="en-US"/>
        </w:rPr>
        <w:t>he elevated level of</w:t>
      </w:r>
      <w:r w:rsidRPr="00777911">
        <w:rPr>
          <w:lang w:val="en-US"/>
        </w:rPr>
        <w:t xml:space="preserve"> Zn mass fractions in thyroid tissue may contribute to harmful effects on the gland. There are good reasons for such speculations since</w:t>
      </w:r>
      <w:r>
        <w:rPr>
          <w:lang w:val="en-US"/>
        </w:rPr>
        <w:t xml:space="preserve">. </w:t>
      </w:r>
      <w:r w:rsidRPr="00696418">
        <w:rPr>
          <w:lang w:val="en-US"/>
        </w:rPr>
        <w:t xml:space="preserve">experimental and </w:t>
      </w:r>
      <w:r w:rsidRPr="00142C8F">
        <w:rPr>
          <w:lang w:val="en-US"/>
        </w:rPr>
        <w:t>epidemiological</w:t>
      </w:r>
      <w:r w:rsidRPr="00696418">
        <w:rPr>
          <w:lang w:val="en-US"/>
        </w:rPr>
        <w:t xml:space="preserve"> data support the hypothesis that </w:t>
      </w:r>
      <w:r>
        <w:rPr>
          <w:lang w:val="en-US"/>
        </w:rPr>
        <w:t>Zn</w:t>
      </w:r>
      <w:r w:rsidRPr="00696418">
        <w:rPr>
          <w:lang w:val="en-US"/>
        </w:rPr>
        <w:t xml:space="preserve"> overload is a risk factor for </w:t>
      </w:r>
      <w:r>
        <w:rPr>
          <w:lang w:val="en-US"/>
        </w:rPr>
        <w:t>benign and malignant tumors [</w:t>
      </w:r>
      <w:commentRangeStart w:id="118"/>
      <w:r w:rsidR="000B4B2C">
        <w:rPr>
          <w:lang w:val="en-US"/>
        </w:rPr>
        <w:t>7</w:t>
      </w:r>
      <w:r w:rsidR="009E1B87">
        <w:rPr>
          <w:lang w:val="en-US"/>
        </w:rPr>
        <w:t>7</w:t>
      </w:r>
      <w:r>
        <w:rPr>
          <w:lang w:val="en-US"/>
        </w:rPr>
        <w:t>,</w:t>
      </w:r>
      <w:r w:rsidR="000B4B2C">
        <w:rPr>
          <w:lang w:val="en-US"/>
        </w:rPr>
        <w:t>8</w:t>
      </w:r>
      <w:r w:rsidR="009E1B87">
        <w:rPr>
          <w:lang w:val="en-US"/>
        </w:rPr>
        <w:t>0</w:t>
      </w:r>
      <w:r>
        <w:rPr>
          <w:lang w:val="en-US"/>
        </w:rPr>
        <w:t>-</w:t>
      </w:r>
      <w:r w:rsidR="000B4B2C">
        <w:rPr>
          <w:lang w:val="en-US"/>
        </w:rPr>
        <w:t>8</w:t>
      </w:r>
      <w:r w:rsidR="009E1B87">
        <w:rPr>
          <w:lang w:val="en-US"/>
        </w:rPr>
        <w:t>2</w:t>
      </w:r>
      <w:commentRangeEnd w:id="118"/>
      <w:r w:rsidR="00722D99">
        <w:rPr>
          <w:rStyle w:val="CommentReference"/>
        </w:rPr>
        <w:commentReference w:id="118"/>
      </w:r>
      <w:r>
        <w:rPr>
          <w:lang w:val="en-US"/>
        </w:rPr>
        <w:t>].</w:t>
      </w:r>
    </w:p>
    <w:p w:rsidR="00181545" w:rsidRDefault="00181545" w:rsidP="00204280">
      <w:pPr>
        <w:spacing w:line="276" w:lineRule="auto"/>
        <w:jc w:val="both"/>
        <w:rPr>
          <w:rFonts w:eastAsia="GulliverRM"/>
          <w:color w:val="000000"/>
          <w:lang w:val="en-US"/>
        </w:rPr>
      </w:pPr>
    </w:p>
    <w:p w:rsidR="00A00E12" w:rsidRPr="00F60146" w:rsidRDefault="00A00A9A" w:rsidP="00204280">
      <w:pPr>
        <w:spacing w:line="276" w:lineRule="auto"/>
        <w:jc w:val="both"/>
        <w:rPr>
          <w:b/>
          <w:lang w:val="en-US"/>
        </w:rPr>
      </w:pPr>
      <w:r w:rsidRPr="00F60146">
        <w:rPr>
          <w:lang w:val="en-US"/>
        </w:rPr>
        <w:t xml:space="preserve">Characteristically, </w:t>
      </w:r>
      <w:commentRangeStart w:id="119"/>
      <w:r w:rsidRPr="00F60146">
        <w:rPr>
          <w:lang w:val="en-US"/>
        </w:rPr>
        <w:t xml:space="preserve">elevated or </w:t>
      </w:r>
      <w:r w:rsidR="008F34F1" w:rsidRPr="00F60146">
        <w:rPr>
          <w:lang w:val="en-US"/>
        </w:rPr>
        <w:t xml:space="preserve">reduced </w:t>
      </w:r>
      <w:r w:rsidRPr="00F60146">
        <w:rPr>
          <w:lang w:val="en-US"/>
        </w:rPr>
        <w:t xml:space="preserve">levels </w:t>
      </w:r>
      <w:commentRangeEnd w:id="119"/>
      <w:r w:rsidR="00F60146">
        <w:rPr>
          <w:rStyle w:val="CommentReference"/>
        </w:rPr>
        <w:commentReference w:id="119"/>
      </w:r>
      <w:r w:rsidRPr="00F60146">
        <w:rPr>
          <w:lang w:val="en-US"/>
        </w:rPr>
        <w:t xml:space="preserve">of </w:t>
      </w:r>
      <w:r w:rsidR="00C96A45" w:rsidRPr="00F60146">
        <w:rPr>
          <w:lang w:val="en-US"/>
        </w:rPr>
        <w:t>TE</w:t>
      </w:r>
      <w:r w:rsidRPr="00F60146">
        <w:rPr>
          <w:lang w:val="en-US"/>
        </w:rPr>
        <w:t xml:space="preserve"> observed in </w:t>
      </w:r>
      <w:r w:rsidR="008962A6" w:rsidRPr="00F60146">
        <w:rPr>
          <w:lang w:val="en-US"/>
        </w:rPr>
        <w:t>thyroid nodules</w:t>
      </w:r>
      <w:r w:rsidRPr="00F60146">
        <w:rPr>
          <w:lang w:val="en-US"/>
        </w:rPr>
        <w:t xml:space="preserve"> are discussed in terms of their potential role in the initiation and </w:t>
      </w:r>
      <w:commentRangeStart w:id="120"/>
      <w:r w:rsidRPr="00F60146">
        <w:rPr>
          <w:lang w:val="en-US"/>
        </w:rPr>
        <w:t xml:space="preserve">promotion of </w:t>
      </w:r>
      <w:r w:rsidR="008962A6" w:rsidRPr="00F60146">
        <w:rPr>
          <w:lang w:val="en-US"/>
        </w:rPr>
        <w:t>these thyroid lesions</w:t>
      </w:r>
      <w:commentRangeEnd w:id="120"/>
      <w:r w:rsidR="00F60146">
        <w:rPr>
          <w:rStyle w:val="CommentReference"/>
        </w:rPr>
        <w:commentReference w:id="120"/>
      </w:r>
      <w:r w:rsidRPr="00F60146">
        <w:rPr>
          <w:lang w:val="en-US"/>
        </w:rPr>
        <w:t xml:space="preserve">. </w:t>
      </w:r>
      <w:r w:rsidR="006E5CA9" w:rsidRPr="00F60146">
        <w:rPr>
          <w:rFonts w:eastAsia="MinionPro-Regular"/>
          <w:lang w:val="en-US"/>
        </w:rPr>
        <w:t xml:space="preserve">In other words, </w:t>
      </w:r>
      <w:commentRangeStart w:id="121"/>
      <w:r w:rsidR="006E5CA9" w:rsidRPr="00F60146">
        <w:rPr>
          <w:rFonts w:eastAsia="MinionPro-Regular"/>
          <w:lang w:val="en-US"/>
        </w:rPr>
        <w:t>using</w:t>
      </w:r>
      <w:commentRangeEnd w:id="121"/>
      <w:r w:rsidR="00752379">
        <w:rPr>
          <w:rStyle w:val="CommentReference"/>
        </w:rPr>
        <w:commentReference w:id="121"/>
      </w:r>
      <w:r w:rsidR="006E5CA9" w:rsidRPr="00F60146">
        <w:rPr>
          <w:rFonts w:eastAsia="MinionPro-Regular"/>
          <w:lang w:val="en-US"/>
        </w:rPr>
        <w:t xml:space="preserve"> </w:t>
      </w:r>
      <w:commentRangeStart w:id="122"/>
      <w:r w:rsidR="006E5CA9" w:rsidRPr="00F60146">
        <w:rPr>
          <w:rFonts w:eastAsia="MinionPro-Regular"/>
          <w:lang w:val="en-US"/>
        </w:rPr>
        <w:t xml:space="preserve">the </w:t>
      </w:r>
      <w:commentRangeEnd w:id="122"/>
      <w:r w:rsidR="00752379">
        <w:rPr>
          <w:rStyle w:val="CommentReference"/>
        </w:rPr>
        <w:commentReference w:id="122"/>
      </w:r>
      <w:r w:rsidR="006E5CA9" w:rsidRPr="00F60146">
        <w:rPr>
          <w:rFonts w:eastAsia="MinionPro-Regular"/>
          <w:lang w:val="en-US"/>
        </w:rPr>
        <w:t xml:space="preserve">low or high levels of the </w:t>
      </w:r>
      <w:r w:rsidR="00C96A45" w:rsidRPr="00F60146">
        <w:rPr>
          <w:lang w:val="en-US"/>
        </w:rPr>
        <w:t>TE</w:t>
      </w:r>
      <w:r w:rsidR="00722D99" w:rsidRPr="00F60146">
        <w:rPr>
          <w:lang w:val="en-US"/>
        </w:rPr>
        <w:t xml:space="preserve"> </w:t>
      </w:r>
      <w:r w:rsidR="006E5CA9" w:rsidRPr="00F60146">
        <w:rPr>
          <w:rFonts w:eastAsia="MinionPro-Regular"/>
          <w:lang w:val="en-US"/>
        </w:rPr>
        <w:t xml:space="preserve">in </w:t>
      </w:r>
      <w:r w:rsidR="00A00E12" w:rsidRPr="00F60146">
        <w:rPr>
          <w:lang w:val="en-US"/>
        </w:rPr>
        <w:t>affected thyroid</w:t>
      </w:r>
      <w:r w:rsidR="00722D99" w:rsidRPr="00F60146">
        <w:rPr>
          <w:lang w:val="en-US"/>
        </w:rPr>
        <w:t xml:space="preserve"> </w:t>
      </w:r>
      <w:r w:rsidR="006E5CA9" w:rsidRPr="00F60146">
        <w:rPr>
          <w:rFonts w:eastAsia="MinionPro-Regular"/>
          <w:lang w:val="en-US"/>
        </w:rPr>
        <w:t xml:space="preserve">tissues </w:t>
      </w:r>
      <w:r w:rsidR="008F34F1" w:rsidRPr="00F60146">
        <w:rPr>
          <w:rFonts w:eastAsia="MinionPro-Regular"/>
          <w:lang w:val="en-US"/>
        </w:rPr>
        <w:t xml:space="preserve">researchers </w:t>
      </w:r>
      <w:r w:rsidR="006E5CA9" w:rsidRPr="00F60146">
        <w:rPr>
          <w:rFonts w:eastAsia="MinionPro-Regular"/>
          <w:lang w:val="en-US"/>
        </w:rPr>
        <w:t xml:space="preserve">try to determine the role of </w:t>
      </w:r>
      <w:commentRangeStart w:id="123"/>
      <w:r w:rsidR="006E5CA9" w:rsidRPr="00F60146">
        <w:rPr>
          <w:rFonts w:eastAsia="MinionPro-Regular"/>
          <w:lang w:val="en-US"/>
        </w:rPr>
        <w:t xml:space="preserve">the </w:t>
      </w:r>
      <w:commentRangeEnd w:id="123"/>
      <w:r w:rsidR="00752379">
        <w:rPr>
          <w:rStyle w:val="CommentReference"/>
        </w:rPr>
        <w:commentReference w:id="123"/>
      </w:r>
      <w:r w:rsidR="006E5CA9" w:rsidRPr="00F60146">
        <w:rPr>
          <w:rFonts w:eastAsia="MinionPro-Regular"/>
          <w:lang w:val="en-US"/>
        </w:rPr>
        <w:t xml:space="preserve">deficiency or excess of </w:t>
      </w:r>
      <w:commentRangeStart w:id="124"/>
      <w:r w:rsidR="006E5CA9" w:rsidRPr="00F60146">
        <w:rPr>
          <w:rFonts w:eastAsia="MinionPro-Regular"/>
          <w:lang w:val="en-US"/>
        </w:rPr>
        <w:t>each</w:t>
      </w:r>
      <w:commentRangeEnd w:id="124"/>
      <w:r w:rsidR="00752379">
        <w:rPr>
          <w:rStyle w:val="CommentReference"/>
        </w:rPr>
        <w:commentReference w:id="124"/>
      </w:r>
      <w:r w:rsidR="006E5CA9" w:rsidRPr="00F60146">
        <w:rPr>
          <w:rFonts w:eastAsia="MinionPro-Regular"/>
          <w:lang w:val="en-US"/>
        </w:rPr>
        <w:t xml:space="preserve"> </w:t>
      </w:r>
      <w:r w:rsidR="00C96A45" w:rsidRPr="00F60146">
        <w:rPr>
          <w:lang w:val="en-US"/>
        </w:rPr>
        <w:t>TE</w:t>
      </w:r>
      <w:r w:rsidR="00722D99" w:rsidRPr="00F60146">
        <w:rPr>
          <w:lang w:val="en-US"/>
        </w:rPr>
        <w:t xml:space="preserve"> </w:t>
      </w:r>
      <w:r w:rsidR="006E5CA9" w:rsidRPr="00F60146">
        <w:rPr>
          <w:rFonts w:eastAsia="MinionPro-Regular"/>
          <w:lang w:val="en-US"/>
        </w:rPr>
        <w:t xml:space="preserve">in </w:t>
      </w:r>
      <w:r w:rsidR="0063176C" w:rsidRPr="00F60146">
        <w:rPr>
          <w:rFonts w:eastAsia="MinionPro-Regular"/>
          <w:lang w:val="en-US"/>
        </w:rPr>
        <w:t>the etiology</w:t>
      </w:r>
      <w:r w:rsidR="00A00E12" w:rsidRPr="00F60146">
        <w:rPr>
          <w:rFonts w:eastAsia="MinionPro-Regular"/>
          <w:lang w:val="en-US"/>
        </w:rPr>
        <w:t xml:space="preserve"> and pathogenesis of thyroid diseases</w:t>
      </w:r>
      <w:r w:rsidR="006E5CA9" w:rsidRPr="00F60146">
        <w:rPr>
          <w:rFonts w:eastAsia="MinionPro-Regular"/>
          <w:lang w:val="en-US"/>
        </w:rPr>
        <w:t>.</w:t>
      </w:r>
      <w:r w:rsidR="00F60146" w:rsidRPr="00F60146">
        <w:rPr>
          <w:rFonts w:eastAsia="MinionPro-Regular"/>
          <w:lang w:val="en-US"/>
        </w:rPr>
        <w:t xml:space="preserve"> </w:t>
      </w:r>
      <w:r w:rsidRPr="00F60146">
        <w:rPr>
          <w:lang w:val="en-US"/>
        </w:rPr>
        <w:t xml:space="preserve">In our opinion, abnormal levels of many </w:t>
      </w:r>
      <w:r w:rsidR="00C96A45" w:rsidRPr="00F60146">
        <w:rPr>
          <w:lang w:val="en-US"/>
        </w:rPr>
        <w:t>TE</w:t>
      </w:r>
      <w:r w:rsidR="00F60146" w:rsidRPr="00F60146">
        <w:rPr>
          <w:lang w:val="en-US"/>
        </w:rPr>
        <w:t xml:space="preserve"> </w:t>
      </w:r>
      <w:r w:rsidRPr="00F60146">
        <w:rPr>
          <w:lang w:val="en-US"/>
        </w:rPr>
        <w:t xml:space="preserve">in </w:t>
      </w:r>
      <w:r w:rsidR="000666BE" w:rsidRPr="00F60146">
        <w:rPr>
          <w:rFonts w:eastAsia="MinionPro-Regular"/>
          <w:lang w:val="en-US"/>
        </w:rPr>
        <w:t>TBNs</w:t>
      </w:r>
      <w:r w:rsidR="00F60146" w:rsidRPr="00F60146">
        <w:rPr>
          <w:rFonts w:eastAsia="MinionPro-Regular"/>
          <w:lang w:val="en-US"/>
        </w:rPr>
        <w:t xml:space="preserve"> </w:t>
      </w:r>
      <w:r w:rsidRPr="00F60146">
        <w:rPr>
          <w:lang w:val="en-US"/>
        </w:rPr>
        <w:t xml:space="preserve">could be </w:t>
      </w:r>
      <w:commentRangeStart w:id="125"/>
      <w:r w:rsidRPr="00F60146">
        <w:rPr>
          <w:lang w:val="en-US"/>
        </w:rPr>
        <w:t>and cause</w:t>
      </w:r>
      <w:r w:rsidR="00AA03D5" w:rsidRPr="00F60146">
        <w:rPr>
          <w:lang w:val="en-US"/>
        </w:rPr>
        <w:t>,</w:t>
      </w:r>
      <w:r w:rsidRPr="00F60146">
        <w:rPr>
          <w:lang w:val="en-US"/>
        </w:rPr>
        <w:t xml:space="preserve"> and also effect of </w:t>
      </w:r>
      <w:r w:rsidR="00A00E12" w:rsidRPr="00F60146">
        <w:rPr>
          <w:lang w:val="en-US"/>
        </w:rPr>
        <w:t>thyroid tissue</w:t>
      </w:r>
      <w:r w:rsidR="00F60146" w:rsidRPr="00F60146">
        <w:rPr>
          <w:lang w:val="en-US"/>
        </w:rPr>
        <w:t xml:space="preserve"> </w:t>
      </w:r>
      <w:r w:rsidRPr="00F60146">
        <w:rPr>
          <w:lang w:val="en-US"/>
        </w:rPr>
        <w:t>transformation</w:t>
      </w:r>
      <w:commentRangeEnd w:id="125"/>
      <w:r w:rsidR="00015B24">
        <w:rPr>
          <w:rStyle w:val="CommentReference"/>
        </w:rPr>
        <w:commentReference w:id="125"/>
      </w:r>
      <w:r w:rsidR="00DA4B51" w:rsidRPr="00F60146">
        <w:rPr>
          <w:lang w:val="en-US"/>
        </w:rPr>
        <w:t xml:space="preserve">. </w:t>
      </w:r>
      <w:r w:rsidR="00AA03D5" w:rsidRPr="00F60146">
        <w:rPr>
          <w:rStyle w:val="st1"/>
          <w:rFonts w:eastAsia="Arial Unicode MS"/>
          <w:bCs/>
          <w:lang w:val="pt-BR"/>
        </w:rPr>
        <w:t xml:space="preserve">From the results of such </w:t>
      </w:r>
      <w:commentRangeStart w:id="126"/>
      <w:r w:rsidR="00AA03D5" w:rsidRPr="00F60146">
        <w:rPr>
          <w:rStyle w:val="st1"/>
          <w:rFonts w:eastAsia="Arial Unicode MS"/>
          <w:bCs/>
          <w:lang w:val="pt-BR"/>
        </w:rPr>
        <w:t>kind</w:t>
      </w:r>
      <w:commentRangeEnd w:id="126"/>
      <w:r w:rsidR="00015B24">
        <w:rPr>
          <w:rStyle w:val="CommentReference"/>
        </w:rPr>
        <w:commentReference w:id="126"/>
      </w:r>
      <w:r w:rsidR="00AA03D5" w:rsidRPr="00F60146">
        <w:rPr>
          <w:rStyle w:val="st1"/>
          <w:rFonts w:eastAsia="Arial Unicode MS"/>
          <w:bCs/>
          <w:lang w:val="pt-BR"/>
        </w:rPr>
        <w:t xml:space="preserve"> studies, it is </w:t>
      </w:r>
      <w:r w:rsidR="00CC01B4" w:rsidRPr="00F60146">
        <w:rPr>
          <w:rStyle w:val="st1"/>
          <w:rFonts w:eastAsia="Arial Unicode MS"/>
          <w:bCs/>
          <w:lang w:val="pt-BR"/>
        </w:rPr>
        <w:t>not always</w:t>
      </w:r>
      <w:r w:rsidR="00F60146" w:rsidRPr="00F60146">
        <w:rPr>
          <w:rStyle w:val="st1"/>
          <w:rFonts w:eastAsia="Arial Unicode MS"/>
          <w:bCs/>
          <w:lang w:val="pt-BR"/>
        </w:rPr>
        <w:t xml:space="preserve"> </w:t>
      </w:r>
      <w:r w:rsidR="00AA03D5" w:rsidRPr="00F60146">
        <w:rPr>
          <w:rStyle w:val="st1"/>
          <w:rFonts w:eastAsia="Arial Unicode MS"/>
          <w:bCs/>
          <w:lang w:val="pt-BR"/>
        </w:rPr>
        <w:t xml:space="preserve">possible to decide whether the measured </w:t>
      </w:r>
      <w:r w:rsidR="00AA03D5" w:rsidRPr="00F60146">
        <w:rPr>
          <w:rStyle w:val="st1"/>
          <w:bCs/>
          <w:lang w:val="pt-BR"/>
        </w:rPr>
        <w:t xml:space="preserve">decrease or increase </w:t>
      </w:r>
      <w:r w:rsidR="00AA03D5" w:rsidRPr="00F60146">
        <w:rPr>
          <w:rStyle w:val="st1"/>
          <w:rFonts w:eastAsia="Arial Unicode MS"/>
          <w:bCs/>
          <w:lang w:val="pt-BR"/>
        </w:rPr>
        <w:t xml:space="preserve">in </w:t>
      </w:r>
      <w:r w:rsidR="00C96A45" w:rsidRPr="00F60146">
        <w:rPr>
          <w:lang w:val="en-US"/>
        </w:rPr>
        <w:t>TE</w:t>
      </w:r>
      <w:r w:rsidR="00015B24">
        <w:rPr>
          <w:lang w:val="en-US"/>
        </w:rPr>
        <w:t xml:space="preserve"> </w:t>
      </w:r>
      <w:r w:rsidR="00AA03D5" w:rsidRPr="00F60146">
        <w:rPr>
          <w:rStyle w:val="st1"/>
          <w:rFonts w:eastAsia="Arial Unicode MS"/>
          <w:bCs/>
          <w:lang w:val="pt-BR"/>
        </w:rPr>
        <w:t xml:space="preserve">level in pathologically altered tissue is the </w:t>
      </w:r>
      <w:commentRangeStart w:id="127"/>
      <w:r w:rsidR="00AA03D5" w:rsidRPr="00F60146">
        <w:rPr>
          <w:rStyle w:val="st1"/>
          <w:rFonts w:eastAsia="Arial Unicode MS"/>
          <w:bCs/>
          <w:lang w:val="pt-BR"/>
        </w:rPr>
        <w:t>reason for alterations or vice versa</w:t>
      </w:r>
      <w:commentRangeEnd w:id="127"/>
      <w:r w:rsidR="00015B24">
        <w:rPr>
          <w:rStyle w:val="CommentReference"/>
        </w:rPr>
        <w:commentReference w:id="127"/>
      </w:r>
      <w:r w:rsidR="00AA03D5" w:rsidRPr="00F60146">
        <w:rPr>
          <w:rStyle w:val="st1"/>
          <w:rFonts w:eastAsia="Arial Unicode MS"/>
          <w:bCs/>
          <w:lang w:val="pt-BR"/>
        </w:rPr>
        <w:t>.</w:t>
      </w:r>
    </w:p>
    <w:p w:rsidR="00015B24" w:rsidRDefault="00015B24" w:rsidP="00204280">
      <w:pPr>
        <w:adjustRightInd w:val="0"/>
        <w:snapToGrid w:val="0"/>
        <w:spacing w:line="276" w:lineRule="auto"/>
        <w:rPr>
          <w:rFonts w:eastAsiaTheme="minorHAnsi"/>
          <w:b/>
          <w:bCs/>
          <w:lang w:val="en-US" w:eastAsia="en-US"/>
        </w:rPr>
      </w:pPr>
    </w:p>
    <w:p w:rsidR="00641EB9" w:rsidRPr="00641EB9" w:rsidRDefault="00641EB9" w:rsidP="00204280">
      <w:pPr>
        <w:adjustRightInd w:val="0"/>
        <w:snapToGrid w:val="0"/>
        <w:spacing w:line="276" w:lineRule="auto"/>
        <w:rPr>
          <w:b/>
          <w:bCs/>
          <w:iCs/>
          <w:lang w:val="en-US"/>
        </w:rPr>
      </w:pPr>
      <w:r w:rsidRPr="00641EB9">
        <w:rPr>
          <w:rFonts w:eastAsiaTheme="minorHAnsi"/>
          <w:b/>
          <w:bCs/>
          <w:lang w:val="en-US" w:eastAsia="en-US"/>
        </w:rPr>
        <w:t>Limitations</w:t>
      </w:r>
    </w:p>
    <w:p w:rsidR="00AE7806" w:rsidRPr="00A00E12" w:rsidRDefault="00AE7806" w:rsidP="00204280">
      <w:pPr>
        <w:spacing w:line="276" w:lineRule="auto"/>
        <w:jc w:val="both"/>
        <w:rPr>
          <w:b/>
          <w:highlight w:val="cyan"/>
          <w:lang w:val="en-US"/>
        </w:rPr>
      </w:pPr>
      <w:r w:rsidRPr="00A64259">
        <w:t xml:space="preserve">This study has several limitations. Firstly, analytical techniques employed in this study measure only </w:t>
      </w:r>
      <w:r w:rsidR="00C96A45">
        <w:t>fifty</w:t>
      </w:r>
      <w:r w:rsidR="00C96A45">
        <w:rPr>
          <w:lang w:val="en-US"/>
        </w:rPr>
        <w:t>TE</w:t>
      </w:r>
      <w:r w:rsidRPr="00A64259">
        <w:t>(</w:t>
      </w:r>
      <w:r w:rsidR="00C96A45" w:rsidRPr="00500EEC">
        <w:rPr>
          <w:lang w:val="en-US"/>
        </w:rPr>
        <w:t>Ag, Al, As, Au, B, Be, Bi, Cd, Ce, Co, Cr, Cs, Dy, Er, Eu, Fe, Ga, Gd, Hg, Ho, Ir, La, Li, Lu, Mn, Mo, Nb, Nd, Ni, Pb, Pd, Pr, Pt, Rb, Sb, Sc, Se, Sm, Sn, Tb, Te, Th, Ti, Tl, Tm, U, Y, Yb, Zn, and Zr</w:t>
      </w:r>
      <w:r w:rsidRPr="00A64259">
        <w:rPr>
          <w:lang w:val="en-US"/>
        </w:rPr>
        <w:t xml:space="preserve">) mass fractions. Future studies should be directed toward using other analytical methods which </w:t>
      </w:r>
      <w:r>
        <w:rPr>
          <w:lang w:val="en-US"/>
        </w:rPr>
        <w:t>will</w:t>
      </w:r>
      <w:r w:rsidRPr="00A64259">
        <w:rPr>
          <w:lang w:val="en-US"/>
        </w:rPr>
        <w:t xml:space="preserve"> extend the list of </w:t>
      </w:r>
      <w:r w:rsidR="00C96A45">
        <w:rPr>
          <w:lang w:val="en-US"/>
        </w:rPr>
        <w:t>TE</w:t>
      </w:r>
      <w:r w:rsidR="00FA3F28">
        <w:rPr>
          <w:lang w:val="en-US"/>
        </w:rPr>
        <w:t xml:space="preserve"> </w:t>
      </w:r>
      <w:r w:rsidRPr="00A64259">
        <w:rPr>
          <w:lang w:val="en-US"/>
        </w:rPr>
        <w:t xml:space="preserve">investigated </w:t>
      </w:r>
      <w:r w:rsidRPr="00A64259">
        <w:t>in normal thyroid</w:t>
      </w:r>
      <w:r w:rsidR="00A00E12">
        <w:t xml:space="preserve"> and </w:t>
      </w:r>
      <w:r w:rsidR="00A00E12" w:rsidRPr="00D61C74">
        <w:rPr>
          <w:rStyle w:val="st1"/>
          <w:rFonts w:eastAsia="Arial Unicode MS"/>
          <w:bCs/>
          <w:lang w:val="pt-BR"/>
        </w:rPr>
        <w:t>in pathologically altered tissue</w:t>
      </w:r>
      <w:r w:rsidRPr="00A64259">
        <w:t xml:space="preserve">. </w:t>
      </w:r>
      <w:r w:rsidR="009624E9" w:rsidRPr="00A64259">
        <w:t xml:space="preserve">Secondly, </w:t>
      </w:r>
      <w:r w:rsidR="009624E9" w:rsidRPr="00A64259">
        <w:rPr>
          <w:lang w:val="en-US"/>
        </w:rPr>
        <w:t>the sample size of</w:t>
      </w:r>
      <w:r w:rsidR="00493B0B">
        <w:rPr>
          <w:lang w:val="en-US"/>
        </w:rPr>
        <w:t xml:space="preserve"> CG group and</w:t>
      </w:r>
      <w:r w:rsidR="00B17E6F">
        <w:rPr>
          <w:lang w:val="en-US"/>
        </w:rPr>
        <w:t>,</w:t>
      </w:r>
      <w:r w:rsidR="00493B0B">
        <w:rPr>
          <w:lang w:val="en-US"/>
        </w:rPr>
        <w:t xml:space="preserve"> particularly</w:t>
      </w:r>
      <w:r w:rsidR="00B17E6F">
        <w:rPr>
          <w:lang w:val="en-US"/>
        </w:rPr>
        <w:t>,</w:t>
      </w:r>
      <w:r w:rsidR="00493B0B">
        <w:rPr>
          <w:lang w:val="en-US"/>
        </w:rPr>
        <w:t xml:space="preserve"> of</w:t>
      </w:r>
      <w:r w:rsidR="00FA3F28">
        <w:rPr>
          <w:lang w:val="en-US"/>
        </w:rPr>
        <w:t xml:space="preserve"> </w:t>
      </w:r>
      <w:r w:rsidR="00AE696E">
        <w:rPr>
          <w:lang w:val="en-US"/>
        </w:rPr>
        <w:t>TA</w:t>
      </w:r>
      <w:r w:rsidR="00FA3F28">
        <w:rPr>
          <w:lang w:val="en-US"/>
        </w:rPr>
        <w:t xml:space="preserve"> </w:t>
      </w:r>
      <w:r w:rsidR="009624E9" w:rsidRPr="00A64259">
        <w:rPr>
          <w:lang w:val="en-US"/>
        </w:rPr>
        <w:t>group was relatively small</w:t>
      </w:r>
      <w:r w:rsidR="00FA3F28">
        <w:rPr>
          <w:lang w:val="en-US"/>
        </w:rPr>
        <w:t xml:space="preserve"> </w:t>
      </w:r>
      <w:r w:rsidR="009624E9" w:rsidRPr="00262D9D">
        <w:rPr>
          <w:lang w:val="en-US"/>
        </w:rPr>
        <w:t>and prevented investigations</w:t>
      </w:r>
      <w:r w:rsidR="009624E9" w:rsidRPr="00A64259">
        <w:rPr>
          <w:rFonts w:eastAsia="MinionPro-Regular"/>
          <w:lang w:val="en-US"/>
        </w:rPr>
        <w:t xml:space="preserve"> of </w:t>
      </w:r>
      <w:r w:rsidR="00C96A45">
        <w:rPr>
          <w:lang w:val="en-US"/>
        </w:rPr>
        <w:t>TE</w:t>
      </w:r>
      <w:r w:rsidR="00FA3F28">
        <w:rPr>
          <w:lang w:val="en-US"/>
        </w:rPr>
        <w:t xml:space="preserve"> </w:t>
      </w:r>
      <w:r w:rsidR="009624E9" w:rsidRPr="00A64259">
        <w:rPr>
          <w:rFonts w:eastAsia="MinionPro-Regular"/>
          <w:lang w:val="en-US"/>
        </w:rPr>
        <w:t xml:space="preserve">contents in </w:t>
      </w:r>
      <w:r w:rsidR="00493B0B">
        <w:rPr>
          <w:rFonts w:eastAsia="MinionPro-Regular"/>
          <w:lang w:val="en-US"/>
        </w:rPr>
        <w:t>these</w:t>
      </w:r>
      <w:r w:rsidR="00FA3F28">
        <w:rPr>
          <w:rFonts w:eastAsia="MinionPro-Regular"/>
          <w:lang w:val="en-US"/>
        </w:rPr>
        <w:t xml:space="preserve"> </w:t>
      </w:r>
      <w:r w:rsidR="009624E9" w:rsidRPr="00A64259">
        <w:rPr>
          <w:lang w:val="en-US"/>
        </w:rPr>
        <w:t>group</w:t>
      </w:r>
      <w:r w:rsidR="002D7BF9">
        <w:rPr>
          <w:lang w:val="en-US"/>
        </w:rPr>
        <w:t>s</w:t>
      </w:r>
      <w:r w:rsidR="009624E9" w:rsidRPr="00A64259">
        <w:rPr>
          <w:rFonts w:eastAsia="MinionPro-Regular"/>
          <w:lang w:val="en-US"/>
        </w:rPr>
        <w:t xml:space="preserve"> using differentials like gender, </w:t>
      </w:r>
      <w:r w:rsidR="009624E9" w:rsidRPr="00A64259">
        <w:rPr>
          <w:lang w:val="en-US"/>
        </w:rPr>
        <w:t>histological types of</w:t>
      </w:r>
      <w:r w:rsidR="004B33D6">
        <w:rPr>
          <w:lang w:val="en-US"/>
        </w:rPr>
        <w:t xml:space="preserve"> CG</w:t>
      </w:r>
      <w:r w:rsidR="00B17E6F">
        <w:rPr>
          <w:lang w:val="en-US"/>
        </w:rPr>
        <w:t xml:space="preserve"> and </w:t>
      </w:r>
      <w:r w:rsidR="002D7BF9">
        <w:rPr>
          <w:lang w:val="en-US"/>
        </w:rPr>
        <w:t>TA,</w:t>
      </w:r>
      <w:r w:rsidR="00FA3F28">
        <w:rPr>
          <w:lang w:val="en-US"/>
        </w:rPr>
        <w:t xml:space="preserve"> </w:t>
      </w:r>
      <w:r w:rsidR="002D7BF9">
        <w:rPr>
          <w:lang w:val="en-US"/>
        </w:rPr>
        <w:t>nodules</w:t>
      </w:r>
      <w:r w:rsidR="00FA3F28">
        <w:rPr>
          <w:lang w:val="en-US"/>
        </w:rPr>
        <w:t xml:space="preserve"> </w:t>
      </w:r>
      <w:r w:rsidR="00AE696E">
        <w:rPr>
          <w:lang w:val="en-US"/>
        </w:rPr>
        <w:t xml:space="preserve">functional activity, </w:t>
      </w:r>
      <w:r w:rsidR="009624E9" w:rsidRPr="00A64259">
        <w:rPr>
          <w:lang w:val="en-US"/>
        </w:rPr>
        <w:t xml:space="preserve">stage of disease, </w:t>
      </w:r>
      <w:r w:rsidR="00C96A45">
        <w:rPr>
          <w:lang w:val="en-US"/>
        </w:rPr>
        <w:t xml:space="preserve">and </w:t>
      </w:r>
      <w:r w:rsidR="009624E9" w:rsidRPr="00A64259">
        <w:rPr>
          <w:rFonts w:eastAsia="MinionPro-Regular"/>
          <w:lang w:val="en-US"/>
        </w:rPr>
        <w:t>dietary habits of patients with</w:t>
      </w:r>
      <w:r w:rsidR="002D7BF9">
        <w:rPr>
          <w:rFonts w:eastAsia="MinionPro-Regular"/>
          <w:lang w:val="en-US"/>
        </w:rPr>
        <w:t xml:space="preserve"> CG and T</w:t>
      </w:r>
      <w:r w:rsidR="00B17E6F">
        <w:rPr>
          <w:rFonts w:eastAsia="MinionPro-Regular"/>
          <w:lang w:val="en-US"/>
        </w:rPr>
        <w:t>A</w:t>
      </w:r>
      <w:r w:rsidR="009624E9">
        <w:rPr>
          <w:rFonts w:eastAsia="MinionPro-Regular"/>
          <w:lang w:val="en-US"/>
        </w:rPr>
        <w:t>.</w:t>
      </w:r>
      <w:r w:rsidR="00FA3F28">
        <w:rPr>
          <w:rFonts w:eastAsia="MinionPro-Regular"/>
          <w:lang w:val="en-US"/>
        </w:rPr>
        <w:t xml:space="preserve"> </w:t>
      </w:r>
      <w:r w:rsidRPr="00A64259">
        <w:rPr>
          <w:lang w:val="en-US"/>
        </w:rPr>
        <w:t xml:space="preserve">Lastly, generalization of our results may be limited to Russian </w:t>
      </w:r>
      <w:r w:rsidRPr="00A64259">
        <w:rPr>
          <w:lang w:val="en-US"/>
        </w:rPr>
        <w:lastRenderedPageBreak/>
        <w:t xml:space="preserve">population. Despite these limitations, this study provides evidence on </w:t>
      </w:r>
      <w:r w:rsidR="00DE125E" w:rsidRPr="002E34DB">
        <w:rPr>
          <w:lang w:val="en-US"/>
        </w:rPr>
        <w:t>TBN</w:t>
      </w:r>
      <w:r w:rsidR="00DE125E">
        <w:rPr>
          <w:lang w:val="en-US"/>
        </w:rPr>
        <w:t>s</w:t>
      </w:r>
      <w:r w:rsidRPr="00A64259">
        <w:rPr>
          <w:lang w:val="en-US"/>
        </w:rPr>
        <w:t xml:space="preserve">-specific tissue </w:t>
      </w:r>
      <w:r w:rsidR="00C96A45" w:rsidRPr="00DE6594">
        <w:rPr>
          <w:lang w:val="en-US"/>
        </w:rPr>
        <w:t>Ag, Al, Cr, Hg, Mn, Th, and</w:t>
      </w:r>
      <w:r w:rsidR="00C96A45">
        <w:rPr>
          <w:lang w:val="en-US"/>
        </w:rPr>
        <w:t xml:space="preserve"> Zn</w:t>
      </w:r>
      <w:r w:rsidRPr="00A64259">
        <w:rPr>
          <w:lang w:val="en-US"/>
        </w:rPr>
        <w:t xml:space="preserve"> level alteration and shows the necessity to continue </w:t>
      </w:r>
      <w:r w:rsidR="00C96A45">
        <w:rPr>
          <w:lang w:val="en-US"/>
        </w:rPr>
        <w:t>TE</w:t>
      </w:r>
      <w:r w:rsidR="00FA3F28">
        <w:rPr>
          <w:lang w:val="en-US"/>
        </w:rPr>
        <w:t xml:space="preserve"> </w:t>
      </w:r>
      <w:r w:rsidRPr="00A64259">
        <w:rPr>
          <w:lang w:val="en-US"/>
        </w:rPr>
        <w:t xml:space="preserve">research </w:t>
      </w:r>
      <w:r>
        <w:rPr>
          <w:lang w:val="en-US"/>
        </w:rPr>
        <w:t>of</w:t>
      </w:r>
      <w:r w:rsidR="00FA3F28">
        <w:rPr>
          <w:lang w:val="en-US"/>
        </w:rPr>
        <w:t xml:space="preserve"> </w:t>
      </w:r>
      <w:r w:rsidR="000666BE">
        <w:rPr>
          <w:rFonts w:eastAsia="MinionPro-Regular"/>
          <w:lang w:val="en-US"/>
        </w:rPr>
        <w:t>TBNs.</w:t>
      </w:r>
    </w:p>
    <w:p w:rsidR="006A42C1" w:rsidRPr="007156F8" w:rsidRDefault="006A42C1" w:rsidP="00204280">
      <w:pPr>
        <w:spacing w:line="276" w:lineRule="auto"/>
        <w:rPr>
          <w:lang w:val="en-US"/>
        </w:rPr>
      </w:pPr>
    </w:p>
    <w:p w:rsidR="00FB6F8C" w:rsidRDefault="00301E0C" w:rsidP="00204280">
      <w:pPr>
        <w:pStyle w:val="ConcHead"/>
        <w:spacing w:after="0" w:line="276" w:lineRule="auto"/>
        <w:jc w:val="both"/>
        <w:rPr>
          <w:rFonts w:ascii="Times New Roman" w:hAnsi="Times New Roman"/>
          <w:sz w:val="24"/>
          <w:szCs w:val="24"/>
        </w:rPr>
      </w:pPr>
      <w:r w:rsidRPr="00C375D5">
        <w:rPr>
          <w:rFonts w:ascii="Times New Roman" w:hAnsi="Times New Roman"/>
          <w:sz w:val="24"/>
          <w:szCs w:val="24"/>
        </w:rPr>
        <w:t>Conclusion</w:t>
      </w:r>
    </w:p>
    <w:p w:rsidR="00C94B3F" w:rsidRDefault="00301E0C" w:rsidP="00EB6846">
      <w:pPr>
        <w:spacing w:line="276" w:lineRule="auto"/>
        <w:jc w:val="both"/>
        <w:rPr>
          <w:lang w:val="en-US"/>
        </w:rPr>
      </w:pPr>
      <w:commentRangeStart w:id="128"/>
      <w:r w:rsidRPr="009832F2">
        <w:rPr>
          <w:lang w:val="en-US"/>
        </w:rPr>
        <w:t xml:space="preserve">In this work, </w:t>
      </w:r>
      <w:r w:rsidR="00C96A45">
        <w:rPr>
          <w:lang w:val="en-US"/>
        </w:rPr>
        <w:t>TE</w:t>
      </w:r>
      <w:r w:rsidR="00FA3F28">
        <w:rPr>
          <w:lang w:val="en-US"/>
        </w:rPr>
        <w:t xml:space="preserve"> </w:t>
      </w:r>
      <w:r w:rsidRPr="009832F2">
        <w:rPr>
          <w:lang w:val="en-US"/>
        </w:rPr>
        <w:t xml:space="preserve">analysis was carried out in the tissue samples of </w:t>
      </w:r>
      <w:r w:rsidR="00B17E6F">
        <w:rPr>
          <w:rFonts w:eastAsia="MinionPro-Regular"/>
          <w:lang w:val="en-US"/>
        </w:rPr>
        <w:t>CG and TA</w:t>
      </w:r>
      <w:r w:rsidR="00FA3F28">
        <w:rPr>
          <w:rFonts w:eastAsia="MinionPro-Regular"/>
          <w:lang w:val="en-US"/>
        </w:rPr>
        <w:t xml:space="preserve"> </w:t>
      </w:r>
      <w:r w:rsidRPr="009832F2">
        <w:rPr>
          <w:lang w:val="en-US"/>
        </w:rPr>
        <w:t xml:space="preserve">using </w:t>
      </w:r>
      <w:r w:rsidR="005F720E">
        <w:rPr>
          <w:lang w:val="en-US"/>
        </w:rPr>
        <w:t>no</w:t>
      </w:r>
      <w:r w:rsidR="00B17E6F">
        <w:rPr>
          <w:lang w:val="en-US"/>
        </w:rPr>
        <w:t>n-destructive analytical method</w:t>
      </w:r>
      <w:r w:rsidR="00FA3F28">
        <w:rPr>
          <w:lang w:val="en-US"/>
        </w:rPr>
        <w:t xml:space="preserve"> </w:t>
      </w:r>
      <w:r w:rsidR="00C96A45">
        <w:rPr>
          <w:rStyle w:val="longtext1"/>
          <w:sz w:val="24"/>
          <w:szCs w:val="24"/>
          <w:shd w:val="clear" w:color="auto" w:fill="FFFFFF"/>
          <w:lang w:val="en-US"/>
        </w:rPr>
        <w:t>INAA-L</w:t>
      </w:r>
      <w:r w:rsidR="00434E86" w:rsidRPr="009832F2">
        <w:rPr>
          <w:rStyle w:val="longtext1"/>
          <w:sz w:val="24"/>
          <w:szCs w:val="24"/>
          <w:shd w:val="clear" w:color="auto" w:fill="FFFFFF"/>
          <w:lang w:val="en-US"/>
        </w:rPr>
        <w:t>LR</w:t>
      </w:r>
      <w:r w:rsidR="005F720E">
        <w:rPr>
          <w:rStyle w:val="longtext1"/>
          <w:sz w:val="24"/>
          <w:szCs w:val="24"/>
          <w:shd w:val="clear" w:color="auto" w:fill="FFFFFF"/>
          <w:lang w:val="en-US"/>
        </w:rPr>
        <w:t xml:space="preserve"> and </w:t>
      </w:r>
      <w:r w:rsidR="00B17E6F">
        <w:rPr>
          <w:lang w:val="en-US"/>
        </w:rPr>
        <w:t>dest</w:t>
      </w:r>
      <w:r w:rsidR="00C96A45">
        <w:rPr>
          <w:lang w:val="en-US"/>
        </w:rPr>
        <w:t>ructive analytical method ICP-M</w:t>
      </w:r>
      <w:r w:rsidR="00B17E6F">
        <w:rPr>
          <w:lang w:val="en-US"/>
        </w:rPr>
        <w:t>S</w:t>
      </w:r>
      <w:r w:rsidRPr="009832F2">
        <w:rPr>
          <w:rStyle w:val="longtext1"/>
          <w:sz w:val="24"/>
          <w:szCs w:val="24"/>
          <w:shd w:val="clear" w:color="auto" w:fill="FFFFFF"/>
          <w:lang w:val="en-US"/>
        </w:rPr>
        <w:t xml:space="preserve">. It was shown that </w:t>
      </w:r>
      <w:r w:rsidR="005F720E">
        <w:rPr>
          <w:rStyle w:val="longtext1"/>
          <w:sz w:val="24"/>
          <w:szCs w:val="24"/>
          <w:shd w:val="clear" w:color="auto" w:fill="FFFFFF"/>
          <w:lang w:val="en-US"/>
        </w:rPr>
        <w:t>combination of these methods</w:t>
      </w:r>
      <w:r w:rsidR="00FA3F28">
        <w:rPr>
          <w:rStyle w:val="longtext1"/>
          <w:sz w:val="24"/>
          <w:szCs w:val="24"/>
          <w:shd w:val="clear" w:color="auto" w:fill="FFFFFF"/>
          <w:lang w:val="en-US"/>
        </w:rPr>
        <w:t xml:space="preserve"> </w:t>
      </w:r>
      <w:r w:rsidRPr="009832F2">
        <w:rPr>
          <w:rStyle w:val="longtext1"/>
          <w:sz w:val="24"/>
          <w:szCs w:val="24"/>
          <w:shd w:val="clear" w:color="auto" w:fill="FFFFFF"/>
          <w:lang w:val="en-US"/>
        </w:rPr>
        <w:t xml:space="preserve">is an adequate analytical tool for the determination of </w:t>
      </w:r>
      <w:r w:rsidR="00C96A45">
        <w:rPr>
          <w:rStyle w:val="longtext1"/>
          <w:sz w:val="24"/>
          <w:szCs w:val="24"/>
          <w:shd w:val="clear" w:color="auto" w:fill="FFFFFF"/>
          <w:lang w:val="en-US"/>
        </w:rPr>
        <w:t>fifty</w:t>
      </w:r>
      <w:r w:rsidR="00FA3F28">
        <w:rPr>
          <w:rStyle w:val="longtext1"/>
          <w:sz w:val="24"/>
          <w:szCs w:val="24"/>
          <w:shd w:val="clear" w:color="auto" w:fill="FFFFFF"/>
          <w:lang w:val="en-US"/>
        </w:rPr>
        <w:t xml:space="preserve"> </w:t>
      </w:r>
      <w:r w:rsidR="00C96A45">
        <w:rPr>
          <w:lang w:val="en-US"/>
        </w:rPr>
        <w:t>TE</w:t>
      </w:r>
      <w:commentRangeEnd w:id="128"/>
      <w:r w:rsidR="00FA3F28">
        <w:rPr>
          <w:rStyle w:val="CommentReference"/>
        </w:rPr>
        <w:commentReference w:id="128"/>
      </w:r>
      <w:r w:rsidR="00FA3F28">
        <w:rPr>
          <w:lang w:val="en-US"/>
        </w:rPr>
        <w:t xml:space="preserve"> </w:t>
      </w:r>
      <w:r w:rsidR="005F720E">
        <w:rPr>
          <w:lang w:val="en-US"/>
        </w:rPr>
        <w:t>(</w:t>
      </w:r>
      <w:r w:rsidR="00C96A45" w:rsidRPr="00500EEC">
        <w:rPr>
          <w:lang w:val="en-US"/>
        </w:rPr>
        <w:t>Ag, Al, As, Au, B, Be, Bi, Cd, Ce, Co, Cr, Cs, Dy, Er, Eu, Fe, Ga, Gd, Hg, Ho, Ir, La, Li, Lu, Mn, Mo, Nb, Nd, Ni, Pb, Pd, Pr, Pt, Rb, Sb, Sc, Se, Sm, Sn, Tb, Te, Th, Ti, Tl, Tm, U, Y, Yb, Zn, and Zr</w:t>
      </w:r>
      <w:r w:rsidR="005F720E">
        <w:rPr>
          <w:lang w:val="en-US"/>
        </w:rPr>
        <w:t>)</w:t>
      </w:r>
      <w:r w:rsidRPr="009832F2">
        <w:rPr>
          <w:rStyle w:val="longtext1"/>
          <w:sz w:val="24"/>
          <w:szCs w:val="24"/>
          <w:shd w:val="clear" w:color="auto" w:fill="FFFFFF"/>
          <w:lang w:val="en-US"/>
        </w:rPr>
        <w:t xml:space="preserve">content in the tissue samples of human </w:t>
      </w:r>
      <w:r w:rsidR="006E2518" w:rsidRPr="009832F2">
        <w:rPr>
          <w:rStyle w:val="longtext1"/>
          <w:sz w:val="24"/>
          <w:szCs w:val="24"/>
          <w:shd w:val="clear" w:color="auto" w:fill="FFFFFF"/>
          <w:lang w:val="en-US"/>
        </w:rPr>
        <w:t>thyroid</w:t>
      </w:r>
      <w:r w:rsidR="009B0F00" w:rsidRPr="009832F2">
        <w:rPr>
          <w:rStyle w:val="longtext1"/>
          <w:sz w:val="24"/>
          <w:szCs w:val="24"/>
          <w:shd w:val="clear" w:color="auto" w:fill="FFFFFF"/>
          <w:lang w:val="en-US"/>
        </w:rPr>
        <w:t xml:space="preserve"> in norm and pathology</w:t>
      </w:r>
      <w:r w:rsidRPr="009832F2">
        <w:rPr>
          <w:rStyle w:val="longtext1"/>
          <w:sz w:val="24"/>
          <w:szCs w:val="24"/>
          <w:shd w:val="clear" w:color="auto" w:fill="FFFFFF"/>
          <w:lang w:val="en-US"/>
        </w:rPr>
        <w:t xml:space="preserve">, including </w:t>
      </w:r>
      <w:r w:rsidRPr="009832F2">
        <w:rPr>
          <w:lang w:val="en-US"/>
        </w:rPr>
        <w:t xml:space="preserve">needle-biopsy </w:t>
      </w:r>
      <w:r w:rsidR="00272B31" w:rsidRPr="009832F2">
        <w:rPr>
          <w:lang w:val="en-US"/>
        </w:rPr>
        <w:t>specimens</w:t>
      </w:r>
      <w:r w:rsidRPr="009832F2">
        <w:rPr>
          <w:rStyle w:val="longtext1"/>
          <w:sz w:val="24"/>
          <w:szCs w:val="24"/>
          <w:shd w:val="clear" w:color="auto" w:fill="FFFFFF"/>
          <w:lang w:val="en-US"/>
        </w:rPr>
        <w:t xml:space="preserve">. </w:t>
      </w:r>
      <w:r w:rsidRPr="009832F2">
        <w:rPr>
          <w:lang w:val="en-US"/>
        </w:rPr>
        <w:t xml:space="preserve">It was observed that </w:t>
      </w:r>
      <w:r w:rsidR="00C94B3F">
        <w:rPr>
          <w:lang w:val="en-US"/>
        </w:rPr>
        <w:t>i</w:t>
      </w:r>
      <w:r w:rsidR="00C94B3F" w:rsidRPr="00487499">
        <w:rPr>
          <w:lang w:val="en-US"/>
        </w:rPr>
        <w:t xml:space="preserve">n </w:t>
      </w:r>
      <w:r w:rsidR="00B578BB">
        <w:rPr>
          <w:lang w:val="en-US"/>
        </w:rPr>
        <w:t xml:space="preserve">both CG and TA </w:t>
      </w:r>
      <w:r w:rsidR="00C94B3F" w:rsidRPr="00487499">
        <w:rPr>
          <w:lang w:val="en-US"/>
        </w:rPr>
        <w:t xml:space="preserve"> tissues contents of </w:t>
      </w:r>
      <w:r w:rsidR="00B578BB" w:rsidRPr="0092428F">
        <w:rPr>
          <w:lang w:val="en-US"/>
        </w:rPr>
        <w:t xml:space="preserve">Ag, Al, Cr, Hg, Mn, Th, </w:t>
      </w:r>
      <w:r w:rsidR="00B578BB" w:rsidRPr="00487499">
        <w:rPr>
          <w:lang w:val="en-US"/>
        </w:rPr>
        <w:t xml:space="preserve">and Zn increased, whereas levels of </w:t>
      </w:r>
      <w:r w:rsidR="00B578BB" w:rsidRPr="0092428F">
        <w:rPr>
          <w:lang w:val="en-US"/>
        </w:rPr>
        <w:t xml:space="preserve">Au, Be, Cs, Pb, Rb, Sb, Sc, Th, Yb, </w:t>
      </w:r>
      <w:r w:rsidR="00B578BB">
        <w:rPr>
          <w:lang w:val="en-US"/>
        </w:rPr>
        <w:t xml:space="preserve">and </w:t>
      </w:r>
      <w:r w:rsidR="00B578BB" w:rsidRPr="0092428F">
        <w:rPr>
          <w:lang w:val="en-US"/>
        </w:rPr>
        <w:t>Zr</w:t>
      </w:r>
      <w:r w:rsidR="00B578BB" w:rsidRPr="00487499">
        <w:rPr>
          <w:lang w:val="en-US"/>
        </w:rPr>
        <w:t xml:space="preserve"> did not changed</w:t>
      </w:r>
      <w:r w:rsidR="00FA3F28">
        <w:rPr>
          <w:lang w:val="en-US"/>
        </w:rPr>
        <w:t xml:space="preserve"> </w:t>
      </w:r>
      <w:r w:rsidR="00C94B3F">
        <w:rPr>
          <w:lang w:val="en-US"/>
        </w:rPr>
        <w:t>in comparison with normal thyroid tissue</w:t>
      </w:r>
      <w:r w:rsidR="00C94B3F" w:rsidRPr="00487499">
        <w:rPr>
          <w:lang w:val="en-US"/>
        </w:rPr>
        <w:t>.</w:t>
      </w:r>
      <w:r w:rsidR="00B578BB">
        <w:rPr>
          <w:lang w:val="en-US"/>
        </w:rPr>
        <w:t>It</w:t>
      </w:r>
      <w:r w:rsidR="00C94B3F" w:rsidRPr="00705F69">
        <w:rPr>
          <w:lang w:val="en-US"/>
        </w:rPr>
        <w:t xml:space="preserve"> was not </w:t>
      </w:r>
      <w:r w:rsidR="00B578BB">
        <w:rPr>
          <w:lang w:val="en-US"/>
        </w:rPr>
        <w:t>found any differences between T</w:t>
      </w:r>
      <w:r w:rsidR="00C94B3F" w:rsidRPr="00705F69">
        <w:rPr>
          <w:lang w:val="en-US"/>
        </w:rPr>
        <w:t>E contents of CG and TA</w:t>
      </w:r>
      <w:r w:rsidR="007C0AB7">
        <w:rPr>
          <w:lang w:val="en-US"/>
        </w:rPr>
        <w:t>.</w:t>
      </w:r>
      <w:r w:rsidR="00EB6846">
        <w:rPr>
          <w:lang w:val="en-US"/>
        </w:rPr>
        <w:t xml:space="preserve"> </w:t>
      </w:r>
      <w:commentRangeStart w:id="129"/>
      <w:r w:rsidR="00C94B3F">
        <w:rPr>
          <w:lang w:val="en-US"/>
        </w:rPr>
        <w:t xml:space="preserve">From obtained results it was possible to conclude that the common characteristics of CG and TA tissue samples were elevated level of </w:t>
      </w:r>
      <w:r w:rsidR="00B578BB" w:rsidRPr="0092428F">
        <w:rPr>
          <w:lang w:val="en-US"/>
        </w:rPr>
        <w:t xml:space="preserve">Ag, Al, Cr, Hg, Mn, Th, </w:t>
      </w:r>
      <w:r w:rsidR="00B578BB" w:rsidRPr="00487499">
        <w:rPr>
          <w:lang w:val="en-US"/>
        </w:rPr>
        <w:t>and Zn</w:t>
      </w:r>
      <w:r w:rsidR="00C94B3F">
        <w:rPr>
          <w:lang w:val="en-US"/>
        </w:rPr>
        <w:t xml:space="preserve">in comparison with normal thyroid and, therefore, these </w:t>
      </w:r>
      <w:r w:rsidR="00B578BB">
        <w:rPr>
          <w:lang w:val="en-US"/>
        </w:rPr>
        <w:t>TE</w:t>
      </w:r>
      <w:r w:rsidR="00C94B3F">
        <w:rPr>
          <w:lang w:val="en-US"/>
        </w:rPr>
        <w:t xml:space="preserve"> can be involved in etiology and pathogenesis of such thyroid disorders as CG and TA.</w:t>
      </w:r>
      <w:commentRangeEnd w:id="129"/>
      <w:r w:rsidR="00EB6846">
        <w:rPr>
          <w:rStyle w:val="CommentReference"/>
        </w:rPr>
        <w:commentReference w:id="129"/>
      </w:r>
    </w:p>
    <w:p w:rsidR="00C94B3F" w:rsidRDefault="00C94B3F" w:rsidP="00204280">
      <w:pPr>
        <w:spacing w:line="276" w:lineRule="auto"/>
        <w:rPr>
          <w:b/>
          <w:bCs/>
          <w:sz w:val="28"/>
          <w:szCs w:val="28"/>
          <w:lang w:val="en-US"/>
        </w:rPr>
      </w:pPr>
    </w:p>
    <w:p w:rsidR="00DA4B51" w:rsidRDefault="00DA4B51" w:rsidP="00204280">
      <w:pPr>
        <w:spacing w:line="276" w:lineRule="auto"/>
        <w:rPr>
          <w:b/>
          <w:bCs/>
          <w:caps/>
          <w:lang w:val="en-US"/>
        </w:rPr>
      </w:pPr>
      <w:r w:rsidRPr="00C375D5">
        <w:rPr>
          <w:b/>
          <w:bCs/>
          <w:caps/>
          <w:lang w:val="en-US"/>
        </w:rPr>
        <w:t>Acknowledgements</w:t>
      </w:r>
    </w:p>
    <w:p w:rsidR="00641EB9" w:rsidRPr="00C375D5" w:rsidRDefault="00641EB9" w:rsidP="00204280">
      <w:pPr>
        <w:spacing w:line="276" w:lineRule="auto"/>
        <w:rPr>
          <w:b/>
          <w:bCs/>
          <w:caps/>
          <w:lang w:val="en-US"/>
        </w:rPr>
      </w:pPr>
    </w:p>
    <w:p w:rsidR="003673EB" w:rsidRDefault="004A2E18" w:rsidP="00204280">
      <w:pPr>
        <w:spacing w:line="276" w:lineRule="auto"/>
        <w:jc w:val="both"/>
        <w:rPr>
          <w:lang w:val="en-US"/>
        </w:rPr>
      </w:pPr>
      <w:r>
        <w:rPr>
          <w:rFonts w:eastAsiaTheme="minorHAnsi"/>
          <w:lang w:val="en-US" w:eastAsia="en-US"/>
        </w:rPr>
        <w:t>The author</w:t>
      </w:r>
      <w:r w:rsidR="00C91213">
        <w:rPr>
          <w:rFonts w:eastAsiaTheme="minorHAnsi"/>
          <w:lang w:val="en-US" w:eastAsia="en-US"/>
        </w:rPr>
        <w:t xml:space="preserve"> </w:t>
      </w:r>
      <w:r>
        <w:rPr>
          <w:rFonts w:eastAsiaTheme="minorHAnsi"/>
          <w:lang w:val="en-US" w:eastAsia="en-US"/>
        </w:rPr>
        <w:t>is</w:t>
      </w:r>
      <w:r w:rsidR="00E66A8E" w:rsidRPr="00E66A8E">
        <w:rPr>
          <w:rFonts w:eastAsiaTheme="minorHAnsi"/>
          <w:lang w:val="en-US" w:eastAsia="en-US"/>
        </w:rPr>
        <w:t xml:space="preserve"> extremely grateful </w:t>
      </w:r>
      <w:r w:rsidR="00DA4B51" w:rsidRPr="00E66A8E">
        <w:rPr>
          <w:lang w:val="en-US"/>
        </w:rPr>
        <w:t xml:space="preserve">to </w:t>
      </w:r>
      <w:r w:rsidR="003673EB" w:rsidRPr="00E66A8E">
        <w:rPr>
          <w:lang w:val="en-US"/>
        </w:rPr>
        <w:t>Profs. Vtyurin</w:t>
      </w:r>
      <w:r w:rsidR="00584320">
        <w:rPr>
          <w:lang w:val="en-US"/>
        </w:rPr>
        <w:t xml:space="preserve"> BM</w:t>
      </w:r>
      <w:r w:rsidR="003673EB" w:rsidRPr="00E66A8E">
        <w:rPr>
          <w:lang w:val="en-US"/>
        </w:rPr>
        <w:t xml:space="preserve"> and Medvedev</w:t>
      </w:r>
      <w:r w:rsidR="00584320">
        <w:rPr>
          <w:lang w:val="en-US"/>
        </w:rPr>
        <w:t xml:space="preserve"> VS</w:t>
      </w:r>
      <w:r w:rsidR="00DA4B51" w:rsidRPr="00E66A8E">
        <w:rPr>
          <w:lang w:val="en-US"/>
        </w:rPr>
        <w:t xml:space="preserve">, Medical Radiological Research Center, Obninsk, </w:t>
      </w:r>
      <w:r w:rsidR="00E66A8E">
        <w:rPr>
          <w:lang w:val="en-US"/>
        </w:rPr>
        <w:t>as well as to</w:t>
      </w:r>
      <w:r w:rsidR="003673EB" w:rsidRPr="00E66A8E">
        <w:rPr>
          <w:lang w:val="en-US"/>
        </w:rPr>
        <w:t xml:space="preserve"> Dr. Choporov</w:t>
      </w:r>
      <w:r w:rsidR="00584320">
        <w:rPr>
          <w:lang w:val="en-US"/>
        </w:rPr>
        <w:t xml:space="preserve"> Yu</w:t>
      </w:r>
      <w:r w:rsidR="003673EB" w:rsidRPr="00E66A8E">
        <w:rPr>
          <w:lang w:val="en-US"/>
        </w:rPr>
        <w:t xml:space="preserve">, </w:t>
      </w:r>
      <w:r w:rsidR="005636BE">
        <w:rPr>
          <w:lang w:val="en-US"/>
        </w:rPr>
        <w:t xml:space="preserve">former </w:t>
      </w:r>
      <w:r w:rsidR="003673EB" w:rsidRPr="00E66A8E">
        <w:rPr>
          <w:lang w:val="en-US"/>
        </w:rPr>
        <w:t>Head of the Forensic Medicine Department of City Hospital, Obninsk, for supplying thyroid samples.</w:t>
      </w:r>
      <w:r w:rsidR="00C91213">
        <w:rPr>
          <w:lang w:val="en-US"/>
        </w:rPr>
        <w:t xml:space="preserve"> </w:t>
      </w:r>
      <w:r w:rsidR="00584320">
        <w:rPr>
          <w:rFonts w:eastAsiaTheme="minorHAnsi"/>
          <w:lang w:val="en-US" w:eastAsia="en-US"/>
        </w:rPr>
        <w:t>The author</w:t>
      </w:r>
      <w:r w:rsidR="00C91213">
        <w:rPr>
          <w:rFonts w:eastAsiaTheme="minorHAnsi"/>
          <w:lang w:val="en-US" w:eastAsia="en-US"/>
        </w:rPr>
        <w:t xml:space="preserve"> </w:t>
      </w:r>
      <w:r w:rsidR="00584320">
        <w:rPr>
          <w:rFonts w:eastAsiaTheme="minorHAnsi"/>
          <w:lang w:val="en-US" w:eastAsia="en-US"/>
        </w:rPr>
        <w:t>is</w:t>
      </w:r>
      <w:r w:rsidR="00C91213">
        <w:rPr>
          <w:rFonts w:eastAsiaTheme="minorHAnsi"/>
          <w:lang w:val="en-US" w:eastAsia="en-US"/>
        </w:rPr>
        <w:t xml:space="preserve"> </w:t>
      </w:r>
      <w:r w:rsidR="00584320" w:rsidRPr="00BA1FB0">
        <w:rPr>
          <w:lang w:val="en-US"/>
        </w:rPr>
        <w:t xml:space="preserve">also grateful to Dr. </w:t>
      </w:r>
      <w:r w:rsidR="00584320">
        <w:rPr>
          <w:snapToGrid w:val="0"/>
          <w:lang w:val="en-US"/>
        </w:rPr>
        <w:t>Karandaschev V, Dr. Nosenko S, and Moskvina I</w:t>
      </w:r>
      <w:r w:rsidR="00584320" w:rsidRPr="00BA1FB0">
        <w:rPr>
          <w:snapToGrid w:val="0"/>
          <w:lang w:val="en-US"/>
        </w:rPr>
        <w:t xml:space="preserve">, </w:t>
      </w:r>
      <w:r w:rsidR="00584320" w:rsidRPr="00BA1FB0">
        <w:rPr>
          <w:lang w:val="en-GB"/>
        </w:rPr>
        <w:t xml:space="preserve">Institute of Microelectronics Technology and High Purity Materials, Chernogolovka, </w:t>
      </w:r>
      <w:r w:rsidR="00584320" w:rsidRPr="00BA1FB0">
        <w:rPr>
          <w:iCs/>
          <w:lang w:val="en-US"/>
        </w:rPr>
        <w:t xml:space="preserve">Russia, for their help in </w:t>
      </w:r>
      <w:r w:rsidR="00584320" w:rsidRPr="00AA7A02">
        <w:rPr>
          <w:iCs/>
          <w:lang w:val="en-US"/>
        </w:rPr>
        <w:t>ICP-AES</w:t>
      </w:r>
      <w:r w:rsidR="00584320" w:rsidRPr="00BA1FB0">
        <w:rPr>
          <w:iCs/>
          <w:lang w:val="en-US"/>
        </w:rPr>
        <w:t xml:space="preserve"> analysis</w:t>
      </w:r>
      <w:r w:rsidR="00584320">
        <w:rPr>
          <w:iCs/>
          <w:lang w:val="en-US"/>
        </w:rPr>
        <w:t>.</w:t>
      </w:r>
    </w:p>
    <w:p w:rsidR="006A42C1" w:rsidRPr="007156F8" w:rsidRDefault="006A42C1" w:rsidP="00204280">
      <w:pPr>
        <w:spacing w:line="276" w:lineRule="auto"/>
        <w:rPr>
          <w:lang w:val="en-US"/>
        </w:rPr>
      </w:pPr>
    </w:p>
    <w:p w:rsidR="00641EB9" w:rsidRDefault="00364AB5" w:rsidP="00204280">
      <w:pPr>
        <w:spacing w:line="276" w:lineRule="auto"/>
        <w:jc w:val="both"/>
        <w:rPr>
          <w:rStyle w:val="Strong"/>
          <w:caps/>
          <w:lang w:val="en-US"/>
        </w:rPr>
      </w:pPr>
      <w:r w:rsidRPr="00C375D5">
        <w:rPr>
          <w:rStyle w:val="Strong"/>
          <w:caps/>
          <w:lang w:val="en-US"/>
        </w:rPr>
        <w:t>Funding</w:t>
      </w:r>
    </w:p>
    <w:p w:rsidR="006A42C1" w:rsidRPr="00C375D5" w:rsidRDefault="006A42C1" w:rsidP="00204280">
      <w:pPr>
        <w:spacing w:line="276" w:lineRule="auto"/>
        <w:jc w:val="both"/>
        <w:rPr>
          <w:rStyle w:val="Strong"/>
          <w:caps/>
          <w:lang w:val="en-US"/>
        </w:rPr>
      </w:pPr>
    </w:p>
    <w:p w:rsidR="00364AB5" w:rsidRDefault="00364AB5" w:rsidP="00204280">
      <w:pPr>
        <w:spacing w:line="276" w:lineRule="auto"/>
        <w:jc w:val="both"/>
        <w:rPr>
          <w:lang w:val="en-US"/>
        </w:rPr>
      </w:pPr>
      <w:r w:rsidRPr="00CF02D3">
        <w:rPr>
          <w:lang w:val="en-US"/>
        </w:rPr>
        <w:t>There were no any sources of funding that have supported this work.</w:t>
      </w:r>
    </w:p>
    <w:p w:rsidR="006A42C1" w:rsidRPr="007156F8" w:rsidRDefault="006A42C1" w:rsidP="00204280">
      <w:pPr>
        <w:spacing w:line="276" w:lineRule="auto"/>
        <w:rPr>
          <w:lang w:val="en-US"/>
        </w:rPr>
      </w:pPr>
    </w:p>
    <w:p w:rsidR="00641EB9" w:rsidRDefault="00641EB9" w:rsidP="00204280">
      <w:pPr>
        <w:pStyle w:val="20-OS-Text"/>
        <w:spacing w:line="276" w:lineRule="auto"/>
        <w:ind w:firstLineChars="0" w:firstLine="0"/>
        <w:rPr>
          <w:b/>
          <w:caps/>
          <w:sz w:val="24"/>
          <w:szCs w:val="24"/>
        </w:rPr>
      </w:pPr>
      <w:r w:rsidRPr="00332600">
        <w:rPr>
          <w:b/>
          <w:caps/>
          <w:sz w:val="24"/>
          <w:szCs w:val="24"/>
        </w:rPr>
        <w:t>Conflict of interest</w:t>
      </w:r>
    </w:p>
    <w:p w:rsidR="00641EB9" w:rsidRPr="00332600" w:rsidRDefault="00641EB9" w:rsidP="00204280">
      <w:pPr>
        <w:pStyle w:val="20-OS-Text"/>
        <w:spacing w:line="276" w:lineRule="auto"/>
        <w:ind w:firstLineChars="0" w:firstLine="0"/>
        <w:rPr>
          <w:b/>
          <w:caps/>
          <w:sz w:val="24"/>
          <w:szCs w:val="24"/>
        </w:rPr>
      </w:pPr>
    </w:p>
    <w:p w:rsidR="006A42C1" w:rsidRDefault="00641EB9" w:rsidP="00204280">
      <w:pPr>
        <w:spacing w:line="276" w:lineRule="auto"/>
        <w:rPr>
          <w:lang w:val="en-US"/>
        </w:rPr>
      </w:pPr>
      <w:r w:rsidRPr="00641EB9">
        <w:rPr>
          <w:lang w:val="en-US"/>
        </w:rPr>
        <w:t>No conflict of interest associated with this work</w:t>
      </w:r>
      <w:r>
        <w:rPr>
          <w:lang w:val="en-US"/>
        </w:rPr>
        <w:t>.</w:t>
      </w:r>
    </w:p>
    <w:p w:rsidR="00641EB9" w:rsidRPr="00641EB9" w:rsidRDefault="00641EB9" w:rsidP="00204280">
      <w:pPr>
        <w:spacing w:line="276" w:lineRule="auto"/>
        <w:rPr>
          <w:lang w:val="en-US"/>
        </w:rPr>
      </w:pPr>
    </w:p>
    <w:p w:rsidR="00641EB9" w:rsidRDefault="00D41820" w:rsidP="00204280">
      <w:pPr>
        <w:spacing w:line="276" w:lineRule="auto"/>
        <w:jc w:val="both"/>
        <w:rPr>
          <w:b/>
          <w:caps/>
          <w:lang w:val="en-US"/>
        </w:rPr>
      </w:pPr>
      <w:commentRangeStart w:id="130"/>
      <w:r w:rsidRPr="00C375D5">
        <w:rPr>
          <w:b/>
          <w:caps/>
          <w:lang w:val="en-US"/>
        </w:rPr>
        <w:t>References</w:t>
      </w:r>
      <w:commentRangeEnd w:id="130"/>
      <w:r w:rsidR="00BA7456">
        <w:rPr>
          <w:rStyle w:val="CommentReference"/>
        </w:rPr>
        <w:commentReference w:id="130"/>
      </w:r>
    </w:p>
    <w:p w:rsidR="00D41820" w:rsidRPr="00C375D5" w:rsidRDefault="00D41820" w:rsidP="00204280">
      <w:pPr>
        <w:spacing w:line="276" w:lineRule="auto"/>
        <w:jc w:val="both"/>
        <w:rPr>
          <w:b/>
          <w:caps/>
          <w:lang w:val="en-US"/>
        </w:rPr>
      </w:pPr>
    </w:p>
    <w:p w:rsidR="007C0AB7" w:rsidRPr="00CC78B7" w:rsidRDefault="007C0AB7" w:rsidP="00204280">
      <w:pPr>
        <w:pStyle w:val="ListParagraph"/>
        <w:numPr>
          <w:ilvl w:val="0"/>
          <w:numId w:val="17"/>
        </w:numPr>
        <w:spacing w:after="0" w:line="240" w:lineRule="auto"/>
        <w:rPr>
          <w:rFonts w:ascii="Times New Roman" w:eastAsia="Times New Roman" w:hAnsi="Times New Roman" w:cs="Times New Roman"/>
          <w:bCs/>
          <w:kern w:val="36"/>
          <w:sz w:val="24"/>
          <w:szCs w:val="24"/>
          <w:lang w:val="en-US" w:eastAsia="ru-RU"/>
        </w:rPr>
      </w:pPr>
      <w:r w:rsidRPr="00CC78B7">
        <w:rPr>
          <w:rFonts w:ascii="Times New Roman" w:eastAsia="Times New Roman" w:hAnsi="Times New Roman" w:cs="Times New Roman"/>
          <w:bCs/>
          <w:kern w:val="36"/>
          <w:sz w:val="24"/>
          <w:szCs w:val="24"/>
          <w:lang w:val="en-US" w:eastAsia="ru-RU"/>
        </w:rPr>
        <w:t>Ghartimagar D, Ghosh A, Shrestha MK, Thapa S, Talwar OP. Histopathological Spectrum of Non-Neoplastic and Neoplastic Lesions of Thyroid: A Descriptive Cross-sectional Study.</w:t>
      </w:r>
      <w:r w:rsidRPr="00CC78B7">
        <w:rPr>
          <w:rFonts w:ascii="Times New Roman" w:eastAsia="Times New Roman" w:hAnsi="Times New Roman" w:cs="Times New Roman"/>
          <w:sz w:val="24"/>
          <w:szCs w:val="24"/>
          <w:lang w:val="en-US" w:eastAsia="ru-RU"/>
        </w:rPr>
        <w:t xml:space="preserve"> J Nepal Med Assoc 2020;58(231):856-861.</w:t>
      </w:r>
    </w:p>
    <w:p w:rsidR="006C1DE9" w:rsidRPr="00CC78B7" w:rsidRDefault="00771673" w:rsidP="00204280">
      <w:pPr>
        <w:pStyle w:val="ListParagraph"/>
        <w:spacing w:after="0" w:line="240" w:lineRule="auto"/>
        <w:ind w:left="360"/>
        <w:rPr>
          <w:rFonts w:ascii="Times New Roman" w:eastAsia="Times New Roman" w:hAnsi="Times New Roman" w:cs="Times New Roman"/>
          <w:bCs/>
          <w:kern w:val="36"/>
          <w:sz w:val="24"/>
          <w:szCs w:val="24"/>
          <w:lang w:val="en-US" w:eastAsia="ru-RU"/>
        </w:rPr>
      </w:pPr>
      <w:hyperlink r:id="rId11" w:history="1">
        <w:r w:rsidR="006C1DE9" w:rsidRPr="00CC78B7">
          <w:rPr>
            <w:rStyle w:val="Hyperlink"/>
            <w:rFonts w:ascii="Times New Roman" w:eastAsia="Times New Roman" w:hAnsi="Times New Roman"/>
            <w:bCs/>
            <w:color w:val="auto"/>
            <w:kern w:val="36"/>
            <w:sz w:val="24"/>
            <w:szCs w:val="24"/>
            <w:lang w:val="en-US" w:eastAsia="ru-RU"/>
          </w:rPr>
          <w:t>https://www.jnma.com.np/jnma/index.php/jnma/article/view/5038</w:t>
        </w:r>
      </w:hyperlink>
    </w:p>
    <w:p w:rsidR="00913241" w:rsidRPr="00CC78B7" w:rsidRDefault="00913241" w:rsidP="00204280">
      <w:pPr>
        <w:pStyle w:val="ListParagraph"/>
        <w:numPr>
          <w:ilvl w:val="0"/>
          <w:numId w:val="17"/>
        </w:numPr>
        <w:spacing w:after="0" w:line="240" w:lineRule="auto"/>
        <w:jc w:val="both"/>
        <w:rPr>
          <w:rFonts w:ascii="Times New Roman" w:eastAsia="Times New Roman" w:hAnsi="Times New Roman" w:cs="Times New Roman"/>
          <w:sz w:val="24"/>
          <w:szCs w:val="24"/>
          <w:lang w:val="en-US" w:eastAsia="ru-RU"/>
        </w:rPr>
      </w:pPr>
      <w:r w:rsidRPr="00CC78B7">
        <w:rPr>
          <w:rFonts w:ascii="Times New Roman" w:eastAsia="Times New Roman" w:hAnsi="Times New Roman" w:cs="Times New Roman"/>
          <w:bCs/>
          <w:kern w:val="36"/>
          <w:sz w:val="24"/>
          <w:szCs w:val="24"/>
          <w:lang w:val="en-US" w:eastAsia="ru-RU"/>
        </w:rPr>
        <w:t>Hoang VT, Trinh CT. A review of the pathology, diagnosis and management of colloid goitre.</w:t>
      </w:r>
      <w:r w:rsidRPr="00CC78B7">
        <w:rPr>
          <w:rFonts w:ascii="Times New Roman" w:eastAsia="Times New Roman" w:hAnsi="Times New Roman" w:cs="Times New Roman"/>
          <w:sz w:val="24"/>
          <w:szCs w:val="24"/>
          <w:lang w:val="en-US" w:eastAsia="ru-RU"/>
        </w:rPr>
        <w:t>Eur Endocrinol</w:t>
      </w:r>
      <w:r w:rsidRPr="00CC78B7">
        <w:rPr>
          <w:rFonts w:ascii="Times New Roman" w:eastAsia="Times New Roman" w:hAnsi="Times New Roman" w:cs="Times New Roman"/>
          <w:bCs/>
          <w:kern w:val="36"/>
          <w:sz w:val="24"/>
          <w:szCs w:val="24"/>
          <w:lang w:val="en-US" w:eastAsia="ru-RU"/>
        </w:rPr>
        <w:t>.</w:t>
      </w:r>
      <w:r w:rsidRPr="00CC78B7">
        <w:rPr>
          <w:rFonts w:ascii="Times New Roman" w:eastAsia="Times New Roman" w:hAnsi="Times New Roman" w:cs="Times New Roman"/>
          <w:sz w:val="24"/>
          <w:szCs w:val="24"/>
          <w:lang w:val="en-US" w:eastAsia="ru-RU"/>
        </w:rPr>
        <w:t>Eur Endocrinol 2020; 16(2): 131-135.</w:t>
      </w:r>
    </w:p>
    <w:p w:rsidR="007C0AB7" w:rsidRPr="00CC78B7" w:rsidRDefault="00771673" w:rsidP="00204280">
      <w:pPr>
        <w:pStyle w:val="ListParagraph"/>
        <w:spacing w:after="0" w:line="240" w:lineRule="auto"/>
        <w:ind w:left="360"/>
        <w:jc w:val="both"/>
        <w:rPr>
          <w:rFonts w:ascii="Times New Roman" w:eastAsia="Times New Roman" w:hAnsi="Times New Roman" w:cs="Times New Roman"/>
          <w:sz w:val="24"/>
          <w:szCs w:val="24"/>
          <w:lang w:val="en-US" w:eastAsia="ru-RU"/>
        </w:rPr>
      </w:pPr>
      <w:hyperlink r:id="rId12" w:history="1">
        <w:r w:rsidR="00913241" w:rsidRPr="00CC78B7">
          <w:rPr>
            <w:rStyle w:val="Hyperlink"/>
            <w:rFonts w:ascii="Times New Roman" w:eastAsia="Times New Roman" w:hAnsi="Times New Roman"/>
            <w:color w:val="auto"/>
            <w:sz w:val="24"/>
            <w:szCs w:val="24"/>
            <w:lang w:val="en-US" w:eastAsia="ru-RU"/>
          </w:rPr>
          <w:t>https://www.ncbi.nlm.nih.gov/pmc/articles/PMC7572169/</w:t>
        </w:r>
      </w:hyperlink>
    </w:p>
    <w:p w:rsidR="007C0AB7" w:rsidRPr="00CC78B7" w:rsidRDefault="007C0AB7" w:rsidP="00204280">
      <w:pPr>
        <w:pStyle w:val="ListParagraph"/>
        <w:numPr>
          <w:ilvl w:val="0"/>
          <w:numId w:val="17"/>
        </w:numPr>
        <w:spacing w:after="0" w:line="240" w:lineRule="auto"/>
        <w:jc w:val="both"/>
        <w:rPr>
          <w:rFonts w:ascii="Times New Roman" w:eastAsia="Times New Roman" w:hAnsi="Times New Roman" w:cs="Times New Roman"/>
          <w:sz w:val="24"/>
          <w:szCs w:val="24"/>
          <w:lang w:val="en-US" w:eastAsia="ru-RU"/>
        </w:rPr>
      </w:pPr>
      <w:r w:rsidRPr="00CC78B7">
        <w:rPr>
          <w:rFonts w:ascii="Times New Roman" w:eastAsia="Times New Roman" w:hAnsi="Times New Roman" w:cs="Times New Roman"/>
          <w:bCs/>
          <w:kern w:val="36"/>
          <w:sz w:val="24"/>
          <w:szCs w:val="24"/>
          <w:lang w:val="en-US" w:eastAsia="ru-RU"/>
        </w:rPr>
        <w:t>Popoveniuc G, Jonklaas J. Thyroid nodules.</w:t>
      </w:r>
      <w:r w:rsidRPr="00CC78B7">
        <w:rPr>
          <w:rFonts w:ascii="Times New Roman" w:eastAsia="Times New Roman" w:hAnsi="Times New Roman" w:cs="Times New Roman"/>
          <w:sz w:val="24"/>
          <w:szCs w:val="24"/>
          <w:lang w:val="en-US" w:eastAsia="ru-RU"/>
        </w:rPr>
        <w:t xml:space="preserve"> Med Clin North Am 2012;96(2):329-349.</w:t>
      </w:r>
    </w:p>
    <w:p w:rsidR="006C1DE9" w:rsidRPr="00CC78B7" w:rsidRDefault="00771673" w:rsidP="00204280">
      <w:pPr>
        <w:pStyle w:val="ListParagraph"/>
        <w:spacing w:after="0" w:line="240" w:lineRule="auto"/>
        <w:ind w:left="360"/>
        <w:jc w:val="both"/>
        <w:rPr>
          <w:rFonts w:ascii="Times New Roman" w:eastAsia="Times New Roman" w:hAnsi="Times New Roman" w:cs="Times New Roman"/>
          <w:sz w:val="24"/>
          <w:szCs w:val="24"/>
          <w:lang w:val="en-US" w:eastAsia="ru-RU"/>
        </w:rPr>
      </w:pPr>
      <w:hyperlink r:id="rId13" w:history="1">
        <w:r w:rsidR="006C1DE9" w:rsidRPr="00CC78B7">
          <w:rPr>
            <w:rStyle w:val="Hyperlink"/>
            <w:rFonts w:ascii="Times New Roman" w:eastAsia="Times New Roman" w:hAnsi="Times New Roman"/>
            <w:color w:val="auto"/>
            <w:sz w:val="24"/>
            <w:szCs w:val="24"/>
            <w:lang w:val="en-US" w:eastAsia="ru-RU"/>
          </w:rPr>
          <w:t>https://pubmed.ncbi.nlm.nih.gov/22443979/</w:t>
        </w:r>
      </w:hyperlink>
    </w:p>
    <w:p w:rsidR="00913241" w:rsidRPr="00CC78B7" w:rsidRDefault="00913241" w:rsidP="00204280">
      <w:pPr>
        <w:pStyle w:val="ListParagraph"/>
        <w:numPr>
          <w:ilvl w:val="0"/>
          <w:numId w:val="17"/>
        </w:numPr>
        <w:spacing w:after="0" w:line="240" w:lineRule="auto"/>
        <w:jc w:val="both"/>
        <w:rPr>
          <w:rFonts w:ascii="Times New Roman" w:eastAsia="Times New Roman" w:hAnsi="Times New Roman" w:cs="Times New Roman"/>
          <w:sz w:val="24"/>
          <w:szCs w:val="24"/>
          <w:lang w:val="en-US" w:eastAsia="ru-RU"/>
        </w:rPr>
      </w:pPr>
      <w:r w:rsidRPr="00CC78B7">
        <w:rPr>
          <w:rFonts w:ascii="Times New Roman" w:eastAsia="Times New Roman" w:hAnsi="Times New Roman" w:cs="Times New Roman"/>
          <w:bCs/>
          <w:kern w:val="36"/>
          <w:sz w:val="24"/>
          <w:szCs w:val="24"/>
          <w:lang w:val="en-US" w:eastAsia="ru-RU"/>
        </w:rPr>
        <w:t>Derwahl M, Studer H. Multinodular goitre: 'much more to it than simply iodine deficiency'.</w:t>
      </w:r>
      <w:r w:rsidRPr="00CC78B7">
        <w:rPr>
          <w:rFonts w:ascii="Times New Roman" w:eastAsia="Times New Roman" w:hAnsi="Times New Roman" w:cs="Times New Roman"/>
          <w:sz w:val="24"/>
          <w:szCs w:val="24"/>
          <w:lang w:val="en-US" w:eastAsia="ru-RU"/>
        </w:rPr>
        <w:t>Baillieres Best Pract Res Clin EndocrinolMetab 2000; 14(4): 577-600.</w:t>
      </w:r>
    </w:p>
    <w:p w:rsidR="007C0AB7" w:rsidRPr="00CC78B7" w:rsidRDefault="00771673" w:rsidP="00204280">
      <w:pPr>
        <w:pStyle w:val="ListParagraph"/>
        <w:spacing w:after="0" w:line="240" w:lineRule="auto"/>
        <w:ind w:left="360"/>
        <w:jc w:val="both"/>
        <w:rPr>
          <w:rFonts w:ascii="Times New Roman" w:eastAsia="Times New Roman" w:hAnsi="Times New Roman" w:cs="Times New Roman"/>
          <w:sz w:val="24"/>
          <w:szCs w:val="24"/>
          <w:lang w:val="en-US" w:eastAsia="ru-RU"/>
        </w:rPr>
      </w:pPr>
      <w:hyperlink r:id="rId14" w:history="1">
        <w:r w:rsidR="00913241" w:rsidRPr="00CC78B7">
          <w:rPr>
            <w:rStyle w:val="Hyperlink"/>
            <w:rFonts w:ascii="Times New Roman" w:eastAsia="Times New Roman" w:hAnsi="Times New Roman"/>
            <w:color w:val="auto"/>
            <w:sz w:val="24"/>
            <w:szCs w:val="24"/>
            <w:lang w:val="en-US" w:eastAsia="ru-RU"/>
          </w:rPr>
          <w:t>https://pubmed.ncbi.nlm.nih.gov/11289736/</w:t>
        </w:r>
      </w:hyperlink>
    </w:p>
    <w:p w:rsidR="006C1DE9" w:rsidRPr="00CC78B7" w:rsidRDefault="006C1DE9" w:rsidP="00204280">
      <w:pPr>
        <w:numPr>
          <w:ilvl w:val="0"/>
          <w:numId w:val="17"/>
        </w:numPr>
        <w:overflowPunct w:val="0"/>
        <w:autoSpaceDE w:val="0"/>
        <w:autoSpaceDN w:val="0"/>
        <w:adjustRightInd w:val="0"/>
        <w:textAlignment w:val="baseline"/>
        <w:rPr>
          <w:b/>
          <w:lang w:val="en-US"/>
        </w:rPr>
      </w:pPr>
      <w:r w:rsidRPr="00CC78B7">
        <w:rPr>
          <w:lang w:val="en-US"/>
        </w:rPr>
        <w:t>Zaichick V. Iodine excess and thyroid cancer. J Trace Elem Exp Med 1998; 11(4): 508-509.</w:t>
      </w:r>
    </w:p>
    <w:p w:rsidR="007C0AB7" w:rsidRPr="00CC78B7" w:rsidRDefault="006C1DE9" w:rsidP="00204280">
      <w:pPr>
        <w:numPr>
          <w:ilvl w:val="0"/>
          <w:numId w:val="17"/>
        </w:numPr>
        <w:overflowPunct w:val="0"/>
        <w:autoSpaceDE w:val="0"/>
        <w:autoSpaceDN w:val="0"/>
        <w:adjustRightInd w:val="0"/>
        <w:jc w:val="both"/>
        <w:textAlignment w:val="baseline"/>
        <w:rPr>
          <w:lang w:val="de-DE"/>
        </w:rPr>
      </w:pPr>
      <w:commentRangeStart w:id="131"/>
      <w:r w:rsidRPr="00CC78B7">
        <w:rPr>
          <w:lang w:val="en-US"/>
        </w:rPr>
        <w:lastRenderedPageBreak/>
        <w:t>Zaichick V</w:t>
      </w:r>
      <w:commentRangeEnd w:id="131"/>
      <w:r w:rsidR="009B5200">
        <w:rPr>
          <w:rStyle w:val="CommentReference"/>
        </w:rPr>
        <w:commentReference w:id="131"/>
      </w:r>
      <w:r w:rsidRPr="00CC78B7">
        <w:rPr>
          <w:lang w:val="en-US"/>
        </w:rPr>
        <w:t xml:space="preserve">, Iljina T. Dietary iodine supplementation effect on the rat thyroid </w:t>
      </w:r>
      <w:r w:rsidRPr="00CC78B7">
        <w:rPr>
          <w:vertAlign w:val="superscript"/>
          <w:lang w:val="en-US"/>
        </w:rPr>
        <w:t>131</w:t>
      </w:r>
      <w:r w:rsidRPr="00CC78B7">
        <w:rPr>
          <w:lang w:val="en-US"/>
        </w:rPr>
        <w:t xml:space="preserve">I blastomogenic action. </w:t>
      </w:r>
      <w:r w:rsidRPr="00CC78B7">
        <w:rPr>
          <w:lang w:val="de-DE"/>
        </w:rPr>
        <w:t>In: Die Bedentung der Mengen- und Spurenelemente. 18. Arbeitstangung. Jena: Friedrich-Schiller-Universitat; 1998. p. 294-306</w:t>
      </w:r>
      <w:r w:rsidR="007C0AB7" w:rsidRPr="00CC78B7">
        <w:rPr>
          <w:lang w:val="de-DE"/>
        </w:rPr>
        <w:t>.</w:t>
      </w:r>
    </w:p>
    <w:p w:rsidR="00913241" w:rsidRPr="00CC78B7" w:rsidRDefault="00913241" w:rsidP="00204280">
      <w:pPr>
        <w:pStyle w:val="ListParagraph"/>
        <w:numPr>
          <w:ilvl w:val="0"/>
          <w:numId w:val="17"/>
        </w:numPr>
        <w:spacing w:after="0" w:line="240" w:lineRule="auto"/>
        <w:jc w:val="both"/>
        <w:rPr>
          <w:rFonts w:ascii="Times New Roman" w:eastAsia="Times New Roman" w:hAnsi="Times New Roman" w:cs="Times New Roman"/>
          <w:sz w:val="24"/>
          <w:szCs w:val="24"/>
          <w:lang w:val="en-US" w:eastAsia="ru-RU"/>
        </w:rPr>
      </w:pPr>
      <w:r w:rsidRPr="00CC78B7">
        <w:rPr>
          <w:rFonts w:ascii="Times New Roman" w:eastAsia="Times New Roman" w:hAnsi="Times New Roman" w:cs="Times New Roman"/>
          <w:bCs/>
          <w:kern w:val="36"/>
          <w:sz w:val="24"/>
          <w:szCs w:val="24"/>
          <w:lang w:val="en-US" w:eastAsia="ru-RU"/>
        </w:rPr>
        <w:t>Kim S, Kwon YS, Kim JY, Hong KH, Park YK. Association between Iodine Nutrition Status and Thyroid Disease-Related Hormone in Korean Adults: Korean National Health and Nutrition Examination Survey VI (2013-2015).</w:t>
      </w:r>
      <w:r w:rsidRPr="00CC78B7">
        <w:rPr>
          <w:rFonts w:ascii="Times New Roman" w:eastAsia="Times New Roman" w:hAnsi="Times New Roman" w:cs="Times New Roman"/>
          <w:sz w:val="24"/>
          <w:szCs w:val="24"/>
          <w:lang w:val="en-US" w:eastAsia="ru-RU"/>
        </w:rPr>
        <w:t>Nutrients 2019; 11(11): 2757.</w:t>
      </w:r>
    </w:p>
    <w:p w:rsidR="00913241" w:rsidRPr="00CC78B7" w:rsidRDefault="00771673" w:rsidP="00204280">
      <w:pPr>
        <w:pStyle w:val="ListParagraph"/>
        <w:spacing w:after="0" w:line="240" w:lineRule="auto"/>
        <w:ind w:left="360"/>
        <w:jc w:val="both"/>
        <w:rPr>
          <w:rFonts w:ascii="Times New Roman" w:eastAsia="Times New Roman" w:hAnsi="Times New Roman" w:cs="Times New Roman"/>
          <w:sz w:val="24"/>
          <w:szCs w:val="24"/>
          <w:lang w:val="en-US" w:eastAsia="ru-RU"/>
        </w:rPr>
      </w:pPr>
      <w:hyperlink r:id="rId15" w:history="1">
        <w:r w:rsidR="00913241" w:rsidRPr="00CC78B7">
          <w:rPr>
            <w:rStyle w:val="Hyperlink"/>
            <w:rFonts w:ascii="Times New Roman" w:eastAsia="Times New Roman" w:hAnsi="Times New Roman"/>
            <w:color w:val="auto"/>
            <w:sz w:val="24"/>
            <w:szCs w:val="24"/>
            <w:lang w:val="en-US" w:eastAsia="ru-RU"/>
          </w:rPr>
          <w:t>https://pubmed.ncbi.nlm.nih.gov/31766270/</w:t>
        </w:r>
      </w:hyperlink>
    </w:p>
    <w:p w:rsidR="00913241" w:rsidRPr="00CC78B7" w:rsidRDefault="00913241" w:rsidP="00204280">
      <w:pPr>
        <w:pStyle w:val="ListParagraph"/>
        <w:numPr>
          <w:ilvl w:val="0"/>
          <w:numId w:val="17"/>
        </w:numPr>
        <w:spacing w:after="0" w:line="240" w:lineRule="auto"/>
        <w:jc w:val="both"/>
        <w:rPr>
          <w:rFonts w:ascii="Times New Roman" w:eastAsia="Times New Roman" w:hAnsi="Times New Roman" w:cs="Times New Roman"/>
          <w:sz w:val="24"/>
          <w:szCs w:val="24"/>
          <w:lang w:val="en-US" w:eastAsia="ru-RU"/>
        </w:rPr>
      </w:pPr>
      <w:r w:rsidRPr="00CC78B7">
        <w:rPr>
          <w:rFonts w:ascii="Times New Roman" w:eastAsia="Times New Roman" w:hAnsi="Times New Roman" w:cs="Times New Roman"/>
          <w:bCs/>
          <w:kern w:val="36"/>
          <w:sz w:val="24"/>
          <w:szCs w:val="24"/>
          <w:lang w:val="en-US" w:eastAsia="ru-RU"/>
        </w:rPr>
        <w:t>Vargas-Uricoechea</w:t>
      </w:r>
      <w:r w:rsidRPr="00CC78B7">
        <w:rPr>
          <w:rFonts w:ascii="Times New Roman" w:eastAsia="Times New Roman" w:hAnsi="Times New Roman" w:cs="Times New Roman"/>
          <w:bCs/>
          <w:kern w:val="36"/>
          <w:sz w:val="24"/>
          <w:szCs w:val="24"/>
          <w:lang w:eastAsia="ru-RU"/>
        </w:rPr>
        <w:t>Р</w:t>
      </w:r>
      <w:r w:rsidRPr="00CC78B7">
        <w:rPr>
          <w:rFonts w:ascii="Times New Roman" w:eastAsia="Times New Roman" w:hAnsi="Times New Roman" w:cs="Times New Roman"/>
          <w:bCs/>
          <w:kern w:val="36"/>
          <w:sz w:val="24"/>
          <w:szCs w:val="24"/>
          <w:lang w:val="en-US" w:eastAsia="ru-RU"/>
        </w:rPr>
        <w:t xml:space="preserve">, Pinzón-Fernández MV, </w:t>
      </w:r>
      <w:hyperlink r:id="rId16" w:history="1">
        <w:r w:rsidRPr="00CC78B7">
          <w:rPr>
            <w:rFonts w:ascii="Times New Roman" w:eastAsia="Times New Roman" w:hAnsi="Times New Roman" w:cs="Times New Roman"/>
            <w:sz w:val="24"/>
            <w:szCs w:val="24"/>
            <w:lang w:val="en-US" w:eastAsia="ru-RU"/>
          </w:rPr>
          <w:t>Bastidas-Sánchez</w:t>
        </w:r>
      </w:hyperlink>
      <w:r w:rsidRPr="00CC78B7">
        <w:rPr>
          <w:rFonts w:ascii="Times New Roman" w:eastAsia="Times New Roman" w:hAnsi="Times New Roman" w:cs="Times New Roman"/>
          <w:sz w:val="24"/>
          <w:szCs w:val="24"/>
          <w:lang w:val="en-US" w:eastAsia="ru-RU"/>
        </w:rPr>
        <w:t xml:space="preserve"> BE, Jojoa-Tobar E, Ramírez-Bejarano LE, Murillo-Palacios J.</w:t>
      </w:r>
      <w:r w:rsidRPr="00CC78B7">
        <w:rPr>
          <w:rFonts w:ascii="Times New Roman" w:eastAsia="Times New Roman" w:hAnsi="Times New Roman" w:cs="Times New Roman"/>
          <w:bCs/>
          <w:kern w:val="36"/>
          <w:sz w:val="24"/>
          <w:szCs w:val="24"/>
          <w:lang w:val="en-US" w:eastAsia="ru-RU"/>
        </w:rPr>
        <w:t xml:space="preserve"> Iodine status in the colombian population and the impact of universal salt iodization: a double-edged sword?</w:t>
      </w:r>
      <w:r w:rsidRPr="00CC78B7">
        <w:rPr>
          <w:rFonts w:ascii="Times New Roman" w:eastAsia="Times New Roman" w:hAnsi="Times New Roman" w:cs="Times New Roman"/>
          <w:sz w:val="24"/>
          <w:szCs w:val="24"/>
          <w:lang w:val="en-US" w:eastAsia="ru-RU"/>
        </w:rPr>
        <w:t xml:space="preserve"> J NutrMetab 2019; 2019: 6239243.</w:t>
      </w:r>
    </w:p>
    <w:p w:rsidR="00913241" w:rsidRPr="00CC78B7" w:rsidRDefault="00771673" w:rsidP="00204280">
      <w:pPr>
        <w:pStyle w:val="ListParagraph"/>
        <w:spacing w:after="0" w:line="240" w:lineRule="auto"/>
        <w:ind w:left="360"/>
        <w:jc w:val="both"/>
        <w:rPr>
          <w:rFonts w:ascii="Times New Roman" w:eastAsia="Times New Roman" w:hAnsi="Times New Roman" w:cs="Times New Roman"/>
          <w:sz w:val="24"/>
          <w:szCs w:val="24"/>
          <w:lang w:val="en-US" w:eastAsia="ru-RU"/>
        </w:rPr>
      </w:pPr>
      <w:hyperlink r:id="rId17" w:history="1">
        <w:r w:rsidR="00913241" w:rsidRPr="00CC78B7">
          <w:rPr>
            <w:rStyle w:val="Hyperlink"/>
            <w:rFonts w:ascii="Times New Roman" w:eastAsia="Times New Roman" w:hAnsi="Times New Roman"/>
            <w:color w:val="auto"/>
            <w:sz w:val="24"/>
            <w:szCs w:val="24"/>
            <w:lang w:val="en-US" w:eastAsia="ru-RU"/>
          </w:rPr>
          <w:t>https://pubmed.ncbi.nlm.nih.gov/31061736/</w:t>
        </w:r>
      </w:hyperlink>
    </w:p>
    <w:p w:rsidR="00913241" w:rsidRPr="00CC78B7" w:rsidRDefault="00F1569F" w:rsidP="00204280">
      <w:pPr>
        <w:pStyle w:val="ListParagraph"/>
        <w:numPr>
          <w:ilvl w:val="0"/>
          <w:numId w:val="17"/>
        </w:numPr>
        <w:spacing w:after="0" w:line="240" w:lineRule="auto"/>
        <w:jc w:val="both"/>
        <w:rPr>
          <w:rFonts w:ascii="Times New Roman" w:eastAsia="Times New Roman" w:hAnsi="Times New Roman" w:cs="Times New Roman"/>
          <w:sz w:val="24"/>
          <w:szCs w:val="24"/>
          <w:lang w:val="en-US" w:eastAsia="ru-RU"/>
        </w:rPr>
      </w:pPr>
      <w:r w:rsidRPr="00CC78B7">
        <w:rPr>
          <w:rFonts w:ascii="Times New Roman" w:eastAsia="Times New Roman" w:hAnsi="Times New Roman" w:cs="Times New Roman"/>
          <w:bCs/>
          <w:kern w:val="36"/>
          <w:sz w:val="24"/>
          <w:szCs w:val="24"/>
          <w:lang w:val="en-US" w:eastAsia="ru-RU"/>
        </w:rPr>
        <w:t xml:space="preserve">Stojsavljević A, Rovčanin B, Krstić D, Jagodić J, Borković-Mitić S, Paunović I, Živaljević V, Mitić B, </w:t>
      </w:r>
      <w:hyperlink r:id="rId18" w:history="1">
        <w:r w:rsidRPr="00CC78B7">
          <w:rPr>
            <w:rFonts w:ascii="Times New Roman" w:eastAsia="Times New Roman" w:hAnsi="Times New Roman" w:cs="Times New Roman"/>
            <w:sz w:val="24"/>
            <w:szCs w:val="24"/>
            <w:u w:val="single"/>
            <w:lang w:val="en-US" w:eastAsia="ru-RU"/>
          </w:rPr>
          <w:t>Gavrović-Jankulović</w:t>
        </w:r>
      </w:hyperlink>
      <w:r w:rsidRPr="00CC78B7">
        <w:rPr>
          <w:rFonts w:ascii="Times New Roman" w:eastAsia="Times New Roman" w:hAnsi="Times New Roman" w:cs="Times New Roman"/>
          <w:sz w:val="24"/>
          <w:szCs w:val="24"/>
          <w:lang w:val="en-US" w:eastAsia="ru-RU"/>
        </w:rPr>
        <w:t xml:space="preserve"> M, Manojlović D</w:t>
      </w:r>
      <w:r w:rsidR="00913241" w:rsidRPr="00CC78B7">
        <w:rPr>
          <w:rFonts w:ascii="Times New Roman" w:eastAsia="Times New Roman" w:hAnsi="Times New Roman" w:cs="Times New Roman"/>
          <w:sz w:val="24"/>
          <w:szCs w:val="24"/>
          <w:lang w:val="en-US" w:eastAsia="ru-RU"/>
        </w:rPr>
        <w:t xml:space="preserve">. </w:t>
      </w:r>
      <w:r w:rsidR="00913241" w:rsidRPr="00CC78B7">
        <w:rPr>
          <w:rFonts w:ascii="Times New Roman" w:eastAsia="Times New Roman" w:hAnsi="Times New Roman" w:cs="Times New Roman"/>
          <w:bCs/>
          <w:kern w:val="36"/>
          <w:sz w:val="24"/>
          <w:szCs w:val="24"/>
          <w:lang w:val="en-US" w:eastAsia="ru-RU"/>
        </w:rPr>
        <w:t>Cadmium as main endocrine disruptor in papillary thyroid carcinoma and the significance of Cd/Se ratio for thyroid tissue pathophysiology.</w:t>
      </w:r>
      <w:r w:rsidR="00913241" w:rsidRPr="00CC78B7">
        <w:rPr>
          <w:rFonts w:ascii="Times New Roman" w:eastAsia="Times New Roman" w:hAnsi="Times New Roman" w:cs="Times New Roman"/>
          <w:sz w:val="24"/>
          <w:szCs w:val="24"/>
          <w:lang w:val="en-US" w:eastAsia="ru-RU"/>
        </w:rPr>
        <w:t>J Trace Elem Med Biol 2019; 55: 190-195</w:t>
      </w:r>
      <w:r w:rsidR="00913241" w:rsidRPr="00CC78B7">
        <w:rPr>
          <w:rFonts w:ascii="Times New Roman" w:eastAsia="Times New Roman" w:hAnsi="Times New Roman" w:cs="Times New Roman"/>
          <w:sz w:val="24"/>
          <w:szCs w:val="24"/>
          <w:lang w:val="en-GB" w:eastAsia="ru-RU"/>
        </w:rPr>
        <w:t>.</w:t>
      </w:r>
    </w:p>
    <w:p w:rsidR="00913241" w:rsidRPr="00CC78B7" w:rsidRDefault="00771673" w:rsidP="00204280">
      <w:pPr>
        <w:pStyle w:val="ListParagraph"/>
        <w:spacing w:after="0" w:line="240" w:lineRule="auto"/>
        <w:ind w:left="360"/>
        <w:jc w:val="both"/>
        <w:rPr>
          <w:rFonts w:ascii="Times New Roman" w:eastAsia="Times New Roman" w:hAnsi="Times New Roman" w:cs="Times New Roman"/>
          <w:sz w:val="24"/>
          <w:szCs w:val="24"/>
          <w:lang w:val="en-US" w:eastAsia="ru-RU"/>
        </w:rPr>
      </w:pPr>
      <w:hyperlink r:id="rId19" w:history="1">
        <w:r w:rsidR="00913241" w:rsidRPr="00CC78B7">
          <w:rPr>
            <w:rStyle w:val="Hyperlink"/>
            <w:rFonts w:ascii="Times New Roman" w:eastAsia="Times New Roman" w:hAnsi="Times New Roman"/>
            <w:color w:val="auto"/>
            <w:sz w:val="24"/>
            <w:szCs w:val="24"/>
            <w:lang w:val="en-US" w:eastAsia="ru-RU"/>
          </w:rPr>
          <w:t>https://pubmed.ncbi.nlm.nih.gov/31345357/</w:t>
        </w:r>
      </w:hyperlink>
    </w:p>
    <w:p w:rsidR="00913241" w:rsidRPr="00CC78B7" w:rsidRDefault="00913241" w:rsidP="00204280">
      <w:pPr>
        <w:pStyle w:val="ListParagraph"/>
        <w:numPr>
          <w:ilvl w:val="0"/>
          <w:numId w:val="17"/>
        </w:numPr>
        <w:spacing w:after="0" w:line="240" w:lineRule="auto"/>
        <w:jc w:val="both"/>
        <w:rPr>
          <w:rFonts w:ascii="Times New Roman" w:eastAsia="Times New Roman" w:hAnsi="Times New Roman" w:cs="Times New Roman"/>
          <w:sz w:val="24"/>
          <w:szCs w:val="24"/>
          <w:lang w:val="en-US" w:eastAsia="ru-RU"/>
        </w:rPr>
      </w:pPr>
      <w:r w:rsidRPr="00CC78B7">
        <w:rPr>
          <w:rFonts w:ascii="Times New Roman" w:eastAsia="Times New Roman" w:hAnsi="Times New Roman" w:cs="Times New Roman"/>
          <w:bCs/>
          <w:kern w:val="36"/>
          <w:sz w:val="24"/>
          <w:szCs w:val="24"/>
          <w:lang w:eastAsia="ru-RU"/>
        </w:rPr>
        <w:t>Fahim YA, Sharaf NE, Hasani IW, Ragab EA, Abdelhakim HK. Assessment of thyroid function and oxidative stress state in foundry workers exposed to lead.</w:t>
      </w:r>
      <w:r w:rsidRPr="00CC78B7">
        <w:rPr>
          <w:rFonts w:ascii="Times New Roman" w:eastAsia="Times New Roman" w:hAnsi="Times New Roman" w:cs="Times New Roman"/>
          <w:sz w:val="24"/>
          <w:szCs w:val="24"/>
          <w:lang w:eastAsia="ru-RU"/>
        </w:rPr>
        <w:t>J Health Pollut 2020; 10(27): 200903.</w:t>
      </w:r>
    </w:p>
    <w:p w:rsidR="00913241" w:rsidRPr="00CC78B7" w:rsidRDefault="00771673" w:rsidP="00204280">
      <w:pPr>
        <w:pStyle w:val="ListParagraph"/>
        <w:spacing w:after="0" w:line="240" w:lineRule="auto"/>
        <w:ind w:left="360"/>
        <w:jc w:val="both"/>
        <w:rPr>
          <w:rFonts w:ascii="Times New Roman" w:eastAsia="Times New Roman" w:hAnsi="Times New Roman" w:cs="Times New Roman"/>
          <w:sz w:val="24"/>
          <w:szCs w:val="24"/>
          <w:lang w:val="en-US" w:eastAsia="ru-RU"/>
        </w:rPr>
      </w:pPr>
      <w:hyperlink r:id="rId20" w:history="1">
        <w:r w:rsidR="00913241" w:rsidRPr="00CC78B7">
          <w:rPr>
            <w:rStyle w:val="Hyperlink"/>
            <w:rFonts w:ascii="Times New Roman" w:eastAsia="Times New Roman" w:hAnsi="Times New Roman"/>
            <w:color w:val="auto"/>
            <w:sz w:val="24"/>
            <w:szCs w:val="24"/>
            <w:lang w:val="en-US" w:eastAsia="ru-RU"/>
          </w:rPr>
          <w:t>https://pubmed.ncbi.nlm.nih.gov/32874759/</w:t>
        </w:r>
      </w:hyperlink>
    </w:p>
    <w:p w:rsidR="00913241" w:rsidRPr="00CC78B7" w:rsidRDefault="00F1569F" w:rsidP="00204280">
      <w:pPr>
        <w:pStyle w:val="ListParagraph"/>
        <w:numPr>
          <w:ilvl w:val="0"/>
          <w:numId w:val="17"/>
        </w:numPr>
        <w:spacing w:after="0" w:line="240" w:lineRule="auto"/>
        <w:jc w:val="both"/>
        <w:rPr>
          <w:rFonts w:ascii="Times New Roman" w:eastAsia="Times New Roman" w:hAnsi="Times New Roman" w:cs="Times New Roman"/>
          <w:sz w:val="24"/>
          <w:szCs w:val="24"/>
          <w:lang w:val="en-US" w:eastAsia="ru-RU"/>
        </w:rPr>
      </w:pPr>
      <w:r w:rsidRPr="00CC78B7">
        <w:rPr>
          <w:rFonts w:ascii="Times New Roman" w:eastAsia="Times New Roman" w:hAnsi="Times New Roman" w:cs="Times New Roman"/>
          <w:bCs/>
          <w:kern w:val="36"/>
          <w:sz w:val="24"/>
          <w:szCs w:val="24"/>
          <w:lang w:val="en-US" w:eastAsia="ru-RU"/>
        </w:rPr>
        <w:t>Liu M, Song J, Jiang Y, Liu Y, Peng J, Liang H, Wang  C, Jiang J, Liu X, Wei W, Peng J, Liu S, Xu N, Zhou D, Zhang Q, Zhang J</w:t>
      </w:r>
      <w:r w:rsidR="00913241" w:rsidRPr="00CC78B7">
        <w:rPr>
          <w:rFonts w:ascii="Times New Roman" w:eastAsia="Times New Roman" w:hAnsi="Times New Roman" w:cs="Times New Roman"/>
          <w:bCs/>
          <w:kern w:val="36"/>
          <w:sz w:val="24"/>
          <w:szCs w:val="24"/>
          <w:lang w:val="en-US" w:eastAsia="ru-RU"/>
        </w:rPr>
        <w:t>. A case-control study on the association of mineral elements exposure and thyroid tumor and goiter.</w:t>
      </w:r>
      <w:r w:rsidR="00913241" w:rsidRPr="00CC78B7">
        <w:rPr>
          <w:rFonts w:ascii="Times New Roman" w:eastAsia="Times New Roman" w:hAnsi="Times New Roman" w:cs="Times New Roman"/>
          <w:sz w:val="24"/>
          <w:szCs w:val="24"/>
          <w:lang w:val="en-US" w:eastAsia="ru-RU"/>
        </w:rPr>
        <w:t>Ecotoxicol Environ Saf 2021; 208: 111615.</w:t>
      </w:r>
    </w:p>
    <w:p w:rsidR="00913241" w:rsidRPr="00CC78B7" w:rsidRDefault="00771673" w:rsidP="00204280">
      <w:pPr>
        <w:pStyle w:val="ListParagraph"/>
        <w:spacing w:after="0" w:line="240" w:lineRule="auto"/>
        <w:ind w:left="360"/>
        <w:jc w:val="both"/>
        <w:rPr>
          <w:rFonts w:ascii="Times New Roman" w:eastAsia="Times New Roman" w:hAnsi="Times New Roman" w:cs="Times New Roman"/>
          <w:sz w:val="24"/>
          <w:szCs w:val="24"/>
          <w:lang w:val="en-US" w:eastAsia="ru-RU"/>
        </w:rPr>
      </w:pPr>
      <w:hyperlink r:id="rId21" w:history="1">
        <w:r w:rsidR="00913241" w:rsidRPr="00CC78B7">
          <w:rPr>
            <w:rStyle w:val="Hyperlink"/>
            <w:rFonts w:ascii="Times New Roman" w:eastAsia="Times New Roman" w:hAnsi="Times New Roman"/>
            <w:color w:val="auto"/>
            <w:sz w:val="24"/>
            <w:szCs w:val="24"/>
            <w:lang w:val="en-US" w:eastAsia="ru-RU"/>
          </w:rPr>
          <w:t>https://pubmed.ncbi.nlm.nih.gov/33396135/</w:t>
        </w:r>
      </w:hyperlink>
    </w:p>
    <w:p w:rsidR="00913241" w:rsidRPr="00CC78B7" w:rsidRDefault="00913241" w:rsidP="00204280">
      <w:pPr>
        <w:numPr>
          <w:ilvl w:val="0"/>
          <w:numId w:val="17"/>
        </w:numPr>
        <w:overflowPunct w:val="0"/>
        <w:autoSpaceDE w:val="0"/>
        <w:autoSpaceDN w:val="0"/>
        <w:adjustRightInd w:val="0"/>
        <w:jc w:val="both"/>
        <w:textAlignment w:val="baseline"/>
      </w:pPr>
      <w:r w:rsidRPr="00CC78B7">
        <w:rPr>
          <w:lang w:val="en-US"/>
        </w:rPr>
        <w:t xml:space="preserve">Zaichick V. Medical elementology as a new scientific discipline. </w:t>
      </w:r>
      <w:r w:rsidRPr="00CC78B7">
        <w:t>J RadioanalNucl Chem 2006; 269: 303-309.</w:t>
      </w:r>
    </w:p>
    <w:p w:rsidR="00913241" w:rsidRPr="00CC78B7" w:rsidRDefault="00771673" w:rsidP="00204280">
      <w:pPr>
        <w:pStyle w:val="ListParagraph"/>
        <w:spacing w:after="0" w:line="240" w:lineRule="auto"/>
        <w:ind w:left="360"/>
        <w:jc w:val="both"/>
        <w:rPr>
          <w:rStyle w:val="Hyperlink"/>
          <w:rFonts w:ascii="Times New Roman" w:hAnsi="Times New Roman"/>
          <w:color w:val="auto"/>
          <w:sz w:val="24"/>
          <w:szCs w:val="24"/>
        </w:rPr>
      </w:pPr>
      <w:hyperlink r:id="rId22" w:history="1">
        <w:r w:rsidR="00913241" w:rsidRPr="00CC78B7">
          <w:rPr>
            <w:rStyle w:val="Hyperlink"/>
            <w:rFonts w:ascii="Times New Roman" w:hAnsi="Times New Roman"/>
            <w:color w:val="auto"/>
            <w:sz w:val="24"/>
            <w:szCs w:val="24"/>
            <w:lang w:val="en-US"/>
          </w:rPr>
          <w:t>https</w:t>
        </w:r>
        <w:r w:rsidR="00913241" w:rsidRPr="00CC78B7">
          <w:rPr>
            <w:rStyle w:val="Hyperlink"/>
            <w:rFonts w:ascii="Times New Roman" w:hAnsi="Times New Roman"/>
            <w:color w:val="auto"/>
            <w:sz w:val="24"/>
            <w:szCs w:val="24"/>
          </w:rPr>
          <w:t>://</w:t>
        </w:r>
        <w:r w:rsidR="00913241" w:rsidRPr="00CC78B7">
          <w:rPr>
            <w:rStyle w:val="Hyperlink"/>
            <w:rFonts w:ascii="Times New Roman" w:hAnsi="Times New Roman"/>
            <w:color w:val="auto"/>
            <w:sz w:val="24"/>
            <w:szCs w:val="24"/>
            <w:lang w:val="en-US"/>
          </w:rPr>
          <w:t>www</w:t>
        </w:r>
        <w:r w:rsidR="00913241" w:rsidRPr="00CC78B7">
          <w:rPr>
            <w:rStyle w:val="Hyperlink"/>
            <w:rFonts w:ascii="Times New Roman" w:hAnsi="Times New Roman"/>
            <w:color w:val="auto"/>
            <w:sz w:val="24"/>
            <w:szCs w:val="24"/>
          </w:rPr>
          <w:t>.</w:t>
        </w:r>
        <w:r w:rsidR="00913241" w:rsidRPr="00CC78B7">
          <w:rPr>
            <w:rStyle w:val="Hyperlink"/>
            <w:rFonts w:ascii="Times New Roman" w:hAnsi="Times New Roman"/>
            <w:color w:val="auto"/>
            <w:sz w:val="24"/>
            <w:szCs w:val="24"/>
            <w:lang w:val="en-US"/>
          </w:rPr>
          <w:t>deepdyve</w:t>
        </w:r>
        <w:r w:rsidR="00913241" w:rsidRPr="00CC78B7">
          <w:rPr>
            <w:rStyle w:val="Hyperlink"/>
            <w:rFonts w:ascii="Times New Roman" w:hAnsi="Times New Roman"/>
            <w:color w:val="auto"/>
            <w:sz w:val="24"/>
            <w:szCs w:val="24"/>
          </w:rPr>
          <w:t>.</w:t>
        </w:r>
        <w:r w:rsidR="00913241" w:rsidRPr="00CC78B7">
          <w:rPr>
            <w:rStyle w:val="Hyperlink"/>
            <w:rFonts w:ascii="Times New Roman" w:hAnsi="Times New Roman"/>
            <w:color w:val="auto"/>
            <w:sz w:val="24"/>
            <w:szCs w:val="24"/>
            <w:lang w:val="en-US"/>
          </w:rPr>
          <w:t>com</w:t>
        </w:r>
        <w:r w:rsidR="00913241" w:rsidRPr="00CC78B7">
          <w:rPr>
            <w:rStyle w:val="Hyperlink"/>
            <w:rFonts w:ascii="Times New Roman" w:hAnsi="Times New Roman"/>
            <w:color w:val="auto"/>
            <w:sz w:val="24"/>
            <w:szCs w:val="24"/>
          </w:rPr>
          <w:t>/</w:t>
        </w:r>
        <w:r w:rsidR="00913241" w:rsidRPr="00CC78B7">
          <w:rPr>
            <w:rStyle w:val="Hyperlink"/>
            <w:rFonts w:ascii="Times New Roman" w:hAnsi="Times New Roman"/>
            <w:color w:val="auto"/>
            <w:sz w:val="24"/>
            <w:szCs w:val="24"/>
            <w:lang w:val="en-US"/>
          </w:rPr>
          <w:t>lp</w:t>
        </w:r>
        <w:r w:rsidR="00913241" w:rsidRPr="00CC78B7">
          <w:rPr>
            <w:rStyle w:val="Hyperlink"/>
            <w:rFonts w:ascii="Times New Roman" w:hAnsi="Times New Roman"/>
            <w:color w:val="auto"/>
            <w:sz w:val="24"/>
            <w:szCs w:val="24"/>
          </w:rPr>
          <w:t>/</w:t>
        </w:r>
        <w:r w:rsidR="00913241" w:rsidRPr="00CC78B7">
          <w:rPr>
            <w:rStyle w:val="Hyperlink"/>
            <w:rFonts w:ascii="Times New Roman" w:hAnsi="Times New Roman"/>
            <w:color w:val="auto"/>
            <w:sz w:val="24"/>
            <w:szCs w:val="24"/>
            <w:lang w:val="en-US"/>
          </w:rPr>
          <w:t>springer</w:t>
        </w:r>
        <w:r w:rsidR="00913241" w:rsidRPr="00CC78B7">
          <w:rPr>
            <w:rStyle w:val="Hyperlink"/>
            <w:rFonts w:ascii="Times New Roman" w:hAnsi="Times New Roman"/>
            <w:color w:val="auto"/>
            <w:sz w:val="24"/>
            <w:szCs w:val="24"/>
          </w:rPr>
          <w:t>-</w:t>
        </w:r>
        <w:r w:rsidR="00913241" w:rsidRPr="00CC78B7">
          <w:rPr>
            <w:rStyle w:val="Hyperlink"/>
            <w:rFonts w:ascii="Times New Roman" w:hAnsi="Times New Roman"/>
            <w:color w:val="auto"/>
            <w:sz w:val="24"/>
            <w:szCs w:val="24"/>
            <w:lang w:val="en-US"/>
          </w:rPr>
          <w:t>journals</w:t>
        </w:r>
        <w:r w:rsidR="00913241" w:rsidRPr="00CC78B7">
          <w:rPr>
            <w:rStyle w:val="Hyperlink"/>
            <w:rFonts w:ascii="Times New Roman" w:hAnsi="Times New Roman"/>
            <w:color w:val="auto"/>
            <w:sz w:val="24"/>
            <w:szCs w:val="24"/>
          </w:rPr>
          <w:t>/</w:t>
        </w:r>
        <w:r w:rsidR="00913241" w:rsidRPr="00CC78B7">
          <w:rPr>
            <w:rStyle w:val="Hyperlink"/>
            <w:rFonts w:ascii="Times New Roman" w:hAnsi="Times New Roman"/>
            <w:color w:val="auto"/>
            <w:sz w:val="24"/>
            <w:szCs w:val="24"/>
            <w:lang w:val="en-US"/>
          </w:rPr>
          <w:t>medical</w:t>
        </w:r>
        <w:r w:rsidR="00913241" w:rsidRPr="00CC78B7">
          <w:rPr>
            <w:rStyle w:val="Hyperlink"/>
            <w:rFonts w:ascii="Times New Roman" w:hAnsi="Times New Roman"/>
            <w:color w:val="auto"/>
            <w:sz w:val="24"/>
            <w:szCs w:val="24"/>
          </w:rPr>
          <w:t>-</w:t>
        </w:r>
        <w:r w:rsidR="00913241" w:rsidRPr="00CC78B7">
          <w:rPr>
            <w:rStyle w:val="Hyperlink"/>
            <w:rFonts w:ascii="Times New Roman" w:hAnsi="Times New Roman"/>
            <w:color w:val="auto"/>
            <w:sz w:val="24"/>
            <w:szCs w:val="24"/>
            <w:lang w:val="en-US"/>
          </w:rPr>
          <w:t>elementology</w:t>
        </w:r>
        <w:r w:rsidR="00913241" w:rsidRPr="00CC78B7">
          <w:rPr>
            <w:rStyle w:val="Hyperlink"/>
            <w:rFonts w:ascii="Times New Roman" w:hAnsi="Times New Roman"/>
            <w:color w:val="auto"/>
            <w:sz w:val="24"/>
            <w:szCs w:val="24"/>
          </w:rPr>
          <w:t>-</w:t>
        </w:r>
        <w:r w:rsidR="00913241" w:rsidRPr="00CC78B7">
          <w:rPr>
            <w:rStyle w:val="Hyperlink"/>
            <w:rFonts w:ascii="Times New Roman" w:hAnsi="Times New Roman"/>
            <w:color w:val="auto"/>
            <w:sz w:val="24"/>
            <w:szCs w:val="24"/>
            <w:lang w:val="en-US"/>
          </w:rPr>
          <w:t>as</w:t>
        </w:r>
        <w:r w:rsidR="00913241" w:rsidRPr="00CC78B7">
          <w:rPr>
            <w:rStyle w:val="Hyperlink"/>
            <w:rFonts w:ascii="Times New Roman" w:hAnsi="Times New Roman"/>
            <w:color w:val="auto"/>
            <w:sz w:val="24"/>
            <w:szCs w:val="24"/>
          </w:rPr>
          <w:t>-</w:t>
        </w:r>
        <w:r w:rsidR="00913241" w:rsidRPr="00CC78B7">
          <w:rPr>
            <w:rStyle w:val="Hyperlink"/>
            <w:rFonts w:ascii="Times New Roman" w:hAnsi="Times New Roman"/>
            <w:color w:val="auto"/>
            <w:sz w:val="24"/>
            <w:szCs w:val="24"/>
            <w:lang w:val="en-US"/>
          </w:rPr>
          <w:t>a</w:t>
        </w:r>
        <w:r w:rsidR="00913241" w:rsidRPr="00CC78B7">
          <w:rPr>
            <w:rStyle w:val="Hyperlink"/>
            <w:rFonts w:ascii="Times New Roman" w:hAnsi="Times New Roman"/>
            <w:color w:val="auto"/>
            <w:sz w:val="24"/>
            <w:szCs w:val="24"/>
          </w:rPr>
          <w:t>-</w:t>
        </w:r>
        <w:r w:rsidR="00913241" w:rsidRPr="00CC78B7">
          <w:rPr>
            <w:rStyle w:val="Hyperlink"/>
            <w:rFonts w:ascii="Times New Roman" w:hAnsi="Times New Roman"/>
            <w:color w:val="auto"/>
            <w:sz w:val="24"/>
            <w:szCs w:val="24"/>
            <w:lang w:val="en-US"/>
          </w:rPr>
          <w:t>new</w:t>
        </w:r>
        <w:r w:rsidR="00913241" w:rsidRPr="00CC78B7">
          <w:rPr>
            <w:rStyle w:val="Hyperlink"/>
            <w:rFonts w:ascii="Times New Roman" w:hAnsi="Times New Roman"/>
            <w:color w:val="auto"/>
            <w:sz w:val="24"/>
            <w:szCs w:val="24"/>
          </w:rPr>
          <w:t>-</w:t>
        </w:r>
        <w:r w:rsidR="00913241" w:rsidRPr="00CC78B7">
          <w:rPr>
            <w:rStyle w:val="Hyperlink"/>
            <w:rFonts w:ascii="Times New Roman" w:hAnsi="Times New Roman"/>
            <w:color w:val="auto"/>
            <w:sz w:val="24"/>
            <w:szCs w:val="24"/>
            <w:lang w:val="en-US"/>
          </w:rPr>
          <w:t>scientific</w:t>
        </w:r>
        <w:r w:rsidR="00913241" w:rsidRPr="00CC78B7">
          <w:rPr>
            <w:rStyle w:val="Hyperlink"/>
            <w:rFonts w:ascii="Times New Roman" w:hAnsi="Times New Roman"/>
            <w:color w:val="auto"/>
            <w:sz w:val="24"/>
            <w:szCs w:val="24"/>
          </w:rPr>
          <w:t>-</w:t>
        </w:r>
        <w:r w:rsidR="00913241" w:rsidRPr="00CC78B7">
          <w:rPr>
            <w:rStyle w:val="Hyperlink"/>
            <w:rFonts w:ascii="Times New Roman" w:hAnsi="Times New Roman"/>
            <w:color w:val="auto"/>
            <w:sz w:val="24"/>
            <w:szCs w:val="24"/>
            <w:lang w:val="en-US"/>
          </w:rPr>
          <w:t>discipline</w:t>
        </w:r>
        <w:r w:rsidR="00913241" w:rsidRPr="00CC78B7">
          <w:rPr>
            <w:rStyle w:val="Hyperlink"/>
            <w:rFonts w:ascii="Times New Roman" w:hAnsi="Times New Roman"/>
            <w:color w:val="auto"/>
            <w:sz w:val="24"/>
            <w:szCs w:val="24"/>
          </w:rPr>
          <w:t>-</w:t>
        </w:r>
        <w:r w:rsidR="00913241" w:rsidRPr="00CC78B7">
          <w:rPr>
            <w:rStyle w:val="Hyperlink"/>
            <w:rFonts w:ascii="Times New Roman" w:hAnsi="Times New Roman"/>
            <w:color w:val="auto"/>
            <w:sz w:val="24"/>
            <w:szCs w:val="24"/>
            <w:lang w:val="en-US"/>
          </w:rPr>
          <w:t>NYNbKJe</w:t>
        </w:r>
        <w:r w:rsidR="00913241" w:rsidRPr="00CC78B7">
          <w:rPr>
            <w:rStyle w:val="Hyperlink"/>
            <w:rFonts w:ascii="Times New Roman" w:hAnsi="Times New Roman"/>
            <w:color w:val="auto"/>
            <w:sz w:val="24"/>
            <w:szCs w:val="24"/>
          </w:rPr>
          <w:t>7</w:t>
        </w:r>
        <w:r w:rsidR="00913241" w:rsidRPr="00CC78B7">
          <w:rPr>
            <w:rStyle w:val="Hyperlink"/>
            <w:rFonts w:ascii="Times New Roman" w:hAnsi="Times New Roman"/>
            <w:color w:val="auto"/>
            <w:sz w:val="24"/>
            <w:szCs w:val="24"/>
            <w:lang w:val="en-US"/>
          </w:rPr>
          <w:t>UB</w:t>
        </w:r>
      </w:hyperlink>
    </w:p>
    <w:p w:rsidR="00913241" w:rsidRPr="00CC78B7" w:rsidRDefault="00913241" w:rsidP="00204280">
      <w:pPr>
        <w:pStyle w:val="ListParagraph"/>
        <w:numPr>
          <w:ilvl w:val="0"/>
          <w:numId w:val="17"/>
        </w:numPr>
        <w:spacing w:after="0" w:line="240" w:lineRule="auto"/>
        <w:jc w:val="both"/>
        <w:rPr>
          <w:rStyle w:val="cit"/>
          <w:rFonts w:ascii="Times New Roman" w:eastAsia="Times New Roman" w:hAnsi="Times New Roman" w:cs="Times New Roman"/>
          <w:sz w:val="24"/>
          <w:szCs w:val="24"/>
          <w:lang w:val="en-US" w:eastAsia="ru-RU"/>
        </w:rPr>
      </w:pPr>
      <w:r w:rsidRPr="00CC78B7">
        <w:rPr>
          <w:rStyle w:val="title-text"/>
          <w:rFonts w:ascii="Times New Roman" w:hAnsi="Times New Roman" w:cs="Times New Roman"/>
          <w:sz w:val="24"/>
          <w:szCs w:val="24"/>
        </w:rPr>
        <w:t xml:space="preserve">Moncayo R, Moncayo H. </w:t>
      </w:r>
      <w:r w:rsidRPr="00CC78B7">
        <w:rPr>
          <w:rFonts w:ascii="Times New Roman" w:hAnsi="Times New Roman" w:cs="Times New Roman"/>
          <w:sz w:val="24"/>
          <w:szCs w:val="24"/>
        </w:rPr>
        <w:t xml:space="preserve">A post-publication analysis of the idealized upper reference value of 2.5 mIU/L for TSH: Time to support the thyroid axis with magnesium and iron especially in the setting of reproduction medicine. </w:t>
      </w:r>
      <w:hyperlink r:id="rId23" w:history="1">
        <w:r w:rsidRPr="00CC78B7">
          <w:rPr>
            <w:rStyle w:val="Hyperlink"/>
            <w:rFonts w:ascii="Times New Roman" w:hAnsi="Times New Roman"/>
            <w:color w:val="auto"/>
            <w:sz w:val="24"/>
            <w:szCs w:val="24"/>
          </w:rPr>
          <w:t>BBA Clin</w:t>
        </w:r>
      </w:hyperlink>
      <w:r w:rsidRPr="00CC78B7">
        <w:rPr>
          <w:rStyle w:val="cit"/>
          <w:rFonts w:ascii="Times New Roman" w:hAnsi="Times New Roman" w:cs="Times New Roman"/>
          <w:sz w:val="24"/>
          <w:szCs w:val="24"/>
        </w:rPr>
        <w:t xml:space="preserve"> 2017; 7: 115–119.</w:t>
      </w:r>
    </w:p>
    <w:p w:rsidR="00913241" w:rsidRPr="00CC78B7" w:rsidRDefault="00771673" w:rsidP="00204280">
      <w:pPr>
        <w:pStyle w:val="ListParagraph"/>
        <w:spacing w:after="0" w:line="240" w:lineRule="auto"/>
        <w:ind w:left="360"/>
        <w:jc w:val="both"/>
        <w:rPr>
          <w:rStyle w:val="cit"/>
          <w:rFonts w:ascii="Times New Roman" w:eastAsia="Times New Roman" w:hAnsi="Times New Roman" w:cs="Times New Roman"/>
          <w:sz w:val="24"/>
          <w:szCs w:val="24"/>
          <w:lang w:val="en-US" w:eastAsia="ru-RU"/>
        </w:rPr>
      </w:pPr>
      <w:hyperlink r:id="rId24" w:history="1">
        <w:r w:rsidR="00913241" w:rsidRPr="00CC78B7">
          <w:rPr>
            <w:rStyle w:val="Hyperlink"/>
            <w:rFonts w:ascii="Times New Roman" w:eastAsia="Times New Roman" w:hAnsi="Times New Roman"/>
            <w:color w:val="auto"/>
            <w:sz w:val="24"/>
            <w:szCs w:val="24"/>
            <w:lang w:val="en-US" w:eastAsia="ru-RU"/>
          </w:rPr>
          <w:t>https://www.ncbi.nlm.nih.gov/pmc/articles/PMC5385584/</w:t>
        </w:r>
      </w:hyperlink>
    </w:p>
    <w:p w:rsidR="00913241" w:rsidRPr="00CC78B7" w:rsidRDefault="00771673" w:rsidP="00204280">
      <w:pPr>
        <w:numPr>
          <w:ilvl w:val="0"/>
          <w:numId w:val="17"/>
        </w:numPr>
        <w:autoSpaceDE w:val="0"/>
        <w:autoSpaceDN w:val="0"/>
        <w:adjustRightInd w:val="0"/>
      </w:pPr>
      <w:hyperlink r:id="rId25" w:history="1">
        <w:r w:rsidR="00913241" w:rsidRPr="00CC78B7">
          <w:rPr>
            <w:rStyle w:val="Hyperlink"/>
            <w:color w:val="auto"/>
            <w:lang w:val="en-US"/>
          </w:rPr>
          <w:t>Beyersmann D</w:t>
        </w:r>
      </w:hyperlink>
      <w:r w:rsidR="00913241" w:rsidRPr="00CC78B7">
        <w:rPr>
          <w:lang w:val="en-US"/>
        </w:rPr>
        <w:t xml:space="preserve">, </w:t>
      </w:r>
      <w:hyperlink r:id="rId26" w:history="1">
        <w:r w:rsidR="00913241" w:rsidRPr="00CC78B7">
          <w:rPr>
            <w:rStyle w:val="Hyperlink"/>
            <w:color w:val="auto"/>
            <w:lang w:val="en-US"/>
          </w:rPr>
          <w:t>Hartwig A</w:t>
        </w:r>
      </w:hyperlink>
      <w:r w:rsidR="00913241" w:rsidRPr="00CC78B7">
        <w:rPr>
          <w:lang w:val="en-US"/>
        </w:rPr>
        <w:t xml:space="preserve">. Carcinogenic metal compounds: recent insight into molecular and cellular mechanisms. </w:t>
      </w:r>
      <w:hyperlink r:id="rId27" w:anchor="#" w:tooltip="Archives of toxicology." w:history="1">
        <w:r w:rsidR="00913241" w:rsidRPr="00CC78B7">
          <w:rPr>
            <w:rStyle w:val="Hyperlink"/>
            <w:color w:val="auto"/>
          </w:rPr>
          <w:t>ArchToxicol</w:t>
        </w:r>
      </w:hyperlink>
      <w:r w:rsidR="00913241" w:rsidRPr="00CC78B7">
        <w:t xml:space="preserve"> 2008; 82(8): 493-512.</w:t>
      </w:r>
    </w:p>
    <w:p w:rsidR="00913241" w:rsidRPr="00CC78B7" w:rsidRDefault="00771673" w:rsidP="00204280">
      <w:pPr>
        <w:autoSpaceDE w:val="0"/>
        <w:autoSpaceDN w:val="0"/>
        <w:adjustRightInd w:val="0"/>
        <w:ind w:left="360"/>
      </w:pPr>
      <w:hyperlink r:id="rId28" w:history="1">
        <w:r w:rsidR="00913241" w:rsidRPr="00CC78B7">
          <w:rPr>
            <w:rStyle w:val="Hyperlink"/>
            <w:color w:val="auto"/>
          </w:rPr>
          <w:t>https://pubmed.ncbi.nlm.nih.gov/18496671/</w:t>
        </w:r>
      </w:hyperlink>
    </w:p>
    <w:p w:rsidR="00913241" w:rsidRPr="00CC78B7" w:rsidRDefault="00771673" w:rsidP="00204280">
      <w:pPr>
        <w:numPr>
          <w:ilvl w:val="0"/>
          <w:numId w:val="17"/>
        </w:numPr>
        <w:overflowPunct w:val="0"/>
        <w:autoSpaceDE w:val="0"/>
        <w:autoSpaceDN w:val="0"/>
        <w:adjustRightInd w:val="0"/>
        <w:textAlignment w:val="baseline"/>
      </w:pPr>
      <w:hyperlink r:id="rId29" w:history="1">
        <w:r w:rsidR="00913241" w:rsidRPr="00CC78B7">
          <w:rPr>
            <w:rStyle w:val="Hyperlink"/>
            <w:color w:val="auto"/>
            <w:lang w:val="pt-BR"/>
          </w:rPr>
          <w:t>Martinez-Zamudio R</w:t>
        </w:r>
      </w:hyperlink>
      <w:r w:rsidR="00913241" w:rsidRPr="00CC78B7">
        <w:rPr>
          <w:lang w:val="pt-BR"/>
        </w:rPr>
        <w:t xml:space="preserve">, </w:t>
      </w:r>
      <w:hyperlink r:id="rId30" w:history="1">
        <w:r w:rsidR="00913241" w:rsidRPr="00CC78B7">
          <w:rPr>
            <w:rStyle w:val="Hyperlink"/>
            <w:color w:val="auto"/>
            <w:lang w:val="pt-BR"/>
          </w:rPr>
          <w:t>Ha HC</w:t>
        </w:r>
      </w:hyperlink>
      <w:r w:rsidR="00913241" w:rsidRPr="00CC78B7">
        <w:rPr>
          <w:lang w:val="pt-BR"/>
        </w:rPr>
        <w:t xml:space="preserve">. </w:t>
      </w:r>
      <w:r w:rsidR="00913241" w:rsidRPr="00CC78B7">
        <w:t xml:space="preserve">Environmentalepigenetics in metalexposure. </w:t>
      </w:r>
      <w:hyperlink r:id="rId31" w:anchor="#" w:tooltip="Epigenetics : official journal of the DNA Methylation Society." w:history="1">
        <w:r w:rsidR="00913241" w:rsidRPr="00CC78B7">
          <w:rPr>
            <w:rStyle w:val="Hyperlink"/>
            <w:color w:val="auto"/>
          </w:rPr>
          <w:t>Epigenetics</w:t>
        </w:r>
      </w:hyperlink>
      <w:r w:rsidR="00913241" w:rsidRPr="00CC78B7">
        <w:t xml:space="preserve"> 2011; 6(7): 820-827.</w:t>
      </w:r>
    </w:p>
    <w:p w:rsidR="00913241" w:rsidRPr="00CC78B7" w:rsidRDefault="00771673" w:rsidP="00204280">
      <w:pPr>
        <w:overflowPunct w:val="0"/>
        <w:autoSpaceDE w:val="0"/>
        <w:autoSpaceDN w:val="0"/>
        <w:adjustRightInd w:val="0"/>
        <w:ind w:left="360"/>
        <w:textAlignment w:val="baseline"/>
      </w:pPr>
      <w:hyperlink r:id="rId32" w:history="1">
        <w:r w:rsidR="00913241" w:rsidRPr="00CC78B7">
          <w:rPr>
            <w:rStyle w:val="Hyperlink"/>
            <w:color w:val="auto"/>
          </w:rPr>
          <w:t>https://www.ncbi.nlm.nih.gov/pmc/articles/PMC3230540/</w:t>
        </w:r>
      </w:hyperlink>
    </w:p>
    <w:p w:rsidR="00913241" w:rsidRPr="00CC78B7" w:rsidRDefault="00913241" w:rsidP="00204280">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lang w:val="en-US" w:eastAsia="ru-RU"/>
        </w:rPr>
      </w:pPr>
      <w:r w:rsidRPr="00CC78B7">
        <w:rPr>
          <w:rFonts w:ascii="Times New Roman" w:eastAsia="Times New Roman" w:hAnsi="Times New Roman" w:cs="Times New Roman"/>
          <w:bCs/>
          <w:kern w:val="36"/>
          <w:sz w:val="24"/>
          <w:szCs w:val="24"/>
          <w:lang w:val="en-US" w:eastAsia="ru-RU"/>
        </w:rPr>
        <w:t>Zaĭchik VE, RaibukhinYuS, Melnik AD, Cherkashin VI. Neutron-activation analysis in the study of the behavior of iodine in the organism.</w:t>
      </w:r>
      <w:r w:rsidRPr="00CC78B7">
        <w:rPr>
          <w:rFonts w:ascii="Times New Roman" w:eastAsia="Times New Roman" w:hAnsi="Times New Roman" w:cs="Times New Roman"/>
          <w:sz w:val="24"/>
          <w:szCs w:val="24"/>
          <w:lang w:val="en-US" w:eastAsia="ru-RU"/>
        </w:rPr>
        <w:t>Med Radiol (Mosk) 1970; 15(1): 33-36.</w:t>
      </w:r>
    </w:p>
    <w:p w:rsidR="00913241" w:rsidRPr="00CC78B7" w:rsidRDefault="00771673" w:rsidP="00204280">
      <w:pPr>
        <w:pStyle w:val="ListParagraph"/>
        <w:shd w:val="clear" w:color="auto" w:fill="FFFFFF"/>
        <w:spacing w:after="0" w:line="240" w:lineRule="auto"/>
        <w:ind w:left="360"/>
        <w:jc w:val="both"/>
        <w:rPr>
          <w:rFonts w:ascii="Times New Roman" w:eastAsia="Times New Roman" w:hAnsi="Times New Roman" w:cs="Times New Roman"/>
          <w:sz w:val="24"/>
          <w:szCs w:val="24"/>
          <w:lang w:val="en-US" w:eastAsia="ru-RU"/>
        </w:rPr>
      </w:pPr>
      <w:hyperlink r:id="rId33" w:history="1">
        <w:r w:rsidR="00913241" w:rsidRPr="00CC78B7">
          <w:rPr>
            <w:rStyle w:val="Hyperlink"/>
            <w:rFonts w:ascii="Times New Roman" w:eastAsia="Times New Roman" w:hAnsi="Times New Roman"/>
            <w:color w:val="auto"/>
            <w:sz w:val="24"/>
            <w:szCs w:val="24"/>
            <w:lang w:val="en-US" w:eastAsia="ru-RU"/>
          </w:rPr>
          <w:t>https://pubmed.ncbi.nlm.nih.gov/5449249/</w:t>
        </w:r>
      </w:hyperlink>
    </w:p>
    <w:p w:rsidR="00913241" w:rsidRPr="00CC78B7" w:rsidRDefault="00913241" w:rsidP="00204280">
      <w:pPr>
        <w:pStyle w:val="ListParagraph"/>
        <w:numPr>
          <w:ilvl w:val="0"/>
          <w:numId w:val="17"/>
        </w:numPr>
        <w:spacing w:after="0" w:line="240" w:lineRule="auto"/>
        <w:jc w:val="both"/>
        <w:rPr>
          <w:rFonts w:ascii="Times New Roman" w:eastAsia="Times New Roman" w:hAnsi="Times New Roman" w:cs="Times New Roman"/>
          <w:sz w:val="24"/>
          <w:szCs w:val="24"/>
          <w:lang w:val="en-US" w:eastAsia="ru-RU"/>
        </w:rPr>
      </w:pPr>
      <w:r w:rsidRPr="00CC78B7">
        <w:rPr>
          <w:rFonts w:ascii="Times New Roman" w:eastAsia="Times New Roman" w:hAnsi="Times New Roman" w:cs="Times New Roman"/>
          <w:bCs/>
          <w:kern w:val="36"/>
          <w:sz w:val="24"/>
          <w:szCs w:val="24"/>
          <w:lang w:val="en-US" w:eastAsia="ru-RU"/>
        </w:rPr>
        <w:t>Zaĭchik VE, Matveenko EG, Vtiurin BM, Medvedev VS. Intrathyroid iodine in the diagnosis of thyroid cancer.</w:t>
      </w:r>
      <w:r w:rsidRPr="00CC78B7">
        <w:rPr>
          <w:rFonts w:ascii="Times New Roman" w:eastAsia="Times New Roman" w:hAnsi="Times New Roman" w:cs="Times New Roman"/>
          <w:sz w:val="24"/>
          <w:szCs w:val="24"/>
          <w:lang w:val="en-US" w:eastAsia="ru-RU"/>
        </w:rPr>
        <w:t>VoprOnkol 1982; 28(3): 18-24.</w:t>
      </w:r>
    </w:p>
    <w:p w:rsidR="00913241" w:rsidRPr="00CC78B7" w:rsidRDefault="00771673" w:rsidP="00204280">
      <w:pPr>
        <w:pStyle w:val="ListParagraph"/>
        <w:spacing w:after="0" w:line="240" w:lineRule="auto"/>
        <w:ind w:left="360"/>
        <w:jc w:val="both"/>
        <w:rPr>
          <w:rFonts w:ascii="Times New Roman" w:eastAsia="Times New Roman" w:hAnsi="Times New Roman" w:cs="Times New Roman"/>
          <w:sz w:val="24"/>
          <w:szCs w:val="24"/>
          <w:lang w:val="en-US" w:eastAsia="ru-RU"/>
        </w:rPr>
      </w:pPr>
      <w:hyperlink r:id="rId34" w:history="1">
        <w:r w:rsidR="00913241" w:rsidRPr="00CC78B7">
          <w:rPr>
            <w:rStyle w:val="Hyperlink"/>
            <w:rFonts w:ascii="Times New Roman" w:eastAsia="Times New Roman" w:hAnsi="Times New Roman"/>
            <w:color w:val="auto"/>
            <w:sz w:val="24"/>
            <w:szCs w:val="24"/>
            <w:lang w:val="en-US" w:eastAsia="ru-RU"/>
          </w:rPr>
          <w:t>https://pubmed.ncbi.nlm.nih.gov/7064415/</w:t>
        </w:r>
      </w:hyperlink>
    </w:p>
    <w:p w:rsidR="00913241" w:rsidRPr="00CC78B7" w:rsidRDefault="00913241" w:rsidP="00204280">
      <w:pPr>
        <w:pStyle w:val="ListParagraph"/>
        <w:numPr>
          <w:ilvl w:val="0"/>
          <w:numId w:val="17"/>
        </w:numPr>
        <w:spacing w:after="0" w:line="240" w:lineRule="auto"/>
        <w:ind w:left="357" w:hanging="357"/>
        <w:rPr>
          <w:rFonts w:ascii="Times New Roman" w:hAnsi="Times New Roman" w:cs="Times New Roman"/>
          <w:sz w:val="24"/>
          <w:szCs w:val="24"/>
        </w:rPr>
      </w:pPr>
      <w:r w:rsidRPr="00CC78B7">
        <w:rPr>
          <w:rStyle w:val="authors-list-item"/>
          <w:rFonts w:ascii="Times New Roman" w:hAnsi="Times New Roman" w:cs="Times New Roman"/>
          <w:sz w:val="24"/>
          <w:szCs w:val="24"/>
        </w:rPr>
        <w:t>Zaichick V</w:t>
      </w:r>
      <w:r w:rsidRPr="00CC78B7">
        <w:rPr>
          <w:rStyle w:val="comma"/>
          <w:rFonts w:ascii="Times New Roman" w:hAnsi="Times New Roman" w:cs="Times New Roman"/>
          <w:sz w:val="24"/>
          <w:szCs w:val="24"/>
        </w:rPr>
        <w:t>, </w:t>
      </w:r>
      <w:hyperlink r:id="rId35" w:history="1">
        <w:r w:rsidRPr="00CC78B7">
          <w:rPr>
            <w:rStyle w:val="Hyperlink"/>
            <w:rFonts w:ascii="Times New Roman" w:hAnsi="Times New Roman"/>
            <w:color w:val="auto"/>
            <w:sz w:val="24"/>
            <w:szCs w:val="24"/>
          </w:rPr>
          <w:t>Tsyb</w:t>
        </w:r>
      </w:hyperlink>
      <w:r w:rsidRPr="00CC78B7">
        <w:rPr>
          <w:rStyle w:val="authors-list-item"/>
          <w:rFonts w:ascii="Times New Roman" w:hAnsi="Times New Roman" w:cs="Times New Roman"/>
          <w:sz w:val="24"/>
          <w:szCs w:val="24"/>
        </w:rPr>
        <w:t xml:space="preserve"> AF</w:t>
      </w:r>
      <w:r w:rsidRPr="00CC78B7">
        <w:rPr>
          <w:rStyle w:val="comma"/>
          <w:rFonts w:ascii="Times New Roman" w:hAnsi="Times New Roman" w:cs="Times New Roman"/>
          <w:sz w:val="24"/>
          <w:szCs w:val="24"/>
        </w:rPr>
        <w:t>, </w:t>
      </w:r>
      <w:hyperlink r:id="rId36" w:history="1">
        <w:r w:rsidRPr="00CC78B7">
          <w:rPr>
            <w:rStyle w:val="Hyperlink"/>
            <w:rFonts w:ascii="Times New Roman" w:hAnsi="Times New Roman"/>
            <w:color w:val="auto"/>
            <w:sz w:val="24"/>
            <w:szCs w:val="24"/>
          </w:rPr>
          <w:t>Vtyurin</w:t>
        </w:r>
      </w:hyperlink>
      <w:r w:rsidRPr="00CC78B7">
        <w:rPr>
          <w:rStyle w:val="authors-list-item"/>
          <w:rFonts w:ascii="Times New Roman" w:hAnsi="Times New Roman" w:cs="Times New Roman"/>
          <w:sz w:val="24"/>
          <w:szCs w:val="24"/>
        </w:rPr>
        <w:t xml:space="preserve"> BM. </w:t>
      </w:r>
      <w:r w:rsidRPr="00CC78B7">
        <w:rPr>
          <w:rFonts w:ascii="Times New Roman" w:hAnsi="Times New Roman" w:cs="Times New Roman"/>
          <w:sz w:val="24"/>
          <w:szCs w:val="24"/>
        </w:rPr>
        <w:t xml:space="preserve">Trace elements and thyroid cancer.Analyst </w:t>
      </w:r>
      <w:r w:rsidRPr="00CC78B7">
        <w:rPr>
          <w:rStyle w:val="cit"/>
          <w:rFonts w:ascii="Times New Roman" w:hAnsi="Times New Roman" w:cs="Times New Roman"/>
          <w:sz w:val="24"/>
          <w:szCs w:val="24"/>
        </w:rPr>
        <w:t>1995; 120(3): 817-821.</w:t>
      </w:r>
    </w:p>
    <w:p w:rsidR="00913241" w:rsidRPr="00CC78B7" w:rsidRDefault="00771673" w:rsidP="00204280">
      <w:pPr>
        <w:pStyle w:val="ListParagraph"/>
        <w:spacing w:after="0" w:line="240" w:lineRule="auto"/>
        <w:ind w:left="357"/>
        <w:rPr>
          <w:rFonts w:ascii="Times New Roman" w:hAnsi="Times New Roman" w:cs="Times New Roman"/>
          <w:sz w:val="24"/>
          <w:szCs w:val="24"/>
        </w:rPr>
      </w:pPr>
      <w:hyperlink r:id="rId37" w:history="1">
        <w:r w:rsidR="00913241" w:rsidRPr="00CC78B7">
          <w:rPr>
            <w:rStyle w:val="Hyperlink"/>
            <w:rFonts w:ascii="Times New Roman" w:hAnsi="Times New Roman"/>
            <w:color w:val="auto"/>
            <w:sz w:val="24"/>
            <w:szCs w:val="24"/>
          </w:rPr>
          <w:t>https://pubmed.ncbi.nlm.nih.gov/7741233/</w:t>
        </w:r>
      </w:hyperlink>
    </w:p>
    <w:p w:rsidR="00913241" w:rsidRPr="00CC78B7" w:rsidRDefault="00913241" w:rsidP="00204280">
      <w:pPr>
        <w:numPr>
          <w:ilvl w:val="0"/>
          <w:numId w:val="17"/>
        </w:numPr>
        <w:overflowPunct w:val="0"/>
        <w:autoSpaceDE w:val="0"/>
        <w:autoSpaceDN w:val="0"/>
        <w:adjustRightInd w:val="0"/>
        <w:textAlignment w:val="baseline"/>
        <w:rPr>
          <w:b/>
        </w:rPr>
      </w:pPr>
      <w:r w:rsidRPr="00CC78B7">
        <w:rPr>
          <w:lang w:val="en-US"/>
        </w:rPr>
        <w:t xml:space="preserve">Zaichick VYe, ChoporovYuYa. Determination of the natural level of human intra-thyroid iodine by instrumental neutron activation analysis. </w:t>
      </w:r>
      <w:r w:rsidRPr="00CC78B7">
        <w:t>J RadioanalNucl Chem 1996; 207(1): 153-161.</w:t>
      </w:r>
    </w:p>
    <w:p w:rsidR="00913241" w:rsidRPr="00CC78B7" w:rsidRDefault="00771673" w:rsidP="00204280">
      <w:pPr>
        <w:overflowPunct w:val="0"/>
        <w:autoSpaceDE w:val="0"/>
        <w:autoSpaceDN w:val="0"/>
        <w:adjustRightInd w:val="0"/>
        <w:ind w:left="360"/>
        <w:textAlignment w:val="baseline"/>
      </w:pPr>
      <w:hyperlink r:id="rId38" w:history="1">
        <w:r w:rsidR="00913241" w:rsidRPr="00CC78B7">
          <w:rPr>
            <w:rStyle w:val="Hyperlink"/>
            <w:color w:val="auto"/>
          </w:rPr>
          <w:t>https://inis.iaea.org/search/search.aspx?orig_q=RN:27073875</w:t>
        </w:r>
      </w:hyperlink>
    </w:p>
    <w:p w:rsidR="00913241" w:rsidRPr="00CC78B7" w:rsidRDefault="00913241" w:rsidP="00204280">
      <w:pPr>
        <w:numPr>
          <w:ilvl w:val="0"/>
          <w:numId w:val="17"/>
        </w:numPr>
        <w:overflowPunct w:val="0"/>
        <w:autoSpaceDE w:val="0"/>
        <w:autoSpaceDN w:val="0"/>
        <w:adjustRightInd w:val="0"/>
        <w:jc w:val="both"/>
        <w:textAlignment w:val="baseline"/>
        <w:rPr>
          <w:lang w:val="en-GB"/>
        </w:rPr>
      </w:pPr>
      <w:r w:rsidRPr="00CC78B7">
        <w:rPr>
          <w:lang w:val="en-GB"/>
        </w:rPr>
        <w:t xml:space="preserve">Zaichick V. </w:t>
      </w:r>
      <w:r w:rsidRPr="00CC78B7">
        <w:rPr>
          <w:i/>
          <w:lang w:val="en-GB"/>
        </w:rPr>
        <w:t>In vivo</w:t>
      </w:r>
      <w:r w:rsidRPr="00CC78B7">
        <w:rPr>
          <w:lang w:val="en-GB"/>
        </w:rPr>
        <w:t xml:space="preserve"> and </w:t>
      </w:r>
      <w:r w:rsidRPr="00CC78B7">
        <w:rPr>
          <w:i/>
          <w:lang w:val="en-GB"/>
        </w:rPr>
        <w:t>in vitro</w:t>
      </w:r>
      <w:r w:rsidRPr="00CC78B7">
        <w:rPr>
          <w:lang w:val="en-GB"/>
        </w:rPr>
        <w:t xml:space="preserve"> application of energy-dispersive XRF in clinical investigations: experience and the future. </w:t>
      </w:r>
      <w:r w:rsidRPr="00CC78B7">
        <w:t>J Trace ElemExp Med 1998; 11(4): 509-510.</w:t>
      </w:r>
    </w:p>
    <w:p w:rsidR="00913241" w:rsidRPr="00CC78B7" w:rsidRDefault="00771673" w:rsidP="00204280">
      <w:pPr>
        <w:pStyle w:val="ListParagraph"/>
        <w:overflowPunct w:val="0"/>
        <w:autoSpaceDE w:val="0"/>
        <w:autoSpaceDN w:val="0"/>
        <w:adjustRightInd w:val="0"/>
        <w:spacing w:after="0" w:line="240" w:lineRule="auto"/>
        <w:ind w:left="357"/>
        <w:textAlignment w:val="baseline"/>
        <w:rPr>
          <w:rFonts w:ascii="Times New Roman" w:hAnsi="Times New Roman" w:cs="Times New Roman"/>
          <w:sz w:val="24"/>
          <w:szCs w:val="24"/>
          <w:lang w:val="en-GB"/>
        </w:rPr>
      </w:pPr>
      <w:hyperlink r:id="rId39" w:history="1">
        <w:r w:rsidR="00913241" w:rsidRPr="00CC78B7">
          <w:rPr>
            <w:rStyle w:val="Hyperlink"/>
            <w:rFonts w:ascii="Times New Roman" w:hAnsi="Times New Roman"/>
            <w:color w:val="auto"/>
            <w:sz w:val="24"/>
            <w:szCs w:val="24"/>
            <w:lang w:val="en-GB"/>
          </w:rPr>
          <w:t>https://www.scirp.org/(S(351jmbntvnsjt1aadkposzje))/reference/ReferencesPapers.aspx?ReferenceID=1490208</w:t>
        </w:r>
      </w:hyperlink>
    </w:p>
    <w:p w:rsidR="004E5930" w:rsidRPr="00CC78B7" w:rsidRDefault="004E5930" w:rsidP="00204280">
      <w:pPr>
        <w:numPr>
          <w:ilvl w:val="0"/>
          <w:numId w:val="17"/>
        </w:numPr>
        <w:overflowPunct w:val="0"/>
        <w:autoSpaceDE w:val="0"/>
        <w:autoSpaceDN w:val="0"/>
        <w:adjustRightInd w:val="0"/>
        <w:textAlignment w:val="baseline"/>
        <w:rPr>
          <w:b/>
        </w:rPr>
      </w:pPr>
      <w:r w:rsidRPr="00CC78B7">
        <w:rPr>
          <w:lang w:val="en-US"/>
        </w:rPr>
        <w:lastRenderedPageBreak/>
        <w:t xml:space="preserve">Zaichick V, Zaichick S. Energy-dispersive X-ray fluorescence of iodine in thyroid puncture biopsy specimens. </w:t>
      </w:r>
      <w:r w:rsidRPr="00CC78B7">
        <w:t>J Trace  MicroprobeTech 1999; 17(2): 219-232.</w:t>
      </w:r>
    </w:p>
    <w:p w:rsidR="004E5930" w:rsidRPr="00CC78B7" w:rsidRDefault="00771673" w:rsidP="00204280">
      <w:pPr>
        <w:overflowPunct w:val="0"/>
        <w:autoSpaceDE w:val="0"/>
        <w:autoSpaceDN w:val="0"/>
        <w:adjustRightInd w:val="0"/>
        <w:ind w:left="360"/>
        <w:textAlignment w:val="baseline"/>
      </w:pPr>
      <w:hyperlink r:id="rId40" w:history="1">
        <w:r w:rsidR="004E5930" w:rsidRPr="00CC78B7">
          <w:rPr>
            <w:rStyle w:val="Hyperlink"/>
            <w:color w:val="auto"/>
          </w:rPr>
          <w:t>https://jglobal.jst.go.jp/en/detail?JGLOBAL_ID=200902189182887592</w:t>
        </w:r>
      </w:hyperlink>
    </w:p>
    <w:p w:rsidR="004E5930" w:rsidRPr="00CC78B7" w:rsidRDefault="004E5930" w:rsidP="00204280">
      <w:pPr>
        <w:numPr>
          <w:ilvl w:val="0"/>
          <w:numId w:val="17"/>
        </w:numPr>
        <w:overflowPunct w:val="0"/>
        <w:autoSpaceDE w:val="0"/>
        <w:autoSpaceDN w:val="0"/>
        <w:adjustRightInd w:val="0"/>
        <w:textAlignment w:val="baseline"/>
      </w:pPr>
      <w:r w:rsidRPr="00CC78B7">
        <w:rPr>
          <w:lang w:val="en-US"/>
        </w:rPr>
        <w:t xml:space="preserve">Zaichick V. Relevance of, and potentiality for </w:t>
      </w:r>
      <w:commentRangeStart w:id="132"/>
      <w:r w:rsidRPr="00CC78B7">
        <w:rPr>
          <w:lang w:val="en-US"/>
        </w:rPr>
        <w:t xml:space="preserve">in vivo </w:t>
      </w:r>
      <w:commentRangeEnd w:id="132"/>
      <w:r w:rsidR="004A5972">
        <w:rPr>
          <w:rStyle w:val="CommentReference"/>
        </w:rPr>
        <w:commentReference w:id="132"/>
      </w:r>
      <w:r w:rsidRPr="00CC78B7">
        <w:rPr>
          <w:lang w:val="en-US"/>
        </w:rPr>
        <w:t xml:space="preserve">intrathyroidal iodine determination. </w:t>
      </w:r>
      <w:r w:rsidRPr="00CC78B7">
        <w:t>Ann N Y AcadSci 2000; 904: 630-632.</w:t>
      </w:r>
    </w:p>
    <w:p w:rsidR="004E5930" w:rsidRPr="00CC78B7" w:rsidRDefault="00771673" w:rsidP="00204280">
      <w:pPr>
        <w:overflowPunct w:val="0"/>
        <w:autoSpaceDE w:val="0"/>
        <w:autoSpaceDN w:val="0"/>
        <w:adjustRightInd w:val="0"/>
        <w:ind w:left="360"/>
        <w:textAlignment w:val="baseline"/>
      </w:pPr>
      <w:hyperlink r:id="rId41" w:history="1">
        <w:r w:rsidR="004E5930" w:rsidRPr="00CC78B7">
          <w:rPr>
            <w:rStyle w:val="Hyperlink"/>
            <w:color w:val="auto"/>
          </w:rPr>
          <w:t>https://pubmed.ncbi.nlm.nih.gov/10865819/</w:t>
        </w:r>
      </w:hyperlink>
    </w:p>
    <w:p w:rsidR="004E5930" w:rsidRPr="00CC78B7" w:rsidRDefault="004E5930" w:rsidP="00204280">
      <w:pPr>
        <w:pStyle w:val="ListParagraph"/>
        <w:numPr>
          <w:ilvl w:val="0"/>
          <w:numId w:val="17"/>
        </w:numPr>
        <w:spacing w:after="0" w:line="240" w:lineRule="auto"/>
        <w:jc w:val="both"/>
        <w:rPr>
          <w:rFonts w:ascii="Times New Roman" w:eastAsia="Times New Roman" w:hAnsi="Times New Roman" w:cs="Times New Roman"/>
          <w:sz w:val="24"/>
          <w:szCs w:val="24"/>
          <w:lang w:val="en-US" w:eastAsia="ru-RU"/>
        </w:rPr>
      </w:pPr>
      <w:r w:rsidRPr="00CC78B7">
        <w:rPr>
          <w:rFonts w:ascii="Times New Roman" w:eastAsia="Times New Roman" w:hAnsi="Times New Roman" w:cs="Times New Roman"/>
          <w:bCs/>
          <w:kern w:val="36"/>
          <w:sz w:val="24"/>
          <w:szCs w:val="24"/>
          <w:lang w:val="en-US" w:eastAsia="ru-RU"/>
        </w:rPr>
        <w:t>Zaichick V, Zaichick S. Normal human intrathyroidal iodine.</w:t>
      </w:r>
      <w:r w:rsidRPr="00CC78B7">
        <w:rPr>
          <w:rFonts w:ascii="Times New Roman" w:eastAsia="Times New Roman" w:hAnsi="Times New Roman" w:cs="Times New Roman"/>
          <w:sz w:val="24"/>
          <w:szCs w:val="24"/>
          <w:lang w:val="en-US" w:eastAsia="ru-RU"/>
        </w:rPr>
        <w:t>Sci Total Environ 1997; 206(1): 39-56.</w:t>
      </w:r>
    </w:p>
    <w:p w:rsidR="004E5930" w:rsidRPr="00CC78B7" w:rsidRDefault="00771673" w:rsidP="00204280">
      <w:pPr>
        <w:pStyle w:val="ListParagraph"/>
        <w:spacing w:after="0" w:line="240" w:lineRule="auto"/>
        <w:ind w:left="360"/>
        <w:jc w:val="both"/>
        <w:rPr>
          <w:rFonts w:ascii="Times New Roman" w:eastAsia="Times New Roman" w:hAnsi="Times New Roman" w:cs="Times New Roman"/>
          <w:sz w:val="24"/>
          <w:szCs w:val="24"/>
          <w:lang w:val="en-US" w:eastAsia="ru-RU"/>
        </w:rPr>
      </w:pPr>
      <w:hyperlink r:id="rId42" w:history="1">
        <w:r w:rsidR="004E5930" w:rsidRPr="00CC78B7">
          <w:rPr>
            <w:rStyle w:val="Hyperlink"/>
            <w:rFonts w:ascii="Times New Roman" w:eastAsia="Times New Roman" w:hAnsi="Times New Roman"/>
            <w:color w:val="auto"/>
            <w:sz w:val="24"/>
            <w:szCs w:val="24"/>
            <w:lang w:val="en-US" w:eastAsia="ru-RU"/>
          </w:rPr>
          <w:t>https://pubmed.ncbi.nlm.nih.gov/9373990/</w:t>
        </w:r>
      </w:hyperlink>
    </w:p>
    <w:p w:rsidR="004E5930" w:rsidRPr="00CC78B7" w:rsidRDefault="004E5930" w:rsidP="00204280">
      <w:pPr>
        <w:numPr>
          <w:ilvl w:val="0"/>
          <w:numId w:val="17"/>
        </w:numPr>
        <w:overflowPunct w:val="0"/>
        <w:autoSpaceDE w:val="0"/>
        <w:autoSpaceDN w:val="0"/>
        <w:adjustRightInd w:val="0"/>
        <w:textAlignment w:val="baseline"/>
        <w:rPr>
          <w:b/>
        </w:rPr>
      </w:pPr>
      <w:r w:rsidRPr="00CC78B7">
        <w:rPr>
          <w:lang w:val="en-US"/>
        </w:rPr>
        <w:t xml:space="preserve">Zaichick V. Human intrathyroidal iodine in health and non-thyroidal disease. In: New aspects of trace element research (Eds: M.Abdulla, M.Bost, S.Gamon, P.Arnaud, G.Chazot). </w:t>
      </w:r>
      <w:r w:rsidRPr="00CC78B7">
        <w:t>London: Smith-Gordon; and Tokyo:Nishimura; 1999. p.114-119.</w:t>
      </w:r>
    </w:p>
    <w:p w:rsidR="004E5930" w:rsidRPr="00CC78B7" w:rsidRDefault="004E5930" w:rsidP="00204280">
      <w:pPr>
        <w:numPr>
          <w:ilvl w:val="0"/>
          <w:numId w:val="17"/>
        </w:numPr>
      </w:pPr>
      <w:r w:rsidRPr="00CC78B7">
        <w:rPr>
          <w:bCs/>
          <w:lang w:val="en-US"/>
        </w:rPr>
        <w:t>Zaichick V, Zaichick S.</w:t>
      </w:r>
      <w:r w:rsidRPr="00CC78B7">
        <w:rPr>
          <w:lang w:val="en-US"/>
        </w:rPr>
        <w:t xml:space="preserve">  Age-related changes of some trace element contents in intact thyroid of females investigated by </w:t>
      </w:r>
      <w:r w:rsidRPr="00CC78B7">
        <w:rPr>
          <w:lang w:val="en-GB"/>
        </w:rPr>
        <w:t>energy dispersive X-ray fluorescent analysis.</w:t>
      </w:r>
      <w:r w:rsidRPr="00CC78B7">
        <w:t>Trends GeriatrHealthc 2017; 1(1): 31-38.</w:t>
      </w:r>
    </w:p>
    <w:p w:rsidR="004E5930" w:rsidRPr="00CC78B7" w:rsidRDefault="00771673" w:rsidP="00204280">
      <w:pPr>
        <w:ind w:left="360"/>
      </w:pPr>
      <w:hyperlink r:id="rId43" w:history="1">
        <w:r w:rsidR="004E5930" w:rsidRPr="00CC78B7">
          <w:rPr>
            <w:rStyle w:val="Hyperlink"/>
            <w:color w:val="auto"/>
          </w:rPr>
          <w:t>https://scholars.direct/Articles/geriatric-medicine/tghc-1-004.php?jid=geriatric-medicine</w:t>
        </w:r>
      </w:hyperlink>
    </w:p>
    <w:p w:rsidR="004E5930" w:rsidRPr="00CC78B7" w:rsidRDefault="004E5930" w:rsidP="00204280">
      <w:pPr>
        <w:numPr>
          <w:ilvl w:val="0"/>
          <w:numId w:val="17"/>
        </w:numPr>
      </w:pPr>
      <w:r w:rsidRPr="00CC78B7">
        <w:rPr>
          <w:bCs/>
          <w:lang w:val="en-US"/>
        </w:rPr>
        <w:t>Zaichick V, Zaichick S.</w:t>
      </w:r>
      <w:r w:rsidRPr="00CC78B7">
        <w:rPr>
          <w:lang w:val="en-US"/>
        </w:rPr>
        <w:t xml:space="preserve">  Age-related changes of some trace element contents in intact thyroid of males investigated by </w:t>
      </w:r>
      <w:r w:rsidRPr="00CC78B7">
        <w:rPr>
          <w:lang w:val="en-GB"/>
        </w:rPr>
        <w:t xml:space="preserve">energy dispersive X-ray fluorescent analysis. </w:t>
      </w:r>
      <w:r w:rsidRPr="00CC78B7">
        <w:t xml:space="preserve">MOJ GerontolGer 2017; 1(5): 00028. </w:t>
      </w:r>
    </w:p>
    <w:p w:rsidR="004E5930" w:rsidRPr="00CC78B7" w:rsidRDefault="00771673" w:rsidP="00204280">
      <w:pPr>
        <w:ind w:left="360"/>
      </w:pPr>
      <w:hyperlink r:id="rId44" w:history="1">
        <w:r w:rsidR="004E5930" w:rsidRPr="00CC78B7">
          <w:rPr>
            <w:rStyle w:val="Hyperlink"/>
            <w:color w:val="auto"/>
          </w:rPr>
          <w:t>https://medcraveonline.com/MOJGG/age-related-changes-of-some-trace-element-contents-in-intact-thyroid-of-males-investigated-by-energy-dispersive-x-ray-fluorescent-analysis.html</w:t>
        </w:r>
      </w:hyperlink>
    </w:p>
    <w:p w:rsidR="004E5930" w:rsidRPr="00CC78B7" w:rsidRDefault="004E5930" w:rsidP="00204280">
      <w:pPr>
        <w:pStyle w:val="Default"/>
        <w:numPr>
          <w:ilvl w:val="0"/>
          <w:numId w:val="17"/>
        </w:numPr>
        <w:rPr>
          <w:rFonts w:ascii="Times New Roman" w:hAnsi="Times New Roman" w:cs="Times New Roman"/>
          <w:color w:val="auto"/>
          <w:lang w:val="en-GB"/>
        </w:rPr>
      </w:pPr>
      <w:r w:rsidRPr="00CC78B7">
        <w:rPr>
          <w:rFonts w:ascii="Times New Roman" w:hAnsi="Times New Roman" w:cs="Times New Roman"/>
          <w:bCs/>
          <w:color w:val="auto"/>
          <w:lang w:val="en-US"/>
        </w:rPr>
        <w:t>Zaichick V, Zaichick S.</w:t>
      </w:r>
      <w:r w:rsidRPr="00CC78B7">
        <w:rPr>
          <w:rFonts w:ascii="Times New Roman" w:hAnsi="Times New Roman" w:cs="Times New Roman"/>
          <w:color w:val="auto"/>
          <w:lang w:val="en-US"/>
        </w:rPr>
        <w:t xml:space="preserve">  Age-related changes of Br, Ca, Cl, I, K, Mg, Mn, and Na contents in intact thyroid of females investigated by </w:t>
      </w:r>
      <w:r w:rsidRPr="00CC78B7">
        <w:rPr>
          <w:rFonts w:ascii="Times New Roman" w:hAnsi="Times New Roman" w:cs="Times New Roman"/>
          <w:color w:val="auto"/>
          <w:lang w:val="en-GB"/>
        </w:rPr>
        <w:t xml:space="preserve">neutron activation analysis. </w:t>
      </w:r>
      <w:r w:rsidRPr="00CC78B7">
        <w:rPr>
          <w:rFonts w:ascii="Times New Roman" w:hAnsi="Times New Roman" w:cs="Times New Roman"/>
          <w:color w:val="auto"/>
          <w:lang w:val="en-US"/>
        </w:rPr>
        <w:t>Curr Updates Aging 2017; 1: 5.1.</w:t>
      </w:r>
    </w:p>
    <w:p w:rsidR="004E5930" w:rsidRPr="00CC78B7" w:rsidRDefault="004E5930" w:rsidP="00204280">
      <w:pPr>
        <w:numPr>
          <w:ilvl w:val="0"/>
          <w:numId w:val="17"/>
        </w:numPr>
      </w:pPr>
      <w:r w:rsidRPr="00CC78B7">
        <w:rPr>
          <w:bCs/>
          <w:lang w:val="en-US"/>
        </w:rPr>
        <w:t>Zaichick V, Zaichick S.</w:t>
      </w:r>
      <w:r w:rsidRPr="00CC78B7">
        <w:rPr>
          <w:lang w:val="en-US"/>
        </w:rPr>
        <w:t xml:space="preserve">  Age-related changes of Br, Ca, Cl, I, K, Mg, Mn, and Na contents in intact thyroid of males investigated by </w:t>
      </w:r>
      <w:r w:rsidRPr="00CC78B7">
        <w:rPr>
          <w:lang w:val="en-GB"/>
        </w:rPr>
        <w:t>neutron activation analysis.</w:t>
      </w:r>
      <w:r w:rsidRPr="00CC78B7">
        <w:t xml:space="preserve">J Aging Age RelatDis 2017; 1(1): 1002. </w:t>
      </w:r>
    </w:p>
    <w:p w:rsidR="004E5930" w:rsidRPr="00CC78B7" w:rsidRDefault="00771673" w:rsidP="00204280">
      <w:pPr>
        <w:ind w:left="360"/>
      </w:pPr>
      <w:hyperlink r:id="rId45" w:history="1">
        <w:r w:rsidR="004E5930" w:rsidRPr="00CC78B7">
          <w:rPr>
            <w:rStyle w:val="Hyperlink"/>
            <w:color w:val="auto"/>
          </w:rPr>
          <w:t>https://www.jscimedcentral.com/Aging/aging-1-1002.php</w:t>
        </w:r>
      </w:hyperlink>
    </w:p>
    <w:p w:rsidR="004E5930" w:rsidRPr="00CC78B7" w:rsidRDefault="004E5930" w:rsidP="00204280">
      <w:pPr>
        <w:numPr>
          <w:ilvl w:val="0"/>
          <w:numId w:val="17"/>
        </w:numPr>
      </w:pPr>
      <w:r w:rsidRPr="00CC78B7">
        <w:rPr>
          <w:bCs/>
          <w:lang w:val="en-US"/>
        </w:rPr>
        <w:t>Zaichick V, Zaichick S.</w:t>
      </w:r>
      <w:r w:rsidRPr="00CC78B7">
        <w:rPr>
          <w:lang w:val="en-US"/>
        </w:rPr>
        <w:t xml:space="preserve">  Age-related changes of Ag, Co, Cr, Fe, Hg, Rb, Sb, Sc, Se, and Zn contents in intact thyroid of females investigated by </w:t>
      </w:r>
      <w:r w:rsidRPr="00CC78B7">
        <w:rPr>
          <w:lang w:val="en-GB"/>
        </w:rPr>
        <w:t>neutron activation analysis.</w:t>
      </w:r>
      <w:r w:rsidRPr="00CC78B7">
        <w:rPr>
          <w:rFonts w:eastAsia="Calibri"/>
        </w:rPr>
        <w:t>J GerontolGeriatr Med 2017; 3: 015.</w:t>
      </w:r>
    </w:p>
    <w:p w:rsidR="007C0AB7" w:rsidRPr="00CC78B7" w:rsidRDefault="00771673" w:rsidP="00204280">
      <w:pPr>
        <w:ind w:left="360"/>
      </w:pPr>
      <w:hyperlink r:id="rId46" w:history="1">
        <w:r w:rsidR="004E5930" w:rsidRPr="00CC78B7">
          <w:rPr>
            <w:rStyle w:val="Hyperlink"/>
            <w:color w:val="auto"/>
          </w:rPr>
          <w:t>https://pdfs.semanticscholar.org/bb3f/1dacae61b3a2322d68f02bc5ea9bbce09afa.pdf</w:t>
        </w:r>
      </w:hyperlink>
      <w:r w:rsidR="007C0AB7" w:rsidRPr="00CC78B7">
        <w:rPr>
          <w:rFonts w:eastAsia="Calibri"/>
        </w:rPr>
        <w:t>.</w:t>
      </w:r>
    </w:p>
    <w:p w:rsidR="004E5930" w:rsidRPr="00CC78B7" w:rsidRDefault="004E5930" w:rsidP="00204280">
      <w:pPr>
        <w:numPr>
          <w:ilvl w:val="0"/>
          <w:numId w:val="17"/>
        </w:numPr>
      </w:pPr>
      <w:r w:rsidRPr="00CC78B7">
        <w:rPr>
          <w:lang w:val="en-US"/>
        </w:rPr>
        <w:t xml:space="preserve">Zaichick V, Zaichick S. Age-related changes of Ag, Co, Cr, Fe, Hg, Rb, Sb, Sc, Se, and Zn contents in intact thyroid of males investigated by neutron activation analysis. </w:t>
      </w:r>
      <w:r w:rsidRPr="00CC78B7">
        <w:t>Curr Trends Biomedical EngBiosci 2017; 4(4): 555644.</w:t>
      </w:r>
    </w:p>
    <w:p w:rsidR="004E5930" w:rsidRPr="00CC78B7" w:rsidRDefault="00771673" w:rsidP="00204280">
      <w:pPr>
        <w:ind w:left="360"/>
      </w:pPr>
      <w:hyperlink r:id="rId47" w:history="1">
        <w:r w:rsidR="004E5930" w:rsidRPr="00CC78B7">
          <w:rPr>
            <w:rStyle w:val="Hyperlink"/>
            <w:color w:val="auto"/>
          </w:rPr>
          <w:t>https://ideas.repec.org/a/adp/jctbeb/v4y2017i4p64-72.html</w:t>
        </w:r>
      </w:hyperlink>
    </w:p>
    <w:p w:rsidR="004E5930" w:rsidRPr="00CC78B7" w:rsidRDefault="004E5930" w:rsidP="00204280">
      <w:pPr>
        <w:numPr>
          <w:ilvl w:val="0"/>
          <w:numId w:val="17"/>
        </w:numPr>
      </w:pPr>
      <w:r w:rsidRPr="00CC78B7">
        <w:rPr>
          <w:lang w:val="en-US"/>
        </w:rPr>
        <w:t xml:space="preserve">Zaichick V, Zaichick S. Effect of age on chemical element contents in female thyroid investigated by some nuclear analytical methods. </w:t>
      </w:r>
      <w:r w:rsidRPr="00CC78B7">
        <w:rPr>
          <w:iCs/>
        </w:rPr>
        <w:t>MicroMedicine</w:t>
      </w:r>
      <w:r w:rsidRPr="00CC78B7">
        <w:t xml:space="preserve"> 2018; </w:t>
      </w:r>
      <w:r w:rsidRPr="00CC78B7">
        <w:rPr>
          <w:iCs/>
        </w:rPr>
        <w:t>6</w:t>
      </w:r>
      <w:r w:rsidRPr="00CC78B7">
        <w:t>(1): 47-61.</w:t>
      </w:r>
    </w:p>
    <w:p w:rsidR="004E5930" w:rsidRPr="00CC78B7" w:rsidRDefault="00771673" w:rsidP="00204280">
      <w:pPr>
        <w:ind w:left="360"/>
      </w:pPr>
      <w:hyperlink r:id="rId48" w:history="1">
        <w:r w:rsidR="004E5930" w:rsidRPr="00CC78B7">
          <w:rPr>
            <w:rStyle w:val="Hyperlink"/>
            <w:color w:val="auto"/>
            <w:lang w:val="en-GB"/>
          </w:rPr>
          <w:t>http</w:t>
        </w:r>
        <w:r w:rsidR="004E5930" w:rsidRPr="00CC78B7">
          <w:rPr>
            <w:rStyle w:val="Hyperlink"/>
            <w:color w:val="auto"/>
          </w:rPr>
          <w:t>://</w:t>
        </w:r>
        <w:r w:rsidR="004E5930" w:rsidRPr="00CC78B7">
          <w:rPr>
            <w:rStyle w:val="Hyperlink"/>
            <w:color w:val="auto"/>
            <w:lang w:val="en-GB"/>
          </w:rPr>
          <w:t>www</w:t>
        </w:r>
        <w:r w:rsidR="004E5930" w:rsidRPr="00CC78B7">
          <w:rPr>
            <w:rStyle w:val="Hyperlink"/>
            <w:color w:val="auto"/>
          </w:rPr>
          <w:t>.</w:t>
        </w:r>
        <w:r w:rsidR="004E5930" w:rsidRPr="00CC78B7">
          <w:rPr>
            <w:rStyle w:val="Hyperlink"/>
            <w:color w:val="auto"/>
            <w:lang w:val="en-GB"/>
          </w:rPr>
          <w:t>journals</w:t>
        </w:r>
        <w:r w:rsidR="004E5930" w:rsidRPr="00CC78B7">
          <w:rPr>
            <w:rStyle w:val="Hyperlink"/>
            <w:color w:val="auto"/>
          </w:rPr>
          <w:t>.</w:t>
        </w:r>
        <w:r w:rsidR="004E5930" w:rsidRPr="00CC78B7">
          <w:rPr>
            <w:rStyle w:val="Hyperlink"/>
            <w:color w:val="auto"/>
            <w:lang w:val="en-GB"/>
          </w:rPr>
          <w:t>tmkarpinski</w:t>
        </w:r>
        <w:r w:rsidR="004E5930" w:rsidRPr="00CC78B7">
          <w:rPr>
            <w:rStyle w:val="Hyperlink"/>
            <w:color w:val="auto"/>
          </w:rPr>
          <w:t>.</w:t>
        </w:r>
        <w:r w:rsidR="004E5930" w:rsidRPr="00CC78B7">
          <w:rPr>
            <w:rStyle w:val="Hyperlink"/>
            <w:color w:val="auto"/>
            <w:lang w:val="en-GB"/>
          </w:rPr>
          <w:t>com</w:t>
        </w:r>
        <w:r w:rsidR="004E5930" w:rsidRPr="00CC78B7">
          <w:rPr>
            <w:rStyle w:val="Hyperlink"/>
            <w:color w:val="auto"/>
          </w:rPr>
          <w:t>/</w:t>
        </w:r>
        <w:r w:rsidR="004E5930" w:rsidRPr="00CC78B7">
          <w:rPr>
            <w:rStyle w:val="Hyperlink"/>
            <w:color w:val="auto"/>
            <w:lang w:val="en-GB"/>
          </w:rPr>
          <w:t>index</w:t>
        </w:r>
        <w:r w:rsidR="004E5930" w:rsidRPr="00CC78B7">
          <w:rPr>
            <w:rStyle w:val="Hyperlink"/>
            <w:color w:val="auto"/>
          </w:rPr>
          <w:t>.</w:t>
        </w:r>
        <w:r w:rsidR="004E5930" w:rsidRPr="00CC78B7">
          <w:rPr>
            <w:rStyle w:val="Hyperlink"/>
            <w:color w:val="auto"/>
            <w:lang w:val="en-GB"/>
          </w:rPr>
          <w:t>php</w:t>
        </w:r>
        <w:r w:rsidR="004E5930" w:rsidRPr="00CC78B7">
          <w:rPr>
            <w:rStyle w:val="Hyperlink"/>
            <w:color w:val="auto"/>
          </w:rPr>
          <w:t>/</w:t>
        </w:r>
        <w:r w:rsidR="004E5930" w:rsidRPr="00CC78B7">
          <w:rPr>
            <w:rStyle w:val="Hyperlink"/>
            <w:color w:val="auto"/>
            <w:lang w:val="en-GB"/>
          </w:rPr>
          <w:t>mmed</w:t>
        </w:r>
        <w:r w:rsidR="004E5930" w:rsidRPr="00CC78B7">
          <w:rPr>
            <w:rStyle w:val="Hyperlink"/>
            <w:color w:val="auto"/>
          </w:rPr>
          <w:t>/</w:t>
        </w:r>
        <w:r w:rsidR="004E5930" w:rsidRPr="00CC78B7">
          <w:rPr>
            <w:rStyle w:val="Hyperlink"/>
            <w:color w:val="auto"/>
            <w:lang w:val="en-GB"/>
          </w:rPr>
          <w:t>article</w:t>
        </w:r>
        <w:r w:rsidR="004E5930" w:rsidRPr="00CC78B7">
          <w:rPr>
            <w:rStyle w:val="Hyperlink"/>
            <w:color w:val="auto"/>
          </w:rPr>
          <w:t>/</w:t>
        </w:r>
        <w:r w:rsidR="004E5930" w:rsidRPr="00CC78B7">
          <w:rPr>
            <w:rStyle w:val="Hyperlink"/>
            <w:color w:val="auto"/>
            <w:lang w:val="en-GB"/>
          </w:rPr>
          <w:t>view</w:t>
        </w:r>
        <w:r w:rsidR="004E5930" w:rsidRPr="00CC78B7">
          <w:rPr>
            <w:rStyle w:val="Hyperlink"/>
            <w:color w:val="auto"/>
          </w:rPr>
          <w:t>/33</w:t>
        </w:r>
      </w:hyperlink>
    </w:p>
    <w:p w:rsidR="004E5930" w:rsidRPr="00CC78B7" w:rsidRDefault="004E5930" w:rsidP="00204280">
      <w:pPr>
        <w:pStyle w:val="ListParagraph"/>
        <w:numPr>
          <w:ilvl w:val="0"/>
          <w:numId w:val="17"/>
        </w:numPr>
        <w:spacing w:after="0" w:line="240" w:lineRule="auto"/>
        <w:rPr>
          <w:rFonts w:ascii="Times New Roman" w:hAnsi="Times New Roman" w:cs="Times New Roman"/>
          <w:sz w:val="24"/>
          <w:szCs w:val="24"/>
          <w:lang w:val="en-US"/>
        </w:rPr>
      </w:pPr>
      <w:r w:rsidRPr="00CC78B7">
        <w:rPr>
          <w:rFonts w:ascii="Times New Roman" w:hAnsi="Times New Roman" w:cs="Times New Roman"/>
          <w:sz w:val="24"/>
          <w:szCs w:val="24"/>
          <w:lang w:val="en-US"/>
        </w:rPr>
        <w:t xml:space="preserve">Zaichick V, Zaichick S.  </w:t>
      </w:r>
      <w:r w:rsidRPr="00CC78B7">
        <w:rPr>
          <w:rFonts w:ascii="Times New Roman" w:hAnsi="Times New Roman" w:cs="Times New Roman"/>
          <w:sz w:val="24"/>
          <w:szCs w:val="24"/>
          <w:lang w:val="en-GB"/>
        </w:rPr>
        <w:t>Neutronactivationand</w:t>
      </w:r>
      <w:r w:rsidRPr="00CC78B7">
        <w:rPr>
          <w:rFonts w:ascii="Times New Roman" w:hAnsi="Times New Roman" w:cs="Times New Roman"/>
          <w:sz w:val="24"/>
          <w:szCs w:val="24"/>
          <w:lang w:val="en-US"/>
        </w:rPr>
        <w:t xml:space="preserve"> X-ray fluorescent analysis in study of association between age and chemical element contents in thyroid of males.Op Acc J Bio Eng Bio Sci 2018; 2(4): 202-212.</w:t>
      </w:r>
    </w:p>
    <w:p w:rsidR="007C0AB7" w:rsidRPr="00CC78B7" w:rsidRDefault="00771673" w:rsidP="00204280">
      <w:pPr>
        <w:pStyle w:val="ListParagraph"/>
        <w:spacing w:after="0" w:line="240" w:lineRule="auto"/>
        <w:ind w:left="360"/>
        <w:rPr>
          <w:rFonts w:ascii="Times New Roman" w:hAnsi="Times New Roman" w:cs="Times New Roman"/>
          <w:sz w:val="24"/>
          <w:szCs w:val="24"/>
          <w:lang w:val="en-US"/>
        </w:rPr>
      </w:pPr>
      <w:hyperlink r:id="rId49" w:history="1">
        <w:r w:rsidR="004E5930" w:rsidRPr="00CC78B7">
          <w:rPr>
            <w:rStyle w:val="Hyperlink"/>
            <w:rFonts w:ascii="Times New Roman" w:hAnsi="Times New Roman"/>
            <w:color w:val="auto"/>
            <w:sz w:val="24"/>
            <w:szCs w:val="24"/>
            <w:lang w:val="en-US"/>
          </w:rPr>
          <w:t>https://lupinepublishers.com/biomedical-sciences-journal/fulltext/neutron-activation-and-x-Ray-fluorescent-analysis-in-study-of-association-between-age-and-chemical-element-contents-in-thyroid-of-males.ID.000144.php</w:t>
        </w:r>
      </w:hyperlink>
    </w:p>
    <w:p w:rsidR="004E5930" w:rsidRPr="00CC78B7" w:rsidRDefault="004E5930" w:rsidP="00204280">
      <w:pPr>
        <w:pStyle w:val="ListParagraph"/>
        <w:numPr>
          <w:ilvl w:val="0"/>
          <w:numId w:val="17"/>
        </w:numPr>
        <w:spacing w:after="0" w:line="240" w:lineRule="auto"/>
        <w:rPr>
          <w:rFonts w:ascii="Times New Roman" w:hAnsi="Times New Roman" w:cs="Times New Roman"/>
          <w:sz w:val="24"/>
          <w:szCs w:val="24"/>
          <w:lang w:val="en-US"/>
        </w:rPr>
      </w:pPr>
      <w:r w:rsidRPr="00CC78B7">
        <w:rPr>
          <w:rFonts w:ascii="Times New Roman" w:hAnsi="Times New Roman" w:cs="Times New Roman"/>
          <w:sz w:val="24"/>
          <w:szCs w:val="24"/>
          <w:lang w:val="en-US"/>
        </w:rPr>
        <w:t xml:space="preserve">Zaichick V, Zaichick S. Variation with age of chemical element contents in females’ thyroids investigated by </w:t>
      </w:r>
      <w:r w:rsidRPr="00CC78B7">
        <w:rPr>
          <w:rFonts w:ascii="Times New Roman" w:hAnsi="Times New Roman" w:cs="Times New Roman"/>
          <w:sz w:val="24"/>
          <w:szCs w:val="24"/>
          <w:lang w:val="en-GB"/>
        </w:rPr>
        <w:t xml:space="preserve">neutron activation analysis and </w:t>
      </w:r>
      <w:r w:rsidRPr="00CC78B7">
        <w:rPr>
          <w:rFonts w:ascii="Times New Roman" w:hAnsi="Times New Roman" w:cs="Times New Roman"/>
          <w:sz w:val="24"/>
          <w:szCs w:val="24"/>
          <w:lang w:val="en-US"/>
        </w:rPr>
        <w:t>inductively coupled plasma atomic emission spectrometry. J Biochem Analyt Stud 2018; 3(1): 1-10.</w:t>
      </w:r>
    </w:p>
    <w:p w:rsidR="004E5930" w:rsidRPr="00CC78B7" w:rsidRDefault="00771673" w:rsidP="00204280">
      <w:pPr>
        <w:pStyle w:val="ListParagraph"/>
        <w:spacing w:after="0" w:line="240" w:lineRule="auto"/>
        <w:ind w:left="360"/>
        <w:rPr>
          <w:rFonts w:ascii="Times New Roman" w:hAnsi="Times New Roman" w:cs="Times New Roman"/>
          <w:sz w:val="24"/>
          <w:szCs w:val="24"/>
          <w:lang w:val="en-US"/>
        </w:rPr>
      </w:pPr>
      <w:hyperlink r:id="rId50" w:history="1">
        <w:r w:rsidR="004E5930" w:rsidRPr="00CC78B7">
          <w:rPr>
            <w:rStyle w:val="Hyperlink"/>
            <w:rFonts w:ascii="Times New Roman" w:hAnsi="Times New Roman"/>
            <w:color w:val="auto"/>
            <w:sz w:val="24"/>
            <w:szCs w:val="24"/>
            <w:lang w:val="en-US"/>
          </w:rPr>
          <w:t>https://www.sciforschenonline.org/journals/bioanalytical-techniques/article-data/JBAS-3-114/JBAS-3-114.pdf</w:t>
        </w:r>
      </w:hyperlink>
    </w:p>
    <w:p w:rsidR="004E5930" w:rsidRPr="00CC78B7" w:rsidRDefault="004E5930" w:rsidP="00204280">
      <w:pPr>
        <w:pStyle w:val="ListParagraph"/>
        <w:numPr>
          <w:ilvl w:val="0"/>
          <w:numId w:val="17"/>
        </w:numPr>
        <w:spacing w:after="0" w:line="240" w:lineRule="auto"/>
        <w:rPr>
          <w:rFonts w:ascii="Times New Roman" w:hAnsi="Times New Roman" w:cs="Times New Roman"/>
          <w:sz w:val="24"/>
          <w:szCs w:val="24"/>
          <w:lang w:val="en-US"/>
        </w:rPr>
      </w:pPr>
      <w:r w:rsidRPr="00CC78B7">
        <w:rPr>
          <w:rFonts w:ascii="Times New Roman" w:hAnsi="Times New Roman" w:cs="Times New Roman"/>
          <w:sz w:val="24"/>
          <w:szCs w:val="24"/>
          <w:lang w:val="en-US"/>
        </w:rPr>
        <w:t>Zaichick V, Zaichick S. Association between age and twenty chemical element contents in intact thyroid of males. SM GerontolGeriatr Res 2018; 2(1): 1014.</w:t>
      </w:r>
    </w:p>
    <w:p w:rsidR="004E5930" w:rsidRPr="00CC78B7" w:rsidRDefault="00771673" w:rsidP="00204280">
      <w:pPr>
        <w:pStyle w:val="ListParagraph"/>
        <w:spacing w:after="0" w:line="240" w:lineRule="auto"/>
        <w:ind w:left="360"/>
        <w:rPr>
          <w:rFonts w:ascii="Times New Roman" w:hAnsi="Times New Roman" w:cs="Times New Roman"/>
          <w:sz w:val="24"/>
          <w:szCs w:val="24"/>
          <w:lang w:val="en-US"/>
        </w:rPr>
      </w:pPr>
      <w:hyperlink r:id="rId51" w:history="1">
        <w:r w:rsidR="004E5930" w:rsidRPr="00CC78B7">
          <w:rPr>
            <w:rStyle w:val="Hyperlink"/>
            <w:rFonts w:ascii="Times New Roman" w:hAnsi="Times New Roman"/>
            <w:color w:val="auto"/>
            <w:sz w:val="24"/>
            <w:szCs w:val="24"/>
            <w:lang w:val="en-US"/>
          </w:rPr>
          <w:t>https://www.jsmcentral.org/sm-gerontology/fulltext_smggr-v2-1014.pdf</w:t>
        </w:r>
      </w:hyperlink>
    </w:p>
    <w:p w:rsidR="004E5930" w:rsidRPr="00CC78B7" w:rsidRDefault="004E5930" w:rsidP="00204280">
      <w:pPr>
        <w:pStyle w:val="ListParagraph"/>
        <w:numPr>
          <w:ilvl w:val="0"/>
          <w:numId w:val="17"/>
        </w:numPr>
        <w:spacing w:after="0" w:line="240" w:lineRule="auto"/>
        <w:rPr>
          <w:rStyle w:val="u-inline-block"/>
          <w:rFonts w:ascii="Times New Roman" w:hAnsi="Times New Roman" w:cs="Times New Roman"/>
          <w:sz w:val="24"/>
          <w:szCs w:val="24"/>
          <w:lang w:val="en-US"/>
        </w:rPr>
      </w:pPr>
      <w:r w:rsidRPr="00CC78B7">
        <w:rPr>
          <w:rFonts w:ascii="Times New Roman" w:hAnsi="Times New Roman" w:cs="Times New Roman"/>
          <w:sz w:val="24"/>
          <w:szCs w:val="24"/>
          <w:lang w:val="en-US"/>
        </w:rPr>
        <w:t xml:space="preserve">Zaichick V, Zaichick S. Associations between age and 50 trace element contents and relationships in intact thyroid of males. Aging Clin Exp Res 2018; 30(9): </w:t>
      </w:r>
      <w:r w:rsidRPr="00CC78B7">
        <w:rPr>
          <w:rStyle w:val="articlecitationpages"/>
          <w:rFonts w:ascii="Times New Roman" w:hAnsi="Times New Roman" w:cs="Times New Roman"/>
          <w:spacing w:val="1"/>
          <w:sz w:val="24"/>
          <w:szCs w:val="24"/>
          <w:lang w:val="en-GB"/>
        </w:rPr>
        <w:t>1059–1070.</w:t>
      </w:r>
    </w:p>
    <w:p w:rsidR="004E5930" w:rsidRPr="00CC78B7" w:rsidRDefault="00771673" w:rsidP="00204280">
      <w:pPr>
        <w:pStyle w:val="ListParagraph"/>
        <w:spacing w:after="0" w:line="240" w:lineRule="auto"/>
        <w:ind w:left="360"/>
        <w:rPr>
          <w:rFonts w:ascii="Times New Roman" w:hAnsi="Times New Roman" w:cs="Times New Roman"/>
          <w:sz w:val="24"/>
          <w:szCs w:val="24"/>
          <w:lang w:val="en-US"/>
        </w:rPr>
      </w:pPr>
      <w:hyperlink r:id="rId52" w:history="1">
        <w:r w:rsidR="004E5930" w:rsidRPr="00CC78B7">
          <w:rPr>
            <w:rStyle w:val="Hyperlink"/>
            <w:rFonts w:ascii="Times New Roman" w:hAnsi="Times New Roman"/>
            <w:color w:val="auto"/>
            <w:sz w:val="24"/>
            <w:szCs w:val="24"/>
            <w:lang w:val="en-US"/>
          </w:rPr>
          <w:t>https://link.springer.com/article/10.1007/s40520-018-0906-0?shared-article-renderer</w:t>
        </w:r>
      </w:hyperlink>
    </w:p>
    <w:p w:rsidR="004E5930" w:rsidRPr="00CC78B7" w:rsidRDefault="004E5930" w:rsidP="00204280">
      <w:pPr>
        <w:numPr>
          <w:ilvl w:val="0"/>
          <w:numId w:val="17"/>
        </w:numPr>
      </w:pPr>
      <w:r w:rsidRPr="00CC78B7">
        <w:rPr>
          <w:lang w:val="en-US"/>
        </w:rPr>
        <w:t xml:space="preserve">Zaichick V, Zaichick S.  Possible role of inadequate quantities of intra-thyroidal bromine, rubidium and zinc in the etiology of female </w:t>
      </w:r>
      <w:r w:rsidRPr="00CC78B7">
        <w:t>subclinical hypothyroidism</w:t>
      </w:r>
      <w:r w:rsidRPr="00CC78B7">
        <w:rPr>
          <w:lang w:val="en-US"/>
        </w:rPr>
        <w:t xml:space="preserve">. </w:t>
      </w:r>
      <w:r w:rsidRPr="00CC78B7">
        <w:t xml:space="preserve">EC Gynaecology </w:t>
      </w:r>
      <w:r w:rsidRPr="00CC78B7">
        <w:rPr>
          <w:iCs/>
        </w:rPr>
        <w:t xml:space="preserve">2018; </w:t>
      </w:r>
      <w:r w:rsidRPr="00CC78B7">
        <w:t>7(3): 107-115.</w:t>
      </w:r>
    </w:p>
    <w:p w:rsidR="007C0AB7" w:rsidRPr="00CC78B7" w:rsidRDefault="00771673" w:rsidP="00204280">
      <w:pPr>
        <w:ind w:left="360"/>
      </w:pPr>
      <w:hyperlink r:id="rId53" w:history="1">
        <w:r w:rsidR="004E5930" w:rsidRPr="00CC78B7">
          <w:rPr>
            <w:rStyle w:val="Hyperlink"/>
            <w:color w:val="auto"/>
          </w:rPr>
          <w:t>https://www.ecronicon.com/ecgy/pdf/ECGY-07-00198.pdf</w:t>
        </w:r>
      </w:hyperlink>
    </w:p>
    <w:p w:rsidR="004E5930" w:rsidRPr="00CC78B7" w:rsidRDefault="004E5930" w:rsidP="00204280">
      <w:pPr>
        <w:numPr>
          <w:ilvl w:val="0"/>
          <w:numId w:val="17"/>
        </w:numPr>
        <w:tabs>
          <w:tab w:val="left" w:pos="426"/>
        </w:tabs>
        <w:rPr>
          <w:rStyle w:val="A1"/>
          <w:rFonts w:cs="Times New Roman"/>
          <w:color w:val="auto"/>
          <w:sz w:val="24"/>
          <w:szCs w:val="24"/>
          <w:lang w:val="en-GB"/>
        </w:rPr>
      </w:pPr>
      <w:r w:rsidRPr="00CC78B7">
        <w:rPr>
          <w:lang w:val="en-US"/>
        </w:rPr>
        <w:t xml:space="preserve">Zaichick V, Zaichick S. Possible role of inadequate quantities of intra-thyroidal bromine, calcium and magnesium in the etiology of female </w:t>
      </w:r>
      <w:r w:rsidRPr="00CC78B7">
        <w:t xml:space="preserve">subclinical hypothyroidism. </w:t>
      </w:r>
      <w:r w:rsidRPr="00CC78B7">
        <w:rPr>
          <w:rStyle w:val="A1"/>
          <w:rFonts w:cs="Times New Roman"/>
          <w:color w:val="auto"/>
          <w:sz w:val="24"/>
          <w:szCs w:val="24"/>
        </w:rPr>
        <w:t>IntGyn and Women’s Health 2018; 1(3): IGWHC.MS.ID.000113.</w:t>
      </w:r>
    </w:p>
    <w:p w:rsidR="004E5930" w:rsidRPr="00CC78B7" w:rsidRDefault="004E5930" w:rsidP="00204280">
      <w:pPr>
        <w:tabs>
          <w:tab w:val="left" w:pos="426"/>
        </w:tabs>
        <w:ind w:left="360"/>
        <w:rPr>
          <w:rStyle w:val="A1"/>
          <w:rFonts w:cs="Times New Roman"/>
          <w:color w:val="auto"/>
          <w:sz w:val="24"/>
          <w:szCs w:val="24"/>
          <w:lang w:val="en-GB"/>
        </w:rPr>
      </w:pPr>
      <w:r w:rsidRPr="00CC78B7">
        <w:rPr>
          <w:rStyle w:val="A1"/>
          <w:rFonts w:cs="Times New Roman"/>
          <w:color w:val="auto"/>
          <w:sz w:val="24"/>
          <w:szCs w:val="24"/>
          <w:lang w:val="en-GB"/>
        </w:rPr>
        <w:t>https://lupinepublishers.com/gynecology-women-health-journal/abstracts/possible-role-of-inadequate-quantities-of-intra-thyroidal-bromine-calcium-and-magnesium.ID.000113.php</w:t>
      </w:r>
    </w:p>
    <w:p w:rsidR="004E5930" w:rsidRPr="00CC78B7" w:rsidRDefault="004E5930" w:rsidP="00204280">
      <w:pPr>
        <w:numPr>
          <w:ilvl w:val="0"/>
          <w:numId w:val="17"/>
        </w:numPr>
        <w:rPr>
          <w:b/>
        </w:rPr>
      </w:pPr>
      <w:r w:rsidRPr="00CC78B7">
        <w:rPr>
          <w:lang w:val="en-US"/>
        </w:rPr>
        <w:t xml:space="preserve">Zaichick V, Zaichick S.  Possible role of inadequate quantities of intra-thyroidal cobalt, rubidium and zinc in the etiology of female </w:t>
      </w:r>
      <w:r w:rsidRPr="00CC78B7">
        <w:t>subclinical hypothyroidism.Womens Health Sci J 2018; 2(1): 000108.</w:t>
      </w:r>
    </w:p>
    <w:p w:rsidR="004E5930" w:rsidRPr="00CC78B7" w:rsidRDefault="00771673" w:rsidP="00204280">
      <w:pPr>
        <w:ind w:left="360"/>
      </w:pPr>
      <w:hyperlink r:id="rId54" w:history="1">
        <w:r w:rsidR="004E5930" w:rsidRPr="00CC78B7">
          <w:rPr>
            <w:rStyle w:val="Hyperlink"/>
            <w:color w:val="auto"/>
          </w:rPr>
          <w:t>https://medwinpublishers.com/WHSJ/WHSJ16000108.pdf</w:t>
        </w:r>
      </w:hyperlink>
    </w:p>
    <w:p w:rsidR="004E5930" w:rsidRPr="00CC78B7" w:rsidRDefault="004E5930" w:rsidP="00204280">
      <w:pPr>
        <w:pStyle w:val="BodyText"/>
        <w:numPr>
          <w:ilvl w:val="0"/>
          <w:numId w:val="17"/>
        </w:numPr>
        <w:overflowPunct/>
        <w:autoSpaceDE/>
        <w:autoSpaceDN/>
        <w:adjustRightInd/>
        <w:spacing w:after="0"/>
        <w:textAlignment w:val="auto"/>
        <w:rPr>
          <w:sz w:val="24"/>
          <w:szCs w:val="24"/>
          <w:lang w:val="en-US"/>
        </w:rPr>
      </w:pPr>
      <w:r w:rsidRPr="00CC78B7">
        <w:rPr>
          <w:sz w:val="24"/>
          <w:szCs w:val="24"/>
          <w:lang w:val="en-US"/>
        </w:rPr>
        <w:t xml:space="preserve">Zaichick V, Zaichick S. </w:t>
      </w:r>
      <w:r w:rsidRPr="00CC78B7">
        <w:rPr>
          <w:sz w:val="24"/>
          <w:szCs w:val="24"/>
          <w:lang w:val="en-IN"/>
        </w:rPr>
        <w:t xml:space="preserve">Association between female subclinical hypothyroidism and inadequate quantities of some intra-thyroidal chemical elements investigated by X-ray fluorescence and neutron activation analysis. </w:t>
      </w:r>
      <w:r w:rsidRPr="00CC78B7">
        <w:rPr>
          <w:rStyle w:val="m-4316533558507110585m5076704167581948767gmailmsg"/>
          <w:sz w:val="24"/>
          <w:szCs w:val="24"/>
          <w:lang w:val="en-US"/>
        </w:rPr>
        <w:t>Gynaecology and Perinatology 2018; 2(4): 340-355.</w:t>
      </w:r>
    </w:p>
    <w:p w:rsidR="004E5930" w:rsidRPr="00CC78B7" w:rsidRDefault="00771673" w:rsidP="00204280">
      <w:pPr>
        <w:pStyle w:val="BodyText"/>
        <w:overflowPunct/>
        <w:autoSpaceDE/>
        <w:autoSpaceDN/>
        <w:adjustRightInd/>
        <w:spacing w:after="0"/>
        <w:ind w:left="360"/>
        <w:textAlignment w:val="auto"/>
        <w:rPr>
          <w:sz w:val="24"/>
          <w:szCs w:val="24"/>
          <w:lang w:val="en-US"/>
        </w:rPr>
      </w:pPr>
      <w:hyperlink r:id="rId55" w:history="1">
        <w:r w:rsidR="004E5930" w:rsidRPr="00CC78B7">
          <w:rPr>
            <w:rStyle w:val="Hyperlink"/>
            <w:color w:val="auto"/>
            <w:sz w:val="24"/>
            <w:szCs w:val="24"/>
            <w:lang w:val="en-US"/>
          </w:rPr>
          <w:t>https://scientiaricerca.com/srgype/SRGYPE-02-00048.php</w:t>
        </w:r>
      </w:hyperlink>
    </w:p>
    <w:p w:rsidR="004E5930" w:rsidRPr="00CC78B7" w:rsidRDefault="004E5930" w:rsidP="00204280">
      <w:pPr>
        <w:pStyle w:val="BodyText"/>
        <w:numPr>
          <w:ilvl w:val="0"/>
          <w:numId w:val="17"/>
        </w:numPr>
        <w:overflowPunct/>
        <w:autoSpaceDE/>
        <w:autoSpaceDN/>
        <w:adjustRightInd/>
        <w:spacing w:after="0"/>
        <w:textAlignment w:val="auto"/>
        <w:rPr>
          <w:sz w:val="24"/>
          <w:szCs w:val="24"/>
          <w:lang w:val="en-US"/>
        </w:rPr>
      </w:pPr>
      <w:r w:rsidRPr="00CC78B7">
        <w:rPr>
          <w:sz w:val="24"/>
          <w:szCs w:val="24"/>
          <w:lang w:val="en-US"/>
        </w:rPr>
        <w:t>Zaichick V, Zaichick S</w:t>
      </w:r>
      <w:r w:rsidRPr="00CC78B7">
        <w:rPr>
          <w:sz w:val="24"/>
          <w:szCs w:val="24"/>
        </w:rPr>
        <w:t xml:space="preserve">. </w:t>
      </w:r>
      <w:r w:rsidRPr="00CC78B7">
        <w:rPr>
          <w:sz w:val="24"/>
          <w:szCs w:val="24"/>
          <w:lang w:val="en-US"/>
        </w:rPr>
        <w:t xml:space="preserve">Investigation of association between the high risk of female </w:t>
      </w:r>
      <w:r w:rsidRPr="00CC78B7">
        <w:rPr>
          <w:sz w:val="24"/>
          <w:szCs w:val="24"/>
        </w:rPr>
        <w:t>subclinical hypothyroidism</w:t>
      </w:r>
      <w:r w:rsidRPr="00CC78B7">
        <w:rPr>
          <w:sz w:val="24"/>
          <w:szCs w:val="24"/>
          <w:lang w:val="en-US"/>
        </w:rPr>
        <w:t xml:space="preserve"> and inadequate quantities of twenty intra-thyroidal chemical elements.Clin Res: GynecolObstet 2018; 1(1): 1-18.</w:t>
      </w:r>
    </w:p>
    <w:p w:rsidR="004E5930" w:rsidRPr="00CC78B7" w:rsidRDefault="00771673" w:rsidP="00204280">
      <w:pPr>
        <w:pStyle w:val="BodyText"/>
        <w:overflowPunct/>
        <w:autoSpaceDE/>
        <w:autoSpaceDN/>
        <w:adjustRightInd/>
        <w:spacing w:after="0"/>
        <w:ind w:left="360"/>
        <w:textAlignment w:val="auto"/>
        <w:rPr>
          <w:sz w:val="24"/>
          <w:szCs w:val="24"/>
          <w:lang w:val="en-US"/>
        </w:rPr>
      </w:pPr>
      <w:hyperlink r:id="rId56" w:history="1">
        <w:r w:rsidR="004E5930" w:rsidRPr="00CC78B7">
          <w:rPr>
            <w:rStyle w:val="Hyperlink"/>
            <w:color w:val="auto"/>
            <w:sz w:val="24"/>
            <w:szCs w:val="24"/>
            <w:lang w:val="en-US"/>
          </w:rPr>
          <w:t>https://www.gudapuris.com/articles/10.31829-2640-6284.crgo2018-2(1)-105.pdf</w:t>
        </w:r>
      </w:hyperlink>
    </w:p>
    <w:p w:rsidR="004E5930" w:rsidRPr="00CC78B7" w:rsidRDefault="004E5930" w:rsidP="00204280">
      <w:pPr>
        <w:pStyle w:val="BodyText"/>
        <w:numPr>
          <w:ilvl w:val="0"/>
          <w:numId w:val="17"/>
        </w:numPr>
        <w:overflowPunct/>
        <w:autoSpaceDE/>
        <w:autoSpaceDN/>
        <w:adjustRightInd/>
        <w:spacing w:after="0"/>
        <w:textAlignment w:val="auto"/>
        <w:rPr>
          <w:sz w:val="24"/>
          <w:szCs w:val="24"/>
          <w:lang w:val="en-US"/>
        </w:rPr>
      </w:pPr>
      <w:r w:rsidRPr="00CC78B7">
        <w:rPr>
          <w:sz w:val="24"/>
          <w:szCs w:val="24"/>
          <w:lang w:val="en-US"/>
        </w:rPr>
        <w:t>Zaichick V, Zaichick S</w:t>
      </w:r>
      <w:r w:rsidRPr="00CC78B7">
        <w:rPr>
          <w:sz w:val="24"/>
          <w:szCs w:val="24"/>
        </w:rPr>
        <w:t xml:space="preserve">. </w:t>
      </w:r>
      <w:r w:rsidRPr="00CC78B7">
        <w:rPr>
          <w:sz w:val="24"/>
          <w:szCs w:val="24"/>
          <w:lang w:val="en-US"/>
        </w:rPr>
        <w:t xml:space="preserve">Investigation of association between the high risk of female </w:t>
      </w:r>
      <w:r w:rsidRPr="00CC78B7">
        <w:rPr>
          <w:sz w:val="24"/>
          <w:szCs w:val="24"/>
        </w:rPr>
        <w:t>subclinical hypothyroidism</w:t>
      </w:r>
      <w:r w:rsidRPr="00CC78B7">
        <w:rPr>
          <w:sz w:val="24"/>
          <w:szCs w:val="24"/>
          <w:lang w:val="en-US"/>
        </w:rPr>
        <w:t xml:space="preserve"> and inadequate quantities of intra-thyroidal </w:t>
      </w:r>
      <w:r w:rsidRPr="00CC78B7">
        <w:rPr>
          <w:rFonts w:eastAsia="Calibri"/>
          <w:sz w:val="24"/>
          <w:szCs w:val="24"/>
          <w:lang w:val="en-US" w:eastAsia="en-US"/>
        </w:rPr>
        <w:t xml:space="preserve">trace elements using neutron activation and inductively coupled plasma mass spectrometry. </w:t>
      </w:r>
      <w:r w:rsidRPr="00CC78B7">
        <w:rPr>
          <w:rFonts w:eastAsia="Calibri"/>
          <w:iCs/>
          <w:sz w:val="24"/>
          <w:szCs w:val="24"/>
          <w:lang w:val="en-US" w:eastAsia="en-US"/>
        </w:rPr>
        <w:t xml:space="preserve">Acta Scientific Medical Sciences </w:t>
      </w:r>
      <w:r w:rsidRPr="00CC78B7">
        <w:rPr>
          <w:rFonts w:eastAsia="Calibri"/>
          <w:sz w:val="24"/>
          <w:szCs w:val="24"/>
          <w:lang w:val="en-US" w:eastAsia="en-US"/>
        </w:rPr>
        <w:t>2018; 2(9): 23-37.</w:t>
      </w:r>
    </w:p>
    <w:p w:rsidR="007C0AB7" w:rsidRPr="00CC78B7" w:rsidRDefault="00771673" w:rsidP="00204280">
      <w:pPr>
        <w:pStyle w:val="BodyText"/>
        <w:overflowPunct/>
        <w:autoSpaceDE/>
        <w:autoSpaceDN/>
        <w:adjustRightInd/>
        <w:spacing w:after="0"/>
        <w:ind w:left="360"/>
        <w:textAlignment w:val="auto"/>
        <w:rPr>
          <w:sz w:val="24"/>
          <w:szCs w:val="24"/>
          <w:lang w:val="en-US"/>
        </w:rPr>
      </w:pPr>
      <w:hyperlink r:id="rId57" w:history="1">
        <w:r w:rsidR="004E5930" w:rsidRPr="00CC78B7">
          <w:rPr>
            <w:rStyle w:val="Hyperlink"/>
            <w:color w:val="auto"/>
            <w:sz w:val="24"/>
            <w:szCs w:val="24"/>
            <w:lang w:val="en-US"/>
          </w:rPr>
          <w:t>https://www.actascientific.com/ASMS/pdf/ASMS-02-0144.pdf</w:t>
        </w:r>
      </w:hyperlink>
    </w:p>
    <w:p w:rsidR="007C0AB7" w:rsidRPr="00CC78B7" w:rsidRDefault="007C0AB7" w:rsidP="00204280">
      <w:pPr>
        <w:pStyle w:val="Default"/>
        <w:numPr>
          <w:ilvl w:val="0"/>
          <w:numId w:val="17"/>
        </w:numPr>
        <w:ind w:left="357" w:hanging="357"/>
        <w:rPr>
          <w:rFonts w:ascii="Times New Roman" w:hAnsi="Times New Roman" w:cs="Times New Roman"/>
          <w:color w:val="auto"/>
          <w:lang w:val="en-US"/>
        </w:rPr>
      </w:pPr>
      <w:r w:rsidRPr="00CC78B7">
        <w:rPr>
          <w:rFonts w:ascii="Times New Roman" w:hAnsi="Times New Roman" w:cs="Times New Roman"/>
          <w:color w:val="auto"/>
          <w:lang w:val="en-US"/>
        </w:rPr>
        <w:t xml:space="preserve">Zaichick V, Zaichick S. Determination of fifty trace element contents in </w:t>
      </w:r>
      <w:r w:rsidRPr="00CC78B7">
        <w:rPr>
          <w:rFonts w:ascii="Times New Roman" w:hAnsi="Times New Roman" w:cs="Times New Roman"/>
          <w:color w:val="auto"/>
          <w:spacing w:val="1"/>
          <w:lang w:val="en-GB"/>
        </w:rPr>
        <w:t xml:space="preserve">macro and micro follicular colloid </w:t>
      </w:r>
      <w:r w:rsidRPr="00CC78B7">
        <w:rPr>
          <w:rFonts w:ascii="Times New Roman" w:hAnsi="Times New Roman" w:cs="Times New Roman"/>
          <w:color w:val="auto"/>
          <w:lang w:val="en-US"/>
        </w:rPr>
        <w:t>nodular goiter.American Journal of Biomedical Science &amp; Research 2021; 13(6): 639-650.</w:t>
      </w:r>
    </w:p>
    <w:p w:rsidR="0070310E" w:rsidRPr="00CC78B7" w:rsidRDefault="00771673" w:rsidP="00204280">
      <w:pPr>
        <w:pStyle w:val="ListParagraph"/>
        <w:spacing w:after="0" w:line="240" w:lineRule="auto"/>
        <w:ind w:left="360"/>
        <w:rPr>
          <w:rFonts w:ascii="Times New Roman" w:hAnsi="Times New Roman" w:cs="Times New Roman"/>
          <w:bCs/>
          <w:sz w:val="24"/>
          <w:szCs w:val="24"/>
        </w:rPr>
      </w:pPr>
      <w:hyperlink r:id="rId58" w:history="1">
        <w:r w:rsidR="0070310E" w:rsidRPr="00CC78B7">
          <w:rPr>
            <w:rStyle w:val="Hyperlink"/>
            <w:rFonts w:ascii="Times New Roman" w:hAnsi="Times New Roman"/>
            <w:bCs/>
            <w:color w:val="auto"/>
            <w:sz w:val="24"/>
            <w:szCs w:val="24"/>
          </w:rPr>
          <w:t>https://biomedgrid.com/pdf/AJBSR.MS.ID.001931.pdf</w:t>
        </w:r>
      </w:hyperlink>
    </w:p>
    <w:p w:rsidR="0070310E" w:rsidRPr="00CC78B7" w:rsidRDefault="007C0AB7" w:rsidP="00204280">
      <w:pPr>
        <w:pStyle w:val="Default"/>
        <w:numPr>
          <w:ilvl w:val="0"/>
          <w:numId w:val="17"/>
        </w:numPr>
        <w:ind w:left="357" w:hanging="357"/>
        <w:rPr>
          <w:rFonts w:ascii="Times New Roman" w:hAnsi="Times New Roman" w:cs="Times New Roman"/>
          <w:color w:val="auto"/>
          <w:lang w:val="en-US"/>
        </w:rPr>
      </w:pPr>
      <w:r w:rsidRPr="00CC78B7">
        <w:rPr>
          <w:rFonts w:ascii="Times New Roman" w:hAnsi="Times New Roman" w:cs="Times New Roman"/>
          <w:color w:val="auto"/>
          <w:lang w:val="en-US"/>
        </w:rPr>
        <w:t>Zaichick V. Determination of fifty trace element contents in normal and goitrous thyroid using a combination of instrumental neutron activation analysis and inductively coupled plasma mass spectrometry.</w:t>
      </w:r>
      <w:r w:rsidRPr="00CC78B7">
        <w:rPr>
          <w:rFonts w:ascii="Times New Roman" w:eastAsia="EBGaramond-Regular" w:hAnsi="Times New Roman" w:cs="Times New Roman"/>
          <w:color w:val="auto"/>
          <w:lang w:val="en-US"/>
        </w:rPr>
        <w:t>Metallomics Research 2021; 1(#BRTE320105): 1-19</w:t>
      </w:r>
      <w:r w:rsidRPr="00CC78B7">
        <w:rPr>
          <w:rFonts w:ascii="Times New Roman" w:hAnsi="Times New Roman" w:cs="Times New Roman"/>
          <w:b/>
          <w:bCs/>
          <w:color w:val="auto"/>
          <w:spacing w:val="10"/>
          <w:lang w:val="en-US"/>
        </w:rPr>
        <w:t>.</w:t>
      </w:r>
    </w:p>
    <w:p w:rsidR="007C0AB7" w:rsidRPr="00CC78B7" w:rsidRDefault="00771673" w:rsidP="00204280">
      <w:pPr>
        <w:pStyle w:val="Default"/>
        <w:ind w:left="357"/>
        <w:rPr>
          <w:rStyle w:val="Strong"/>
          <w:rFonts w:ascii="Times New Roman" w:hAnsi="Times New Roman" w:cs="Times New Roman"/>
          <w:b w:val="0"/>
          <w:bCs w:val="0"/>
          <w:color w:val="auto"/>
          <w:lang w:val="en-US"/>
        </w:rPr>
      </w:pPr>
      <w:hyperlink r:id="rId59" w:history="1">
        <w:r w:rsidR="0070310E" w:rsidRPr="00CC78B7">
          <w:rPr>
            <w:rStyle w:val="Hyperlink"/>
            <w:rFonts w:ascii="Times New Roman" w:hAnsi="Times New Roman"/>
            <w:color w:val="auto"/>
            <w:bdr w:val="none" w:sz="0" w:space="0" w:color="auto" w:frame="1"/>
            <w:lang w:val="en-US" w:eastAsia="en-MY"/>
          </w:rPr>
          <w:t>https://metallomicsresearch.brte.org/wp-content/uploads/2021/10/2021_1_BRTE320105.pdf</w:t>
        </w:r>
      </w:hyperlink>
    </w:p>
    <w:p w:rsidR="0070310E" w:rsidRPr="00CC78B7" w:rsidRDefault="007C0AB7" w:rsidP="00204280">
      <w:pPr>
        <w:numPr>
          <w:ilvl w:val="0"/>
          <w:numId w:val="17"/>
        </w:numPr>
        <w:rPr>
          <w:lang w:val="en-US"/>
        </w:rPr>
      </w:pPr>
      <w:r w:rsidRPr="00CC78B7">
        <w:rPr>
          <w:lang w:val="en-US"/>
        </w:rPr>
        <w:t>Zaichick V. Evaluation of fifty trace element contents in thyroid adenomas using a combination of instrumental neutron activation analysis and inductively coupled plasma mass spectrometry.</w:t>
      </w:r>
      <w:r w:rsidRPr="00CC78B7">
        <w:rPr>
          <w:bCs/>
          <w:lang w:val="en-US"/>
        </w:rPr>
        <w:t xml:space="preserve"> Journal of Cancer and Oncology Research 2021; 2(3): 1-11</w:t>
      </w:r>
      <w:r w:rsidRPr="00CC78B7">
        <w:rPr>
          <w:b/>
          <w:bCs/>
          <w:spacing w:val="10"/>
          <w:lang w:val="en-US"/>
        </w:rPr>
        <w:t>.</w:t>
      </w:r>
    </w:p>
    <w:p w:rsidR="007C0AB7" w:rsidRPr="00CC78B7" w:rsidRDefault="00771673" w:rsidP="00204280">
      <w:pPr>
        <w:ind w:left="360"/>
        <w:rPr>
          <w:rStyle w:val="Strong"/>
          <w:b w:val="0"/>
          <w:bCs w:val="0"/>
          <w:lang w:val="en-US"/>
        </w:rPr>
      </w:pPr>
      <w:hyperlink r:id="rId60" w:history="1">
        <w:r w:rsidR="0070310E" w:rsidRPr="00CC78B7">
          <w:rPr>
            <w:rStyle w:val="Hyperlink"/>
            <w:color w:val="auto"/>
            <w:lang w:val="en-IN" w:eastAsia="en-US"/>
          </w:rPr>
          <w:t>https://unisciencepub.com/storage/2021/11/Evaluation-of-Fifty-Trace-Element-Contents-in-Thyroid-Adenomas.pdf</w:t>
        </w:r>
      </w:hyperlink>
    </w:p>
    <w:p w:rsidR="007C0AB7" w:rsidRPr="00CC78B7" w:rsidRDefault="007C0AB7" w:rsidP="00204280">
      <w:pPr>
        <w:pStyle w:val="BodyText"/>
        <w:numPr>
          <w:ilvl w:val="0"/>
          <w:numId w:val="17"/>
        </w:numPr>
        <w:overflowPunct/>
        <w:snapToGrid w:val="0"/>
        <w:spacing w:after="0"/>
        <w:textAlignment w:val="auto"/>
        <w:rPr>
          <w:sz w:val="24"/>
          <w:szCs w:val="24"/>
          <w:lang w:val="en-US"/>
        </w:rPr>
      </w:pPr>
      <w:r w:rsidRPr="00CC78B7">
        <w:rPr>
          <w:sz w:val="24"/>
          <w:szCs w:val="24"/>
          <w:lang w:val="en-US"/>
        </w:rPr>
        <w:t>Zaichick V, Zaichick S. Instrumental effect on the contamination of biomedical samples in the course of sampling. The Journal of Analytical Chemistry 1996; 51(12): 1200-1205.</w:t>
      </w:r>
    </w:p>
    <w:p w:rsidR="0070310E" w:rsidRPr="00CC78B7" w:rsidRDefault="0070310E" w:rsidP="00204280">
      <w:pPr>
        <w:pStyle w:val="BodyText"/>
        <w:overflowPunct/>
        <w:snapToGrid w:val="0"/>
        <w:spacing w:after="0"/>
        <w:ind w:left="360"/>
        <w:textAlignment w:val="auto"/>
        <w:rPr>
          <w:sz w:val="24"/>
          <w:szCs w:val="24"/>
          <w:lang w:val="en-US"/>
        </w:rPr>
      </w:pPr>
      <w:r w:rsidRPr="00CC78B7">
        <w:rPr>
          <w:sz w:val="24"/>
          <w:szCs w:val="24"/>
          <w:lang w:val="en-US"/>
        </w:rPr>
        <w:t>https://inis.iaea.org/search/search.aspx?orig_q=RN:28056394</w:t>
      </w:r>
    </w:p>
    <w:p w:rsidR="00650E0F" w:rsidRPr="00CC78B7" w:rsidRDefault="00650E0F" w:rsidP="00204280">
      <w:pPr>
        <w:numPr>
          <w:ilvl w:val="0"/>
          <w:numId w:val="17"/>
        </w:numPr>
      </w:pPr>
      <w:r w:rsidRPr="00CC78B7">
        <w:rPr>
          <w:lang w:val="en-GB"/>
        </w:rPr>
        <w:t>Zaichick V, Zaichick S. A search for losses of chemical elements during freeze-drying of biological materials. J RadioanalNucl Chem 1997; 218(2): 249-253.</w:t>
      </w:r>
    </w:p>
    <w:p w:rsidR="007C0AB7" w:rsidRPr="00CC78B7" w:rsidRDefault="00771673" w:rsidP="00204280">
      <w:pPr>
        <w:overflowPunct w:val="0"/>
        <w:autoSpaceDE w:val="0"/>
        <w:autoSpaceDN w:val="0"/>
        <w:adjustRightInd w:val="0"/>
        <w:ind w:left="360"/>
        <w:jc w:val="both"/>
        <w:textAlignment w:val="baseline"/>
      </w:pPr>
      <w:hyperlink r:id="rId61" w:history="1">
        <w:r w:rsidR="00650E0F" w:rsidRPr="00CC78B7">
          <w:rPr>
            <w:rStyle w:val="Hyperlink"/>
            <w:color w:val="auto"/>
          </w:rPr>
          <w:t>https://link.springer.com/article/10.1007/BF02039345</w:t>
        </w:r>
      </w:hyperlink>
    </w:p>
    <w:p w:rsidR="007C0AB7" w:rsidRPr="00CC78B7" w:rsidRDefault="007C0AB7" w:rsidP="00204280">
      <w:pPr>
        <w:pStyle w:val="BodyText"/>
        <w:numPr>
          <w:ilvl w:val="0"/>
          <w:numId w:val="17"/>
        </w:numPr>
        <w:tabs>
          <w:tab w:val="left" w:pos="426"/>
        </w:tabs>
        <w:overflowPunct/>
        <w:autoSpaceDE/>
        <w:autoSpaceDN/>
        <w:adjustRightInd/>
        <w:spacing w:after="0"/>
        <w:ind w:left="357"/>
        <w:jc w:val="both"/>
        <w:textAlignment w:val="auto"/>
        <w:rPr>
          <w:sz w:val="24"/>
          <w:szCs w:val="24"/>
        </w:rPr>
      </w:pPr>
      <w:r w:rsidRPr="00CC78B7">
        <w:rPr>
          <w:sz w:val="24"/>
          <w:szCs w:val="24"/>
          <w:lang w:val="en-US"/>
        </w:rPr>
        <w:t xml:space="preserve">Zaichick S., Zaichick V. The effect of age on Ag, Co, Cr, Fe, Hg, Sb, Sc, Se, and Zn contents in intact human prostate investigated by neutron activation analysis. </w:t>
      </w:r>
      <w:r w:rsidRPr="00CC78B7">
        <w:rPr>
          <w:sz w:val="24"/>
          <w:szCs w:val="24"/>
        </w:rPr>
        <w:t>AppRadiatIsot2011</w:t>
      </w:r>
      <w:r w:rsidRPr="00CC78B7">
        <w:rPr>
          <w:sz w:val="24"/>
          <w:szCs w:val="24"/>
          <w:lang w:val="en-US"/>
        </w:rPr>
        <w:t>;</w:t>
      </w:r>
      <w:r w:rsidRPr="00CC78B7">
        <w:rPr>
          <w:sz w:val="24"/>
          <w:szCs w:val="24"/>
        </w:rPr>
        <w:t xml:space="preserve"> 69</w:t>
      </w:r>
      <w:r w:rsidRPr="00CC78B7">
        <w:rPr>
          <w:sz w:val="24"/>
          <w:szCs w:val="24"/>
          <w:lang w:val="en-US"/>
        </w:rPr>
        <w:t>(</w:t>
      </w:r>
      <w:r w:rsidRPr="00CC78B7">
        <w:rPr>
          <w:sz w:val="24"/>
          <w:szCs w:val="24"/>
        </w:rPr>
        <w:t>6</w:t>
      </w:r>
      <w:r w:rsidRPr="00CC78B7">
        <w:rPr>
          <w:sz w:val="24"/>
          <w:szCs w:val="24"/>
          <w:lang w:val="en-US"/>
        </w:rPr>
        <w:t xml:space="preserve">): </w:t>
      </w:r>
      <w:r w:rsidRPr="00CC78B7">
        <w:rPr>
          <w:sz w:val="24"/>
          <w:szCs w:val="24"/>
        </w:rPr>
        <w:t>827-833.</w:t>
      </w:r>
    </w:p>
    <w:p w:rsidR="00650E0F" w:rsidRPr="00CC78B7" w:rsidRDefault="00771673" w:rsidP="00204280">
      <w:pPr>
        <w:pStyle w:val="BodyText"/>
        <w:tabs>
          <w:tab w:val="left" w:pos="426"/>
        </w:tabs>
        <w:overflowPunct/>
        <w:autoSpaceDE/>
        <w:autoSpaceDN/>
        <w:adjustRightInd/>
        <w:spacing w:after="0"/>
        <w:ind w:left="357"/>
        <w:jc w:val="both"/>
        <w:textAlignment w:val="auto"/>
        <w:rPr>
          <w:sz w:val="24"/>
          <w:szCs w:val="24"/>
        </w:rPr>
      </w:pPr>
      <w:hyperlink r:id="rId62" w:history="1">
        <w:r w:rsidR="00650E0F" w:rsidRPr="00CC78B7">
          <w:rPr>
            <w:rStyle w:val="Hyperlink"/>
            <w:color w:val="auto"/>
            <w:sz w:val="24"/>
            <w:szCs w:val="24"/>
          </w:rPr>
          <w:t>https://pubmed.ncbi.nlm.nih.gov/21354803/</w:t>
        </w:r>
      </w:hyperlink>
    </w:p>
    <w:p w:rsidR="007C0AB7" w:rsidRPr="00CC78B7" w:rsidRDefault="007C0AB7" w:rsidP="00204280">
      <w:pPr>
        <w:numPr>
          <w:ilvl w:val="0"/>
          <w:numId w:val="17"/>
        </w:numPr>
        <w:overflowPunct w:val="0"/>
        <w:autoSpaceDE w:val="0"/>
        <w:autoSpaceDN w:val="0"/>
        <w:adjustRightInd w:val="0"/>
        <w:ind w:left="357"/>
        <w:jc w:val="both"/>
        <w:textAlignment w:val="baseline"/>
        <w:rPr>
          <w:lang w:val="en-US"/>
        </w:rPr>
      </w:pPr>
      <w:r w:rsidRPr="00CC78B7">
        <w:rPr>
          <w:lang w:val="en-US"/>
        </w:rPr>
        <w:t xml:space="preserve">Zaichick V., Zaichick S. </w:t>
      </w:r>
      <w:r w:rsidRPr="00CC78B7">
        <w:rPr>
          <w:bCs/>
          <w:lang w:val="en-US"/>
        </w:rPr>
        <w:t xml:space="preserve">Relations of the neutron activation analysis data to morphometric parameters in pediatric and nonhyperplastic young adult prostate glands. Advances in Biomedical Science and Engineering 2014; </w:t>
      </w:r>
      <w:r w:rsidRPr="00CC78B7">
        <w:rPr>
          <w:lang w:val="en-US"/>
        </w:rPr>
        <w:t>1(1):.26-42.</w:t>
      </w:r>
    </w:p>
    <w:p w:rsidR="008C005C" w:rsidRPr="00CC78B7" w:rsidRDefault="00771673" w:rsidP="00204280">
      <w:pPr>
        <w:overflowPunct w:val="0"/>
        <w:autoSpaceDE w:val="0"/>
        <w:autoSpaceDN w:val="0"/>
        <w:adjustRightInd w:val="0"/>
        <w:ind w:left="357"/>
        <w:jc w:val="both"/>
        <w:textAlignment w:val="baseline"/>
        <w:rPr>
          <w:lang w:val="en-US"/>
        </w:rPr>
      </w:pPr>
      <w:hyperlink r:id="rId63" w:history="1">
        <w:r w:rsidR="008C005C" w:rsidRPr="00CC78B7">
          <w:rPr>
            <w:rStyle w:val="Hyperlink"/>
            <w:color w:val="auto"/>
          </w:rPr>
          <w:t>https://doi.org/10.1111/j.2047-2927.2012.00005.x</w:t>
        </w:r>
      </w:hyperlink>
    </w:p>
    <w:p w:rsidR="007C0AB7" w:rsidRPr="00CC78B7" w:rsidRDefault="007C0AB7" w:rsidP="00204280">
      <w:pPr>
        <w:numPr>
          <w:ilvl w:val="0"/>
          <w:numId w:val="17"/>
        </w:numPr>
        <w:overflowPunct w:val="0"/>
        <w:autoSpaceDE w:val="0"/>
        <w:autoSpaceDN w:val="0"/>
        <w:adjustRightInd w:val="0"/>
        <w:ind w:left="357"/>
        <w:jc w:val="both"/>
        <w:textAlignment w:val="baseline"/>
        <w:rPr>
          <w:lang w:val="en-US"/>
        </w:rPr>
      </w:pPr>
      <w:r w:rsidRPr="00CC78B7">
        <w:rPr>
          <w:bCs/>
          <w:lang w:val="en-US"/>
        </w:rPr>
        <w:lastRenderedPageBreak/>
        <w:t xml:space="preserve">Zaichick V., Zaichick S. </w:t>
      </w:r>
      <w:r w:rsidRPr="00CC78B7">
        <w:rPr>
          <w:lang w:val="en-US"/>
        </w:rPr>
        <w:t>Variations in concentration and histological distribution of Ag, Co, Cr, Fe, Hg, Rb, Sb, Sc, Se, and Zn in nonhyperplastic prostate gland throughout adulthood. Jacobs Journal of Cell and Molecular Biology 2016; 2(1): 1-16.</w:t>
      </w:r>
    </w:p>
    <w:p w:rsidR="00520226" w:rsidRPr="00CC78B7" w:rsidRDefault="007C0AB7" w:rsidP="00204280">
      <w:pPr>
        <w:numPr>
          <w:ilvl w:val="0"/>
          <w:numId w:val="17"/>
        </w:numPr>
        <w:overflowPunct w:val="0"/>
        <w:autoSpaceDE w:val="0"/>
        <w:autoSpaceDN w:val="0"/>
        <w:adjustRightInd w:val="0"/>
        <w:ind w:left="357"/>
        <w:jc w:val="both"/>
        <w:textAlignment w:val="baseline"/>
        <w:rPr>
          <w:lang w:val="en-US"/>
        </w:rPr>
      </w:pPr>
      <w:r w:rsidRPr="00CC78B7">
        <w:rPr>
          <w:rFonts w:eastAsia="AdvP4DF60E"/>
          <w:lang w:val="en-US"/>
        </w:rPr>
        <w:t>Zaichick S.,</w:t>
      </w:r>
      <w:r w:rsidRPr="00CC78B7">
        <w:rPr>
          <w:lang w:val="en-US"/>
        </w:rPr>
        <w:t xml:space="preserve"> Zaichick V., </w:t>
      </w:r>
      <w:r w:rsidRPr="00CC78B7">
        <w:rPr>
          <w:snapToGrid w:val="0"/>
          <w:lang w:val="en-US"/>
        </w:rPr>
        <w:t>Nosenko S., Moskvina I.</w:t>
      </w:r>
      <w:r w:rsidRPr="00CC78B7">
        <w:t>Mass fractions of 52 trace elements and zinc trace element content ratios in intact human prostates investigated by inductively coupled plasma mass spectrometry</w:t>
      </w:r>
      <w:r w:rsidRPr="00CC78B7">
        <w:rPr>
          <w:lang w:val="en-US"/>
        </w:rPr>
        <w:t>. Biol Trace Elem Res 2012; 149(2): 171-183.</w:t>
      </w:r>
    </w:p>
    <w:p w:rsidR="00520226" w:rsidRPr="00CC78B7" w:rsidRDefault="00771673" w:rsidP="00204280">
      <w:pPr>
        <w:overflowPunct w:val="0"/>
        <w:autoSpaceDE w:val="0"/>
        <w:autoSpaceDN w:val="0"/>
        <w:adjustRightInd w:val="0"/>
        <w:ind w:left="357"/>
        <w:jc w:val="both"/>
        <w:textAlignment w:val="baseline"/>
        <w:rPr>
          <w:lang w:val="en-US"/>
        </w:rPr>
      </w:pPr>
      <w:hyperlink r:id="rId64" w:history="1">
        <w:r w:rsidR="00520226" w:rsidRPr="00CC78B7">
          <w:rPr>
            <w:rStyle w:val="Hyperlink"/>
            <w:color w:val="auto"/>
            <w:lang w:val="en-US"/>
          </w:rPr>
          <w:t>https://pubmed.ncbi.nlm.nih.gov/22549701/</w:t>
        </w:r>
      </w:hyperlink>
    </w:p>
    <w:p w:rsidR="007C0AB7" w:rsidRPr="00CC78B7" w:rsidRDefault="007C0AB7" w:rsidP="00204280">
      <w:pPr>
        <w:numPr>
          <w:ilvl w:val="0"/>
          <w:numId w:val="17"/>
        </w:numPr>
        <w:overflowPunct w:val="0"/>
        <w:autoSpaceDE w:val="0"/>
        <w:autoSpaceDN w:val="0"/>
        <w:adjustRightInd w:val="0"/>
        <w:ind w:left="357"/>
        <w:jc w:val="both"/>
        <w:textAlignment w:val="baseline"/>
        <w:rPr>
          <w:lang w:val="en-US"/>
        </w:rPr>
      </w:pPr>
      <w:r w:rsidRPr="00CC78B7">
        <w:rPr>
          <w:lang w:val="en-US"/>
        </w:rPr>
        <w:t>Zaichick V., Zaichick S. The distribution of 54 trace elements including zinc in pediatric and nonhyperplastic young adult prostate gland tissues. Journal of Clinical and Laboratory Investigation Updates 2014; 2(1): 1-15.</w:t>
      </w:r>
    </w:p>
    <w:p w:rsidR="00520226" w:rsidRPr="00CC78B7" w:rsidRDefault="00771673" w:rsidP="00204280">
      <w:pPr>
        <w:overflowPunct w:val="0"/>
        <w:autoSpaceDE w:val="0"/>
        <w:autoSpaceDN w:val="0"/>
        <w:adjustRightInd w:val="0"/>
        <w:ind w:left="357"/>
        <w:jc w:val="both"/>
        <w:textAlignment w:val="baseline"/>
        <w:rPr>
          <w:lang w:val="en-US"/>
        </w:rPr>
      </w:pPr>
      <w:hyperlink r:id="rId65" w:history="1">
        <w:r w:rsidR="00520226" w:rsidRPr="00CC78B7">
          <w:rPr>
            <w:rStyle w:val="Hyperlink"/>
            <w:color w:val="auto"/>
            <w:lang w:val="en-US"/>
          </w:rPr>
          <w:t>https://www.researchgate.net/publication/274308023_The_Distribution_of_54_Trace_Elements_Including_Zinc_in_Pediatric_and_Nonhyperplastic_Young_Adult_Prostate_Gland_Tissues</w:t>
        </w:r>
      </w:hyperlink>
    </w:p>
    <w:p w:rsidR="007C0AB7" w:rsidRPr="00CC78B7" w:rsidRDefault="007C0AB7" w:rsidP="00204280">
      <w:pPr>
        <w:numPr>
          <w:ilvl w:val="0"/>
          <w:numId w:val="17"/>
        </w:numPr>
        <w:overflowPunct w:val="0"/>
        <w:autoSpaceDE w:val="0"/>
        <w:autoSpaceDN w:val="0"/>
        <w:adjustRightInd w:val="0"/>
        <w:ind w:left="357"/>
        <w:jc w:val="both"/>
        <w:textAlignment w:val="baseline"/>
        <w:rPr>
          <w:lang w:val="en-US"/>
        </w:rPr>
      </w:pPr>
      <w:r w:rsidRPr="00CC78B7">
        <w:rPr>
          <w:bCs/>
          <w:lang w:val="en-US"/>
        </w:rPr>
        <w:t>Zaichick V, Zaichick S.</w:t>
      </w:r>
      <w:r w:rsidRPr="00CC78B7">
        <w:rPr>
          <w:lang w:val="en-US"/>
        </w:rPr>
        <w:t xml:space="preserve"> Age-related changes in concentration and histological distribution of 54 trace elements in nonhyperplastic prostate of adults. Int Arch UrolComplic 2016; 2(2): 019</w:t>
      </w:r>
      <w:r w:rsidR="00CC78B7" w:rsidRPr="00CC78B7">
        <w:rPr>
          <w:lang w:val="en-US"/>
        </w:rPr>
        <w:t>.</w:t>
      </w:r>
    </w:p>
    <w:p w:rsidR="00650E0F" w:rsidRPr="00CC78B7" w:rsidRDefault="00650E0F" w:rsidP="00204280">
      <w:pPr>
        <w:numPr>
          <w:ilvl w:val="0"/>
          <w:numId w:val="17"/>
        </w:numPr>
        <w:overflowPunct w:val="0"/>
        <w:autoSpaceDE w:val="0"/>
        <w:autoSpaceDN w:val="0"/>
        <w:adjustRightInd w:val="0"/>
        <w:ind w:left="357"/>
        <w:jc w:val="both"/>
        <w:textAlignment w:val="baseline"/>
      </w:pPr>
      <w:r w:rsidRPr="00CC78B7">
        <w:rPr>
          <w:lang w:val="en-US"/>
        </w:rPr>
        <w:t xml:space="preserve">Zaichick S, Zaichick V. The effect of age and gender on 37 chemical element contents in scalp hair of healthy humans. </w:t>
      </w:r>
      <w:r w:rsidRPr="00CC78B7">
        <w:t>Biol Trace Elem Res 2010; 134(1): 41-54.</w:t>
      </w:r>
    </w:p>
    <w:p w:rsidR="007C0AB7" w:rsidRPr="00CC78B7" w:rsidRDefault="00771673" w:rsidP="00204280">
      <w:pPr>
        <w:overflowPunct w:val="0"/>
        <w:autoSpaceDE w:val="0"/>
        <w:autoSpaceDN w:val="0"/>
        <w:adjustRightInd w:val="0"/>
        <w:ind w:left="357"/>
        <w:jc w:val="both"/>
        <w:textAlignment w:val="baseline"/>
      </w:pPr>
      <w:hyperlink r:id="rId66" w:history="1">
        <w:r w:rsidR="00650E0F" w:rsidRPr="00CC78B7">
          <w:rPr>
            <w:rStyle w:val="Hyperlink"/>
            <w:color w:val="auto"/>
          </w:rPr>
          <w:t>https://pubmed.ncbi.nlm.nih.gov/19629406/</w:t>
        </w:r>
      </w:hyperlink>
    </w:p>
    <w:p w:rsidR="00520226" w:rsidRPr="00CC78B7" w:rsidRDefault="00520226" w:rsidP="00204280">
      <w:pPr>
        <w:numPr>
          <w:ilvl w:val="0"/>
          <w:numId w:val="17"/>
        </w:numPr>
        <w:overflowPunct w:val="0"/>
        <w:autoSpaceDE w:val="0"/>
        <w:autoSpaceDN w:val="0"/>
        <w:adjustRightInd w:val="0"/>
        <w:textAlignment w:val="baseline"/>
        <w:rPr>
          <w:bCs/>
        </w:rPr>
      </w:pPr>
      <w:r w:rsidRPr="00CC78B7">
        <w:rPr>
          <w:lang w:val="en-GB"/>
        </w:rPr>
        <w:t>Zaichick V. Applications of synthetic reference materials in the Medical Radiological Research Centre. Fresenius J Anal Chem 1995; 352: 219-223.</w:t>
      </w:r>
    </w:p>
    <w:p w:rsidR="00520226" w:rsidRPr="00CC78B7" w:rsidRDefault="00771673" w:rsidP="00204280">
      <w:pPr>
        <w:overflowPunct w:val="0"/>
        <w:autoSpaceDE w:val="0"/>
        <w:autoSpaceDN w:val="0"/>
        <w:adjustRightInd w:val="0"/>
        <w:ind w:left="360"/>
        <w:textAlignment w:val="baseline"/>
        <w:rPr>
          <w:bCs/>
        </w:rPr>
      </w:pPr>
      <w:hyperlink r:id="rId67" w:history="1">
        <w:r w:rsidR="00520226" w:rsidRPr="00CC78B7">
          <w:rPr>
            <w:rStyle w:val="Hyperlink"/>
            <w:bCs/>
            <w:color w:val="auto"/>
          </w:rPr>
          <w:t>https://link.springer.com/article/10.1007/BF00322330</w:t>
        </w:r>
      </w:hyperlink>
    </w:p>
    <w:p w:rsidR="007C0AB7" w:rsidRPr="00CC78B7" w:rsidRDefault="00520226" w:rsidP="00204280">
      <w:pPr>
        <w:numPr>
          <w:ilvl w:val="0"/>
          <w:numId w:val="17"/>
        </w:numPr>
        <w:jc w:val="both"/>
        <w:rPr>
          <w:lang w:val="en-US"/>
        </w:rPr>
      </w:pPr>
      <w:r w:rsidRPr="00CC78B7">
        <w:rPr>
          <w:lang w:val="en-GB"/>
        </w:rPr>
        <w:t xml:space="preserve">Korelo AM, Zaichick V. Software to optimize the multielement INAA of medical and environmental samples. In: Activation Analysis in Environment Protection. </w:t>
      </w:r>
      <w:r w:rsidRPr="00CC78B7">
        <w:rPr>
          <w:lang w:val="en-US"/>
        </w:rPr>
        <w:t>Dubna, Russia: Joint Institute for Nuclear Research; 1993. p.</w:t>
      </w:r>
      <w:r w:rsidRPr="00CC78B7">
        <w:rPr>
          <w:lang w:val="en-GB"/>
        </w:rPr>
        <w:t>326</w:t>
      </w:r>
      <w:r w:rsidRPr="00CC78B7">
        <w:rPr>
          <w:lang w:val="en-US"/>
        </w:rPr>
        <w:t>-3</w:t>
      </w:r>
      <w:r w:rsidRPr="00CC78B7">
        <w:rPr>
          <w:lang w:val="en-GB"/>
        </w:rPr>
        <w:t>3</w:t>
      </w:r>
      <w:r w:rsidR="007C0AB7" w:rsidRPr="00CC78B7">
        <w:rPr>
          <w:lang w:val="en-GB"/>
        </w:rPr>
        <w:t>2.</w:t>
      </w:r>
    </w:p>
    <w:p w:rsidR="007C0AB7" w:rsidRPr="00CC78B7" w:rsidRDefault="00771673" w:rsidP="00204280">
      <w:pPr>
        <w:numPr>
          <w:ilvl w:val="0"/>
          <w:numId w:val="17"/>
        </w:numPr>
        <w:rPr>
          <w:lang w:val="en-US"/>
        </w:rPr>
      </w:pPr>
      <w:hyperlink r:id="rId68" w:history="1">
        <w:r w:rsidR="007C0AB7" w:rsidRPr="00CC78B7">
          <w:rPr>
            <w:lang w:val="en-US"/>
          </w:rPr>
          <w:t>Lansdown AB</w:t>
        </w:r>
      </w:hyperlink>
      <w:r w:rsidR="007C0AB7" w:rsidRPr="00CC78B7">
        <w:rPr>
          <w:lang w:val="en-US"/>
        </w:rPr>
        <w:t>.</w:t>
      </w:r>
      <w:r w:rsidR="007C0AB7" w:rsidRPr="00CC78B7">
        <w:rPr>
          <w:bCs/>
          <w:kern w:val="36"/>
          <w:lang w:val="en-US"/>
        </w:rPr>
        <w:t xml:space="preserve"> Critical observations on the neurotoxicity of silver.</w:t>
      </w:r>
      <w:hyperlink r:id="rId69" w:tooltip="Critical reviews in toxicology." w:history="1">
        <w:r w:rsidR="007C0AB7" w:rsidRPr="00CC78B7">
          <w:rPr>
            <w:lang w:val="en-US"/>
          </w:rPr>
          <w:t>Crit Rev Toxicol</w:t>
        </w:r>
      </w:hyperlink>
      <w:r w:rsidR="007C0AB7" w:rsidRPr="00CC78B7">
        <w:rPr>
          <w:lang w:val="en-US"/>
        </w:rPr>
        <w:t xml:space="preserve"> 2007; 37(3): 237-250.</w:t>
      </w:r>
    </w:p>
    <w:p w:rsidR="00520226" w:rsidRPr="00CC78B7" w:rsidRDefault="00771673" w:rsidP="00204280">
      <w:pPr>
        <w:ind w:left="360"/>
        <w:rPr>
          <w:lang w:val="en-US"/>
        </w:rPr>
      </w:pPr>
      <w:hyperlink r:id="rId70" w:history="1">
        <w:r w:rsidR="00520226" w:rsidRPr="00CC78B7">
          <w:rPr>
            <w:rStyle w:val="Hyperlink"/>
            <w:color w:val="auto"/>
            <w:lang w:val="en-US"/>
          </w:rPr>
          <w:t>https://pubmed.ncbi.nlm.nih.gov/17453933/</w:t>
        </w:r>
      </w:hyperlink>
    </w:p>
    <w:p w:rsidR="007C0AB7" w:rsidRPr="00CC78B7" w:rsidRDefault="00771673" w:rsidP="00204280">
      <w:pPr>
        <w:numPr>
          <w:ilvl w:val="0"/>
          <w:numId w:val="17"/>
        </w:numPr>
        <w:rPr>
          <w:lang w:val="en-US"/>
        </w:rPr>
      </w:pPr>
      <w:hyperlink r:id="rId71" w:history="1">
        <w:r w:rsidR="007C0AB7" w:rsidRPr="00CC78B7">
          <w:rPr>
            <w:lang w:val="en-US"/>
          </w:rPr>
          <w:t>Lansdown AB</w:t>
        </w:r>
      </w:hyperlink>
      <w:r w:rsidR="007C0AB7" w:rsidRPr="00CC78B7">
        <w:rPr>
          <w:lang w:val="en-US"/>
        </w:rPr>
        <w:t>.</w:t>
      </w:r>
      <w:r w:rsidR="007C0AB7" w:rsidRPr="00CC78B7">
        <w:rPr>
          <w:bCs/>
          <w:kern w:val="36"/>
          <w:lang w:val="en-US"/>
        </w:rPr>
        <w:t xml:space="preserve"> Silver in health care: antimicrobial effects and safety in use.</w:t>
      </w:r>
      <w:hyperlink r:id="rId72" w:tooltip="Current problems in dermatology." w:history="1">
        <w:r w:rsidR="007C0AB7" w:rsidRPr="00CC78B7">
          <w:rPr>
            <w:lang w:val="en-US"/>
          </w:rPr>
          <w:t>CurrProblDermatol</w:t>
        </w:r>
      </w:hyperlink>
      <w:r w:rsidR="007C0AB7" w:rsidRPr="00CC78B7">
        <w:rPr>
          <w:lang w:val="en-US"/>
        </w:rPr>
        <w:t xml:space="preserve"> 2006; 33: 17-34.</w:t>
      </w:r>
    </w:p>
    <w:p w:rsidR="00520226" w:rsidRPr="00CC78B7" w:rsidRDefault="00771673" w:rsidP="00204280">
      <w:pPr>
        <w:ind w:left="360"/>
        <w:rPr>
          <w:lang w:val="en-US"/>
        </w:rPr>
      </w:pPr>
      <w:hyperlink r:id="rId73" w:history="1">
        <w:r w:rsidR="00520226" w:rsidRPr="00CC78B7">
          <w:rPr>
            <w:rStyle w:val="Hyperlink"/>
            <w:color w:val="auto"/>
            <w:lang w:val="en-US"/>
          </w:rPr>
          <w:t>https://pubmed.ncbi.nlm.nih.gov/16766878/</w:t>
        </w:r>
      </w:hyperlink>
    </w:p>
    <w:p w:rsidR="007C0AB7" w:rsidRPr="00CC78B7" w:rsidRDefault="00771673" w:rsidP="00204280">
      <w:pPr>
        <w:numPr>
          <w:ilvl w:val="0"/>
          <w:numId w:val="17"/>
        </w:numPr>
        <w:rPr>
          <w:lang w:val="en-US"/>
        </w:rPr>
      </w:pPr>
      <w:hyperlink r:id="rId74" w:history="1">
        <w:r w:rsidR="007C0AB7" w:rsidRPr="00CC78B7">
          <w:rPr>
            <w:lang w:val="en-US"/>
          </w:rPr>
          <w:t>Drake PL</w:t>
        </w:r>
      </w:hyperlink>
      <w:r w:rsidR="007C0AB7" w:rsidRPr="00CC78B7">
        <w:rPr>
          <w:lang w:val="en-US"/>
        </w:rPr>
        <w:t xml:space="preserve">, </w:t>
      </w:r>
      <w:hyperlink r:id="rId75" w:history="1">
        <w:r w:rsidR="007C0AB7" w:rsidRPr="00CC78B7">
          <w:rPr>
            <w:lang w:val="en-US"/>
          </w:rPr>
          <w:t>Hazelwood KJ</w:t>
        </w:r>
      </w:hyperlink>
      <w:r w:rsidR="007C0AB7" w:rsidRPr="00CC78B7">
        <w:rPr>
          <w:lang w:val="en-US"/>
        </w:rPr>
        <w:t>.</w:t>
      </w:r>
      <w:r w:rsidR="007C0AB7" w:rsidRPr="00CC78B7">
        <w:rPr>
          <w:bCs/>
          <w:kern w:val="36"/>
          <w:lang w:val="en-US"/>
        </w:rPr>
        <w:t xml:space="preserve"> Exposure-related health effects of silver and silver compounds: a review.</w:t>
      </w:r>
      <w:hyperlink r:id="rId76" w:tooltip="The Annals of occupational hygiene." w:history="1">
        <w:r w:rsidR="007C0AB7" w:rsidRPr="00CC78B7">
          <w:rPr>
            <w:lang w:val="en-US"/>
          </w:rPr>
          <w:t>Ann OccupHyg</w:t>
        </w:r>
      </w:hyperlink>
      <w:r w:rsidR="007C0AB7" w:rsidRPr="00CC78B7">
        <w:rPr>
          <w:lang w:val="en-US"/>
        </w:rPr>
        <w:t xml:space="preserve"> 2005; 49(7): 575-585</w:t>
      </w:r>
      <w:r w:rsidR="007C0AB7" w:rsidRPr="00CC78B7">
        <w:t>.</w:t>
      </w:r>
    </w:p>
    <w:p w:rsidR="00520226" w:rsidRPr="00CC78B7" w:rsidRDefault="00771673" w:rsidP="00204280">
      <w:pPr>
        <w:ind w:left="360"/>
        <w:rPr>
          <w:lang w:val="en-US"/>
        </w:rPr>
      </w:pPr>
      <w:hyperlink r:id="rId77" w:history="1">
        <w:r w:rsidR="00520226" w:rsidRPr="00CC78B7">
          <w:rPr>
            <w:rStyle w:val="Hyperlink"/>
            <w:color w:val="auto"/>
            <w:lang w:val="en-US"/>
          </w:rPr>
          <w:t>https://pubmed.ncbi.nlm.nih.gov/15964881/</w:t>
        </w:r>
      </w:hyperlink>
    </w:p>
    <w:p w:rsidR="007C0AB7" w:rsidRPr="00CC78B7" w:rsidRDefault="007C0AB7" w:rsidP="00204280">
      <w:pPr>
        <w:numPr>
          <w:ilvl w:val="0"/>
          <w:numId w:val="17"/>
        </w:numPr>
        <w:rPr>
          <w:lang w:val="en-US"/>
        </w:rPr>
      </w:pPr>
      <w:r w:rsidRPr="00CC78B7">
        <w:rPr>
          <w:bCs/>
          <w:kern w:val="36"/>
          <w:lang w:val="en-US"/>
        </w:rPr>
        <w:t>Katarzyńska-Banasik D, Grzesiak M, Kowalik K, Sechman A, Administration of silver nanoparticles affects ovarian steroidogenesis and may influence thyroid hormone metabolism in hens (Gallus domesticus).</w:t>
      </w:r>
      <w:r w:rsidRPr="00CC78B7">
        <w:rPr>
          <w:lang w:val="en-US"/>
        </w:rPr>
        <w:t>Ecotoxicol Environ Saf 2021;208:111427.</w:t>
      </w:r>
    </w:p>
    <w:p w:rsidR="00520226" w:rsidRPr="00CC78B7" w:rsidRDefault="00771673" w:rsidP="00204280">
      <w:pPr>
        <w:ind w:left="360"/>
        <w:rPr>
          <w:lang w:val="en-US"/>
        </w:rPr>
      </w:pPr>
      <w:hyperlink r:id="rId78" w:history="1">
        <w:r w:rsidR="00520226" w:rsidRPr="00CC78B7">
          <w:rPr>
            <w:rStyle w:val="Hyperlink"/>
            <w:color w:val="auto"/>
            <w:lang w:val="en-US"/>
          </w:rPr>
          <w:t>https://www.sciencedirect.com/science/article/pii/S0147651320312641</w:t>
        </w:r>
      </w:hyperlink>
    </w:p>
    <w:p w:rsidR="007C0AB7" w:rsidRPr="00CC78B7" w:rsidRDefault="007C0AB7" w:rsidP="00204280">
      <w:pPr>
        <w:numPr>
          <w:ilvl w:val="0"/>
          <w:numId w:val="17"/>
        </w:numPr>
        <w:jc w:val="both"/>
        <w:rPr>
          <w:lang w:val="en-US"/>
        </w:rPr>
      </w:pPr>
      <w:r w:rsidRPr="00CC78B7">
        <w:rPr>
          <w:bCs/>
          <w:kern w:val="36"/>
          <w:lang w:val="en-US"/>
        </w:rPr>
        <w:t>Igbokwe IO, Igwenagu E, Igbokwe NA. Aluminiumtoxicosis: a review of toxic actions and effects.</w:t>
      </w:r>
      <w:r w:rsidRPr="00CC78B7">
        <w:rPr>
          <w:lang w:val="en-US"/>
        </w:rPr>
        <w:t>InterdiscipToxicol 2019;12(2):45-70.</w:t>
      </w:r>
    </w:p>
    <w:p w:rsidR="00520226" w:rsidRPr="00CC78B7" w:rsidRDefault="00771673" w:rsidP="00204280">
      <w:pPr>
        <w:ind w:left="360"/>
        <w:jc w:val="both"/>
        <w:rPr>
          <w:lang w:val="en-US"/>
        </w:rPr>
      </w:pPr>
      <w:hyperlink r:id="rId79" w:history="1">
        <w:r w:rsidR="00520226" w:rsidRPr="00CC78B7">
          <w:rPr>
            <w:rStyle w:val="Hyperlink"/>
            <w:color w:val="auto"/>
            <w:lang w:val="en-US"/>
          </w:rPr>
          <w:t>https://www.ncbi.nlm.nih.gov/pmc/articles/PMC7071840/</w:t>
        </w:r>
      </w:hyperlink>
    </w:p>
    <w:p w:rsidR="007C0AB7" w:rsidRPr="00CC78B7" w:rsidRDefault="007C0AB7" w:rsidP="00204280">
      <w:pPr>
        <w:pStyle w:val="ListParagraph"/>
        <w:numPr>
          <w:ilvl w:val="0"/>
          <w:numId w:val="17"/>
        </w:numPr>
        <w:spacing w:after="0" w:line="240" w:lineRule="auto"/>
        <w:ind w:left="357" w:hanging="357"/>
        <w:jc w:val="both"/>
        <w:rPr>
          <w:rFonts w:ascii="Times New Roman" w:hAnsi="Times New Roman" w:cs="Times New Roman"/>
          <w:sz w:val="24"/>
          <w:szCs w:val="24"/>
          <w:lang w:val="en-US"/>
        </w:rPr>
      </w:pPr>
      <w:r w:rsidRPr="00CC78B7">
        <w:rPr>
          <w:rFonts w:ascii="Times New Roman" w:hAnsi="Times New Roman" w:cs="Times New Roman"/>
          <w:bCs/>
          <w:kern w:val="36"/>
          <w:sz w:val="24"/>
          <w:szCs w:val="24"/>
          <w:lang w:val="en-US"/>
        </w:rPr>
        <w:t>Orihuela D. Aluminium effects on thyroid gland function: iodide uptake, hormone biosynthesis and secretion.</w:t>
      </w:r>
      <w:r w:rsidRPr="00CC78B7">
        <w:rPr>
          <w:rFonts w:ascii="Times New Roman" w:hAnsi="Times New Roman" w:cs="Times New Roman"/>
          <w:sz w:val="24"/>
          <w:szCs w:val="24"/>
          <w:lang w:val="en-US"/>
        </w:rPr>
        <w:t>J Inorg Biochem 2011;105(11):1464-</w:t>
      </w:r>
      <w:r w:rsidR="009E1B87" w:rsidRPr="00CC78B7">
        <w:rPr>
          <w:rFonts w:ascii="Times New Roman" w:hAnsi="Times New Roman" w:cs="Times New Roman"/>
          <w:sz w:val="24"/>
          <w:szCs w:val="24"/>
          <w:lang w:val="en-US"/>
        </w:rPr>
        <w:t>146</w:t>
      </w:r>
      <w:r w:rsidRPr="00CC78B7">
        <w:rPr>
          <w:rFonts w:ascii="Times New Roman" w:hAnsi="Times New Roman" w:cs="Times New Roman"/>
          <w:sz w:val="24"/>
          <w:szCs w:val="24"/>
          <w:lang w:val="en-US"/>
        </w:rPr>
        <w:t>8.</w:t>
      </w:r>
    </w:p>
    <w:p w:rsidR="009E1B87" w:rsidRPr="00CC78B7" w:rsidRDefault="00771673" w:rsidP="00204280">
      <w:pPr>
        <w:pStyle w:val="ListParagraph"/>
        <w:spacing w:after="0" w:line="240" w:lineRule="auto"/>
        <w:ind w:left="357"/>
        <w:jc w:val="both"/>
        <w:rPr>
          <w:rFonts w:ascii="Times New Roman" w:hAnsi="Times New Roman" w:cs="Times New Roman"/>
          <w:sz w:val="24"/>
          <w:szCs w:val="24"/>
          <w:lang w:val="en-US"/>
        </w:rPr>
      </w:pPr>
      <w:hyperlink r:id="rId80" w:history="1">
        <w:r w:rsidR="009E1B87" w:rsidRPr="00CC78B7">
          <w:rPr>
            <w:rStyle w:val="Hyperlink"/>
            <w:rFonts w:ascii="Times New Roman" w:hAnsi="Times New Roman"/>
            <w:color w:val="auto"/>
            <w:sz w:val="24"/>
            <w:szCs w:val="24"/>
            <w:lang w:val="en-US"/>
          </w:rPr>
          <w:t>https://pubmed.ncbi.nlm.nih.gov/22099156/</w:t>
        </w:r>
      </w:hyperlink>
    </w:p>
    <w:p w:rsidR="007C0AB7" w:rsidRPr="00CC78B7" w:rsidRDefault="007C0AB7" w:rsidP="00204280">
      <w:pPr>
        <w:pStyle w:val="ListParagraph"/>
        <w:numPr>
          <w:ilvl w:val="0"/>
          <w:numId w:val="17"/>
        </w:numPr>
        <w:spacing w:after="0" w:line="240" w:lineRule="auto"/>
        <w:ind w:left="357" w:hanging="357"/>
        <w:jc w:val="both"/>
        <w:rPr>
          <w:rFonts w:ascii="Times New Roman" w:hAnsi="Times New Roman" w:cs="Times New Roman"/>
          <w:sz w:val="24"/>
          <w:szCs w:val="24"/>
          <w:lang w:val="en-US"/>
        </w:rPr>
      </w:pPr>
      <w:r w:rsidRPr="00CC78B7">
        <w:rPr>
          <w:rFonts w:ascii="Times New Roman" w:hAnsi="Times New Roman" w:cs="Times New Roman"/>
          <w:bCs/>
          <w:kern w:val="36"/>
          <w:sz w:val="24"/>
          <w:szCs w:val="24"/>
          <w:lang w:val="en-US"/>
        </w:rPr>
        <w:t>Benvenga S, Elia G, Ragusa F, Paparo SR, Sturniolo MM, Ferrari SM, Antonelli A, Fallahi P. Endocrine disruptors and thyroid autoimmunity.</w:t>
      </w:r>
      <w:r w:rsidRPr="00CC78B7">
        <w:rPr>
          <w:rFonts w:ascii="Times New Roman" w:hAnsi="Times New Roman" w:cs="Times New Roman"/>
          <w:sz w:val="24"/>
          <w:szCs w:val="24"/>
          <w:lang w:val="en-US"/>
        </w:rPr>
        <w:t>Best Pract Res Clin EndocrinolMetab 2020;34(1):101377.</w:t>
      </w:r>
    </w:p>
    <w:p w:rsidR="009E1B87" w:rsidRPr="00CC78B7" w:rsidRDefault="00771673" w:rsidP="00204280">
      <w:pPr>
        <w:pStyle w:val="ListParagraph"/>
        <w:spacing w:after="0" w:line="240" w:lineRule="auto"/>
        <w:ind w:left="357"/>
        <w:jc w:val="both"/>
        <w:rPr>
          <w:rFonts w:ascii="Times New Roman" w:hAnsi="Times New Roman" w:cs="Times New Roman"/>
          <w:sz w:val="24"/>
          <w:szCs w:val="24"/>
          <w:lang w:val="en-US"/>
        </w:rPr>
      </w:pPr>
      <w:hyperlink r:id="rId81" w:history="1">
        <w:r w:rsidR="009E1B87" w:rsidRPr="00CC78B7">
          <w:rPr>
            <w:rStyle w:val="Hyperlink"/>
            <w:rFonts w:ascii="Times New Roman" w:hAnsi="Times New Roman"/>
            <w:color w:val="auto"/>
            <w:sz w:val="24"/>
            <w:szCs w:val="24"/>
            <w:lang w:val="en-US"/>
          </w:rPr>
          <w:t>https://pubmed.ncbi.nlm.nih.gov/32081544/</w:t>
        </w:r>
      </w:hyperlink>
    </w:p>
    <w:p w:rsidR="007C0AB7" w:rsidRPr="00CC78B7" w:rsidRDefault="007C0AB7" w:rsidP="00204280">
      <w:pPr>
        <w:numPr>
          <w:ilvl w:val="0"/>
          <w:numId w:val="17"/>
        </w:numPr>
        <w:rPr>
          <w:rStyle w:val="element-citation"/>
          <w:lang w:val="en-US"/>
        </w:rPr>
      </w:pPr>
      <w:r w:rsidRPr="00CC78B7">
        <w:rPr>
          <w:rStyle w:val="element-citation"/>
        </w:rPr>
        <w:t xml:space="preserve">Järup L. Hazards of heavy metal contamination. </w:t>
      </w:r>
      <w:r w:rsidRPr="00CC78B7">
        <w:rPr>
          <w:rStyle w:val="Emphasis"/>
          <w:b w:val="0"/>
        </w:rPr>
        <w:t>Br Med Bull</w:t>
      </w:r>
      <w:r w:rsidRPr="00CC78B7">
        <w:rPr>
          <w:rStyle w:val="element-citation"/>
        </w:rPr>
        <w:t xml:space="preserve">2003; </w:t>
      </w:r>
      <w:r w:rsidRPr="00CC78B7">
        <w:rPr>
          <w:rStyle w:val="ref-vol"/>
        </w:rPr>
        <w:t>68</w:t>
      </w:r>
      <w:r w:rsidRPr="00CC78B7">
        <w:rPr>
          <w:rStyle w:val="element-citation"/>
        </w:rPr>
        <w:t>: 167-182.</w:t>
      </w:r>
    </w:p>
    <w:p w:rsidR="009E1B87" w:rsidRPr="00CC78B7" w:rsidRDefault="00771673" w:rsidP="00204280">
      <w:pPr>
        <w:ind w:left="360"/>
        <w:rPr>
          <w:rStyle w:val="element-citation"/>
          <w:lang w:val="en-US"/>
        </w:rPr>
      </w:pPr>
      <w:hyperlink r:id="rId82" w:history="1">
        <w:r w:rsidR="009E1B87" w:rsidRPr="00CC78B7">
          <w:rPr>
            <w:rStyle w:val="Hyperlink"/>
            <w:color w:val="auto"/>
            <w:lang w:val="en-US"/>
          </w:rPr>
          <w:t>https://pubmed.ncbi.nlm.nih.gov/14757716/</w:t>
        </w:r>
      </w:hyperlink>
    </w:p>
    <w:p w:rsidR="007C0AB7" w:rsidRPr="00CC78B7" w:rsidRDefault="00771673" w:rsidP="00204280">
      <w:pPr>
        <w:numPr>
          <w:ilvl w:val="0"/>
          <w:numId w:val="17"/>
        </w:numPr>
        <w:rPr>
          <w:lang w:val="en-US"/>
        </w:rPr>
      </w:pPr>
      <w:hyperlink r:id="rId83" w:history="1">
        <w:r w:rsidR="007C0AB7" w:rsidRPr="00CC78B7">
          <w:rPr>
            <w:lang w:val="en-US"/>
          </w:rPr>
          <w:t>Nigam A</w:t>
        </w:r>
      </w:hyperlink>
      <w:r w:rsidR="007C0AB7" w:rsidRPr="00CC78B7">
        <w:rPr>
          <w:lang w:val="en-US"/>
        </w:rPr>
        <w:t xml:space="preserve">, </w:t>
      </w:r>
      <w:hyperlink r:id="rId84" w:history="1">
        <w:r w:rsidR="007C0AB7" w:rsidRPr="00CC78B7">
          <w:rPr>
            <w:lang w:val="en-US"/>
          </w:rPr>
          <w:t>Priya S</w:t>
        </w:r>
      </w:hyperlink>
      <w:r w:rsidR="007C0AB7" w:rsidRPr="00CC78B7">
        <w:rPr>
          <w:lang w:val="en-US"/>
        </w:rPr>
        <w:t xml:space="preserve">, </w:t>
      </w:r>
      <w:hyperlink r:id="rId85" w:history="1">
        <w:r w:rsidR="007C0AB7" w:rsidRPr="00CC78B7">
          <w:rPr>
            <w:lang w:val="en-US"/>
          </w:rPr>
          <w:t>Bajpai P</w:t>
        </w:r>
      </w:hyperlink>
      <w:r w:rsidR="007C0AB7" w:rsidRPr="00CC78B7">
        <w:rPr>
          <w:lang w:val="en-US"/>
        </w:rPr>
        <w:t xml:space="preserve">, </w:t>
      </w:r>
      <w:hyperlink r:id="rId86" w:history="1">
        <w:r w:rsidR="007C0AB7" w:rsidRPr="00CC78B7">
          <w:rPr>
            <w:lang w:val="en-US"/>
          </w:rPr>
          <w:t>Kumar S</w:t>
        </w:r>
      </w:hyperlink>
      <w:r w:rsidR="007C0AB7" w:rsidRPr="00CC78B7">
        <w:rPr>
          <w:lang w:val="en-US"/>
        </w:rPr>
        <w:t>.</w:t>
      </w:r>
      <w:r w:rsidR="007C0AB7" w:rsidRPr="00CC78B7">
        <w:rPr>
          <w:bCs/>
          <w:kern w:val="36"/>
          <w:lang w:val="en-US"/>
        </w:rPr>
        <w:t>Cytogenomics of hexavalent chromium (Cr 6+) exposed cells: a comprehensive review.</w:t>
      </w:r>
      <w:hyperlink r:id="rId87" w:tooltip="The Indian journal of medical research." w:history="1">
        <w:r w:rsidR="007C0AB7" w:rsidRPr="00CC78B7">
          <w:rPr>
            <w:lang w:val="en-US"/>
          </w:rPr>
          <w:t>Indian J Med Res</w:t>
        </w:r>
      </w:hyperlink>
      <w:r w:rsidR="007C0AB7" w:rsidRPr="00CC78B7">
        <w:rPr>
          <w:lang w:val="en-US"/>
        </w:rPr>
        <w:t xml:space="preserve"> 2014; 139(3): 349-370.</w:t>
      </w:r>
    </w:p>
    <w:p w:rsidR="009E1B87" w:rsidRPr="00CC78B7" w:rsidRDefault="00771673" w:rsidP="00204280">
      <w:pPr>
        <w:ind w:left="360"/>
        <w:rPr>
          <w:lang w:val="en-US"/>
        </w:rPr>
      </w:pPr>
      <w:hyperlink r:id="rId88" w:history="1">
        <w:r w:rsidR="009E1B87" w:rsidRPr="00CC78B7">
          <w:rPr>
            <w:rStyle w:val="Hyperlink"/>
            <w:color w:val="auto"/>
            <w:lang w:val="en-US"/>
          </w:rPr>
          <w:t>https://www.ncbi.nlm.nih.gov/pmc/articles/PMC4069729/</w:t>
        </w:r>
      </w:hyperlink>
    </w:p>
    <w:p w:rsidR="007C0AB7" w:rsidRPr="00CC78B7" w:rsidRDefault="00771673" w:rsidP="00204280">
      <w:pPr>
        <w:numPr>
          <w:ilvl w:val="0"/>
          <w:numId w:val="17"/>
        </w:numPr>
        <w:rPr>
          <w:lang w:val="en-US"/>
        </w:rPr>
      </w:pPr>
      <w:hyperlink r:id="rId89" w:history="1">
        <w:r w:rsidR="007C0AB7" w:rsidRPr="00CC78B7">
          <w:rPr>
            <w:lang w:val="en-US"/>
          </w:rPr>
          <w:t>Zhitkovich A</w:t>
        </w:r>
      </w:hyperlink>
      <w:r w:rsidR="007C0AB7" w:rsidRPr="00CC78B7">
        <w:rPr>
          <w:lang w:val="en-US"/>
        </w:rPr>
        <w:t>.</w:t>
      </w:r>
      <w:r w:rsidR="007C0AB7" w:rsidRPr="00CC78B7">
        <w:rPr>
          <w:bCs/>
          <w:kern w:val="36"/>
          <w:lang w:val="en-US"/>
        </w:rPr>
        <w:t xml:space="preserve"> Chromium in drinking water: sources, metabolism, and cancer risks.</w:t>
      </w:r>
      <w:hyperlink r:id="rId90" w:tooltip="Chemical research in toxicology." w:history="1">
        <w:r w:rsidR="007C0AB7" w:rsidRPr="00CC78B7">
          <w:rPr>
            <w:lang w:val="en-US"/>
          </w:rPr>
          <w:t>Chem Res Toxicol</w:t>
        </w:r>
      </w:hyperlink>
      <w:r w:rsidR="007C0AB7" w:rsidRPr="00CC78B7">
        <w:rPr>
          <w:lang w:val="en-US"/>
        </w:rPr>
        <w:t xml:space="preserve"> 2011; 24(10): 1617-1629.</w:t>
      </w:r>
    </w:p>
    <w:p w:rsidR="001F1EAE" w:rsidRPr="00CC78B7" w:rsidRDefault="00771673" w:rsidP="00204280">
      <w:pPr>
        <w:ind w:left="360"/>
        <w:rPr>
          <w:lang w:val="en-US"/>
        </w:rPr>
      </w:pPr>
      <w:hyperlink r:id="rId91" w:history="1">
        <w:r w:rsidR="001F1EAE" w:rsidRPr="00CC78B7">
          <w:rPr>
            <w:rStyle w:val="Hyperlink"/>
            <w:color w:val="auto"/>
            <w:lang w:val="en-US"/>
          </w:rPr>
          <w:t>https://pubmed.ncbi.nlm.nih.gov/21766833/</w:t>
        </w:r>
      </w:hyperlink>
    </w:p>
    <w:p w:rsidR="007C0AB7" w:rsidRPr="00CC78B7" w:rsidRDefault="00771673" w:rsidP="00204280">
      <w:pPr>
        <w:numPr>
          <w:ilvl w:val="0"/>
          <w:numId w:val="17"/>
        </w:numPr>
        <w:rPr>
          <w:lang w:val="en-US"/>
        </w:rPr>
      </w:pPr>
      <w:hyperlink r:id="rId92" w:history="1">
        <w:r w:rsidR="007C0AB7" w:rsidRPr="00CC78B7">
          <w:rPr>
            <w:lang w:val="en-US"/>
          </w:rPr>
          <w:t>Ding SZ</w:t>
        </w:r>
      </w:hyperlink>
      <w:r w:rsidR="007C0AB7" w:rsidRPr="00CC78B7">
        <w:rPr>
          <w:lang w:val="en-US"/>
        </w:rPr>
        <w:t xml:space="preserve">, </w:t>
      </w:r>
      <w:hyperlink r:id="rId93" w:history="1">
        <w:r w:rsidR="007C0AB7" w:rsidRPr="00CC78B7">
          <w:rPr>
            <w:lang w:val="en-US"/>
          </w:rPr>
          <w:t>Yang YX</w:t>
        </w:r>
      </w:hyperlink>
      <w:r w:rsidR="007C0AB7" w:rsidRPr="00CC78B7">
        <w:rPr>
          <w:lang w:val="en-US"/>
        </w:rPr>
        <w:t xml:space="preserve">, </w:t>
      </w:r>
      <w:hyperlink r:id="rId94" w:history="1">
        <w:r w:rsidR="007C0AB7" w:rsidRPr="00CC78B7">
          <w:rPr>
            <w:lang w:val="en-US"/>
          </w:rPr>
          <w:t>Li XL</w:t>
        </w:r>
      </w:hyperlink>
      <w:r w:rsidR="007C0AB7" w:rsidRPr="00CC78B7">
        <w:rPr>
          <w:lang w:val="en-US"/>
        </w:rPr>
        <w:t xml:space="preserve">, </w:t>
      </w:r>
      <w:hyperlink r:id="rId95" w:history="1">
        <w:r w:rsidR="007C0AB7" w:rsidRPr="00CC78B7">
          <w:rPr>
            <w:lang w:val="en-US"/>
          </w:rPr>
          <w:t>Michelli-Rivera A</w:t>
        </w:r>
      </w:hyperlink>
      <w:r w:rsidR="007C0AB7" w:rsidRPr="00CC78B7">
        <w:rPr>
          <w:lang w:val="en-US"/>
        </w:rPr>
        <w:t xml:space="preserve">, </w:t>
      </w:r>
      <w:hyperlink r:id="rId96" w:history="1">
        <w:r w:rsidR="007C0AB7" w:rsidRPr="00CC78B7">
          <w:rPr>
            <w:lang w:val="en-US"/>
          </w:rPr>
          <w:t>Han SY</w:t>
        </w:r>
      </w:hyperlink>
      <w:r w:rsidR="007C0AB7" w:rsidRPr="00CC78B7">
        <w:rPr>
          <w:lang w:val="en-US"/>
        </w:rPr>
        <w:t xml:space="preserve">, </w:t>
      </w:r>
      <w:hyperlink r:id="rId97" w:history="1">
        <w:r w:rsidR="007C0AB7" w:rsidRPr="00CC78B7">
          <w:rPr>
            <w:lang w:val="en-US"/>
          </w:rPr>
          <w:t>Wang L</w:t>
        </w:r>
      </w:hyperlink>
      <w:r w:rsidR="007C0AB7" w:rsidRPr="00CC78B7">
        <w:rPr>
          <w:lang w:val="en-US"/>
        </w:rPr>
        <w:t xml:space="preserve">, </w:t>
      </w:r>
      <w:hyperlink r:id="rId98" w:history="1">
        <w:r w:rsidR="007C0AB7" w:rsidRPr="00CC78B7">
          <w:rPr>
            <w:lang w:val="en-US"/>
          </w:rPr>
          <w:t>Pratheeshkumar P</w:t>
        </w:r>
      </w:hyperlink>
      <w:r w:rsidR="007C0AB7" w:rsidRPr="00CC78B7">
        <w:rPr>
          <w:lang w:val="en-US"/>
        </w:rPr>
        <w:t xml:space="preserve">, </w:t>
      </w:r>
      <w:hyperlink r:id="rId99" w:history="1">
        <w:r w:rsidR="007C0AB7" w:rsidRPr="00CC78B7">
          <w:rPr>
            <w:lang w:val="en-US"/>
          </w:rPr>
          <w:t>Wang X</w:t>
        </w:r>
      </w:hyperlink>
      <w:r w:rsidR="007C0AB7" w:rsidRPr="00CC78B7">
        <w:rPr>
          <w:lang w:val="en-US"/>
        </w:rPr>
        <w:t xml:space="preserve">, </w:t>
      </w:r>
      <w:hyperlink r:id="rId100" w:history="1">
        <w:r w:rsidR="007C0AB7" w:rsidRPr="00CC78B7">
          <w:rPr>
            <w:lang w:val="en-US"/>
          </w:rPr>
          <w:t>Lu J</w:t>
        </w:r>
      </w:hyperlink>
      <w:r w:rsidR="007C0AB7" w:rsidRPr="00CC78B7">
        <w:rPr>
          <w:lang w:val="en-US"/>
        </w:rPr>
        <w:t xml:space="preserve">, </w:t>
      </w:r>
      <w:hyperlink r:id="rId101" w:history="1">
        <w:r w:rsidR="007C0AB7" w:rsidRPr="00CC78B7">
          <w:rPr>
            <w:lang w:val="en-US"/>
          </w:rPr>
          <w:t>Yin YQ</w:t>
        </w:r>
      </w:hyperlink>
      <w:r w:rsidR="007C0AB7" w:rsidRPr="00CC78B7">
        <w:rPr>
          <w:lang w:val="en-US"/>
        </w:rPr>
        <w:t xml:space="preserve">, </w:t>
      </w:r>
      <w:hyperlink r:id="rId102" w:history="1">
        <w:r w:rsidR="007C0AB7" w:rsidRPr="00CC78B7">
          <w:rPr>
            <w:lang w:val="en-US"/>
          </w:rPr>
          <w:t>Budhraja A</w:t>
        </w:r>
      </w:hyperlink>
      <w:r w:rsidR="007C0AB7" w:rsidRPr="00CC78B7">
        <w:rPr>
          <w:lang w:val="en-US"/>
        </w:rPr>
        <w:t xml:space="preserve">, </w:t>
      </w:r>
      <w:hyperlink r:id="rId103" w:history="1">
        <w:r w:rsidR="007C0AB7" w:rsidRPr="00CC78B7">
          <w:rPr>
            <w:lang w:val="en-US"/>
          </w:rPr>
          <w:t>Hitron AJ</w:t>
        </w:r>
      </w:hyperlink>
      <w:r w:rsidR="007C0AB7" w:rsidRPr="00CC78B7">
        <w:rPr>
          <w:lang w:val="en-US"/>
        </w:rPr>
        <w:t>.</w:t>
      </w:r>
      <w:r w:rsidR="007C0AB7" w:rsidRPr="00CC78B7">
        <w:rPr>
          <w:bCs/>
          <w:kern w:val="36"/>
          <w:lang w:val="en-US"/>
        </w:rPr>
        <w:t xml:space="preserve"> Epithelial-mesenchymal transition during oncogenic transformation induced by hexavalent chromium involves reactive oxygen species-dependent mechanism in lung epithelial cells.</w:t>
      </w:r>
      <w:hyperlink r:id="rId104" w:tooltip="Toxicology and applied pharmacology." w:history="1">
        <w:r w:rsidR="007C0AB7" w:rsidRPr="00CC78B7">
          <w:rPr>
            <w:lang w:val="en-US"/>
          </w:rPr>
          <w:t>ToxicolApplPharmacol</w:t>
        </w:r>
      </w:hyperlink>
      <w:r w:rsidR="007C0AB7" w:rsidRPr="00CC78B7">
        <w:rPr>
          <w:lang w:val="en-US"/>
        </w:rPr>
        <w:t xml:space="preserve"> 2013; 269(1): 61-71.</w:t>
      </w:r>
    </w:p>
    <w:p w:rsidR="001F1EAE" w:rsidRPr="00CC78B7" w:rsidRDefault="00771673" w:rsidP="00204280">
      <w:pPr>
        <w:ind w:left="360"/>
        <w:rPr>
          <w:lang w:val="en-US"/>
        </w:rPr>
      </w:pPr>
      <w:hyperlink r:id="rId105" w:history="1">
        <w:r w:rsidR="001F1EAE" w:rsidRPr="00CC78B7">
          <w:rPr>
            <w:rStyle w:val="Hyperlink"/>
            <w:color w:val="auto"/>
            <w:lang w:val="en-US"/>
          </w:rPr>
          <w:t>https://pubmed.ncbi.nlm.nih.gov/23518002/</w:t>
        </w:r>
      </w:hyperlink>
    </w:p>
    <w:p w:rsidR="007C0AB7" w:rsidRPr="00CC78B7" w:rsidRDefault="007C0AB7" w:rsidP="00204280">
      <w:pPr>
        <w:pStyle w:val="ListParagraph"/>
        <w:numPr>
          <w:ilvl w:val="0"/>
          <w:numId w:val="17"/>
        </w:numPr>
        <w:spacing w:after="0" w:line="240" w:lineRule="auto"/>
        <w:ind w:left="357" w:hanging="357"/>
        <w:jc w:val="both"/>
        <w:rPr>
          <w:rFonts w:ascii="Times New Roman" w:hAnsi="Times New Roman" w:cs="Times New Roman"/>
          <w:sz w:val="24"/>
          <w:szCs w:val="24"/>
          <w:lang w:val="en-US"/>
        </w:rPr>
      </w:pPr>
      <w:r w:rsidRPr="00CC78B7">
        <w:rPr>
          <w:rFonts w:ascii="Times New Roman" w:eastAsia="Times New Roman" w:hAnsi="Times New Roman" w:cs="Times New Roman"/>
          <w:bCs/>
          <w:kern w:val="36"/>
          <w:sz w:val="24"/>
          <w:szCs w:val="24"/>
          <w:lang w:val="en-US" w:eastAsia="ru-RU"/>
        </w:rPr>
        <w:t>Liu M, Song J, Jiang Y, Liu Y, Peng J, Liang H, Wang  C, Jiang J, Liu X, Wei W, Peng J, Liu S, Xu N, Zhou D, Zhang Q, Zhang J. A case-control study on the association of mineral elements exposure and thyroid tumor and goiter.</w:t>
      </w:r>
      <w:r w:rsidRPr="00CC78B7">
        <w:rPr>
          <w:rFonts w:ascii="Times New Roman" w:eastAsia="Times New Roman" w:hAnsi="Times New Roman" w:cs="Times New Roman"/>
          <w:sz w:val="24"/>
          <w:szCs w:val="24"/>
          <w:lang w:val="en-US" w:eastAsia="ru-RU"/>
        </w:rPr>
        <w:t>Ecotoxicol Environ Saf 2021;208:111615</w:t>
      </w:r>
      <w:r w:rsidR="001F1EAE" w:rsidRPr="00CC78B7">
        <w:rPr>
          <w:rFonts w:ascii="Times New Roman" w:eastAsia="Times New Roman" w:hAnsi="Times New Roman" w:cs="Times New Roman"/>
          <w:sz w:val="24"/>
          <w:szCs w:val="24"/>
          <w:lang w:val="en-US" w:eastAsia="ru-RU"/>
        </w:rPr>
        <w:t>.</w:t>
      </w:r>
    </w:p>
    <w:p w:rsidR="001F1EAE" w:rsidRPr="00CC78B7" w:rsidRDefault="00771673" w:rsidP="00204280">
      <w:pPr>
        <w:pStyle w:val="ListParagraph"/>
        <w:spacing w:after="0" w:line="240" w:lineRule="auto"/>
        <w:ind w:left="357"/>
        <w:jc w:val="both"/>
        <w:rPr>
          <w:rFonts w:ascii="Times New Roman" w:hAnsi="Times New Roman" w:cs="Times New Roman"/>
          <w:sz w:val="24"/>
          <w:szCs w:val="24"/>
          <w:lang w:val="en-US"/>
        </w:rPr>
      </w:pPr>
      <w:hyperlink r:id="rId106" w:history="1">
        <w:r w:rsidR="001F1EAE" w:rsidRPr="00CC78B7">
          <w:rPr>
            <w:rStyle w:val="Hyperlink"/>
            <w:rFonts w:ascii="Times New Roman" w:hAnsi="Times New Roman"/>
            <w:color w:val="auto"/>
            <w:sz w:val="24"/>
            <w:szCs w:val="24"/>
            <w:lang w:val="en-US"/>
          </w:rPr>
          <w:t>https://pubmed.ncbi.nlm.nih.gov/33396135/</w:t>
        </w:r>
      </w:hyperlink>
    </w:p>
    <w:p w:rsidR="007C0AB7" w:rsidRPr="00CC78B7" w:rsidRDefault="007C0AB7" w:rsidP="00204280">
      <w:pPr>
        <w:numPr>
          <w:ilvl w:val="0"/>
          <w:numId w:val="17"/>
        </w:numPr>
        <w:rPr>
          <w:rStyle w:val="element-citation"/>
          <w:lang w:val="en-US"/>
        </w:rPr>
      </w:pPr>
      <w:r w:rsidRPr="00CC78B7">
        <w:rPr>
          <w:rStyle w:val="element-citation"/>
        </w:rPr>
        <w:t xml:space="preserve">Clarkson TW, Magos L. The toxicology of mercury and its chemical compounds. </w:t>
      </w:r>
      <w:r w:rsidRPr="00CC78B7">
        <w:rPr>
          <w:rStyle w:val="ref-journal"/>
        </w:rPr>
        <w:t>Crit Rev Toxicol</w:t>
      </w:r>
      <w:r w:rsidRPr="00CC78B7">
        <w:rPr>
          <w:rStyle w:val="element-citation"/>
        </w:rPr>
        <w:t xml:space="preserve">2006; </w:t>
      </w:r>
      <w:r w:rsidRPr="00CC78B7">
        <w:rPr>
          <w:rStyle w:val="ref-vol"/>
        </w:rPr>
        <w:t>36</w:t>
      </w:r>
      <w:r w:rsidRPr="00CC78B7">
        <w:rPr>
          <w:rStyle w:val="element-citation"/>
        </w:rPr>
        <w:t>: 609-662</w:t>
      </w:r>
      <w:r w:rsidR="001F1EAE" w:rsidRPr="00CC78B7">
        <w:rPr>
          <w:rStyle w:val="element-citation"/>
        </w:rPr>
        <w:t>.</w:t>
      </w:r>
    </w:p>
    <w:p w:rsidR="001F1EAE" w:rsidRPr="00CC78B7" w:rsidRDefault="00771673" w:rsidP="00204280">
      <w:pPr>
        <w:ind w:left="360"/>
        <w:rPr>
          <w:rStyle w:val="element-citation"/>
          <w:lang w:val="en-US"/>
        </w:rPr>
      </w:pPr>
      <w:hyperlink r:id="rId107" w:history="1">
        <w:r w:rsidR="001F1EAE" w:rsidRPr="00CC78B7">
          <w:rPr>
            <w:rStyle w:val="Hyperlink"/>
            <w:color w:val="auto"/>
            <w:lang w:val="en-US"/>
          </w:rPr>
          <w:t>https://pubmed.ncbi.nlm.nih.gov/16973445/</w:t>
        </w:r>
      </w:hyperlink>
    </w:p>
    <w:p w:rsidR="007C0AB7" w:rsidRPr="00CC78B7" w:rsidRDefault="007C0AB7" w:rsidP="00204280">
      <w:pPr>
        <w:pStyle w:val="ListParagraph"/>
        <w:numPr>
          <w:ilvl w:val="0"/>
          <w:numId w:val="17"/>
        </w:numPr>
        <w:spacing w:after="0" w:line="240" w:lineRule="auto"/>
        <w:rPr>
          <w:rFonts w:ascii="Times New Roman" w:hAnsi="Times New Roman" w:cs="Times New Roman"/>
          <w:sz w:val="24"/>
          <w:szCs w:val="24"/>
          <w:lang w:val="en-US"/>
        </w:rPr>
      </w:pPr>
      <w:r w:rsidRPr="00CC78B7">
        <w:rPr>
          <w:rFonts w:ascii="Times New Roman" w:hAnsi="Times New Roman" w:cs="Times New Roman"/>
          <w:bCs/>
          <w:kern w:val="36"/>
          <w:sz w:val="24"/>
          <w:szCs w:val="24"/>
          <w:lang w:val="en-US"/>
        </w:rPr>
        <w:t>Correia MM, Chammas MC, Zavariz JD, Arata A, Martins LC, Marui S, Pereira LAA. Evaluation of the effects of chronic occupational exposure to metallic mercury on the thyroid parenchyma and hormonal function.</w:t>
      </w:r>
      <w:r w:rsidRPr="00CC78B7">
        <w:rPr>
          <w:rFonts w:ascii="Times New Roman" w:hAnsi="Times New Roman" w:cs="Times New Roman"/>
          <w:sz w:val="24"/>
          <w:szCs w:val="24"/>
          <w:lang w:val="en-US"/>
        </w:rPr>
        <w:t>Int Arch Occup Environ Health 2020;93(4):491-502.</w:t>
      </w:r>
    </w:p>
    <w:p w:rsidR="009C2DCD" w:rsidRPr="00CC78B7" w:rsidRDefault="00771673" w:rsidP="00204280">
      <w:pPr>
        <w:pStyle w:val="ListParagraph"/>
        <w:spacing w:after="0" w:line="240" w:lineRule="auto"/>
        <w:ind w:left="360"/>
        <w:rPr>
          <w:rFonts w:ascii="Times New Roman" w:hAnsi="Times New Roman" w:cs="Times New Roman"/>
          <w:sz w:val="24"/>
          <w:szCs w:val="24"/>
          <w:lang w:val="en-US"/>
        </w:rPr>
      </w:pPr>
      <w:hyperlink r:id="rId108" w:history="1">
        <w:r w:rsidR="009C2DCD" w:rsidRPr="00CC78B7">
          <w:rPr>
            <w:rStyle w:val="Hyperlink"/>
            <w:rFonts w:ascii="Times New Roman" w:hAnsi="Times New Roman"/>
            <w:color w:val="auto"/>
            <w:sz w:val="24"/>
            <w:szCs w:val="24"/>
            <w:lang w:val="en-US"/>
          </w:rPr>
          <w:t>https://pubmed.ncbi.nlm.nih.gov/31832764/</w:t>
        </w:r>
      </w:hyperlink>
    </w:p>
    <w:p w:rsidR="007C0AB7" w:rsidRPr="00CC78B7" w:rsidRDefault="007C0AB7" w:rsidP="00204280">
      <w:pPr>
        <w:numPr>
          <w:ilvl w:val="0"/>
          <w:numId w:val="17"/>
        </w:numPr>
        <w:rPr>
          <w:lang w:val="en-US"/>
        </w:rPr>
      </w:pPr>
      <w:r w:rsidRPr="00CC78B7">
        <w:rPr>
          <w:bCs/>
          <w:kern w:val="36"/>
          <w:lang w:val="en-US"/>
        </w:rPr>
        <w:t>Hu O, Han X, Dong G, Yan W, Wang X, Bigambo FM, Fang K, Xia Y, Chen T, Wang X. Association between mercury exposure and thyroid hormones levels: A meta-analysis.</w:t>
      </w:r>
      <w:r w:rsidRPr="00CC78B7">
        <w:rPr>
          <w:lang w:val="en-US"/>
        </w:rPr>
        <w:t>Environ Res 2021;196:110928</w:t>
      </w:r>
      <w:r w:rsidR="009C2DCD" w:rsidRPr="00CC78B7">
        <w:rPr>
          <w:lang w:val="en-US"/>
        </w:rPr>
        <w:t>.</w:t>
      </w:r>
    </w:p>
    <w:p w:rsidR="009C2DCD" w:rsidRPr="00CC78B7" w:rsidRDefault="00771673" w:rsidP="00204280">
      <w:pPr>
        <w:ind w:left="360"/>
        <w:rPr>
          <w:lang w:val="en-US"/>
        </w:rPr>
      </w:pPr>
      <w:hyperlink r:id="rId109" w:history="1">
        <w:r w:rsidR="009C2DCD" w:rsidRPr="00CC78B7">
          <w:rPr>
            <w:rStyle w:val="Hyperlink"/>
            <w:color w:val="auto"/>
            <w:lang w:val="en-US"/>
          </w:rPr>
          <w:t>https://pubmed.ncbi.nlm.nih.gov/33640496/</w:t>
        </w:r>
      </w:hyperlink>
    </w:p>
    <w:p w:rsidR="007C0AB7" w:rsidRPr="00CC78B7" w:rsidRDefault="00771673" w:rsidP="00204280">
      <w:pPr>
        <w:pStyle w:val="ListParagraph"/>
        <w:numPr>
          <w:ilvl w:val="0"/>
          <w:numId w:val="17"/>
        </w:numPr>
        <w:spacing w:after="0" w:line="240" w:lineRule="auto"/>
        <w:ind w:left="357" w:hanging="357"/>
        <w:jc w:val="both"/>
        <w:rPr>
          <w:rFonts w:ascii="Times New Roman" w:hAnsi="Times New Roman" w:cs="Times New Roman"/>
          <w:sz w:val="24"/>
          <w:szCs w:val="24"/>
          <w:lang w:val="en-US"/>
        </w:rPr>
      </w:pPr>
      <w:hyperlink r:id="rId110" w:history="1">
        <w:r w:rsidR="007C0AB7" w:rsidRPr="00CC78B7">
          <w:rPr>
            <w:rFonts w:ascii="Times New Roman" w:hAnsi="Times New Roman" w:cs="Times New Roman"/>
            <w:sz w:val="24"/>
            <w:szCs w:val="24"/>
            <w:lang w:val="en-US"/>
          </w:rPr>
          <w:t>Malandrino P</w:t>
        </w:r>
      </w:hyperlink>
      <w:r w:rsidR="007C0AB7" w:rsidRPr="00CC78B7">
        <w:rPr>
          <w:rFonts w:ascii="Times New Roman" w:hAnsi="Times New Roman" w:cs="Times New Roman"/>
          <w:sz w:val="24"/>
          <w:szCs w:val="24"/>
          <w:lang w:val="en-US"/>
        </w:rPr>
        <w:t xml:space="preserve">, </w:t>
      </w:r>
      <w:hyperlink r:id="rId111" w:history="1">
        <w:r w:rsidR="007C0AB7" w:rsidRPr="00CC78B7">
          <w:rPr>
            <w:rFonts w:ascii="Times New Roman" w:hAnsi="Times New Roman" w:cs="Times New Roman"/>
            <w:sz w:val="24"/>
            <w:szCs w:val="24"/>
            <w:lang w:val="en-US"/>
          </w:rPr>
          <w:t>Russo M</w:t>
        </w:r>
      </w:hyperlink>
      <w:r w:rsidR="007C0AB7" w:rsidRPr="00CC78B7">
        <w:rPr>
          <w:rFonts w:ascii="Times New Roman" w:hAnsi="Times New Roman" w:cs="Times New Roman"/>
          <w:sz w:val="24"/>
          <w:szCs w:val="24"/>
          <w:lang w:val="en-US"/>
        </w:rPr>
        <w:t xml:space="preserve">, </w:t>
      </w:r>
      <w:hyperlink r:id="rId112" w:history="1">
        <w:r w:rsidR="007C0AB7" w:rsidRPr="00CC78B7">
          <w:rPr>
            <w:rFonts w:ascii="Times New Roman" w:hAnsi="Times New Roman" w:cs="Times New Roman"/>
            <w:sz w:val="24"/>
            <w:szCs w:val="24"/>
            <w:lang w:val="en-US"/>
          </w:rPr>
          <w:t>Ronchi A</w:t>
        </w:r>
      </w:hyperlink>
      <w:r w:rsidR="007C0AB7" w:rsidRPr="00CC78B7">
        <w:rPr>
          <w:rFonts w:ascii="Times New Roman" w:hAnsi="Times New Roman" w:cs="Times New Roman"/>
          <w:sz w:val="24"/>
          <w:szCs w:val="24"/>
          <w:lang w:val="en-US"/>
        </w:rPr>
        <w:t xml:space="preserve">, </w:t>
      </w:r>
      <w:hyperlink r:id="rId113" w:history="1">
        <w:r w:rsidR="007C0AB7" w:rsidRPr="00CC78B7">
          <w:rPr>
            <w:rFonts w:ascii="Times New Roman" w:hAnsi="Times New Roman" w:cs="Times New Roman"/>
            <w:sz w:val="24"/>
            <w:szCs w:val="24"/>
            <w:lang w:val="en-US"/>
          </w:rPr>
          <w:t>Minoia C</w:t>
        </w:r>
      </w:hyperlink>
      <w:r w:rsidR="007C0AB7" w:rsidRPr="00CC78B7">
        <w:rPr>
          <w:rFonts w:ascii="Times New Roman" w:hAnsi="Times New Roman" w:cs="Times New Roman"/>
          <w:sz w:val="24"/>
          <w:szCs w:val="24"/>
          <w:lang w:val="en-US"/>
        </w:rPr>
        <w:t xml:space="preserve">, </w:t>
      </w:r>
      <w:hyperlink r:id="rId114" w:history="1">
        <w:r w:rsidR="007C0AB7" w:rsidRPr="00CC78B7">
          <w:rPr>
            <w:rFonts w:ascii="Times New Roman" w:hAnsi="Times New Roman" w:cs="Times New Roman"/>
            <w:sz w:val="24"/>
            <w:szCs w:val="24"/>
            <w:lang w:val="en-US"/>
          </w:rPr>
          <w:t>Cataldo D</w:t>
        </w:r>
      </w:hyperlink>
      <w:r w:rsidR="007C0AB7" w:rsidRPr="00CC78B7">
        <w:rPr>
          <w:rFonts w:ascii="Times New Roman" w:hAnsi="Times New Roman" w:cs="Times New Roman"/>
          <w:sz w:val="24"/>
          <w:szCs w:val="24"/>
          <w:lang w:val="en-US"/>
        </w:rPr>
        <w:t xml:space="preserve">, </w:t>
      </w:r>
      <w:hyperlink r:id="rId115" w:history="1">
        <w:r w:rsidR="007C0AB7" w:rsidRPr="00CC78B7">
          <w:rPr>
            <w:rFonts w:ascii="Times New Roman" w:hAnsi="Times New Roman" w:cs="Times New Roman"/>
            <w:sz w:val="24"/>
            <w:szCs w:val="24"/>
            <w:lang w:val="en-US"/>
          </w:rPr>
          <w:t>Regalbuto C</w:t>
        </w:r>
      </w:hyperlink>
      <w:r w:rsidR="007C0AB7" w:rsidRPr="00CC78B7">
        <w:rPr>
          <w:rFonts w:ascii="Times New Roman" w:hAnsi="Times New Roman" w:cs="Times New Roman"/>
          <w:sz w:val="24"/>
          <w:szCs w:val="24"/>
          <w:lang w:val="en-US"/>
        </w:rPr>
        <w:t xml:space="preserve">, </w:t>
      </w:r>
      <w:hyperlink r:id="rId116" w:history="1">
        <w:r w:rsidR="007C0AB7" w:rsidRPr="00CC78B7">
          <w:rPr>
            <w:rFonts w:ascii="Times New Roman" w:hAnsi="Times New Roman" w:cs="Times New Roman"/>
            <w:sz w:val="24"/>
            <w:szCs w:val="24"/>
            <w:lang w:val="en-US"/>
          </w:rPr>
          <w:t>Giordano C</w:t>
        </w:r>
      </w:hyperlink>
      <w:r w:rsidR="007C0AB7" w:rsidRPr="00CC78B7">
        <w:rPr>
          <w:rFonts w:ascii="Times New Roman" w:hAnsi="Times New Roman" w:cs="Times New Roman"/>
          <w:sz w:val="24"/>
          <w:szCs w:val="24"/>
          <w:lang w:val="en-US"/>
        </w:rPr>
        <w:t xml:space="preserve">, </w:t>
      </w:r>
      <w:hyperlink r:id="rId117" w:history="1">
        <w:r w:rsidR="007C0AB7" w:rsidRPr="00CC78B7">
          <w:rPr>
            <w:rFonts w:ascii="Times New Roman" w:hAnsi="Times New Roman" w:cs="Times New Roman"/>
            <w:sz w:val="24"/>
            <w:szCs w:val="24"/>
            <w:lang w:val="en-US"/>
          </w:rPr>
          <w:t>Attard M</w:t>
        </w:r>
      </w:hyperlink>
      <w:r w:rsidR="007C0AB7" w:rsidRPr="00CC78B7">
        <w:rPr>
          <w:rFonts w:ascii="Times New Roman" w:hAnsi="Times New Roman" w:cs="Times New Roman"/>
          <w:sz w:val="24"/>
          <w:szCs w:val="24"/>
          <w:lang w:val="en-US"/>
        </w:rPr>
        <w:t xml:space="preserve">, </w:t>
      </w:r>
      <w:hyperlink r:id="rId118" w:history="1">
        <w:r w:rsidR="007C0AB7" w:rsidRPr="00CC78B7">
          <w:rPr>
            <w:rFonts w:ascii="Times New Roman" w:hAnsi="Times New Roman" w:cs="Times New Roman"/>
            <w:sz w:val="24"/>
            <w:szCs w:val="24"/>
            <w:lang w:val="en-US"/>
          </w:rPr>
          <w:t>Squatrito S</w:t>
        </w:r>
      </w:hyperlink>
      <w:r w:rsidR="007C0AB7" w:rsidRPr="00CC78B7">
        <w:rPr>
          <w:rFonts w:ascii="Times New Roman" w:hAnsi="Times New Roman" w:cs="Times New Roman"/>
          <w:sz w:val="24"/>
          <w:szCs w:val="24"/>
          <w:lang w:val="en-US"/>
        </w:rPr>
        <w:t xml:space="preserve">, </w:t>
      </w:r>
      <w:hyperlink r:id="rId119" w:history="1">
        <w:r w:rsidR="007C0AB7" w:rsidRPr="00CC78B7">
          <w:rPr>
            <w:rFonts w:ascii="Times New Roman" w:hAnsi="Times New Roman" w:cs="Times New Roman"/>
            <w:sz w:val="24"/>
            <w:szCs w:val="24"/>
            <w:lang w:val="en-US"/>
          </w:rPr>
          <w:t>Trimarchi F</w:t>
        </w:r>
      </w:hyperlink>
      <w:r w:rsidR="007C0AB7" w:rsidRPr="00CC78B7">
        <w:rPr>
          <w:rFonts w:ascii="Times New Roman" w:hAnsi="Times New Roman" w:cs="Times New Roman"/>
          <w:sz w:val="24"/>
          <w:szCs w:val="24"/>
          <w:lang w:val="en-US"/>
        </w:rPr>
        <w:t xml:space="preserve">, </w:t>
      </w:r>
      <w:hyperlink r:id="rId120" w:history="1">
        <w:r w:rsidR="007C0AB7" w:rsidRPr="00CC78B7">
          <w:rPr>
            <w:rFonts w:ascii="Times New Roman" w:hAnsi="Times New Roman" w:cs="Times New Roman"/>
            <w:sz w:val="24"/>
            <w:szCs w:val="24"/>
            <w:lang w:val="en-US"/>
          </w:rPr>
          <w:t>Vigneri R</w:t>
        </w:r>
      </w:hyperlink>
      <w:r w:rsidR="007C0AB7" w:rsidRPr="00CC78B7">
        <w:rPr>
          <w:rFonts w:ascii="Times New Roman" w:hAnsi="Times New Roman" w:cs="Times New Roman"/>
          <w:sz w:val="24"/>
          <w:szCs w:val="24"/>
          <w:lang w:val="en-US"/>
        </w:rPr>
        <w:t xml:space="preserve">. </w:t>
      </w:r>
      <w:r w:rsidR="007C0AB7" w:rsidRPr="00CC78B7">
        <w:rPr>
          <w:rFonts w:ascii="Times New Roman" w:hAnsi="Times New Roman" w:cs="Times New Roman"/>
          <w:bCs/>
          <w:kern w:val="36"/>
          <w:sz w:val="24"/>
          <w:szCs w:val="24"/>
          <w:lang w:val="en-US"/>
        </w:rPr>
        <w:t>Increased thyroid cancer incidence in a basaltic volcanic area is associated with non-anthropogenic pollution and biocontamination.</w:t>
      </w:r>
      <w:hyperlink r:id="rId121" w:tooltip="Endocrine." w:history="1">
        <w:r w:rsidR="007C0AB7" w:rsidRPr="00CC78B7">
          <w:rPr>
            <w:rFonts w:ascii="Times New Roman" w:hAnsi="Times New Roman" w:cs="Times New Roman"/>
            <w:sz w:val="24"/>
            <w:szCs w:val="24"/>
            <w:lang w:val="en-US"/>
          </w:rPr>
          <w:t>Endocrine</w:t>
        </w:r>
      </w:hyperlink>
      <w:r w:rsidR="007C0AB7" w:rsidRPr="00CC78B7">
        <w:rPr>
          <w:rFonts w:ascii="Times New Roman" w:hAnsi="Times New Roman" w:cs="Times New Roman"/>
          <w:sz w:val="24"/>
          <w:szCs w:val="24"/>
          <w:lang w:val="en-US"/>
        </w:rPr>
        <w:t xml:space="preserve"> 2016; 53(2): 471-479.</w:t>
      </w:r>
    </w:p>
    <w:p w:rsidR="009C2DCD" w:rsidRPr="00CC78B7" w:rsidRDefault="00771673" w:rsidP="00204280">
      <w:pPr>
        <w:pStyle w:val="ListParagraph"/>
        <w:spacing w:after="0" w:line="240" w:lineRule="auto"/>
        <w:ind w:left="357"/>
        <w:jc w:val="both"/>
        <w:rPr>
          <w:rFonts w:ascii="Times New Roman" w:hAnsi="Times New Roman" w:cs="Times New Roman"/>
          <w:sz w:val="24"/>
          <w:szCs w:val="24"/>
          <w:lang w:val="en-US"/>
        </w:rPr>
      </w:pPr>
      <w:hyperlink r:id="rId122" w:history="1">
        <w:r w:rsidR="009C2DCD" w:rsidRPr="00CC78B7">
          <w:rPr>
            <w:rStyle w:val="Hyperlink"/>
            <w:rFonts w:ascii="Times New Roman" w:hAnsi="Times New Roman"/>
            <w:color w:val="auto"/>
            <w:sz w:val="24"/>
            <w:szCs w:val="24"/>
            <w:lang w:val="en-US"/>
          </w:rPr>
          <w:t>https://pubmed.ncbi.nlm.nih.gov/26438396/</w:t>
        </w:r>
      </w:hyperlink>
    </w:p>
    <w:p w:rsidR="007C0AB7" w:rsidRPr="00CC78B7" w:rsidRDefault="007C0AB7" w:rsidP="00204280">
      <w:pPr>
        <w:pStyle w:val="ListParagraph"/>
        <w:numPr>
          <w:ilvl w:val="0"/>
          <w:numId w:val="17"/>
        </w:numPr>
        <w:spacing w:after="0" w:line="240" w:lineRule="auto"/>
        <w:jc w:val="both"/>
        <w:rPr>
          <w:rFonts w:ascii="Times New Roman" w:hAnsi="Times New Roman" w:cs="Times New Roman"/>
          <w:sz w:val="24"/>
          <w:szCs w:val="24"/>
          <w:lang w:val="en-US"/>
        </w:rPr>
      </w:pPr>
      <w:r w:rsidRPr="00CC78B7">
        <w:rPr>
          <w:rFonts w:ascii="Times New Roman" w:hAnsi="Times New Roman" w:cs="Times New Roman"/>
          <w:bCs/>
          <w:kern w:val="36"/>
          <w:sz w:val="24"/>
          <w:szCs w:val="24"/>
          <w:lang w:val="en-US"/>
        </w:rPr>
        <w:t>Ou C-Y, He Y-H,Sun Y, Yang L, Shi W-X, Li S-J. Effects of Sub-Acute Manganese exposure on thyroid hormone and glutamine (Gln)/glutamate (Glu)-</w:t>
      </w:r>
      <w:r w:rsidRPr="00CC78B7">
        <w:rPr>
          <w:rFonts w:ascii="Times New Roman" w:hAnsi="Times New Roman" w:cs="Times New Roman"/>
          <w:bCs/>
          <w:kern w:val="36"/>
          <w:sz w:val="24"/>
          <w:szCs w:val="24"/>
        </w:rPr>
        <w:t>γ</w:t>
      </w:r>
      <w:r w:rsidRPr="00CC78B7">
        <w:rPr>
          <w:rFonts w:ascii="Times New Roman" w:hAnsi="Times New Roman" w:cs="Times New Roman"/>
          <w:bCs/>
          <w:kern w:val="36"/>
          <w:sz w:val="24"/>
          <w:szCs w:val="24"/>
          <w:lang w:val="en-US"/>
        </w:rPr>
        <w:t>- aminobutyric acid (GABA) cycle in serum of rats.</w:t>
      </w:r>
      <w:r w:rsidRPr="00CC78B7">
        <w:rPr>
          <w:rFonts w:ascii="Times New Roman" w:hAnsi="Times New Roman" w:cs="Times New Roman"/>
          <w:sz w:val="24"/>
          <w:szCs w:val="24"/>
          <w:lang w:val="en-US"/>
        </w:rPr>
        <w:t>Int J Environ Res Public Health 2019;16(12):2157.</w:t>
      </w:r>
    </w:p>
    <w:p w:rsidR="009C2DCD" w:rsidRPr="00CC78B7" w:rsidRDefault="00771673" w:rsidP="00204280">
      <w:pPr>
        <w:pStyle w:val="ListParagraph"/>
        <w:spacing w:after="0" w:line="240" w:lineRule="auto"/>
        <w:ind w:left="360"/>
        <w:jc w:val="both"/>
        <w:rPr>
          <w:rFonts w:ascii="Times New Roman" w:hAnsi="Times New Roman" w:cs="Times New Roman"/>
          <w:sz w:val="24"/>
          <w:szCs w:val="24"/>
          <w:lang w:val="en-US"/>
        </w:rPr>
      </w:pPr>
      <w:hyperlink r:id="rId123" w:history="1">
        <w:r w:rsidR="009C2DCD" w:rsidRPr="00CC78B7">
          <w:rPr>
            <w:rStyle w:val="Hyperlink"/>
            <w:rFonts w:ascii="Times New Roman" w:hAnsi="Times New Roman"/>
            <w:color w:val="auto"/>
            <w:sz w:val="24"/>
            <w:szCs w:val="24"/>
            <w:lang w:val="en-US"/>
          </w:rPr>
          <w:t>https://www.ncbi.nlm.nih.gov/pmc/articles/PMC6616488/</w:t>
        </w:r>
      </w:hyperlink>
    </w:p>
    <w:p w:rsidR="007C0AB7" w:rsidRPr="00CC78B7" w:rsidRDefault="007C0AB7" w:rsidP="00204280">
      <w:pPr>
        <w:pStyle w:val="ListParagraph"/>
        <w:numPr>
          <w:ilvl w:val="0"/>
          <w:numId w:val="17"/>
        </w:numPr>
        <w:spacing w:after="0" w:line="240" w:lineRule="auto"/>
        <w:ind w:left="357" w:hanging="357"/>
        <w:jc w:val="both"/>
        <w:rPr>
          <w:rFonts w:ascii="Times New Roman" w:hAnsi="Times New Roman" w:cs="Times New Roman"/>
          <w:sz w:val="24"/>
          <w:szCs w:val="24"/>
          <w:lang w:val="en-US"/>
        </w:rPr>
      </w:pPr>
      <w:r w:rsidRPr="00CC78B7">
        <w:rPr>
          <w:rFonts w:ascii="Times New Roman" w:eastAsia="Times New Roman" w:hAnsi="Times New Roman" w:cs="Times New Roman"/>
          <w:bCs/>
          <w:kern w:val="36"/>
          <w:sz w:val="24"/>
          <w:szCs w:val="24"/>
          <w:lang w:val="en-US" w:eastAsia="ru-RU"/>
        </w:rPr>
        <w:t>Raskosha OV, Ermakova OV. The peculiarities of separate and combined exposure to low dose-rate gamma-radiation and 232Th nitrate on thyroid gland.</w:t>
      </w:r>
      <w:r w:rsidRPr="00CC78B7">
        <w:rPr>
          <w:rFonts w:ascii="Times New Roman" w:eastAsia="Times New Roman" w:hAnsi="Times New Roman" w:cs="Times New Roman"/>
          <w:sz w:val="24"/>
          <w:szCs w:val="24"/>
          <w:lang w:val="en-US" w:eastAsia="ru-RU"/>
        </w:rPr>
        <w:t>Radiats Biol Radioecol 2005;45(6):744-750.</w:t>
      </w:r>
    </w:p>
    <w:p w:rsidR="00D741F7" w:rsidRPr="00CC78B7" w:rsidRDefault="00771673" w:rsidP="00204280">
      <w:pPr>
        <w:pStyle w:val="ListParagraph"/>
        <w:spacing w:line="240" w:lineRule="auto"/>
        <w:ind w:left="360"/>
        <w:jc w:val="both"/>
        <w:outlineLvl w:val="0"/>
        <w:rPr>
          <w:rFonts w:ascii="Times New Roman" w:eastAsia="Times New Roman" w:hAnsi="Times New Roman" w:cs="Times New Roman"/>
          <w:bCs/>
          <w:kern w:val="36"/>
          <w:sz w:val="24"/>
          <w:szCs w:val="24"/>
          <w:lang w:val="en-US" w:eastAsia="ru-RU"/>
        </w:rPr>
      </w:pPr>
      <w:hyperlink r:id="rId124" w:history="1">
        <w:r w:rsidR="00D741F7" w:rsidRPr="00CC78B7">
          <w:rPr>
            <w:rStyle w:val="Hyperlink"/>
            <w:rFonts w:ascii="Times New Roman" w:eastAsia="Times New Roman" w:hAnsi="Times New Roman"/>
            <w:bCs/>
            <w:color w:val="auto"/>
            <w:kern w:val="36"/>
            <w:sz w:val="24"/>
            <w:szCs w:val="24"/>
            <w:lang w:val="en-US" w:eastAsia="ru-RU"/>
          </w:rPr>
          <w:t>https://pubmed.ncbi.nlm.nih.gov/16454345/</w:t>
        </w:r>
      </w:hyperlink>
    </w:p>
    <w:p w:rsidR="007C0AB7" w:rsidRPr="00CC78B7" w:rsidRDefault="007C0AB7" w:rsidP="00204280">
      <w:pPr>
        <w:pStyle w:val="ListParagraph"/>
        <w:numPr>
          <w:ilvl w:val="0"/>
          <w:numId w:val="17"/>
        </w:numPr>
        <w:spacing w:after="0" w:line="240" w:lineRule="auto"/>
        <w:ind w:left="357" w:hanging="357"/>
        <w:jc w:val="both"/>
        <w:rPr>
          <w:rFonts w:ascii="Times New Roman" w:hAnsi="Times New Roman" w:cs="Times New Roman"/>
          <w:sz w:val="24"/>
          <w:szCs w:val="24"/>
          <w:lang w:val="en-US"/>
        </w:rPr>
      </w:pPr>
      <w:r w:rsidRPr="00CC78B7">
        <w:rPr>
          <w:rFonts w:ascii="Times New Roman" w:eastAsia="Times New Roman" w:hAnsi="Times New Roman" w:cs="Times New Roman"/>
          <w:bCs/>
          <w:kern w:val="36"/>
          <w:sz w:val="24"/>
          <w:szCs w:val="24"/>
          <w:lang w:val="en-US" w:eastAsia="ru-RU"/>
        </w:rPr>
        <w:t xml:space="preserve">Abdel-Rahman M, Rezk MM, Moneim AEA, </w:t>
      </w:r>
      <w:hyperlink r:id="rId125" w:history="1">
        <w:r w:rsidRPr="00CC78B7">
          <w:rPr>
            <w:rFonts w:ascii="Times New Roman" w:eastAsia="Times New Roman" w:hAnsi="Times New Roman" w:cs="Times New Roman"/>
            <w:sz w:val="24"/>
            <w:szCs w:val="24"/>
            <w:lang w:val="en-US" w:eastAsia="ru-RU"/>
          </w:rPr>
          <w:t>Omar A Ahmed-Farid</w:t>
        </w:r>
      </w:hyperlink>
      <w:r w:rsidRPr="00CC78B7">
        <w:rPr>
          <w:rFonts w:ascii="Times New Roman" w:eastAsia="Times New Roman" w:hAnsi="Times New Roman" w:cs="Times New Roman"/>
          <w:sz w:val="24"/>
          <w:szCs w:val="24"/>
          <w:lang w:val="en-US" w:eastAsia="ru-RU"/>
        </w:rPr>
        <w:t xml:space="preserve"> OA, Essam S. </w:t>
      </w:r>
      <w:r w:rsidRPr="00CC78B7">
        <w:rPr>
          <w:rFonts w:ascii="Times New Roman" w:eastAsia="Times New Roman" w:hAnsi="Times New Roman" w:cs="Times New Roman"/>
          <w:bCs/>
          <w:kern w:val="36"/>
          <w:sz w:val="24"/>
          <w:szCs w:val="24"/>
          <w:lang w:val="en-US" w:eastAsia="ru-RU"/>
        </w:rPr>
        <w:t>Thorium exerts hazardous effects on some neurotransmitters and thyroid hormones in adult male rats.</w:t>
      </w:r>
      <w:r w:rsidRPr="00CC78B7">
        <w:rPr>
          <w:rFonts w:ascii="Times New Roman" w:eastAsia="Times New Roman" w:hAnsi="Times New Roman" w:cs="Times New Roman"/>
          <w:sz w:val="24"/>
          <w:szCs w:val="24"/>
          <w:lang w:val="en-US" w:eastAsia="ru-RU"/>
        </w:rPr>
        <w:t>NaunynSchmiedebergs Arch Pharmacol 2020; 393(2): 167-176.</w:t>
      </w:r>
    </w:p>
    <w:p w:rsidR="00D741F7" w:rsidRPr="00CC78B7" w:rsidRDefault="00771673" w:rsidP="00204280">
      <w:pPr>
        <w:pStyle w:val="ListParagraph"/>
        <w:spacing w:after="0" w:line="240" w:lineRule="auto"/>
        <w:ind w:left="357"/>
        <w:jc w:val="both"/>
        <w:rPr>
          <w:rStyle w:val="Hyperlink"/>
          <w:rFonts w:ascii="Times New Roman" w:eastAsia="Times New Roman" w:hAnsi="Times New Roman"/>
          <w:bCs/>
          <w:color w:val="auto"/>
          <w:kern w:val="36"/>
          <w:sz w:val="24"/>
          <w:szCs w:val="24"/>
          <w:lang w:val="en-US" w:eastAsia="ru-RU"/>
        </w:rPr>
      </w:pPr>
      <w:hyperlink r:id="rId126" w:history="1">
        <w:r w:rsidR="00D741F7" w:rsidRPr="00CC78B7">
          <w:rPr>
            <w:rStyle w:val="Hyperlink"/>
            <w:rFonts w:ascii="Times New Roman" w:eastAsia="Times New Roman" w:hAnsi="Times New Roman"/>
            <w:bCs/>
            <w:color w:val="auto"/>
            <w:kern w:val="36"/>
            <w:sz w:val="24"/>
            <w:szCs w:val="24"/>
            <w:lang w:val="en-US" w:eastAsia="ru-RU"/>
          </w:rPr>
          <w:t>https://pubmed.ncbi.nlm.nih.gov/31482261/</w:t>
        </w:r>
      </w:hyperlink>
    </w:p>
    <w:p w:rsidR="007C0AB7" w:rsidRPr="00CC78B7" w:rsidRDefault="007C0AB7" w:rsidP="00204280">
      <w:pPr>
        <w:pStyle w:val="ListParagraph"/>
        <w:numPr>
          <w:ilvl w:val="0"/>
          <w:numId w:val="17"/>
        </w:numPr>
        <w:spacing w:after="0" w:line="240" w:lineRule="auto"/>
        <w:ind w:left="357" w:hanging="357"/>
        <w:jc w:val="both"/>
        <w:rPr>
          <w:rFonts w:ascii="Times New Roman" w:hAnsi="Times New Roman" w:cs="Times New Roman"/>
          <w:sz w:val="24"/>
          <w:szCs w:val="24"/>
          <w:lang w:val="en-US"/>
        </w:rPr>
      </w:pPr>
      <w:r w:rsidRPr="00CC78B7">
        <w:rPr>
          <w:rFonts w:ascii="Times New Roman" w:eastAsia="Times New Roman" w:hAnsi="Times New Roman" w:cs="Times New Roman"/>
          <w:bCs/>
          <w:kern w:val="36"/>
          <w:sz w:val="24"/>
          <w:szCs w:val="24"/>
          <w:lang w:val="en-US" w:eastAsia="ru-RU"/>
        </w:rPr>
        <w:t>Rubel LR, Ishak KG. Thorotrast-associated cholangiocarcinoma: an epidemiologic and clinicopathologic study.</w:t>
      </w:r>
      <w:r w:rsidRPr="00CC78B7">
        <w:rPr>
          <w:rFonts w:ascii="Times New Roman" w:eastAsia="Times New Roman" w:hAnsi="Times New Roman" w:cs="Times New Roman"/>
          <w:sz w:val="24"/>
          <w:szCs w:val="24"/>
          <w:lang w:val="en-US" w:eastAsia="ru-RU"/>
        </w:rPr>
        <w:t>Cancer 1982;50(7):1408-1415.</w:t>
      </w:r>
    </w:p>
    <w:p w:rsidR="00D741F7" w:rsidRPr="00CC78B7" w:rsidRDefault="00771673" w:rsidP="00204280">
      <w:pPr>
        <w:pStyle w:val="ListParagraph"/>
        <w:spacing w:after="0" w:line="240" w:lineRule="auto"/>
        <w:ind w:left="357"/>
        <w:jc w:val="both"/>
        <w:rPr>
          <w:rStyle w:val="Hyperlink"/>
          <w:rFonts w:ascii="Times New Roman" w:eastAsia="Times New Roman" w:hAnsi="Times New Roman"/>
          <w:bCs/>
          <w:color w:val="auto"/>
          <w:kern w:val="36"/>
          <w:sz w:val="24"/>
          <w:szCs w:val="24"/>
          <w:lang w:val="en-US" w:eastAsia="ru-RU"/>
        </w:rPr>
      </w:pPr>
      <w:hyperlink r:id="rId127" w:history="1">
        <w:r w:rsidR="00D741F7" w:rsidRPr="00CC78B7">
          <w:rPr>
            <w:rStyle w:val="Hyperlink"/>
            <w:rFonts w:ascii="Times New Roman" w:eastAsia="Times New Roman" w:hAnsi="Times New Roman"/>
            <w:bCs/>
            <w:color w:val="auto"/>
            <w:kern w:val="36"/>
            <w:sz w:val="24"/>
            <w:szCs w:val="24"/>
            <w:lang w:val="en-US" w:eastAsia="ru-RU"/>
          </w:rPr>
          <w:t>https://pubmed.ncbi.nlm.nih.gov/6286094/</w:t>
        </w:r>
      </w:hyperlink>
    </w:p>
    <w:p w:rsidR="007C0AB7" w:rsidRPr="00CC78B7" w:rsidRDefault="007C0AB7" w:rsidP="00204280">
      <w:pPr>
        <w:numPr>
          <w:ilvl w:val="0"/>
          <w:numId w:val="17"/>
        </w:numPr>
        <w:rPr>
          <w:rStyle w:val="element-citation"/>
          <w:lang w:val="en-US"/>
        </w:rPr>
      </w:pPr>
      <w:r w:rsidRPr="00CC78B7">
        <w:rPr>
          <w:rStyle w:val="element-citation"/>
          <w:lang w:val="en-US"/>
        </w:rPr>
        <w:t>Roohani N, Hurrell R, Kelishadi R, Schulin R. Zinc and its importance for human health: An integrative review. </w:t>
      </w:r>
      <w:r w:rsidRPr="00CC78B7">
        <w:rPr>
          <w:rStyle w:val="ref-journal"/>
          <w:iCs/>
          <w:lang w:val="en-US"/>
        </w:rPr>
        <w:t>J Res Med Sci </w:t>
      </w:r>
      <w:r w:rsidRPr="00CC78B7">
        <w:rPr>
          <w:rStyle w:val="element-citation"/>
          <w:lang w:val="en-US"/>
        </w:rPr>
        <w:t xml:space="preserve">2013; </w:t>
      </w:r>
      <w:r w:rsidRPr="00CC78B7">
        <w:rPr>
          <w:rStyle w:val="ref-vol"/>
          <w:lang w:val="en-US"/>
        </w:rPr>
        <w:t>18</w:t>
      </w:r>
      <w:r w:rsidRPr="00CC78B7">
        <w:rPr>
          <w:rStyle w:val="element-citation"/>
          <w:lang w:val="en-US"/>
        </w:rPr>
        <w:t>: 144–157.</w:t>
      </w:r>
    </w:p>
    <w:p w:rsidR="00D741F7" w:rsidRPr="00CC78B7" w:rsidRDefault="00771673" w:rsidP="00204280">
      <w:pPr>
        <w:ind w:left="360"/>
        <w:rPr>
          <w:lang w:val="en-US"/>
        </w:rPr>
      </w:pPr>
      <w:hyperlink r:id="rId128" w:history="1">
        <w:r w:rsidR="00D741F7" w:rsidRPr="00CC78B7">
          <w:rPr>
            <w:rStyle w:val="Hyperlink"/>
            <w:color w:val="auto"/>
            <w:lang w:val="en-US"/>
          </w:rPr>
          <w:t>https://pubmed.ncbi.nlm.nih.gov/23914218/</w:t>
        </w:r>
      </w:hyperlink>
    </w:p>
    <w:p w:rsidR="007C0AB7" w:rsidRPr="00CC78B7" w:rsidRDefault="007C0AB7" w:rsidP="00204280">
      <w:pPr>
        <w:numPr>
          <w:ilvl w:val="0"/>
          <w:numId w:val="17"/>
        </w:numPr>
        <w:rPr>
          <w:lang w:val="en-US"/>
        </w:rPr>
      </w:pPr>
      <w:r w:rsidRPr="00CC78B7">
        <w:rPr>
          <w:bCs/>
          <w:kern w:val="36"/>
          <w:lang w:val="en-US"/>
        </w:rPr>
        <w:t xml:space="preserve">To PK, Do MH, Cho J-H, Jung C. Growth modulatory role of zinc in prostate cancer and application to cancer therapeutics. </w:t>
      </w:r>
      <w:hyperlink r:id="rId129" w:history="1">
        <w:r w:rsidRPr="00CC78B7">
          <w:rPr>
            <w:lang w:val="en-US"/>
          </w:rPr>
          <w:t>Int J MolSci</w:t>
        </w:r>
      </w:hyperlink>
      <w:r w:rsidRPr="00CC78B7">
        <w:rPr>
          <w:lang w:val="en-US"/>
        </w:rPr>
        <w:t> 2020; 21(8): 2991.</w:t>
      </w:r>
    </w:p>
    <w:p w:rsidR="00D741F7" w:rsidRPr="00CC78B7" w:rsidRDefault="00771673" w:rsidP="00204280">
      <w:pPr>
        <w:ind w:left="360"/>
        <w:rPr>
          <w:rStyle w:val="Hyperlink"/>
          <w:bCs/>
          <w:color w:val="auto"/>
          <w:kern w:val="36"/>
          <w:lang w:val="en-US"/>
        </w:rPr>
      </w:pPr>
      <w:hyperlink r:id="rId130" w:history="1">
        <w:r w:rsidR="00D741F7" w:rsidRPr="00CC78B7">
          <w:rPr>
            <w:rStyle w:val="Hyperlink"/>
            <w:bCs/>
            <w:color w:val="auto"/>
            <w:kern w:val="36"/>
            <w:lang w:val="en-US"/>
          </w:rPr>
          <w:t>https://www.ncbi.nlm.nih.gov/pmc/articles/PMC7216164/</w:t>
        </w:r>
      </w:hyperlink>
    </w:p>
    <w:p w:rsidR="007C0AB7" w:rsidRPr="00CC78B7" w:rsidRDefault="007C0AB7" w:rsidP="00204280">
      <w:pPr>
        <w:numPr>
          <w:ilvl w:val="0"/>
          <w:numId w:val="17"/>
        </w:numPr>
        <w:ind w:left="357"/>
        <w:rPr>
          <w:lang w:val="en-US"/>
        </w:rPr>
      </w:pPr>
      <w:r w:rsidRPr="00CC78B7">
        <w:rPr>
          <w:bCs/>
          <w:kern w:val="36"/>
          <w:lang w:val="en-US"/>
        </w:rPr>
        <w:t xml:space="preserve">Barber RG, Grenier ZA, Burkhead JL. Copper toxicity is not just oxidative damage: zinc systems and insight from Wilson disease. </w:t>
      </w:r>
      <w:r w:rsidRPr="00CC78B7">
        <w:rPr>
          <w:lang w:val="en-US"/>
        </w:rPr>
        <w:t>Biomedicines 2021;9(3):316.</w:t>
      </w:r>
    </w:p>
    <w:p w:rsidR="00D741F7" w:rsidRPr="00CC78B7" w:rsidRDefault="00771673" w:rsidP="00204280">
      <w:pPr>
        <w:pStyle w:val="ListParagraph"/>
        <w:spacing w:after="0" w:line="240" w:lineRule="auto"/>
        <w:ind w:left="357"/>
        <w:jc w:val="both"/>
        <w:outlineLvl w:val="0"/>
        <w:rPr>
          <w:rFonts w:ascii="Times New Roman" w:eastAsia="Times New Roman" w:hAnsi="Times New Roman" w:cs="Times New Roman"/>
          <w:bCs/>
          <w:kern w:val="36"/>
          <w:sz w:val="24"/>
          <w:szCs w:val="24"/>
          <w:lang w:val="en-US" w:eastAsia="ru-RU"/>
        </w:rPr>
      </w:pPr>
      <w:hyperlink r:id="rId131" w:history="1">
        <w:r w:rsidR="00D741F7" w:rsidRPr="00CC78B7">
          <w:rPr>
            <w:rStyle w:val="Hyperlink"/>
            <w:rFonts w:ascii="Times New Roman" w:hAnsi="Times New Roman"/>
            <w:bCs/>
            <w:color w:val="auto"/>
            <w:kern w:val="36"/>
            <w:sz w:val="24"/>
            <w:szCs w:val="24"/>
            <w:lang w:val="en-US"/>
          </w:rPr>
          <w:t>https://pubmed.ncbi.nlm.nih.gov/33804693/</w:t>
        </w:r>
      </w:hyperlink>
    </w:p>
    <w:p w:rsidR="007C0AB7" w:rsidRPr="00CC78B7" w:rsidRDefault="007C0AB7" w:rsidP="00204280">
      <w:pPr>
        <w:numPr>
          <w:ilvl w:val="0"/>
          <w:numId w:val="17"/>
        </w:numPr>
        <w:ind w:left="357"/>
        <w:rPr>
          <w:lang w:val="en-US"/>
        </w:rPr>
      </w:pPr>
      <w:r w:rsidRPr="00CC78B7">
        <w:rPr>
          <w:bCs/>
          <w:kern w:val="36"/>
          <w:lang w:val="en-US"/>
        </w:rPr>
        <w:t>Leko MB, Gunjača I, Pleić N, Zemunik T. Environmental Factors Affecting Thyroid-Stimulating Hormone and Thyroid Hormone Levels.</w:t>
      </w:r>
      <w:r w:rsidRPr="00CC78B7">
        <w:rPr>
          <w:lang w:val="en-US"/>
        </w:rPr>
        <w:t>Int J MolSci 2021; 22(12): 6521</w:t>
      </w:r>
      <w:r w:rsidR="00D741F7" w:rsidRPr="00CC78B7">
        <w:rPr>
          <w:lang w:val="en-US"/>
        </w:rPr>
        <w:t>.</w:t>
      </w:r>
    </w:p>
    <w:p w:rsidR="00D741F7" w:rsidRPr="00CC78B7" w:rsidRDefault="00771673" w:rsidP="00204280">
      <w:pPr>
        <w:pStyle w:val="ListParagraph"/>
        <w:shd w:val="clear" w:color="auto" w:fill="FFFFFF"/>
        <w:spacing w:after="0" w:line="240" w:lineRule="auto"/>
        <w:ind w:left="360"/>
        <w:jc w:val="both"/>
        <w:rPr>
          <w:rFonts w:ascii="Times New Roman" w:eastAsia="Times New Roman" w:hAnsi="Times New Roman" w:cs="Times New Roman"/>
          <w:bCs/>
          <w:kern w:val="36"/>
          <w:sz w:val="24"/>
          <w:szCs w:val="24"/>
          <w:lang w:val="en-US" w:eastAsia="ru-RU"/>
        </w:rPr>
      </w:pPr>
      <w:hyperlink r:id="rId132" w:history="1">
        <w:r w:rsidR="00D741F7" w:rsidRPr="00CC78B7">
          <w:rPr>
            <w:rStyle w:val="Hyperlink"/>
            <w:rFonts w:ascii="Times New Roman" w:eastAsia="Times New Roman" w:hAnsi="Times New Roman"/>
            <w:color w:val="auto"/>
            <w:kern w:val="36"/>
            <w:sz w:val="24"/>
            <w:szCs w:val="24"/>
            <w:lang w:val="en-US"/>
          </w:rPr>
          <w:t>https://pubmed.ncbi.nlm.nih.gov/34204586/</w:t>
        </w:r>
      </w:hyperlink>
    </w:p>
    <w:p w:rsidR="006C1DE9" w:rsidRPr="00CC78B7" w:rsidRDefault="00771673" w:rsidP="00204280">
      <w:pPr>
        <w:numPr>
          <w:ilvl w:val="0"/>
          <w:numId w:val="17"/>
        </w:numPr>
        <w:rPr>
          <w:lang w:val="en-US"/>
        </w:rPr>
      </w:pPr>
      <w:hyperlink r:id="rId133" w:history="1">
        <w:r w:rsidR="007C0AB7" w:rsidRPr="00CC78B7">
          <w:rPr>
            <w:rStyle w:val="Hyperlink"/>
            <w:rFonts w:eastAsia="Arial Unicode MS"/>
            <w:color w:val="auto"/>
            <w:u w:val="none"/>
            <w:lang w:val="en-US"/>
          </w:rPr>
          <w:t>Alam S</w:t>
        </w:r>
      </w:hyperlink>
      <w:r w:rsidR="007C0AB7" w:rsidRPr="00CC78B7">
        <w:rPr>
          <w:lang w:val="en-US"/>
        </w:rPr>
        <w:t xml:space="preserve">, </w:t>
      </w:r>
      <w:hyperlink r:id="rId134" w:history="1">
        <w:r w:rsidR="007C0AB7" w:rsidRPr="00CC78B7">
          <w:rPr>
            <w:rStyle w:val="Hyperlink"/>
            <w:rFonts w:eastAsia="Arial Unicode MS"/>
            <w:color w:val="auto"/>
            <w:u w:val="none"/>
            <w:lang w:val="en-US"/>
          </w:rPr>
          <w:t>Kelleher SL</w:t>
        </w:r>
      </w:hyperlink>
      <w:r w:rsidR="007C0AB7" w:rsidRPr="00CC78B7">
        <w:rPr>
          <w:lang w:val="en-US"/>
        </w:rPr>
        <w:t xml:space="preserve">. Cellular mechanisms of zinc dysregulation: a perspective on zinc homeostasis as an etiological factor in the development and progression of breast cancer. </w:t>
      </w:r>
      <w:hyperlink r:id="rId135" w:anchor="#" w:tooltip="Nutrients." w:history="1">
        <w:r w:rsidR="007C0AB7" w:rsidRPr="00CC78B7">
          <w:rPr>
            <w:rStyle w:val="Hyperlink"/>
            <w:rFonts w:eastAsia="Arial Unicode MS"/>
            <w:color w:val="auto"/>
            <w:u w:val="none"/>
          </w:rPr>
          <w:t>Nutrients</w:t>
        </w:r>
      </w:hyperlink>
      <w:r w:rsidR="007C0AB7" w:rsidRPr="00CC78B7">
        <w:rPr>
          <w:lang w:val="en-US"/>
        </w:rPr>
        <w:t xml:space="preserve"> 2012;4(8):875-903.</w:t>
      </w:r>
    </w:p>
    <w:p w:rsidR="006C1DE9" w:rsidRPr="00CC78B7" w:rsidRDefault="00771673" w:rsidP="00204280">
      <w:pPr>
        <w:ind w:left="360"/>
        <w:rPr>
          <w:lang w:val="en-US"/>
        </w:rPr>
      </w:pPr>
      <w:hyperlink r:id="rId136" w:history="1">
        <w:r w:rsidR="006C1DE9" w:rsidRPr="00CC78B7">
          <w:rPr>
            <w:rStyle w:val="Hyperlink"/>
            <w:color w:val="auto"/>
            <w:lang w:val="en-US"/>
          </w:rPr>
          <w:t>https://www.ncbi.nlm.nih.gov/pmc/articles/PMC3448077/</w:t>
        </w:r>
      </w:hyperlink>
    </w:p>
    <w:p w:rsidR="007C0AB7" w:rsidRPr="00CC78B7" w:rsidRDefault="007C0AB7" w:rsidP="00204280">
      <w:pPr>
        <w:numPr>
          <w:ilvl w:val="0"/>
          <w:numId w:val="17"/>
        </w:numPr>
        <w:rPr>
          <w:lang w:val="en-US"/>
        </w:rPr>
      </w:pPr>
      <w:r w:rsidRPr="00CC78B7">
        <w:rPr>
          <w:bCs/>
          <w:lang w:val="en-US"/>
        </w:rPr>
        <w:t xml:space="preserve">Zaichick V., Zaichick S. </w:t>
      </w:r>
      <w:r w:rsidRPr="00CC78B7">
        <w:rPr>
          <w:lang w:val="en-US"/>
        </w:rPr>
        <w:t>Wynchank S. Intracellular zinc excess as one of the main factors in the etiology of prostate cancer. J Anal Oncol 2016; 5(3): 124-131.</w:t>
      </w:r>
    </w:p>
    <w:p w:rsidR="006C1DE9" w:rsidRPr="00CC78B7" w:rsidRDefault="00771673" w:rsidP="00204280">
      <w:pPr>
        <w:ind w:left="360"/>
        <w:rPr>
          <w:lang w:val="en-US"/>
        </w:rPr>
      </w:pPr>
      <w:hyperlink r:id="rId137" w:history="1">
        <w:r w:rsidR="006C1DE9" w:rsidRPr="00CC78B7">
          <w:rPr>
            <w:rStyle w:val="Hyperlink"/>
            <w:color w:val="auto"/>
            <w:lang w:val="en-US"/>
          </w:rPr>
          <w:t>https://www.researchgate.net/publication/306131274_Intracellular_Zinc_Excess_as_One_of_the_Main_Factors_in_the_Etiology_of_Prostate_Cancer</w:t>
        </w:r>
      </w:hyperlink>
    </w:p>
    <w:p w:rsidR="007616E3" w:rsidRPr="00CC78B7" w:rsidRDefault="00771673" w:rsidP="00204280">
      <w:pPr>
        <w:numPr>
          <w:ilvl w:val="0"/>
          <w:numId w:val="17"/>
        </w:numPr>
        <w:ind w:left="357"/>
        <w:rPr>
          <w:bCs/>
          <w:lang w:val="en-US"/>
        </w:rPr>
      </w:pPr>
      <w:hyperlink r:id="rId138" w:history="1">
        <w:r w:rsidR="007C0AB7" w:rsidRPr="00CC78B7">
          <w:rPr>
            <w:lang w:val="en-US"/>
          </w:rPr>
          <w:t>Jouybari L</w:t>
        </w:r>
      </w:hyperlink>
      <w:r w:rsidR="007C0AB7" w:rsidRPr="00CC78B7">
        <w:rPr>
          <w:lang w:val="en-US"/>
        </w:rPr>
        <w:t>, </w:t>
      </w:r>
      <w:hyperlink r:id="rId139" w:history="1">
        <w:r w:rsidR="007C0AB7" w:rsidRPr="00CC78B7">
          <w:rPr>
            <w:lang w:val="en-US"/>
          </w:rPr>
          <w:t>Kiani F</w:t>
        </w:r>
      </w:hyperlink>
      <w:r w:rsidR="007C0AB7" w:rsidRPr="00CC78B7">
        <w:rPr>
          <w:lang w:val="en-US"/>
        </w:rPr>
        <w:t>, </w:t>
      </w:r>
      <w:hyperlink r:id="rId140" w:history="1">
        <w:r w:rsidR="007C0AB7" w:rsidRPr="00CC78B7">
          <w:rPr>
            <w:lang w:val="en-US"/>
          </w:rPr>
          <w:t>Akbari A</w:t>
        </w:r>
      </w:hyperlink>
      <w:r w:rsidR="007C0AB7" w:rsidRPr="00CC78B7">
        <w:rPr>
          <w:lang w:val="en-US"/>
        </w:rPr>
        <w:t>, </w:t>
      </w:r>
      <w:hyperlink r:id="rId141" w:history="1">
        <w:r w:rsidR="007C0AB7" w:rsidRPr="00CC78B7">
          <w:rPr>
            <w:lang w:val="en-US"/>
          </w:rPr>
          <w:t>Sanagoo A</w:t>
        </w:r>
      </w:hyperlink>
      <w:r w:rsidR="007C0AB7" w:rsidRPr="00CC78B7">
        <w:rPr>
          <w:lang w:val="en-US"/>
        </w:rPr>
        <w:t>, </w:t>
      </w:r>
      <w:hyperlink r:id="rId142" w:history="1">
        <w:r w:rsidR="007C0AB7" w:rsidRPr="00CC78B7">
          <w:rPr>
            <w:lang w:val="en-US"/>
          </w:rPr>
          <w:t>Sayehmiri F</w:t>
        </w:r>
      </w:hyperlink>
      <w:r w:rsidR="007C0AB7" w:rsidRPr="00CC78B7">
        <w:rPr>
          <w:lang w:val="en-US"/>
        </w:rPr>
        <w:t>, </w:t>
      </w:r>
      <w:hyperlink r:id="rId143" w:history="1">
        <w:r w:rsidR="007C0AB7" w:rsidRPr="00CC78B7">
          <w:rPr>
            <w:lang w:val="en-US"/>
          </w:rPr>
          <w:t>Aaseth J</w:t>
        </w:r>
      </w:hyperlink>
      <w:r w:rsidR="007C0AB7" w:rsidRPr="00CC78B7">
        <w:rPr>
          <w:lang w:val="en-US"/>
        </w:rPr>
        <w:t>, </w:t>
      </w:r>
      <w:hyperlink r:id="rId144" w:history="1">
        <w:r w:rsidR="007C0AB7" w:rsidRPr="00CC78B7">
          <w:rPr>
            <w:lang w:val="en-US"/>
          </w:rPr>
          <w:t>Chartrand MS</w:t>
        </w:r>
      </w:hyperlink>
      <w:r w:rsidR="007C0AB7" w:rsidRPr="00CC78B7">
        <w:rPr>
          <w:lang w:val="en-US"/>
        </w:rPr>
        <w:t>, </w:t>
      </w:r>
      <w:hyperlink r:id="rId145" w:history="1">
        <w:r w:rsidR="007C0AB7" w:rsidRPr="00CC78B7">
          <w:rPr>
            <w:lang w:val="en-US"/>
          </w:rPr>
          <w:t>Sayehmiri K</w:t>
        </w:r>
      </w:hyperlink>
      <w:r w:rsidR="007C0AB7" w:rsidRPr="00CC78B7">
        <w:rPr>
          <w:lang w:val="en-US"/>
        </w:rPr>
        <w:t>, </w:t>
      </w:r>
      <w:hyperlink r:id="rId146" w:history="1">
        <w:r w:rsidR="007C0AB7" w:rsidRPr="00CC78B7">
          <w:rPr>
            <w:lang w:val="en-US"/>
          </w:rPr>
          <w:t>Chirumbolo S</w:t>
        </w:r>
      </w:hyperlink>
      <w:r w:rsidR="007C0AB7" w:rsidRPr="00CC78B7">
        <w:rPr>
          <w:lang w:val="en-US"/>
        </w:rPr>
        <w:t>, </w:t>
      </w:r>
      <w:hyperlink r:id="rId147" w:history="1">
        <w:r w:rsidR="007C0AB7" w:rsidRPr="00CC78B7">
          <w:rPr>
            <w:lang w:val="en-US"/>
          </w:rPr>
          <w:t>Bjørklund G</w:t>
        </w:r>
      </w:hyperlink>
      <w:r w:rsidR="007C0AB7" w:rsidRPr="00CC78B7">
        <w:rPr>
          <w:lang w:val="en-US"/>
        </w:rPr>
        <w:t xml:space="preserve">. </w:t>
      </w:r>
      <w:r w:rsidR="007C0AB7" w:rsidRPr="00CC78B7">
        <w:rPr>
          <w:bCs/>
          <w:kern w:val="36"/>
          <w:lang w:val="en-US"/>
        </w:rPr>
        <w:t>A meta-analysis of zinc levels in breast cancer.</w:t>
      </w:r>
      <w:hyperlink r:id="rId148" w:tooltip="Journal of trace elements in medicine and biology : organ of the Society for Minerals and Trace Elements (GMS)." w:history="1">
        <w:r w:rsidR="007C0AB7" w:rsidRPr="00CC78B7">
          <w:rPr>
            <w:lang w:val="en-US"/>
          </w:rPr>
          <w:t>J Trace Elem Med Biol</w:t>
        </w:r>
      </w:hyperlink>
      <w:r w:rsidR="007C0AB7" w:rsidRPr="00CC78B7">
        <w:rPr>
          <w:lang w:val="en-US"/>
        </w:rPr>
        <w:t> 2019; 56: 90-99.</w:t>
      </w:r>
    </w:p>
    <w:p w:rsidR="006C1DE9" w:rsidRDefault="00771673" w:rsidP="00204280">
      <w:pPr>
        <w:ind w:left="357"/>
        <w:rPr>
          <w:lang w:val="en-US"/>
        </w:rPr>
      </w:pPr>
      <w:hyperlink r:id="rId149" w:history="1">
        <w:r w:rsidR="006C1DE9" w:rsidRPr="00CC78B7">
          <w:rPr>
            <w:rStyle w:val="Hyperlink"/>
            <w:bCs/>
            <w:color w:val="auto"/>
            <w:lang w:val="en-US"/>
          </w:rPr>
          <w:t>https://pubmed.ncbi.nlm.nih.gov/31442959/</w:t>
        </w:r>
      </w:hyperlink>
    </w:p>
    <w:p w:rsidR="009106A9" w:rsidRDefault="009106A9" w:rsidP="00204280">
      <w:pPr>
        <w:ind w:left="357"/>
        <w:rPr>
          <w:b/>
          <w:bCs/>
          <w:lang w:val="en-US"/>
        </w:rPr>
      </w:pPr>
    </w:p>
    <w:p w:rsidR="00A57AC4" w:rsidRDefault="00A57AC4" w:rsidP="00204280">
      <w:pPr>
        <w:ind w:left="357"/>
        <w:rPr>
          <w:b/>
          <w:bCs/>
          <w:lang w:val="en-US"/>
        </w:rPr>
      </w:pPr>
    </w:p>
    <w:p w:rsidR="00A57AC4" w:rsidRPr="00A57AC4" w:rsidRDefault="00A57AC4" w:rsidP="00204280">
      <w:pPr>
        <w:ind w:left="357"/>
        <w:rPr>
          <w:b/>
          <w:bCs/>
          <w:color w:val="FF0000"/>
          <w:lang w:val="en-US"/>
        </w:rPr>
      </w:pPr>
      <w:r w:rsidRPr="00A57AC4">
        <w:rPr>
          <w:b/>
          <w:bCs/>
          <w:color w:val="FF0000"/>
          <w:highlight w:val="yellow"/>
          <w:lang w:val="en-US"/>
        </w:rPr>
        <w:t>Author</w:t>
      </w:r>
      <w:r>
        <w:rPr>
          <w:b/>
          <w:bCs/>
          <w:color w:val="FF0000"/>
          <w:highlight w:val="yellow"/>
          <w:lang w:val="en-US"/>
        </w:rPr>
        <w:t>’</w:t>
      </w:r>
      <w:r w:rsidRPr="00A57AC4">
        <w:rPr>
          <w:b/>
          <w:bCs/>
          <w:color w:val="FF0000"/>
          <w:highlight w:val="yellow"/>
          <w:lang w:val="en-US"/>
        </w:rPr>
        <w:t>s justification for comments</w:t>
      </w:r>
    </w:p>
    <w:p w:rsidR="00A57AC4" w:rsidRPr="00446321" w:rsidRDefault="00A57AC4" w:rsidP="00A57AC4">
      <w:pPr>
        <w:pStyle w:val="CommentText"/>
        <w:rPr>
          <w:b/>
          <w:sz w:val="24"/>
          <w:szCs w:val="24"/>
          <w:lang w:val="en-US"/>
        </w:rPr>
      </w:pPr>
      <w:r w:rsidRPr="00446321">
        <w:rPr>
          <w:b/>
          <w:sz w:val="24"/>
          <w:szCs w:val="24"/>
          <w:lang w:val="en-US"/>
        </w:rPr>
        <w:t>Remark K66</w:t>
      </w:r>
    </w:p>
    <w:p w:rsidR="00A57AC4" w:rsidRPr="00446321" w:rsidRDefault="00A57AC4" w:rsidP="00A57AC4">
      <w:pPr>
        <w:pStyle w:val="CommentText"/>
        <w:rPr>
          <w:sz w:val="24"/>
          <w:szCs w:val="24"/>
          <w:lang w:val="en-US"/>
        </w:rPr>
      </w:pPr>
      <w:r>
        <w:rPr>
          <w:sz w:val="24"/>
          <w:szCs w:val="24"/>
          <w:lang w:val="en-US"/>
        </w:rPr>
        <w:t>1)…</w:t>
      </w:r>
      <w:r w:rsidRPr="00446321">
        <w:rPr>
          <w:sz w:val="24"/>
          <w:szCs w:val="24"/>
          <w:lang w:val="en-US"/>
        </w:rPr>
        <w:t>if it is possible to cite the route of access of each element in the human body whether it was oral or cutaneous ....etc</w:t>
      </w:r>
    </w:p>
    <w:p w:rsidR="00A57AC4" w:rsidRPr="00DE6315" w:rsidRDefault="00A57AC4" w:rsidP="00A57AC4">
      <w:pPr>
        <w:jc w:val="both"/>
        <w:rPr>
          <w:b/>
          <w:lang w:val="en-US"/>
        </w:rPr>
      </w:pPr>
      <w:r w:rsidRPr="00DE6315">
        <w:rPr>
          <w:b/>
          <w:lang w:val="en-US"/>
        </w:rPr>
        <w:t>Response to Reviewer.</w:t>
      </w:r>
      <w:r w:rsidRPr="00DE6315">
        <w:rPr>
          <w:lang w:val="en-US"/>
        </w:rPr>
        <w:t xml:space="preserve">All patients investigated in the study were inhabitants of environmentally sound (non-industrial and unpolluted) </w:t>
      </w:r>
      <w:r>
        <w:rPr>
          <w:lang w:val="en-US"/>
        </w:rPr>
        <w:t>region</w:t>
      </w:r>
      <w:r w:rsidRPr="00DE6315">
        <w:rPr>
          <w:lang w:val="en-US"/>
        </w:rPr>
        <w:t xml:space="preserve">(this sentence was added in text). It is well </w:t>
      </w:r>
      <w:r>
        <w:rPr>
          <w:lang w:val="en-US"/>
        </w:rPr>
        <w:t xml:space="preserve">know, that in normal environmental conditions the </w:t>
      </w:r>
      <w:r w:rsidRPr="00446321">
        <w:rPr>
          <w:lang w:val="en-US"/>
        </w:rPr>
        <w:t xml:space="preserve">human body </w:t>
      </w:r>
      <w:r>
        <w:rPr>
          <w:lang w:val="en-US"/>
        </w:rPr>
        <w:t xml:space="preserve">receive with food about 90% chemical elements, 9% with drinking water, and 1% from air. However, there are some exclusions, for example,  Ca and Mg in areas with hard water or I concentration in air near sea or ocean.  </w:t>
      </w:r>
    </w:p>
    <w:p w:rsidR="00A57AC4" w:rsidRPr="00C8436C" w:rsidRDefault="00A57AC4" w:rsidP="00A57AC4">
      <w:pPr>
        <w:pStyle w:val="CommentText"/>
        <w:rPr>
          <w:sz w:val="24"/>
          <w:szCs w:val="24"/>
          <w:lang w:val="en-US"/>
        </w:rPr>
      </w:pPr>
      <w:r>
        <w:rPr>
          <w:sz w:val="24"/>
          <w:szCs w:val="24"/>
          <w:lang w:val="en-US"/>
        </w:rPr>
        <w:t>Anyway, some information on main sources of TE were added in text.</w:t>
      </w:r>
    </w:p>
    <w:p w:rsidR="00A57AC4" w:rsidRDefault="00A57AC4" w:rsidP="00A57AC4">
      <w:pPr>
        <w:pStyle w:val="CommentText"/>
        <w:rPr>
          <w:b/>
          <w:sz w:val="24"/>
          <w:szCs w:val="24"/>
          <w:lang w:val="en-US"/>
        </w:rPr>
      </w:pPr>
    </w:p>
    <w:p w:rsidR="00A57AC4" w:rsidRPr="00446321" w:rsidRDefault="00A57AC4" w:rsidP="00A57AC4">
      <w:pPr>
        <w:pStyle w:val="CommentText"/>
        <w:rPr>
          <w:b/>
          <w:sz w:val="24"/>
          <w:szCs w:val="24"/>
          <w:lang w:val="en-US"/>
        </w:rPr>
      </w:pPr>
      <w:r w:rsidRPr="00446321">
        <w:rPr>
          <w:b/>
          <w:sz w:val="24"/>
          <w:szCs w:val="24"/>
          <w:lang w:val="en-US"/>
        </w:rPr>
        <w:t>Remark K66</w:t>
      </w:r>
    </w:p>
    <w:p w:rsidR="00A57AC4" w:rsidRPr="00800BA0" w:rsidRDefault="00A57AC4" w:rsidP="00A57AC4">
      <w:pPr>
        <w:pStyle w:val="CommentText"/>
        <w:rPr>
          <w:sz w:val="24"/>
          <w:szCs w:val="24"/>
          <w:lang w:val="en-US"/>
        </w:rPr>
      </w:pPr>
      <w:r>
        <w:rPr>
          <w:sz w:val="24"/>
          <w:szCs w:val="24"/>
          <w:lang w:val="en-US"/>
        </w:rPr>
        <w:t xml:space="preserve">2) </w:t>
      </w:r>
      <w:r w:rsidRPr="00800BA0">
        <w:rPr>
          <w:sz w:val="24"/>
          <w:szCs w:val="24"/>
          <w:lang w:val="en-US"/>
        </w:rPr>
        <w:t>The author is demanded</w:t>
      </w:r>
      <w:r w:rsidR="00520C9F">
        <w:rPr>
          <w:sz w:val="24"/>
          <w:szCs w:val="24"/>
          <w:lang w:val="en-US"/>
        </w:rPr>
        <w:t xml:space="preserve"> </w:t>
      </w:r>
      <w:r w:rsidRPr="00800BA0">
        <w:rPr>
          <w:sz w:val="24"/>
          <w:szCs w:val="24"/>
          <w:lang w:val="en-US"/>
        </w:rPr>
        <w:t>to cite the relationship between the distribution of elements in the periodic table and their effects</w:t>
      </w:r>
      <w:r>
        <w:rPr>
          <w:sz w:val="24"/>
          <w:szCs w:val="24"/>
          <w:lang w:val="en-US"/>
        </w:rPr>
        <w:t>.</w:t>
      </w:r>
    </w:p>
    <w:p w:rsidR="00A57AC4" w:rsidRPr="0054215D" w:rsidRDefault="00A57AC4" w:rsidP="00A57AC4">
      <w:pPr>
        <w:pStyle w:val="CommentText"/>
        <w:rPr>
          <w:b/>
          <w:sz w:val="24"/>
          <w:szCs w:val="24"/>
          <w:lang w:val="en-US"/>
        </w:rPr>
      </w:pPr>
      <w:r w:rsidRPr="00DE6315">
        <w:rPr>
          <w:b/>
          <w:sz w:val="24"/>
          <w:szCs w:val="24"/>
          <w:lang w:val="en-US"/>
        </w:rPr>
        <w:t>Response to Reviewer.</w:t>
      </w:r>
      <w:r>
        <w:rPr>
          <w:sz w:val="24"/>
          <w:szCs w:val="24"/>
          <w:lang w:val="en-US"/>
        </w:rPr>
        <w:t xml:space="preserve">Excuse me, please, but it is impossible, because TE behaviour in organisms is very differ than in </w:t>
      </w:r>
      <w:r w:rsidRPr="00A92AF4">
        <w:rPr>
          <w:sz w:val="24"/>
          <w:szCs w:val="24"/>
          <w:lang w:val="en-US"/>
        </w:rPr>
        <w:t>inanimate nature</w:t>
      </w:r>
      <w:r>
        <w:rPr>
          <w:sz w:val="24"/>
          <w:szCs w:val="24"/>
          <w:lang w:val="en-US"/>
        </w:rPr>
        <w:t xml:space="preserve">. Our knowledge on the topic is very short. For example, we can understand the competition between halogen I and such other halogens as Cl and Br, or the competition between Ca and </w:t>
      </w:r>
      <w:r w:rsidRPr="001A231A">
        <w:rPr>
          <w:sz w:val="24"/>
          <w:szCs w:val="24"/>
          <w:lang w:val="en-US"/>
        </w:rPr>
        <w:t>rare earth</w:t>
      </w:r>
      <w:r>
        <w:rPr>
          <w:sz w:val="24"/>
          <w:szCs w:val="24"/>
          <w:lang w:val="en-US"/>
        </w:rPr>
        <w:t xml:space="preserve"> elements because they have similar ion-radius. However, for example, Fe, Co, and Ni are </w:t>
      </w:r>
      <w:r w:rsidRPr="000F65C3">
        <w:rPr>
          <w:sz w:val="24"/>
          <w:szCs w:val="24"/>
          <w:lang w:val="en-US"/>
        </w:rPr>
        <w:t>transition metal</w:t>
      </w:r>
      <w:r>
        <w:rPr>
          <w:sz w:val="24"/>
          <w:szCs w:val="24"/>
          <w:lang w:val="en-US"/>
        </w:rPr>
        <w:t xml:space="preserve">s of VIII groups of </w:t>
      </w:r>
      <w:r w:rsidRPr="00800BA0">
        <w:rPr>
          <w:sz w:val="24"/>
          <w:szCs w:val="24"/>
          <w:lang w:val="en-US"/>
        </w:rPr>
        <w:t>periodic table</w:t>
      </w:r>
      <w:r>
        <w:rPr>
          <w:sz w:val="24"/>
          <w:szCs w:val="24"/>
          <w:lang w:val="en-US"/>
        </w:rPr>
        <w:t xml:space="preserve">, but it is very difficult toexplain why Fe was chosen by blood hemoglobin, Co – by </w:t>
      </w:r>
      <w:r>
        <w:rPr>
          <w:sz w:val="24"/>
          <w:szCs w:val="24"/>
          <w:shd w:val="clear" w:color="auto" w:fill="FFFFFF"/>
          <w:lang w:val="en-US"/>
        </w:rPr>
        <w:t>c</w:t>
      </w:r>
      <w:r w:rsidRPr="0054215D">
        <w:rPr>
          <w:sz w:val="24"/>
          <w:szCs w:val="24"/>
          <w:shd w:val="clear" w:color="auto" w:fill="FFFFFF"/>
          <w:lang w:val="en-US"/>
        </w:rPr>
        <w:t>obalamin</w:t>
      </w:r>
      <w:r>
        <w:rPr>
          <w:sz w:val="24"/>
          <w:szCs w:val="24"/>
          <w:shd w:val="clear" w:color="auto" w:fill="FFFFFF"/>
          <w:lang w:val="en-US"/>
        </w:rPr>
        <w:t xml:space="preserve">, and Ni in more-more less concentration than Fe is a carcinogen. </w:t>
      </w:r>
    </w:p>
    <w:p w:rsidR="00A57AC4" w:rsidRPr="00800BA0" w:rsidRDefault="00A57AC4" w:rsidP="00A57AC4">
      <w:pPr>
        <w:pStyle w:val="CommentText"/>
        <w:rPr>
          <w:sz w:val="24"/>
          <w:szCs w:val="24"/>
          <w:lang w:val="en-US"/>
        </w:rPr>
      </w:pPr>
    </w:p>
    <w:p w:rsidR="00A57AC4" w:rsidRPr="00446321" w:rsidRDefault="00A57AC4" w:rsidP="00A57AC4">
      <w:pPr>
        <w:pStyle w:val="CommentText"/>
        <w:rPr>
          <w:b/>
          <w:sz w:val="24"/>
          <w:szCs w:val="24"/>
          <w:lang w:val="en-US"/>
        </w:rPr>
      </w:pPr>
      <w:r w:rsidRPr="00446321">
        <w:rPr>
          <w:b/>
          <w:sz w:val="24"/>
          <w:szCs w:val="24"/>
          <w:lang w:val="en-US"/>
        </w:rPr>
        <w:t>Remark K66</w:t>
      </w:r>
    </w:p>
    <w:p w:rsidR="00A57AC4" w:rsidRPr="00800BA0" w:rsidRDefault="00A57AC4" w:rsidP="00A57AC4">
      <w:pPr>
        <w:pStyle w:val="CommentText"/>
        <w:rPr>
          <w:sz w:val="24"/>
          <w:szCs w:val="24"/>
          <w:lang w:val="en-US"/>
        </w:rPr>
      </w:pPr>
      <w:r>
        <w:rPr>
          <w:sz w:val="24"/>
          <w:szCs w:val="24"/>
          <w:lang w:val="en-US"/>
        </w:rPr>
        <w:t xml:space="preserve">3) </w:t>
      </w:r>
      <w:r w:rsidRPr="00800BA0">
        <w:rPr>
          <w:sz w:val="24"/>
          <w:szCs w:val="24"/>
          <w:lang w:val="en-US"/>
        </w:rPr>
        <w:t>You could have given details about which coexistenceof elements that worsen the epidemiological situation</w:t>
      </w:r>
    </w:p>
    <w:p w:rsidR="00A57AC4" w:rsidRPr="00800BA0" w:rsidRDefault="00A57AC4" w:rsidP="00A57AC4">
      <w:pPr>
        <w:pStyle w:val="CommentText"/>
        <w:rPr>
          <w:sz w:val="24"/>
          <w:szCs w:val="24"/>
          <w:lang w:val="en-US"/>
        </w:rPr>
      </w:pPr>
      <w:r w:rsidRPr="00DE6315">
        <w:rPr>
          <w:b/>
          <w:sz w:val="24"/>
          <w:szCs w:val="24"/>
          <w:lang w:val="en-US"/>
        </w:rPr>
        <w:t>Response to Reviewer.</w:t>
      </w:r>
      <w:r>
        <w:rPr>
          <w:sz w:val="24"/>
          <w:szCs w:val="24"/>
          <w:lang w:val="en-US"/>
        </w:rPr>
        <w:t xml:space="preserve">Excuse me, please, but I don’t understand </w:t>
      </w:r>
      <w:r w:rsidRPr="0054215D">
        <w:rPr>
          <w:sz w:val="24"/>
          <w:szCs w:val="24"/>
          <w:lang w:val="en-US"/>
        </w:rPr>
        <w:t>whatever do you mean by that?</w:t>
      </w:r>
    </w:p>
    <w:p w:rsidR="00A57AC4" w:rsidRDefault="00A57AC4" w:rsidP="00A57AC4">
      <w:pPr>
        <w:pStyle w:val="CommentText"/>
        <w:rPr>
          <w:sz w:val="24"/>
          <w:szCs w:val="24"/>
          <w:lang w:val="en-US"/>
        </w:rPr>
      </w:pPr>
    </w:p>
    <w:p w:rsidR="00A57AC4" w:rsidRPr="00446321" w:rsidRDefault="00A57AC4" w:rsidP="00A57AC4">
      <w:pPr>
        <w:pStyle w:val="CommentText"/>
        <w:rPr>
          <w:b/>
          <w:sz w:val="24"/>
          <w:szCs w:val="24"/>
          <w:lang w:val="en-US"/>
        </w:rPr>
      </w:pPr>
      <w:r w:rsidRPr="00446321">
        <w:rPr>
          <w:b/>
          <w:sz w:val="24"/>
          <w:szCs w:val="24"/>
          <w:lang w:val="en-US"/>
        </w:rPr>
        <w:t>Remark K66</w:t>
      </w:r>
    </w:p>
    <w:p w:rsidR="00A57AC4" w:rsidRPr="00800BA0" w:rsidRDefault="00A57AC4" w:rsidP="00A57AC4">
      <w:pPr>
        <w:pStyle w:val="CommentText"/>
        <w:rPr>
          <w:sz w:val="24"/>
          <w:szCs w:val="24"/>
          <w:lang w:val="en-US"/>
        </w:rPr>
      </w:pPr>
      <w:r>
        <w:rPr>
          <w:sz w:val="24"/>
          <w:szCs w:val="24"/>
          <w:lang w:val="en-US"/>
        </w:rPr>
        <w:t xml:space="preserve">4) </w:t>
      </w:r>
      <w:r w:rsidRPr="00800BA0">
        <w:rPr>
          <w:sz w:val="24"/>
          <w:szCs w:val="24"/>
          <w:lang w:val="en-US"/>
        </w:rPr>
        <w:t>In the case of zinc, it’s known that zinc is the most important trace element for central nervous system. In such epidemiological cases. How you can explain that?</w:t>
      </w:r>
    </w:p>
    <w:p w:rsidR="00A57AC4" w:rsidRPr="00800BA0" w:rsidRDefault="00A57AC4" w:rsidP="00A57AC4">
      <w:pPr>
        <w:pStyle w:val="CommentText"/>
        <w:rPr>
          <w:sz w:val="24"/>
          <w:szCs w:val="24"/>
          <w:lang w:val="en-US"/>
        </w:rPr>
      </w:pPr>
      <w:r w:rsidRPr="00800BA0">
        <w:rPr>
          <w:sz w:val="24"/>
          <w:szCs w:val="24"/>
          <w:lang w:val="en-US"/>
        </w:rPr>
        <w:t>Are there any factors responsible for the misdistribution of the Zinc in the body?</w:t>
      </w:r>
    </w:p>
    <w:p w:rsidR="00A57AC4" w:rsidRPr="00E05BCD" w:rsidRDefault="00A57AC4" w:rsidP="00A57AC4">
      <w:pPr>
        <w:jc w:val="both"/>
        <w:rPr>
          <w:lang w:val="en-US"/>
        </w:rPr>
      </w:pPr>
      <w:r w:rsidRPr="00DE6315">
        <w:rPr>
          <w:b/>
          <w:lang w:val="en-US"/>
        </w:rPr>
        <w:t>Response to Reviewer.</w:t>
      </w:r>
      <w:r w:rsidRPr="00E05BCD">
        <w:rPr>
          <w:lang w:val="en-US"/>
        </w:rPr>
        <w:t xml:space="preserve">Zn is very important TE not only </w:t>
      </w:r>
      <w:r>
        <w:rPr>
          <w:lang w:val="en-US"/>
        </w:rPr>
        <w:t>for central nervous system but for all systems of human body. Muscles and skeleton are the main pools of Zn in human body. The highest Zn concentration is in prostate, because Zn is used for prostate secret production. B</w:t>
      </w:r>
      <w:r w:rsidRPr="0007646A">
        <w:rPr>
          <w:lang w:val="en-US"/>
        </w:rPr>
        <w:t>est of my belief</w:t>
      </w:r>
      <w:r>
        <w:rPr>
          <w:lang w:val="en-US"/>
        </w:rPr>
        <w:t xml:space="preserve">, we know nothing about mechanisms which regulate Zn distribution between organs. However, last decades Zn transporters in prostatic cells were found. Using prostate gland physiology as example, it is possible to understand that, similar the situation with I in thyroid,not only Zn deficiency, but overload of this element is very harmful. In developed countries there is no Zn deficiency in general population, but there is problem with Zn overload. The main source of Zn in human food is red meet and for the last century population </w:t>
      </w:r>
      <w:r w:rsidRPr="002E0E3D">
        <w:rPr>
          <w:lang w:val="en-US"/>
        </w:rPr>
        <w:t>consumption</w:t>
      </w:r>
      <w:r>
        <w:rPr>
          <w:lang w:val="en-US"/>
        </w:rPr>
        <w:t xml:space="preserve"> of red meet in developed countries increase in many times.</w:t>
      </w:r>
    </w:p>
    <w:p w:rsidR="00A57AC4" w:rsidRPr="002E0E3D" w:rsidRDefault="00A57AC4" w:rsidP="00A57AC4">
      <w:pPr>
        <w:pStyle w:val="CommentText"/>
        <w:rPr>
          <w:sz w:val="24"/>
          <w:szCs w:val="24"/>
          <w:lang w:val="en-US"/>
        </w:rPr>
      </w:pPr>
      <w:r w:rsidRPr="002E0E3D">
        <w:rPr>
          <w:b/>
          <w:sz w:val="24"/>
          <w:szCs w:val="24"/>
          <w:lang w:val="en-US"/>
        </w:rPr>
        <w:t>Remark K71</w:t>
      </w:r>
      <w:r>
        <w:rPr>
          <w:b/>
          <w:sz w:val="24"/>
          <w:szCs w:val="24"/>
          <w:lang w:val="en-US"/>
        </w:rPr>
        <w:t xml:space="preserve">. </w:t>
      </w:r>
      <w:r w:rsidRPr="002E0E3D">
        <w:rPr>
          <w:sz w:val="24"/>
          <w:szCs w:val="24"/>
          <w:lang w:val="en-US"/>
        </w:rPr>
        <w:t>As the silver located in the same column (‘1B’ of the periodic table) as the gold and copper how it happened only silver induce such damage</w:t>
      </w:r>
    </w:p>
    <w:p w:rsidR="00A57AC4" w:rsidRPr="002E0E3D" w:rsidRDefault="00A57AC4" w:rsidP="00A57AC4">
      <w:pPr>
        <w:pStyle w:val="CommentText"/>
        <w:rPr>
          <w:sz w:val="24"/>
          <w:szCs w:val="24"/>
          <w:lang w:val="en-US"/>
        </w:rPr>
      </w:pPr>
      <w:r w:rsidRPr="002E0E3D">
        <w:rPr>
          <w:sz w:val="24"/>
          <w:szCs w:val="24"/>
          <w:lang w:val="en-US"/>
        </w:rPr>
        <w:t xml:space="preserve">If it is possible you can give more details ‘molecular explanation’  </w:t>
      </w:r>
    </w:p>
    <w:p w:rsidR="00A57AC4" w:rsidRDefault="00A57AC4" w:rsidP="00A57AC4">
      <w:pPr>
        <w:rPr>
          <w:b/>
          <w:lang w:val="en-US"/>
        </w:rPr>
      </w:pPr>
      <w:r w:rsidRPr="00DE6315">
        <w:rPr>
          <w:b/>
          <w:lang w:val="en-US"/>
        </w:rPr>
        <w:lastRenderedPageBreak/>
        <w:t>Response to Reviewer.</w:t>
      </w:r>
    </w:p>
    <w:p w:rsidR="00A57AC4" w:rsidRPr="00084A48" w:rsidRDefault="00A57AC4" w:rsidP="00A57AC4">
      <w:pPr>
        <w:pStyle w:val="ListParagraph"/>
        <w:numPr>
          <w:ilvl w:val="0"/>
          <w:numId w:val="27"/>
        </w:numPr>
        <w:spacing w:after="0" w:line="240" w:lineRule="auto"/>
        <w:rPr>
          <w:rFonts w:ascii="Times New Roman" w:hAnsi="Times New Roman" w:cs="Times New Roman"/>
          <w:sz w:val="24"/>
          <w:szCs w:val="24"/>
          <w:lang w:val="en-US"/>
        </w:rPr>
      </w:pPr>
      <w:r w:rsidRPr="00084A48">
        <w:rPr>
          <w:rFonts w:ascii="Times New Roman" w:hAnsi="Times New Roman" w:cs="Times New Roman"/>
          <w:sz w:val="24"/>
          <w:szCs w:val="24"/>
          <w:lang w:val="en-US"/>
        </w:rPr>
        <w:t>Ag concentration in human tissues and fluids at least order of magnitude higher, than Au concentration;</w:t>
      </w:r>
    </w:p>
    <w:p w:rsidR="00A57AC4" w:rsidRPr="00084A48" w:rsidRDefault="00A57AC4" w:rsidP="00A57AC4">
      <w:pPr>
        <w:pStyle w:val="ListParagraph"/>
        <w:numPr>
          <w:ilvl w:val="0"/>
          <w:numId w:val="27"/>
        </w:numPr>
        <w:spacing w:after="0" w:line="240" w:lineRule="auto"/>
        <w:rPr>
          <w:rFonts w:ascii="Times New Roman" w:hAnsi="Times New Roman" w:cs="Times New Roman"/>
          <w:sz w:val="24"/>
          <w:szCs w:val="24"/>
          <w:lang w:val="en-US"/>
        </w:rPr>
      </w:pPr>
      <w:r w:rsidRPr="00084A48">
        <w:rPr>
          <w:rFonts w:ascii="Times New Roman" w:hAnsi="Times New Roman" w:cs="Times New Roman"/>
          <w:sz w:val="24"/>
          <w:szCs w:val="24"/>
          <w:lang w:val="en-US"/>
        </w:rPr>
        <w:t>There are a few publications on the role of Cu excess in carcinogenesis;</w:t>
      </w:r>
    </w:p>
    <w:p w:rsidR="00A57AC4" w:rsidRPr="00084A48" w:rsidRDefault="00A57AC4" w:rsidP="00A57AC4">
      <w:pPr>
        <w:pStyle w:val="ListParagraph"/>
        <w:numPr>
          <w:ilvl w:val="0"/>
          <w:numId w:val="27"/>
        </w:numPr>
        <w:spacing w:after="0" w:line="240" w:lineRule="auto"/>
        <w:rPr>
          <w:rFonts w:ascii="Times New Roman" w:hAnsi="Times New Roman" w:cs="Times New Roman"/>
          <w:sz w:val="24"/>
          <w:szCs w:val="24"/>
          <w:lang w:val="en-US"/>
        </w:rPr>
      </w:pPr>
      <w:r w:rsidRPr="00084A48">
        <w:rPr>
          <w:rFonts w:ascii="Times New Roman" w:hAnsi="Times New Roman" w:cs="Times New Roman"/>
          <w:sz w:val="24"/>
          <w:szCs w:val="24"/>
          <w:lang w:val="en-US"/>
        </w:rPr>
        <w:t>There is nothing about ‘damage”</w:t>
      </w:r>
      <w:r>
        <w:rPr>
          <w:rFonts w:ascii="Times New Roman" w:hAnsi="Times New Roman" w:cs="Times New Roman"/>
          <w:sz w:val="24"/>
          <w:szCs w:val="24"/>
          <w:lang w:val="en-US"/>
        </w:rPr>
        <w:t xml:space="preserve"> in manuscript. It was only a statement of fact that Ag contents in </w:t>
      </w:r>
      <w:r>
        <w:rPr>
          <w:rFonts w:ascii="Times New Roman" w:hAnsi="Times New Roman" w:cs="Times New Roman"/>
          <w:bCs/>
          <w:kern w:val="36"/>
          <w:sz w:val="24"/>
          <w:szCs w:val="24"/>
          <w:lang w:val="en-US"/>
        </w:rPr>
        <w:t>t</w:t>
      </w:r>
      <w:r w:rsidRPr="00084A48">
        <w:rPr>
          <w:rFonts w:ascii="Times New Roman" w:hAnsi="Times New Roman" w:cs="Times New Roman"/>
          <w:bCs/>
          <w:kern w:val="36"/>
          <w:sz w:val="24"/>
          <w:szCs w:val="24"/>
          <w:lang w:val="en-US"/>
        </w:rPr>
        <w:t xml:space="preserve">hyroid </w:t>
      </w:r>
      <w:r>
        <w:rPr>
          <w:rStyle w:val="y2iqfc"/>
          <w:rFonts w:ascii="Times New Roman" w:eastAsia="Arial Unicode MS" w:hAnsi="Times New Roman"/>
          <w:sz w:val="24"/>
          <w:szCs w:val="24"/>
          <w:lang w:val="en-US"/>
        </w:rPr>
        <w:t>h</w:t>
      </w:r>
      <w:r w:rsidRPr="00084A48">
        <w:rPr>
          <w:rStyle w:val="y2iqfc"/>
          <w:rFonts w:ascii="Times New Roman" w:eastAsia="Arial Unicode MS" w:hAnsi="Times New Roman"/>
          <w:sz w:val="24"/>
          <w:szCs w:val="24"/>
          <w:lang w:val="en-US"/>
        </w:rPr>
        <w:t xml:space="preserve">ypertrophic </w:t>
      </w:r>
      <w:r>
        <w:rPr>
          <w:rFonts w:ascii="Times New Roman" w:hAnsi="Times New Roman" w:cs="Times New Roman"/>
          <w:bCs/>
          <w:kern w:val="36"/>
          <w:sz w:val="24"/>
          <w:szCs w:val="24"/>
          <w:lang w:val="en-US"/>
        </w:rPr>
        <w:t>and a</w:t>
      </w:r>
      <w:r w:rsidRPr="00084A48">
        <w:rPr>
          <w:rFonts w:ascii="Times New Roman" w:hAnsi="Times New Roman" w:cs="Times New Roman"/>
          <w:bCs/>
          <w:kern w:val="36"/>
          <w:sz w:val="24"/>
          <w:szCs w:val="24"/>
          <w:lang w:val="en-US"/>
        </w:rPr>
        <w:t>denomatous</w:t>
      </w:r>
      <w:r>
        <w:rPr>
          <w:rFonts w:ascii="Times New Roman" w:hAnsi="Times New Roman" w:cs="Times New Roman"/>
          <w:bCs/>
          <w:kern w:val="36"/>
          <w:sz w:val="24"/>
          <w:szCs w:val="24"/>
          <w:lang w:val="en-US"/>
        </w:rPr>
        <w:t xml:space="preserve"> tissue significantly higher than in normal gland.</w:t>
      </w:r>
    </w:p>
    <w:p w:rsidR="00A57AC4" w:rsidRPr="00084A48" w:rsidRDefault="00A57AC4" w:rsidP="00A57AC4">
      <w:pPr>
        <w:pStyle w:val="CommentText"/>
        <w:rPr>
          <w:sz w:val="24"/>
          <w:szCs w:val="24"/>
          <w:lang w:val="en-US"/>
        </w:rPr>
      </w:pPr>
    </w:p>
    <w:p w:rsidR="00A57AC4" w:rsidRPr="00084A48" w:rsidRDefault="00A57AC4" w:rsidP="00A57AC4">
      <w:pPr>
        <w:pStyle w:val="CommentText"/>
        <w:rPr>
          <w:b/>
          <w:sz w:val="24"/>
          <w:szCs w:val="24"/>
          <w:lang w:val="en-US"/>
        </w:rPr>
      </w:pPr>
      <w:r w:rsidRPr="00084A48">
        <w:rPr>
          <w:b/>
          <w:sz w:val="24"/>
          <w:szCs w:val="24"/>
          <w:lang w:val="en-US"/>
        </w:rPr>
        <w:t>Remark K118</w:t>
      </w:r>
    </w:p>
    <w:p w:rsidR="00A57AC4" w:rsidRPr="00084A48" w:rsidRDefault="00A57AC4" w:rsidP="00A57AC4">
      <w:pPr>
        <w:jc w:val="both"/>
        <w:rPr>
          <w:lang w:val="en-US"/>
        </w:rPr>
      </w:pPr>
      <w:r w:rsidRPr="00084A48">
        <w:rPr>
          <w:lang w:val="en-US"/>
        </w:rPr>
        <w:t>Please follow the journal specifications for references. Please add DOI to articles if available. For example</w:t>
      </w:r>
    </w:p>
    <w:p w:rsidR="00A57AC4" w:rsidRDefault="00A57AC4" w:rsidP="00A57AC4">
      <w:pPr>
        <w:rPr>
          <w:rStyle w:val="Hyperlink"/>
          <w:lang w:val="en-US"/>
        </w:rPr>
      </w:pPr>
      <w:r w:rsidRPr="00084A48">
        <w:rPr>
          <w:lang w:val="en-US"/>
        </w:rPr>
        <w:t>Ishak AA, Alhadi AM, Al-Shamahy HA. Local experience of telemedicine: examples of cases in Yemen. Universal Journal of Pharmaceutical Research 2021; 6(1):34-37.</w:t>
      </w:r>
      <w:r w:rsidRPr="00084A48">
        <w:rPr>
          <w:color w:val="000000"/>
          <w:lang w:val="en-US"/>
        </w:rPr>
        <w:br/>
      </w:r>
      <w:hyperlink r:id="rId150" w:history="1">
        <w:r w:rsidRPr="00245921">
          <w:rPr>
            <w:rStyle w:val="Hyperlink"/>
            <w:lang w:val="en-US"/>
          </w:rPr>
          <w:t>https://doi.org/10.22270/ujpr.v6i1.537</w:t>
        </w:r>
      </w:hyperlink>
    </w:p>
    <w:p w:rsidR="00A57AC4" w:rsidRDefault="00A57AC4" w:rsidP="00A57AC4">
      <w:pPr>
        <w:rPr>
          <w:lang w:val="en-US"/>
        </w:rPr>
      </w:pPr>
      <w:r w:rsidRPr="00DE6315">
        <w:rPr>
          <w:b/>
          <w:lang w:val="en-US"/>
        </w:rPr>
        <w:t>Response to Reviewer.</w:t>
      </w:r>
      <w:r>
        <w:rPr>
          <w:lang w:val="en-US"/>
        </w:rPr>
        <w:t>It was done.</w:t>
      </w:r>
    </w:p>
    <w:p w:rsidR="00A57AC4" w:rsidRPr="00084A48" w:rsidRDefault="00A57AC4" w:rsidP="00A57AC4">
      <w:pPr>
        <w:rPr>
          <w:b/>
          <w:color w:val="00B050"/>
          <w:lang w:val="en-US"/>
        </w:rPr>
      </w:pPr>
    </w:p>
    <w:p w:rsidR="00A57AC4" w:rsidRPr="00084A48" w:rsidRDefault="00A57AC4" w:rsidP="00A57AC4">
      <w:pPr>
        <w:pStyle w:val="CommentText"/>
        <w:rPr>
          <w:b/>
          <w:sz w:val="24"/>
          <w:szCs w:val="24"/>
          <w:lang w:val="en-US"/>
        </w:rPr>
      </w:pPr>
      <w:r w:rsidRPr="00084A48">
        <w:rPr>
          <w:b/>
          <w:sz w:val="24"/>
          <w:szCs w:val="24"/>
          <w:lang w:val="en-US"/>
        </w:rPr>
        <w:t>Remark K119</w:t>
      </w:r>
    </w:p>
    <w:p w:rsidR="00A57AC4" w:rsidRPr="00053456" w:rsidRDefault="00A57AC4" w:rsidP="00A57AC4">
      <w:pPr>
        <w:pStyle w:val="CommentText"/>
        <w:rPr>
          <w:sz w:val="24"/>
          <w:szCs w:val="24"/>
          <w:lang w:val="de-DE"/>
        </w:rPr>
      </w:pPr>
      <w:r w:rsidRPr="00084A48">
        <w:rPr>
          <w:sz w:val="24"/>
          <w:szCs w:val="24"/>
          <w:lang w:val="de-DE"/>
        </w:rPr>
        <w:t xml:space="preserve">Ref. 6 </w:t>
      </w:r>
      <w:r w:rsidRPr="00084A48">
        <w:rPr>
          <w:sz w:val="24"/>
          <w:szCs w:val="24"/>
          <w:lang w:val="en-US"/>
        </w:rPr>
        <w:t>Zaichick V, Iljina</w:t>
      </w:r>
      <w:r w:rsidRPr="00053456">
        <w:rPr>
          <w:sz w:val="24"/>
          <w:szCs w:val="24"/>
          <w:lang w:val="en-US"/>
        </w:rPr>
        <w:t xml:space="preserve">T. Dietary iodine supplementation effect on the rat thyroid </w:t>
      </w:r>
      <w:r w:rsidRPr="00053456">
        <w:rPr>
          <w:sz w:val="24"/>
          <w:szCs w:val="24"/>
          <w:vertAlign w:val="superscript"/>
          <w:lang w:val="en-US"/>
        </w:rPr>
        <w:t>131</w:t>
      </w:r>
      <w:r w:rsidRPr="00053456">
        <w:rPr>
          <w:sz w:val="24"/>
          <w:szCs w:val="24"/>
          <w:lang w:val="en-US"/>
        </w:rPr>
        <w:t xml:space="preserve">I blastomogenic action. </w:t>
      </w:r>
      <w:r w:rsidRPr="00053456">
        <w:rPr>
          <w:sz w:val="24"/>
          <w:szCs w:val="24"/>
          <w:lang w:val="de-DE"/>
        </w:rPr>
        <w:t>In: Die Bedentung der Mengen- und Spurenelemente. 18. Arbeitstangung. Jena: Friedrich-Schiller-Universitat; 1998. p. 294-306.</w:t>
      </w:r>
    </w:p>
    <w:p w:rsidR="00A57AC4" w:rsidRPr="00053456" w:rsidRDefault="00A57AC4" w:rsidP="00A57AC4">
      <w:pPr>
        <w:pStyle w:val="CommentText"/>
        <w:rPr>
          <w:sz w:val="24"/>
          <w:szCs w:val="24"/>
          <w:lang w:val="en-US"/>
        </w:rPr>
      </w:pPr>
      <w:r w:rsidRPr="00053456">
        <w:rPr>
          <w:sz w:val="24"/>
          <w:szCs w:val="24"/>
          <w:lang w:val="en-US"/>
        </w:rPr>
        <w:t>Author has cited his own work in reference section. Author should replace/add others references. This is against the polices of the journal. There is a need of justification from the author for this.</w:t>
      </w:r>
    </w:p>
    <w:p w:rsidR="00A57AC4" w:rsidRPr="00053456" w:rsidRDefault="00A57AC4" w:rsidP="00A57AC4">
      <w:pPr>
        <w:rPr>
          <w:lang w:val="en-US"/>
        </w:rPr>
      </w:pPr>
      <w:r w:rsidRPr="00053456">
        <w:rPr>
          <w:b/>
          <w:lang w:val="en-US"/>
        </w:rPr>
        <w:t>Response to Reviewer.</w:t>
      </w:r>
      <w:r w:rsidRPr="00053456">
        <w:rPr>
          <w:lang w:val="en-US"/>
        </w:rPr>
        <w:t>I was one of the first who found in experimental studies the iodine supplementation effect on blastomogenic action in thyroid. Now this fact was confirmed by many epidemiological studies. However, up to now in PubMed and Internet there is nothing about the experimental study results on the topic “iodine supplementation effect on blastomogenic action in thyroid”. Thus, it is impossible to add others references</w:t>
      </w:r>
      <w:r>
        <w:rPr>
          <w:lang w:val="en-US"/>
        </w:rPr>
        <w:t xml:space="preserve"> on the subject.</w:t>
      </w:r>
    </w:p>
    <w:p w:rsidR="00A57AC4" w:rsidRPr="00053456" w:rsidRDefault="00A57AC4" w:rsidP="00A57AC4">
      <w:pPr>
        <w:jc w:val="both"/>
        <w:rPr>
          <w:lang w:val="en-US"/>
        </w:rPr>
      </w:pPr>
    </w:p>
    <w:p w:rsidR="00A57AC4" w:rsidRDefault="00A57AC4" w:rsidP="00A57AC4">
      <w:pPr>
        <w:jc w:val="both"/>
        <w:rPr>
          <w:lang w:val="en-US"/>
        </w:rPr>
      </w:pPr>
      <w:r>
        <w:rPr>
          <w:lang w:val="en-US"/>
        </w:rPr>
        <w:t xml:space="preserve">“Medical elementology” is a relative new direction of science. This direction is on the first phenomenological step of development. On the phenomenological step of development the main task is finding and collection the </w:t>
      </w:r>
      <w:r w:rsidRPr="00101E78">
        <w:rPr>
          <w:lang w:val="en-US"/>
        </w:rPr>
        <w:t>reliable</w:t>
      </w:r>
      <w:r>
        <w:rPr>
          <w:lang w:val="en-US"/>
        </w:rPr>
        <w:t xml:space="preserve"> results. When the collection of </w:t>
      </w:r>
      <w:r w:rsidRPr="00101E78">
        <w:rPr>
          <w:lang w:val="en-US"/>
        </w:rPr>
        <w:t>reliable</w:t>
      </w:r>
      <w:r>
        <w:rPr>
          <w:lang w:val="en-US"/>
        </w:rPr>
        <w:t xml:space="preserve"> results will be quite enough, more deep interpretations of results could be available. </w:t>
      </w:r>
      <w:bookmarkStart w:id="133" w:name="_GoBack"/>
      <w:bookmarkEnd w:id="133"/>
    </w:p>
    <w:p w:rsidR="00A57AC4" w:rsidRPr="00F82764" w:rsidRDefault="00A57AC4" w:rsidP="00A57AC4">
      <w:pPr>
        <w:jc w:val="both"/>
        <w:rPr>
          <w:lang w:val="en-US"/>
        </w:rPr>
      </w:pPr>
      <w:r w:rsidRPr="00053456">
        <w:rPr>
          <w:lang w:val="en-US"/>
        </w:rPr>
        <w:t>I agree that you have raised</w:t>
      </w:r>
      <w:r w:rsidRPr="00F82764">
        <w:rPr>
          <w:lang w:val="en-US"/>
        </w:rPr>
        <w:t xml:space="preserve"> several valid, most interesting and important points in your comments on </w:t>
      </w:r>
      <w:r>
        <w:rPr>
          <w:lang w:val="en-US"/>
        </w:rPr>
        <w:t>my</w:t>
      </w:r>
      <w:r w:rsidRPr="00F82764">
        <w:rPr>
          <w:lang w:val="en-US"/>
        </w:rPr>
        <w:t xml:space="preserve"> work. However </w:t>
      </w:r>
      <w:r>
        <w:rPr>
          <w:lang w:val="en-US"/>
        </w:rPr>
        <w:t>I</w:t>
      </w:r>
      <w:r w:rsidRPr="00F82764">
        <w:rPr>
          <w:lang w:val="en-US"/>
        </w:rPr>
        <w:t xml:space="preserve"> respectfully suggest that the present work contains sufficient new material to allow for publication in its corrected version.  </w:t>
      </w:r>
    </w:p>
    <w:p w:rsidR="00A57AC4" w:rsidRPr="00F82764" w:rsidRDefault="00A57AC4" w:rsidP="00A57AC4">
      <w:pPr>
        <w:rPr>
          <w:lang w:val="en-US"/>
        </w:rPr>
      </w:pPr>
      <w:r w:rsidRPr="00F82764">
        <w:rPr>
          <w:lang w:val="en-US"/>
        </w:rPr>
        <w:t xml:space="preserve">Thank you again very much for the time and trouble you took to review this paper.  </w:t>
      </w:r>
    </w:p>
    <w:p w:rsidR="00A57AC4" w:rsidRPr="00F82764" w:rsidRDefault="00A57AC4" w:rsidP="00A57AC4">
      <w:pPr>
        <w:rPr>
          <w:lang w:val="en-US"/>
        </w:rPr>
      </w:pPr>
    </w:p>
    <w:p w:rsidR="00A57AC4" w:rsidRPr="00F82764" w:rsidRDefault="00A57AC4" w:rsidP="00A57AC4">
      <w:pPr>
        <w:rPr>
          <w:lang w:val="en-US"/>
        </w:rPr>
      </w:pPr>
      <w:r w:rsidRPr="00F82764">
        <w:rPr>
          <w:lang w:val="en-US"/>
        </w:rPr>
        <w:t>Kind regards.</w:t>
      </w:r>
    </w:p>
    <w:p w:rsidR="00A57AC4" w:rsidRPr="00F82764" w:rsidRDefault="00A57AC4" w:rsidP="00A57AC4">
      <w:pPr>
        <w:rPr>
          <w:lang w:val="en-US"/>
        </w:rPr>
      </w:pPr>
      <w:r w:rsidRPr="00F82764">
        <w:rPr>
          <w:lang w:val="en-US"/>
        </w:rPr>
        <w:t>Vladimir Zaichick</w:t>
      </w:r>
    </w:p>
    <w:p w:rsidR="00A57AC4" w:rsidRPr="009106A9" w:rsidRDefault="00A57AC4" w:rsidP="00204280">
      <w:pPr>
        <w:ind w:left="357"/>
        <w:rPr>
          <w:b/>
          <w:bCs/>
          <w:lang w:val="en-US"/>
        </w:rPr>
      </w:pPr>
    </w:p>
    <w:sectPr w:rsidR="00A57AC4" w:rsidRPr="009106A9" w:rsidSect="00204280">
      <w:headerReference w:type="even" r:id="rId151"/>
      <w:headerReference w:type="default" r:id="rId152"/>
      <w:footerReference w:type="even" r:id="rId153"/>
      <w:footerReference w:type="default" r:id="rId154"/>
      <w:headerReference w:type="first" r:id="rId155"/>
      <w:footerReference w:type="first" r:id="rId156"/>
      <w:pgSz w:w="11906" w:h="16838"/>
      <w:pgMar w:top="180" w:right="851" w:bottom="360" w:left="1418" w:header="170"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12-01T21:44:00Z" w:initials="K">
    <w:p w:rsidR="00BA7456" w:rsidRDefault="00BA7456" w:rsidP="00BA7456">
      <w:pPr>
        <w:rPr>
          <w:rFonts w:ascii="Bookman Old Style" w:hAnsi="Bookman Old Style"/>
        </w:rPr>
      </w:pPr>
      <w:r>
        <w:rPr>
          <w:rStyle w:val="CommentReference"/>
        </w:rPr>
        <w:annotationRef/>
      </w:r>
      <w:r>
        <w:rPr>
          <w:rFonts w:ascii="Bookman Old Style" w:hAnsi="Bookman Old Style"/>
          <w:noProof/>
          <w:lang w:val="en-US" w:eastAsia="en-US"/>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BA7456" w:rsidRPr="00B07E1A" w:rsidRDefault="00BA7456" w:rsidP="00BA7456">
      <w:pPr>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highlight w:val="green"/>
        </w:rPr>
        <w:t>=</w:t>
      </w:r>
      <w:r w:rsidRPr="00B07E1A">
        <w:rPr>
          <w:rFonts w:ascii="Bookman Old Style" w:hAnsi="Bookman Old Style"/>
        </w:rPr>
        <w:t xml:space="preserve">  </w:t>
      </w:r>
      <w:r w:rsidRPr="00502FAD">
        <w:rPr>
          <w:rFonts w:ascii="Bookman Old Style" w:hAnsi="Bookman Old Style"/>
          <w:highlight w:val="green"/>
        </w:rPr>
        <w:t>5</w:t>
      </w:r>
      <w:r>
        <w:rPr>
          <w:rFonts w:ascii="Bookman Old Style" w:hAnsi="Bookman Old Style"/>
          <w:highlight w:val="green"/>
          <w:lang w:val="en-US"/>
        </w:rPr>
        <w:t>2</w:t>
      </w:r>
      <w:r w:rsidRPr="00502FAD">
        <w:rPr>
          <w:rFonts w:ascii="Bookman Old Style" w:hAnsi="Bookman Old Style"/>
          <w:highlight w:val="green"/>
        </w:rPr>
        <w:t>%</w:t>
      </w:r>
      <w:r w:rsidRPr="00B07E1A">
        <w:rPr>
          <w:rFonts w:ascii="Bookman Old Style" w:hAnsi="Bookman Old Style"/>
        </w:rPr>
        <w:t xml:space="preserve"> </w:t>
      </w:r>
    </w:p>
    <w:p w:rsidR="00BA7456" w:rsidRPr="00E41274" w:rsidRDefault="00BA7456" w:rsidP="00BA7456">
      <w:pPr>
        <w:rPr>
          <w:rFonts w:ascii="Bookman Old Style" w:hAnsi="Bookman Old Style"/>
        </w:rPr>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p w:rsidR="00BA7456" w:rsidRDefault="00BA7456">
      <w:pPr>
        <w:pStyle w:val="CommentText"/>
      </w:pPr>
    </w:p>
  </w:comment>
  <w:comment w:id="1" w:author="Kapil" w:date="2021-12-01T21:47:00Z" w:initials="K">
    <w:p w:rsidR="004A5972" w:rsidRPr="004A5972" w:rsidRDefault="004A5972">
      <w:pPr>
        <w:pStyle w:val="CommentText"/>
        <w:rPr>
          <w:lang w:val="en-US"/>
        </w:rPr>
      </w:pPr>
      <w:r>
        <w:rPr>
          <w:rStyle w:val="CommentReference"/>
        </w:rPr>
        <w:annotationRef/>
      </w:r>
      <w:r>
        <w:rPr>
          <w:lang w:val="en-US"/>
        </w:rPr>
        <w:t xml:space="preserve">Author should modify the title, in order to reflect work impressively. It may be like  </w:t>
      </w:r>
      <w:r w:rsidRPr="004A5972">
        <w:rPr>
          <w:b/>
          <w:lang w:val="en-US"/>
        </w:rPr>
        <w:t>The Role of</w:t>
      </w:r>
      <w:r>
        <w:rPr>
          <w:lang w:val="en-US"/>
        </w:rPr>
        <w:t xml:space="preserve"> </w:t>
      </w:r>
      <w:r w:rsidRPr="00FB6F8C">
        <w:rPr>
          <w:b/>
          <w:bCs/>
          <w:kern w:val="36"/>
          <w:lang w:val="en-US"/>
        </w:rPr>
        <w:t xml:space="preserve">Trace Elements in Thyroid </w:t>
      </w:r>
      <w:r w:rsidRPr="00FB6F8C">
        <w:rPr>
          <w:rStyle w:val="y2iqfc"/>
          <w:b/>
          <w:lang w:val="en-US"/>
        </w:rPr>
        <w:t xml:space="preserve">Hypertrophic </w:t>
      </w:r>
      <w:r w:rsidRPr="00FB6F8C">
        <w:rPr>
          <w:b/>
          <w:bCs/>
          <w:kern w:val="36"/>
          <w:lang w:val="en-US"/>
        </w:rPr>
        <w:t>and Adenomatous Transformation</w:t>
      </w:r>
      <w:r>
        <w:rPr>
          <w:lang w:val="en-US"/>
        </w:rPr>
        <w:t xml:space="preserve"> </w:t>
      </w:r>
    </w:p>
  </w:comment>
  <w:comment w:id="2" w:author="Kapil" w:date="2021-12-01T21:22:00Z" w:initials="K">
    <w:p w:rsidR="007041A6" w:rsidRDefault="007041A6" w:rsidP="007041A6">
      <w:pPr>
        <w:pStyle w:val="HTMLPreformatted"/>
        <w:shd w:val="clear" w:color="auto" w:fill="F8F9FA"/>
        <w:spacing w:line="360" w:lineRule="atLeast"/>
        <w:rPr>
          <w:rStyle w:val="y2iqfc"/>
          <w:rFonts w:ascii="inherit" w:hAnsi="inherit"/>
          <w:color w:val="202124"/>
          <w:sz w:val="28"/>
          <w:szCs w:val="28"/>
        </w:rPr>
      </w:pPr>
      <w:r>
        <w:rPr>
          <w:rStyle w:val="CommentReference"/>
        </w:rPr>
        <w:annotationRef/>
      </w:r>
      <w:r>
        <w:rPr>
          <w:rStyle w:val="y2iqfc"/>
          <w:rFonts w:ascii="inherit" w:hAnsi="inherit"/>
          <w:color w:val="202124"/>
          <w:sz w:val="28"/>
          <w:szCs w:val="28"/>
        </w:rPr>
        <w:t>This article is one of the best original articles I have reviewed, well analyzed, discussed, and highlighted in the detection and analysis of some of the TE that other researchers have not done before (i.e. among the first).</w:t>
      </w:r>
    </w:p>
    <w:p w:rsidR="007041A6" w:rsidRDefault="007041A6" w:rsidP="007041A6">
      <w:pPr>
        <w:pStyle w:val="HTMLPreformatted"/>
        <w:shd w:val="clear" w:color="auto" w:fill="F8F9FA"/>
        <w:spacing w:line="360" w:lineRule="atLeast"/>
        <w:rPr>
          <w:rStyle w:val="y2iqfc"/>
          <w:rFonts w:ascii="inherit" w:hAnsi="inherit"/>
          <w:color w:val="202124"/>
          <w:sz w:val="28"/>
          <w:szCs w:val="28"/>
        </w:rPr>
      </w:pPr>
      <w:r>
        <w:rPr>
          <w:rStyle w:val="y2iqfc"/>
          <w:rFonts w:ascii="inherit" w:hAnsi="inherit"/>
          <w:color w:val="202124"/>
          <w:sz w:val="28"/>
          <w:szCs w:val="28"/>
        </w:rPr>
        <w:t>God bless you.</w:t>
      </w:r>
    </w:p>
    <w:p w:rsidR="007041A6" w:rsidRPr="0036454E" w:rsidRDefault="007041A6" w:rsidP="007041A6">
      <w:pPr>
        <w:pStyle w:val="HTMLPreformatted"/>
        <w:shd w:val="clear" w:color="auto" w:fill="F8F9FA"/>
        <w:spacing w:line="360" w:lineRule="atLeast"/>
      </w:pPr>
      <w:r>
        <w:rPr>
          <w:rStyle w:val="y2iqfc"/>
          <w:rFonts w:ascii="inherit" w:hAnsi="inherit"/>
          <w:color w:val="202124"/>
          <w:sz w:val="28"/>
          <w:szCs w:val="28"/>
        </w:rPr>
        <w:t>My comments in the article are just to correct or change the structure of some sentences so that people like me (the general public) can understand this scholarly document.</w:t>
      </w:r>
      <w:r>
        <w:t xml:space="preserve"> </w:t>
      </w:r>
    </w:p>
    <w:p w:rsidR="007041A6" w:rsidRDefault="007041A6">
      <w:pPr>
        <w:pStyle w:val="CommentText"/>
      </w:pPr>
    </w:p>
  </w:comment>
  <w:comment w:id="3" w:author="DELL" w:date="2021-12-01T21:21:00Z" w:initials="D">
    <w:p w:rsidR="007041A6" w:rsidRPr="00776810" w:rsidRDefault="007041A6" w:rsidP="007041A6">
      <w:pPr>
        <w:pStyle w:val="CommentText"/>
        <w:rPr>
          <w:lang w:val="en-US"/>
        </w:rPr>
      </w:pPr>
      <w:r>
        <w:rPr>
          <w:rStyle w:val="CommentReference"/>
        </w:rPr>
        <w:annotationRef/>
      </w:r>
      <w:r>
        <w:rPr>
          <w:lang w:val="en-US"/>
        </w:rPr>
        <w:t xml:space="preserve">Add: the </w:t>
      </w:r>
    </w:p>
  </w:comment>
  <w:comment w:id="4" w:author="Kapil" w:date="2021-12-01T21:27:00Z" w:initials="K">
    <w:p w:rsidR="007041A6" w:rsidRPr="00BA331D" w:rsidRDefault="007041A6" w:rsidP="007041A6">
      <w:pPr>
        <w:pStyle w:val="NormalWeb"/>
        <w:rPr>
          <w:rFonts w:ascii="Arial" w:hAnsi="Arial" w:cs="Arial"/>
        </w:rPr>
      </w:pPr>
      <w:r>
        <w:rPr>
          <w:rStyle w:val="CommentReference"/>
        </w:rPr>
        <w:annotationRef/>
      </w:r>
      <w:r w:rsidRPr="00BA331D">
        <w:rPr>
          <w:rFonts w:ascii="Arial" w:hAnsi="Arial" w:cs="Arial"/>
        </w:rPr>
        <w:t>The work is original, but the author was not meticulous in discussing the results.</w:t>
      </w:r>
    </w:p>
    <w:p w:rsidR="007041A6" w:rsidRDefault="007041A6" w:rsidP="007041A6">
      <w:pPr>
        <w:pStyle w:val="CommentText"/>
      </w:pPr>
      <w:r w:rsidRPr="00BA331D">
        <w:rPr>
          <w:rFonts w:ascii="Arial" w:hAnsi="Arial" w:cs="Arial"/>
        </w:rPr>
        <w:t>The author should better eliminate some superfluous references for improving this article.</w:t>
      </w:r>
    </w:p>
  </w:comment>
  <w:comment w:id="5" w:author="Kapil" w:date="2021-12-01T21:29:00Z" w:initials="K">
    <w:p w:rsidR="007041A6" w:rsidRPr="00D404E6" w:rsidRDefault="007041A6" w:rsidP="007041A6">
      <w:pPr>
        <w:pStyle w:val="CommentText"/>
        <w:rPr>
          <w:lang w:val="en-US"/>
        </w:rPr>
      </w:pPr>
      <w:r>
        <w:rPr>
          <w:rStyle w:val="CommentReference"/>
        </w:rPr>
        <w:annotationRef/>
      </w:r>
      <w:r>
        <w:rPr>
          <w:rStyle w:val="CommentReference"/>
        </w:rPr>
        <w:annotationRef/>
      </w:r>
      <w:r w:rsidRPr="00D404E6">
        <w:rPr>
          <w:lang w:val="en-US"/>
        </w:rPr>
        <w:t>The nodules are not lesions ‘</w:t>
      </w:r>
      <w:r>
        <w:rPr>
          <w:lang w:val="en-US"/>
        </w:rPr>
        <w:t>would you like to say, that they can result in lesions?’</w:t>
      </w:r>
    </w:p>
    <w:p w:rsidR="007041A6" w:rsidRDefault="007041A6">
      <w:pPr>
        <w:pStyle w:val="CommentText"/>
      </w:pPr>
    </w:p>
  </w:comment>
  <w:comment w:id="6" w:author="DELL" w:date="2021-11-25T19:44:00Z" w:initials="D">
    <w:p w:rsidR="007041A6" w:rsidRDefault="007041A6">
      <w:pPr>
        <w:pStyle w:val="CommentText"/>
      </w:pPr>
      <w:r>
        <w:rPr>
          <w:rStyle w:val="CommentReference"/>
        </w:rPr>
        <w:annotationRef/>
      </w:r>
      <w:r w:rsidRPr="00B4513E">
        <w:rPr>
          <w:rFonts w:ascii="inherit" w:hAnsi="inherit" w:cs="Courier New"/>
          <w:color w:val="202124"/>
          <w:sz w:val="28"/>
          <w:lang w:eastAsia="en-US"/>
        </w:rPr>
        <w:t>and are common worldwide</w:t>
      </w:r>
    </w:p>
  </w:comment>
  <w:comment w:id="7" w:author="DELL" w:date="2021-11-25T19:48:00Z" w:initials="D">
    <w:p w:rsidR="007041A6" w:rsidRDefault="007041A6">
      <w:pPr>
        <w:pStyle w:val="CommentText"/>
      </w:pPr>
      <w:r>
        <w:rPr>
          <w:rStyle w:val="CommentReference"/>
        </w:rPr>
        <w:annotationRef/>
      </w:r>
      <w:r w:rsidRPr="00B4513E">
        <w:rPr>
          <w:rFonts w:ascii="inherit" w:hAnsi="inherit" w:cs="Courier New"/>
          <w:color w:val="202124"/>
          <w:sz w:val="28"/>
          <w:lang w:eastAsia="en-US"/>
        </w:rPr>
        <w:t>Evaluation</w:t>
      </w:r>
    </w:p>
  </w:comment>
  <w:comment w:id="8" w:author="DELL" w:date="2021-11-25T19:50:00Z" w:initials="D">
    <w:p w:rsidR="007041A6" w:rsidRPr="00860C9F" w:rsidRDefault="007041A6">
      <w:pPr>
        <w:pStyle w:val="CommentText"/>
        <w:rPr>
          <w:lang w:val="en-US"/>
        </w:rPr>
      </w:pPr>
      <w:r>
        <w:rPr>
          <w:rStyle w:val="CommentReference"/>
        </w:rPr>
        <w:annotationRef/>
      </w:r>
      <w:r>
        <w:rPr>
          <w:lang w:val="en-US"/>
        </w:rPr>
        <w:t>delete</w:t>
      </w:r>
    </w:p>
  </w:comment>
  <w:comment w:id="9" w:author="DELL" w:date="2021-11-25T19:51:00Z" w:initials="D">
    <w:p w:rsidR="007041A6" w:rsidRDefault="007041A6">
      <w:pPr>
        <w:pStyle w:val="CommentText"/>
      </w:pPr>
      <w:r>
        <w:rPr>
          <w:rStyle w:val="CommentReference"/>
        </w:rPr>
        <w:annotationRef/>
      </w:r>
      <w:r w:rsidRPr="00B4513E">
        <w:rPr>
          <w:rFonts w:ascii="inherit" w:hAnsi="inherit" w:cs="Courier New"/>
          <w:color w:val="202124"/>
          <w:sz w:val="28"/>
          <w:lang w:eastAsia="en-US"/>
        </w:rPr>
        <w:t>a clearer</w:t>
      </w:r>
    </w:p>
  </w:comment>
  <w:comment w:id="10" w:author="DELL" w:date="2021-11-25T19:53:00Z" w:initials="D">
    <w:p w:rsidR="007041A6" w:rsidRDefault="007041A6">
      <w:pPr>
        <w:pStyle w:val="CommentText"/>
      </w:pPr>
      <w:r>
        <w:rPr>
          <w:rStyle w:val="CommentReference"/>
        </w:rPr>
        <w:annotationRef/>
      </w:r>
      <w:r w:rsidRPr="00B4513E">
        <w:rPr>
          <w:rFonts w:ascii="inherit" w:hAnsi="inherit" w:cs="Courier New"/>
          <w:color w:val="202124"/>
          <w:sz w:val="28"/>
          <w:lang w:eastAsia="en-US"/>
        </w:rPr>
        <w:t>CG and TA tissues</w:t>
      </w:r>
    </w:p>
  </w:comment>
  <w:comment w:id="11" w:author="Kapil" w:date="2021-12-01T21:29:00Z" w:initials="K">
    <w:p w:rsidR="007041A6" w:rsidRDefault="007041A6">
      <w:pPr>
        <w:pStyle w:val="CommentText"/>
      </w:pPr>
      <w:r>
        <w:rPr>
          <w:rStyle w:val="CommentReference"/>
        </w:rPr>
        <w:annotationRef/>
      </w:r>
      <w:r w:rsidRPr="0076187F">
        <w:rPr>
          <w:rStyle w:val="CommentReference"/>
          <w:lang w:val="en-US"/>
        </w:rPr>
        <w:t>Have prospectively evaluated</w:t>
      </w:r>
    </w:p>
  </w:comment>
  <w:comment w:id="12" w:author="DELL" w:date="2021-12-01T21:30:00Z" w:initials="D">
    <w:p w:rsidR="007041A6" w:rsidRPr="00D87011" w:rsidRDefault="007041A6">
      <w:pPr>
        <w:pStyle w:val="CommentText"/>
        <w:rPr>
          <w:lang w:val="en-US"/>
        </w:rPr>
      </w:pPr>
      <w:r>
        <w:rPr>
          <w:rStyle w:val="CommentReference"/>
        </w:rPr>
        <w:annotationRef/>
      </w:r>
      <w:r>
        <w:rPr>
          <w:lang w:val="en-US"/>
        </w:rPr>
        <w:t xml:space="preserve">The measurements </w:t>
      </w:r>
      <w:r>
        <w:rPr>
          <w:rStyle w:val="CommentReference"/>
          <w:lang w:val="en-US"/>
        </w:rPr>
        <w:t>h</w:t>
      </w:r>
      <w:r w:rsidRPr="00901D7D">
        <w:rPr>
          <w:rStyle w:val="CommentReference"/>
          <w:lang w:val="en-US"/>
        </w:rPr>
        <w:t>ave performed</w:t>
      </w:r>
    </w:p>
  </w:comment>
  <w:comment w:id="13" w:author="DELL" w:date="2021-11-25T20:01:00Z" w:initials="D">
    <w:p w:rsidR="007041A6" w:rsidRPr="00560D75" w:rsidRDefault="007041A6" w:rsidP="00560D75">
      <w:pPr>
        <w:pStyle w:val="CommentText"/>
        <w:rPr>
          <w:lang w:val="en-US"/>
        </w:rPr>
      </w:pPr>
      <w:r>
        <w:rPr>
          <w:rStyle w:val="CommentReference"/>
        </w:rPr>
        <w:annotationRef/>
      </w:r>
      <w:r>
        <w:rPr>
          <w:lang w:val="en-US"/>
        </w:rPr>
        <w:t xml:space="preserve"> Add: the </w:t>
      </w:r>
    </w:p>
  </w:comment>
  <w:comment w:id="14" w:author="DELL" w:date="2021-11-25T20:02:00Z" w:initials="D">
    <w:p w:rsidR="007041A6" w:rsidRPr="00F41F1C" w:rsidRDefault="007041A6">
      <w:pPr>
        <w:pStyle w:val="CommentText"/>
        <w:rPr>
          <w:lang w:val="en-US"/>
        </w:rPr>
      </w:pPr>
      <w:r>
        <w:rPr>
          <w:rStyle w:val="CommentReference"/>
        </w:rPr>
        <w:annotationRef/>
      </w:r>
      <w:r>
        <w:rPr>
          <w:lang w:val="en-US"/>
        </w:rPr>
        <w:t>Add: the</w:t>
      </w:r>
    </w:p>
  </w:comment>
  <w:comment w:id="15" w:author="DELL" w:date="2021-11-25T20:03:00Z" w:initials="D">
    <w:p w:rsidR="007041A6" w:rsidRDefault="007041A6">
      <w:pPr>
        <w:pStyle w:val="CommentText"/>
      </w:pPr>
      <w:r>
        <w:rPr>
          <w:rStyle w:val="CommentReference"/>
        </w:rPr>
        <w:annotationRef/>
      </w:r>
      <w:r>
        <w:rPr>
          <w:rStyle w:val="y2iqfc"/>
          <w:rFonts w:ascii="inherit" w:hAnsi="inherit"/>
          <w:color w:val="202124"/>
          <w:sz w:val="28"/>
          <w:szCs w:val="28"/>
        </w:rPr>
        <w:t>were unchanged</w:t>
      </w:r>
    </w:p>
  </w:comment>
  <w:comment w:id="16" w:author="DELL" w:date="2021-11-25T20:03:00Z" w:initials="D">
    <w:p w:rsidR="007041A6" w:rsidRPr="00F41F1C" w:rsidRDefault="007041A6" w:rsidP="00F41F1C">
      <w:pPr>
        <w:pStyle w:val="HTMLPreformatted"/>
        <w:shd w:val="clear" w:color="auto" w:fill="F8F9FA"/>
        <w:spacing w:line="360" w:lineRule="atLeast"/>
        <w:rPr>
          <w:rFonts w:ascii="inherit" w:hAnsi="inherit"/>
          <w:color w:val="202124"/>
          <w:sz w:val="28"/>
          <w:szCs w:val="28"/>
        </w:rPr>
      </w:pPr>
      <w:r>
        <w:rPr>
          <w:rStyle w:val="CommentReference"/>
        </w:rPr>
        <w:annotationRef/>
      </w:r>
      <w:r>
        <w:rPr>
          <w:rStyle w:val="y2iqfc"/>
          <w:rFonts w:ascii="inherit" w:hAnsi="inherit"/>
          <w:color w:val="202124"/>
          <w:sz w:val="28"/>
          <w:szCs w:val="28"/>
        </w:rPr>
        <w:t>No differences were found between the TE contents of CG and TA.</w:t>
      </w:r>
    </w:p>
  </w:comment>
  <w:comment w:id="17" w:author="DELL" w:date="2021-11-25T20:06:00Z" w:initials="D">
    <w:p w:rsidR="007041A6" w:rsidRDefault="007041A6">
      <w:pPr>
        <w:pStyle w:val="CommentText"/>
      </w:pPr>
      <w:r>
        <w:rPr>
          <w:rStyle w:val="CommentReference"/>
        </w:rPr>
        <w:annotationRef/>
      </w:r>
      <w:r>
        <w:rPr>
          <w:rStyle w:val="y2iqfc"/>
          <w:rFonts w:ascii="inherit" w:hAnsi="inherit"/>
          <w:color w:val="202124"/>
          <w:sz w:val="28"/>
          <w:szCs w:val="28"/>
        </w:rPr>
        <w:t>the results obtained, it</w:t>
      </w:r>
    </w:p>
  </w:comment>
  <w:comment w:id="18" w:author="Kapil" w:date="2021-12-01T21:31:00Z" w:initials="K">
    <w:p w:rsidR="007041A6" w:rsidRDefault="007041A6">
      <w:pPr>
        <w:pStyle w:val="CommentText"/>
      </w:pPr>
      <w:r>
        <w:rPr>
          <w:rStyle w:val="CommentReference"/>
        </w:rPr>
        <w:annotationRef/>
      </w:r>
      <w:r w:rsidRPr="000C6557">
        <w:rPr>
          <w:lang w:val="en-US"/>
        </w:rPr>
        <w:t>Were of a high level</w:t>
      </w:r>
    </w:p>
  </w:comment>
  <w:comment w:id="19" w:author="DELL" w:date="2021-11-25T20:08:00Z" w:initials="D">
    <w:p w:rsidR="007041A6" w:rsidRPr="009241E6" w:rsidRDefault="007041A6">
      <w:pPr>
        <w:pStyle w:val="CommentText"/>
        <w:rPr>
          <w:lang w:val="en-US"/>
        </w:rPr>
      </w:pPr>
      <w:r>
        <w:rPr>
          <w:rStyle w:val="CommentReference"/>
        </w:rPr>
        <w:annotationRef/>
      </w:r>
      <w:r>
        <w:rPr>
          <w:lang w:val="en-US"/>
        </w:rPr>
        <w:t>in the level</w:t>
      </w:r>
    </w:p>
  </w:comment>
  <w:comment w:id="20" w:author="DELL" w:date="2021-11-25T20:09:00Z" w:initials="D">
    <w:p w:rsidR="007041A6" w:rsidRDefault="007041A6">
      <w:pPr>
        <w:pStyle w:val="CommentText"/>
      </w:pPr>
      <w:r>
        <w:rPr>
          <w:rStyle w:val="CommentReference"/>
        </w:rPr>
        <w:annotationRef/>
      </w:r>
      <w:r>
        <w:rPr>
          <w:rStyle w:val="y2iqfc"/>
          <w:rFonts w:ascii="inherit" w:hAnsi="inherit"/>
          <w:color w:val="202124"/>
          <w:sz w:val="28"/>
          <w:szCs w:val="28"/>
        </w:rPr>
        <w:t>could be involved in the etiology</w:t>
      </w:r>
    </w:p>
  </w:comment>
  <w:comment w:id="21" w:author="DELL" w:date="2021-11-25T20:10:00Z" w:initials="D">
    <w:p w:rsidR="007041A6" w:rsidRPr="009241E6" w:rsidRDefault="007041A6">
      <w:pPr>
        <w:pStyle w:val="CommentText"/>
        <w:rPr>
          <w:lang w:val="en-US"/>
        </w:rPr>
      </w:pPr>
      <w:r>
        <w:rPr>
          <w:rStyle w:val="CommentReference"/>
        </w:rPr>
        <w:annotationRef/>
      </w:r>
      <w:r>
        <w:rPr>
          <w:lang w:val="en-US"/>
        </w:rPr>
        <w:t>delete</w:t>
      </w:r>
    </w:p>
  </w:comment>
  <w:comment w:id="22" w:author="DELL" w:date="2021-11-25T20:11:00Z" w:initials="D">
    <w:p w:rsidR="007041A6" w:rsidRPr="009241E6" w:rsidRDefault="007041A6">
      <w:pPr>
        <w:pStyle w:val="CommentText"/>
        <w:rPr>
          <w:lang w:val="en-US"/>
        </w:rPr>
      </w:pPr>
      <w:r>
        <w:rPr>
          <w:rStyle w:val="CommentReference"/>
        </w:rPr>
        <w:annotationRef/>
      </w:r>
      <w:r>
        <w:rPr>
          <w:lang w:val="en-US"/>
        </w:rPr>
        <w:t>add: such</w:t>
      </w:r>
    </w:p>
  </w:comment>
  <w:comment w:id="23" w:author="DELL" w:date="2021-11-30T15:56:00Z" w:initials="D">
    <w:p w:rsidR="007041A6" w:rsidRPr="005379C2" w:rsidRDefault="007041A6">
      <w:pPr>
        <w:pStyle w:val="CommentText"/>
        <w:rPr>
          <w:lang w:val="en-US"/>
        </w:rPr>
      </w:pPr>
      <w:r>
        <w:rPr>
          <w:rStyle w:val="CommentReference"/>
        </w:rPr>
        <w:annotationRef/>
      </w:r>
      <w:r>
        <w:rPr>
          <w:lang w:val="en-US"/>
        </w:rPr>
        <w:t>A to Z</w:t>
      </w:r>
    </w:p>
  </w:comment>
  <w:comment w:id="24" w:author="Kapil" w:date="2021-12-01T21:31:00Z" w:initials="K">
    <w:p w:rsidR="007041A6" w:rsidRDefault="007041A6" w:rsidP="007041A6">
      <w:pPr>
        <w:pStyle w:val="CommentText"/>
        <w:rPr>
          <w:lang w:val="en-US"/>
        </w:rPr>
      </w:pPr>
      <w:r>
        <w:rPr>
          <w:rStyle w:val="CommentReference"/>
        </w:rPr>
        <w:annotationRef/>
      </w:r>
      <w:r w:rsidRPr="000C6557">
        <w:rPr>
          <w:lang w:val="en-US"/>
        </w:rPr>
        <w:t>You should to minimize the</w:t>
      </w:r>
      <w:r>
        <w:rPr>
          <w:lang w:val="en-US"/>
        </w:rPr>
        <w:t xml:space="preserve"> key words, because </w:t>
      </w:r>
      <w:r w:rsidRPr="00166CAD">
        <w:rPr>
          <w:lang w:val="en-US"/>
        </w:rPr>
        <w:t>you exceeded the number indicated</w:t>
      </w:r>
      <w:r>
        <w:rPr>
          <w:lang w:val="en-US"/>
        </w:rPr>
        <w:t>on author instructions page ‘6’</w:t>
      </w:r>
    </w:p>
    <w:p w:rsidR="007041A6" w:rsidRPr="000C6557" w:rsidRDefault="007041A6" w:rsidP="007041A6">
      <w:pPr>
        <w:pStyle w:val="CommentText"/>
        <w:rPr>
          <w:lang w:val="en-US"/>
        </w:rPr>
      </w:pPr>
      <w:r>
        <w:rPr>
          <w:lang w:val="en-US"/>
        </w:rPr>
        <w:t>Finally you</w:t>
      </w:r>
      <w:r w:rsidRPr="000C6557">
        <w:rPr>
          <w:lang w:val="en-US"/>
        </w:rPr>
        <w:t xml:space="preserve"> put them in alphabetic</w:t>
      </w:r>
      <w:r>
        <w:rPr>
          <w:lang w:val="en-US"/>
        </w:rPr>
        <w:t>al</w:t>
      </w:r>
      <w:r w:rsidRPr="000C6557">
        <w:rPr>
          <w:lang w:val="en-US"/>
        </w:rPr>
        <w:t xml:space="preserve"> order</w:t>
      </w:r>
    </w:p>
    <w:p w:rsidR="007041A6" w:rsidRDefault="007041A6">
      <w:pPr>
        <w:pStyle w:val="CommentText"/>
      </w:pPr>
    </w:p>
  </w:comment>
  <w:comment w:id="25" w:author="Kapil" w:date="2021-12-01T21:32:00Z" w:initials="K">
    <w:p w:rsidR="00BA7456" w:rsidRDefault="00BA7456">
      <w:pPr>
        <w:pStyle w:val="CommentText"/>
      </w:pPr>
      <w:r>
        <w:rPr>
          <w:rStyle w:val="CommentReference"/>
        </w:rPr>
        <w:annotationRef/>
      </w:r>
      <w:r w:rsidRPr="0076187F">
        <w:rPr>
          <w:lang w:val="en-US"/>
        </w:rPr>
        <w:t>A repeated expression</w:t>
      </w:r>
    </w:p>
  </w:comment>
  <w:comment w:id="26" w:author="DELL" w:date="2021-11-30T17:17:00Z" w:initials="D">
    <w:p w:rsidR="007041A6" w:rsidRPr="00600192" w:rsidRDefault="007041A6">
      <w:pPr>
        <w:pStyle w:val="CommentText"/>
        <w:rPr>
          <w:lang w:val="en-US"/>
        </w:rPr>
      </w:pPr>
      <w:r>
        <w:rPr>
          <w:rStyle w:val="CommentReference"/>
        </w:rPr>
        <w:annotationRef/>
      </w:r>
      <w:r>
        <w:rPr>
          <w:lang w:val="en-US"/>
        </w:rPr>
        <w:t xml:space="preserve">Delete </w:t>
      </w:r>
    </w:p>
  </w:comment>
  <w:comment w:id="27" w:author="DELL" w:date="2021-11-30T17:17:00Z" w:initials="D">
    <w:p w:rsidR="007041A6" w:rsidRDefault="007041A6">
      <w:pPr>
        <w:pStyle w:val="CommentText"/>
      </w:pPr>
      <w:r>
        <w:rPr>
          <w:rStyle w:val="CommentReference"/>
        </w:rPr>
        <w:annotationRef/>
      </w:r>
      <w:r>
        <w:rPr>
          <w:rStyle w:val="y2iqfc"/>
          <w:rFonts w:ascii="inherit" w:hAnsi="inherit"/>
          <w:color w:val="202124"/>
          <w:sz w:val="28"/>
          <w:szCs w:val="28"/>
        </w:rPr>
        <w:t>universally encountered</w:t>
      </w:r>
    </w:p>
  </w:comment>
  <w:comment w:id="28" w:author="DELL" w:date="2021-11-30T17:19:00Z" w:initials="D">
    <w:p w:rsidR="007041A6" w:rsidRPr="00600192" w:rsidRDefault="007041A6">
      <w:pPr>
        <w:pStyle w:val="CommentText"/>
        <w:rPr>
          <w:lang w:val="en-US"/>
        </w:rPr>
      </w:pPr>
      <w:r>
        <w:rPr>
          <w:rStyle w:val="CommentReference"/>
        </w:rPr>
        <w:annotationRef/>
      </w:r>
      <w:r>
        <w:rPr>
          <w:lang w:val="en-US"/>
        </w:rPr>
        <w:t>detected</w:t>
      </w:r>
    </w:p>
  </w:comment>
  <w:comment w:id="29" w:author="DELL" w:date="2021-11-30T17:22:00Z" w:initials="D">
    <w:p w:rsidR="007041A6" w:rsidRPr="00600192" w:rsidRDefault="007041A6" w:rsidP="00600192">
      <w:pPr>
        <w:pStyle w:val="HTMLPreformatted"/>
        <w:shd w:val="clear" w:color="auto" w:fill="F8F9FA"/>
        <w:spacing w:line="360" w:lineRule="atLeast"/>
        <w:rPr>
          <w:rFonts w:ascii="inherit" w:hAnsi="inherit"/>
          <w:color w:val="202124"/>
          <w:sz w:val="28"/>
          <w:szCs w:val="28"/>
        </w:rPr>
      </w:pPr>
      <w:r>
        <w:rPr>
          <w:rStyle w:val="CommentReference"/>
        </w:rPr>
        <w:annotationRef/>
      </w:r>
      <w:r>
        <w:rPr>
          <w:rStyle w:val="y2iqfc"/>
          <w:rFonts w:ascii="inherit" w:hAnsi="inherit"/>
          <w:color w:val="202124"/>
          <w:sz w:val="28"/>
          <w:szCs w:val="28"/>
        </w:rPr>
        <w:t>All references must be superscript without parentheses.</w:t>
      </w:r>
    </w:p>
  </w:comment>
  <w:comment w:id="30" w:author="DELL" w:date="2021-11-30T17:31:00Z" w:initials="D">
    <w:p w:rsidR="007041A6" w:rsidRPr="00600192" w:rsidRDefault="007041A6">
      <w:pPr>
        <w:pStyle w:val="CommentText"/>
        <w:rPr>
          <w:lang w:val="en-US"/>
        </w:rPr>
      </w:pPr>
      <w:r>
        <w:rPr>
          <w:rStyle w:val="CommentReference"/>
        </w:rPr>
        <w:annotationRef/>
      </w:r>
      <w:r>
        <w:rPr>
          <w:lang w:val="en-US"/>
        </w:rPr>
        <w:t>Evaluation</w:t>
      </w:r>
    </w:p>
  </w:comment>
  <w:comment w:id="31" w:author="DELL" w:date="2021-11-30T17:29:00Z" w:initials="D">
    <w:p w:rsidR="007041A6" w:rsidRPr="003C1FCD" w:rsidRDefault="007041A6" w:rsidP="003C1FCD">
      <w:pPr>
        <w:pStyle w:val="HTMLPreformatted"/>
        <w:shd w:val="clear" w:color="auto" w:fill="F8F9FA"/>
        <w:spacing w:line="360" w:lineRule="atLeast"/>
      </w:pPr>
      <w:r>
        <w:rPr>
          <w:rStyle w:val="CommentReference"/>
        </w:rPr>
        <w:annotationRef/>
      </w:r>
      <w:r>
        <w:rPr>
          <w:rStyle w:val="y2iqfc"/>
          <w:rFonts w:ascii="inherit" w:hAnsi="inherit"/>
          <w:color w:val="202124"/>
          <w:sz w:val="28"/>
          <w:szCs w:val="28"/>
        </w:rPr>
        <w:t>Change to: , which is why finding specific characteristics of CG and TA is less necessary for the differential diagnosis of these thyroid disorders.</w:t>
      </w:r>
    </w:p>
  </w:comment>
  <w:comment w:id="33" w:author="DELL" w:date="2021-11-30T17:32:00Z" w:initials="D">
    <w:p w:rsidR="007041A6" w:rsidRDefault="007041A6">
      <w:pPr>
        <w:pStyle w:val="CommentText"/>
      </w:pPr>
      <w:r>
        <w:rPr>
          <w:rStyle w:val="CommentReference"/>
        </w:rPr>
        <w:annotationRef/>
      </w:r>
      <w:r>
        <w:rPr>
          <w:rStyle w:val="y2iqfc"/>
          <w:rFonts w:ascii="inherit" w:hAnsi="inherit"/>
          <w:color w:val="202124"/>
          <w:sz w:val="28"/>
          <w:szCs w:val="28"/>
        </w:rPr>
        <w:t>superscript without parentheses</w:t>
      </w:r>
    </w:p>
  </w:comment>
  <w:comment w:id="34" w:author="DELL" w:date="2021-11-30T17:32:00Z" w:initials="D">
    <w:p w:rsidR="007041A6" w:rsidRDefault="007041A6">
      <w:pPr>
        <w:pStyle w:val="CommentText"/>
      </w:pPr>
      <w:r>
        <w:rPr>
          <w:rStyle w:val="CommentReference"/>
        </w:rPr>
        <w:annotationRef/>
      </w:r>
      <w:r>
        <w:rPr>
          <w:rStyle w:val="y2iqfc"/>
          <w:rFonts w:ascii="inherit" w:hAnsi="inherit"/>
          <w:color w:val="202124"/>
          <w:sz w:val="28"/>
          <w:szCs w:val="28"/>
        </w:rPr>
        <w:t>superscript without parentheses</w:t>
      </w:r>
    </w:p>
  </w:comment>
  <w:comment w:id="35" w:author="DELL" w:date="2021-11-30T17:32:00Z" w:initials="D">
    <w:p w:rsidR="007041A6" w:rsidRDefault="007041A6">
      <w:pPr>
        <w:pStyle w:val="CommentText"/>
      </w:pPr>
      <w:r>
        <w:rPr>
          <w:rStyle w:val="CommentReference"/>
        </w:rPr>
        <w:annotationRef/>
      </w:r>
      <w:r>
        <w:rPr>
          <w:rStyle w:val="y2iqfc"/>
          <w:rFonts w:ascii="inherit" w:hAnsi="inherit"/>
          <w:color w:val="202124"/>
          <w:sz w:val="28"/>
          <w:szCs w:val="28"/>
        </w:rPr>
        <w:t>superscript without parentheses</w:t>
      </w:r>
    </w:p>
  </w:comment>
  <w:comment w:id="32" w:author="Kapil" w:date="2022-01-09T13:05:00Z" w:initials="K">
    <w:p w:rsidR="004664EA" w:rsidRDefault="004664EA" w:rsidP="004664EA">
      <w:pPr>
        <w:rPr>
          <w:rFonts w:ascii="Bookman Old Style" w:hAnsi="Bookman Old Style"/>
        </w:rPr>
      </w:pPr>
      <w:r>
        <w:rPr>
          <w:rStyle w:val="CommentReference"/>
        </w:rPr>
        <w:annotationRef/>
      </w:r>
      <w:r w:rsidRPr="00AB42B9">
        <w:rPr>
          <w:rFonts w:ascii="Bookman Old Style" w:hAnsi="Bookman Old Style"/>
        </w:rPr>
        <w:t>Relevant information is provided in the research background to support identified issue(s).</w:t>
      </w:r>
    </w:p>
    <w:p w:rsidR="004664EA" w:rsidRDefault="004664EA">
      <w:pPr>
        <w:pStyle w:val="CommentText"/>
      </w:pPr>
    </w:p>
  </w:comment>
  <w:comment w:id="36" w:author="DELL" w:date="2021-11-30T17:33:00Z" w:initials="D">
    <w:p w:rsidR="007041A6" w:rsidRDefault="007041A6">
      <w:pPr>
        <w:pStyle w:val="CommentText"/>
      </w:pPr>
      <w:r>
        <w:rPr>
          <w:rStyle w:val="CommentReference"/>
        </w:rPr>
        <w:annotationRef/>
      </w:r>
      <w:r>
        <w:rPr>
          <w:rStyle w:val="y2iqfc"/>
          <w:rFonts w:ascii="inherit" w:hAnsi="inherit"/>
          <w:color w:val="202124"/>
          <w:sz w:val="28"/>
          <w:szCs w:val="28"/>
        </w:rPr>
        <w:t>superscript without parentheses</w:t>
      </w:r>
    </w:p>
  </w:comment>
  <w:comment w:id="38" w:author="DELL" w:date="2021-11-30T17:34:00Z" w:initials="D">
    <w:p w:rsidR="007041A6" w:rsidRDefault="007041A6">
      <w:pPr>
        <w:pStyle w:val="CommentText"/>
      </w:pPr>
      <w:r>
        <w:rPr>
          <w:rStyle w:val="CommentReference"/>
        </w:rPr>
        <w:annotationRef/>
      </w:r>
      <w:r>
        <w:rPr>
          <w:rStyle w:val="y2iqfc"/>
          <w:rFonts w:ascii="inherit" w:hAnsi="inherit"/>
          <w:color w:val="202124"/>
          <w:sz w:val="28"/>
          <w:szCs w:val="28"/>
        </w:rPr>
        <w:t>superscript without parentheses</w:t>
      </w:r>
    </w:p>
  </w:comment>
  <w:comment w:id="39" w:author="DELL" w:date="2021-11-30T17:55:00Z" w:initials="D">
    <w:p w:rsidR="007041A6" w:rsidRDefault="007041A6">
      <w:pPr>
        <w:pStyle w:val="CommentText"/>
      </w:pPr>
      <w:r>
        <w:rPr>
          <w:rStyle w:val="CommentReference"/>
        </w:rPr>
        <w:annotationRef/>
      </w:r>
      <w:r>
        <w:rPr>
          <w:rStyle w:val="y2iqfc"/>
          <w:rFonts w:ascii="inherit" w:hAnsi="inherit"/>
          <w:color w:val="202124"/>
          <w:sz w:val="28"/>
          <w:szCs w:val="28"/>
        </w:rPr>
        <w:t>superscript without</w:t>
      </w:r>
    </w:p>
  </w:comment>
  <w:comment w:id="40" w:author="DELL" w:date="2021-11-30T17:55:00Z" w:initials="D">
    <w:p w:rsidR="007041A6" w:rsidRDefault="007041A6">
      <w:pPr>
        <w:pStyle w:val="CommentText"/>
      </w:pPr>
      <w:r>
        <w:rPr>
          <w:rStyle w:val="CommentReference"/>
        </w:rPr>
        <w:annotationRef/>
      </w:r>
      <w:r>
        <w:rPr>
          <w:rStyle w:val="y2iqfc"/>
          <w:rFonts w:ascii="inherit" w:hAnsi="inherit"/>
          <w:color w:val="202124"/>
          <w:sz w:val="28"/>
          <w:szCs w:val="28"/>
        </w:rPr>
        <w:t>superscript without</w:t>
      </w:r>
    </w:p>
  </w:comment>
  <w:comment w:id="41" w:author="Kapil" w:date="2021-12-01T21:47:00Z" w:initials="K">
    <w:p w:rsidR="004A5972" w:rsidRPr="004A5972" w:rsidRDefault="004A5972">
      <w:pPr>
        <w:pStyle w:val="CommentText"/>
        <w:rPr>
          <w:lang w:val="en-US"/>
        </w:rPr>
      </w:pPr>
      <w:r>
        <w:rPr>
          <w:rStyle w:val="CommentReference"/>
        </w:rPr>
        <w:annotationRef/>
      </w:r>
      <w:r>
        <w:rPr>
          <w:lang w:val="en-US"/>
        </w:rPr>
        <w:t>It should be in italic</w:t>
      </w:r>
    </w:p>
  </w:comment>
  <w:comment w:id="42" w:author="Kapil" w:date="2021-12-01T21:47:00Z" w:initials="K">
    <w:p w:rsidR="004A5972" w:rsidRDefault="004A5972">
      <w:pPr>
        <w:pStyle w:val="CommentText"/>
      </w:pPr>
      <w:r>
        <w:rPr>
          <w:rStyle w:val="CommentReference"/>
        </w:rPr>
        <w:annotationRef/>
      </w:r>
      <w:r>
        <w:rPr>
          <w:lang w:val="en-US"/>
        </w:rPr>
        <w:t>It should be in italic</w:t>
      </w:r>
    </w:p>
  </w:comment>
  <w:comment w:id="43" w:author="DELL" w:date="2021-11-30T17:55:00Z" w:initials="D">
    <w:p w:rsidR="007041A6" w:rsidRDefault="007041A6">
      <w:pPr>
        <w:pStyle w:val="CommentText"/>
      </w:pPr>
      <w:r>
        <w:rPr>
          <w:rStyle w:val="CommentReference"/>
        </w:rPr>
        <w:annotationRef/>
      </w:r>
      <w:r>
        <w:rPr>
          <w:rStyle w:val="y2iqfc"/>
          <w:rFonts w:ascii="inherit" w:hAnsi="inherit"/>
          <w:color w:val="202124"/>
          <w:sz w:val="28"/>
          <w:szCs w:val="28"/>
        </w:rPr>
        <w:t>superscript without</w:t>
      </w:r>
    </w:p>
  </w:comment>
  <w:comment w:id="37" w:author="Kapil" w:date="2022-01-09T13:06:00Z" w:initials="K">
    <w:p w:rsidR="004664EA" w:rsidRDefault="004664EA" w:rsidP="004664EA">
      <w:pPr>
        <w:rPr>
          <w:rFonts w:ascii="Bookman Old Style" w:hAnsi="Bookman Old Style"/>
        </w:rPr>
      </w:pPr>
      <w:r>
        <w:rPr>
          <w:rStyle w:val="CommentReference"/>
        </w:rPr>
        <w:annotationRef/>
      </w:r>
      <w:r w:rsidRPr="006D6FEF">
        <w:rPr>
          <w:rFonts w:ascii="Bookman Old Style" w:hAnsi="Bookman Old Style"/>
        </w:rPr>
        <w:t>Introduction reflects sufficient competence in the survey of literature for discussion with the pertinent references</w:t>
      </w:r>
      <w:r>
        <w:rPr>
          <w:rFonts w:ascii="Bookman Old Style" w:hAnsi="Bookman Old Style"/>
        </w:rPr>
        <w:t xml:space="preserve"> </w:t>
      </w:r>
      <w:r w:rsidRPr="006D6FEF">
        <w:rPr>
          <w:rFonts w:ascii="Bookman Old Style" w:hAnsi="Bookman Old Style"/>
        </w:rPr>
        <w:t xml:space="preserve">and publications. </w:t>
      </w:r>
    </w:p>
    <w:p w:rsidR="004664EA" w:rsidRDefault="004664EA">
      <w:pPr>
        <w:pStyle w:val="CommentText"/>
      </w:pPr>
    </w:p>
  </w:comment>
  <w:comment w:id="44" w:author="DELL" w:date="2021-11-30T17:55:00Z" w:initials="D">
    <w:p w:rsidR="007041A6" w:rsidRDefault="007041A6">
      <w:pPr>
        <w:pStyle w:val="CommentText"/>
      </w:pPr>
      <w:r>
        <w:rPr>
          <w:rStyle w:val="CommentReference"/>
        </w:rPr>
        <w:annotationRef/>
      </w:r>
      <w:r>
        <w:rPr>
          <w:rStyle w:val="y2iqfc"/>
          <w:rFonts w:ascii="inherit" w:hAnsi="inherit"/>
          <w:color w:val="202124"/>
          <w:sz w:val="28"/>
          <w:szCs w:val="28"/>
        </w:rPr>
        <w:t>superscript without</w:t>
      </w:r>
    </w:p>
  </w:comment>
  <w:comment w:id="46" w:author="DELL" w:date="2021-11-30T17:56:00Z" w:initials="D">
    <w:p w:rsidR="007041A6" w:rsidRDefault="007041A6">
      <w:pPr>
        <w:pStyle w:val="CommentText"/>
      </w:pPr>
      <w:r>
        <w:rPr>
          <w:rStyle w:val="CommentReference"/>
        </w:rPr>
        <w:annotationRef/>
      </w:r>
      <w:r>
        <w:rPr>
          <w:rStyle w:val="y2iqfc"/>
          <w:rFonts w:ascii="inherit" w:hAnsi="inherit"/>
          <w:color w:val="202124"/>
          <w:sz w:val="28"/>
          <w:szCs w:val="28"/>
        </w:rPr>
        <w:t>superscript without</w:t>
      </w:r>
    </w:p>
  </w:comment>
  <w:comment w:id="45" w:author="Kapil" w:date="2021-12-01T21:33:00Z" w:initials="K">
    <w:p w:rsidR="00BA7456" w:rsidRDefault="00BA7456" w:rsidP="00BA7456">
      <w:pPr>
        <w:pStyle w:val="CommentText"/>
        <w:rPr>
          <w:lang w:val="en-US"/>
        </w:rPr>
      </w:pPr>
      <w:r>
        <w:rPr>
          <w:rStyle w:val="CommentReference"/>
        </w:rPr>
        <w:annotationRef/>
      </w:r>
      <w:r w:rsidRPr="0076187F">
        <w:rPr>
          <w:lang w:val="en-US"/>
        </w:rPr>
        <w:t>Incoherence in exp</w:t>
      </w:r>
      <w:r>
        <w:rPr>
          <w:lang w:val="en-US"/>
        </w:rPr>
        <w:t>r</w:t>
      </w:r>
      <w:r w:rsidRPr="0076187F">
        <w:rPr>
          <w:lang w:val="en-US"/>
        </w:rPr>
        <w:t>essions</w:t>
      </w:r>
      <w:r>
        <w:rPr>
          <w:lang w:val="en-US"/>
        </w:rPr>
        <w:t xml:space="preserve">, that lead to citation of many references </w:t>
      </w:r>
    </w:p>
    <w:p w:rsidR="00BA7456" w:rsidRDefault="00BA7456" w:rsidP="00BA7456">
      <w:pPr>
        <w:pStyle w:val="CommentText"/>
        <w:rPr>
          <w:lang w:val="en-US"/>
        </w:rPr>
      </w:pPr>
      <w:r>
        <w:rPr>
          <w:lang w:val="en-US"/>
        </w:rPr>
        <w:t>You neither give the details about the first experience’s protocol, nor cite the whole results of the second experience.</w:t>
      </w:r>
    </w:p>
    <w:p w:rsidR="00BA7456" w:rsidRDefault="00BA7456" w:rsidP="00BA7456">
      <w:pPr>
        <w:pStyle w:val="CommentText"/>
      </w:pPr>
      <w:r w:rsidRPr="0090039E">
        <w:rPr>
          <w:lang w:val="fr-FR"/>
        </w:rPr>
        <w:t>Alors que tu aurais pu cite que 2 references</w:t>
      </w:r>
    </w:p>
  </w:comment>
  <w:comment w:id="47" w:author="DELL" w:date="2021-11-30T17:56:00Z" w:initials="D">
    <w:p w:rsidR="007041A6" w:rsidRDefault="007041A6">
      <w:pPr>
        <w:pStyle w:val="CommentText"/>
      </w:pPr>
      <w:r>
        <w:rPr>
          <w:rStyle w:val="CommentReference"/>
        </w:rPr>
        <w:annotationRef/>
      </w:r>
      <w:r>
        <w:rPr>
          <w:rStyle w:val="y2iqfc"/>
          <w:rFonts w:ascii="inherit" w:hAnsi="inherit"/>
          <w:color w:val="202124"/>
          <w:sz w:val="28"/>
          <w:szCs w:val="28"/>
        </w:rPr>
        <w:t>superscript without</w:t>
      </w:r>
    </w:p>
  </w:comment>
  <w:comment w:id="49" w:author="DELL" w:date="2021-11-30T17:59:00Z" w:initials="D">
    <w:p w:rsidR="007041A6" w:rsidRPr="008E075B" w:rsidRDefault="007041A6">
      <w:pPr>
        <w:pStyle w:val="CommentText"/>
        <w:rPr>
          <w:lang w:val="en-US"/>
        </w:rPr>
      </w:pPr>
      <w:r>
        <w:rPr>
          <w:rStyle w:val="CommentReference"/>
        </w:rPr>
        <w:annotationRef/>
      </w:r>
      <w:r>
        <w:rPr>
          <w:lang w:val="en-US"/>
        </w:rPr>
        <w:t>change to: must</w:t>
      </w:r>
    </w:p>
  </w:comment>
  <w:comment w:id="50" w:author="DELL" w:date="2021-11-30T18:00:00Z" w:initials="D">
    <w:p w:rsidR="007041A6" w:rsidRPr="008E075B" w:rsidRDefault="007041A6">
      <w:pPr>
        <w:pStyle w:val="CommentText"/>
        <w:rPr>
          <w:lang w:val="en-US"/>
        </w:rPr>
      </w:pPr>
      <w:r>
        <w:rPr>
          <w:rStyle w:val="CommentReference"/>
        </w:rPr>
        <w:annotationRef/>
      </w:r>
      <w:r>
        <w:rPr>
          <w:lang w:val="en-US"/>
        </w:rPr>
        <w:t xml:space="preserve">delete </w:t>
      </w:r>
    </w:p>
  </w:comment>
  <w:comment w:id="51" w:author="DELL" w:date="2021-11-30T18:01:00Z" w:initials="D">
    <w:p w:rsidR="007041A6" w:rsidRPr="008E075B" w:rsidRDefault="007041A6">
      <w:pPr>
        <w:pStyle w:val="CommentText"/>
        <w:rPr>
          <w:lang w:val="en-US"/>
        </w:rPr>
      </w:pPr>
      <w:r>
        <w:rPr>
          <w:rStyle w:val="CommentReference"/>
        </w:rPr>
        <w:annotationRef/>
      </w:r>
      <w:r>
        <w:rPr>
          <w:lang w:val="en-US"/>
        </w:rPr>
        <w:t>change to: find out</w:t>
      </w:r>
    </w:p>
  </w:comment>
  <w:comment w:id="52" w:author="DELL" w:date="2021-11-30T18:02:00Z" w:initials="D">
    <w:p w:rsidR="007041A6" w:rsidRPr="008E075B" w:rsidRDefault="007041A6">
      <w:pPr>
        <w:pStyle w:val="CommentText"/>
        <w:rPr>
          <w:lang w:val="en-US"/>
        </w:rPr>
      </w:pPr>
      <w:r>
        <w:rPr>
          <w:rStyle w:val="CommentReference"/>
        </w:rPr>
        <w:annotationRef/>
      </w:r>
      <w:r>
        <w:rPr>
          <w:lang w:val="en-US"/>
        </w:rPr>
        <w:t>change to: the group of CG and AT samples</w:t>
      </w:r>
    </w:p>
  </w:comment>
  <w:comment w:id="48" w:author="Kapil" w:date="2022-01-09T13:06:00Z" w:initials="K">
    <w:p w:rsidR="004664EA" w:rsidRDefault="004664EA" w:rsidP="004664EA">
      <w:pPr>
        <w:rPr>
          <w:rFonts w:ascii="Bookman Old Style" w:hAnsi="Bookman Old Style"/>
        </w:rPr>
      </w:pPr>
      <w:r>
        <w:rPr>
          <w:rStyle w:val="CommentReference"/>
        </w:rPr>
        <w:annotationRef/>
      </w:r>
      <w:r w:rsidRPr="004D325C">
        <w:rPr>
          <w:rFonts w:ascii="Bookman Old Style" w:hAnsi="Bookman Old Style"/>
        </w:rPr>
        <w:t>This study has definitely contributed to knowledge, as most of the information provided is new.</w:t>
      </w:r>
    </w:p>
    <w:p w:rsidR="004664EA" w:rsidRDefault="004664EA">
      <w:pPr>
        <w:pStyle w:val="CommentText"/>
      </w:pPr>
    </w:p>
  </w:comment>
  <w:comment w:id="53" w:author="DELL" w:date="2021-11-30T18:03:00Z" w:initials="D">
    <w:p w:rsidR="007041A6" w:rsidRPr="008E075B" w:rsidRDefault="007041A6">
      <w:pPr>
        <w:pStyle w:val="CommentText"/>
        <w:rPr>
          <w:lang w:val="en-US"/>
        </w:rPr>
      </w:pPr>
      <w:r>
        <w:rPr>
          <w:rStyle w:val="CommentReference"/>
        </w:rPr>
        <w:annotationRef/>
      </w:r>
      <w:r>
        <w:rPr>
          <w:lang w:val="en-US"/>
        </w:rPr>
        <w:t>delete</w:t>
      </w:r>
    </w:p>
  </w:comment>
  <w:comment w:id="56" w:author="Kapil" w:date="2021-12-01T21:34:00Z" w:initials="K">
    <w:p w:rsidR="00BA7456" w:rsidRPr="00801658" w:rsidRDefault="00BA7456" w:rsidP="00BA7456">
      <w:pPr>
        <w:pStyle w:val="CommentText"/>
        <w:rPr>
          <w:lang w:val="en-US"/>
        </w:rPr>
      </w:pPr>
      <w:r>
        <w:rPr>
          <w:rStyle w:val="CommentReference"/>
        </w:rPr>
        <w:annotationRef/>
      </w:r>
      <w:r w:rsidRPr="00801658">
        <w:rPr>
          <w:lang w:val="en-US"/>
        </w:rPr>
        <w:t>You did not quote the reason of the choice of this list</w:t>
      </w:r>
    </w:p>
    <w:p w:rsidR="00BA7456" w:rsidRDefault="00BA7456">
      <w:pPr>
        <w:pStyle w:val="CommentText"/>
      </w:pPr>
    </w:p>
  </w:comment>
  <w:comment w:id="54" w:author="DELL" w:date="2021-11-30T18:12:00Z" w:initials="D">
    <w:p w:rsidR="007041A6" w:rsidRPr="00D16883" w:rsidRDefault="007041A6" w:rsidP="00D16883">
      <w:pPr>
        <w:pStyle w:val="HTMLPreformatted"/>
        <w:shd w:val="clear" w:color="auto" w:fill="F8F9FA"/>
        <w:spacing w:line="360" w:lineRule="atLeast"/>
        <w:rPr>
          <w:rFonts w:ascii="inherit" w:hAnsi="inherit"/>
          <w:color w:val="202124"/>
          <w:sz w:val="28"/>
          <w:szCs w:val="28"/>
        </w:rPr>
      </w:pPr>
      <w:r>
        <w:rPr>
          <w:rStyle w:val="CommentReference"/>
        </w:rPr>
        <w:annotationRef/>
      </w:r>
      <w:r>
        <w:rPr>
          <w:rFonts w:asciiTheme="majorBidi" w:hAnsiTheme="majorBidi" w:cstheme="majorBidi"/>
          <w:sz w:val="24"/>
          <w:szCs w:val="24"/>
        </w:rPr>
        <w:t xml:space="preserve">change to: </w:t>
      </w:r>
      <w:r w:rsidRPr="009E3408">
        <w:rPr>
          <w:rFonts w:asciiTheme="majorBidi" w:hAnsiTheme="majorBidi" w:cstheme="majorBidi"/>
          <w:sz w:val="24"/>
          <w:szCs w:val="24"/>
        </w:rPr>
        <w:t xml:space="preserve"> </w:t>
      </w:r>
      <w:r>
        <w:rPr>
          <w:rStyle w:val="y2iqfc"/>
          <w:rFonts w:ascii="inherit" w:hAnsi="inherit"/>
          <w:color w:val="202124"/>
          <w:sz w:val="28"/>
          <w:szCs w:val="28"/>
        </w:rPr>
        <w:t>The aim of this exploratory study was to examine differences in the content of fifty trace elements (TE) in CG and TA tissues and to compare the levels of these TEs in the cohort of CG and TA samples.</w:t>
      </w:r>
    </w:p>
  </w:comment>
  <w:comment w:id="55" w:author="DELL" w:date="2021-11-30T18:14:00Z" w:initials="D">
    <w:p w:rsidR="007041A6" w:rsidRPr="00CB1E64" w:rsidRDefault="007041A6">
      <w:pPr>
        <w:pStyle w:val="CommentText"/>
        <w:rPr>
          <w:lang w:val="en-US"/>
        </w:rPr>
      </w:pPr>
      <w:r>
        <w:rPr>
          <w:rStyle w:val="CommentReference"/>
        </w:rPr>
        <w:annotationRef/>
      </w:r>
      <w:r>
        <w:rPr>
          <w:lang w:val="en-US"/>
        </w:rPr>
        <w:t>delete</w:t>
      </w:r>
    </w:p>
  </w:comment>
  <w:comment w:id="57" w:author="Kapil" w:date="2022-01-09T13:06:00Z" w:initials="K">
    <w:p w:rsidR="004664EA" w:rsidRDefault="004664EA" w:rsidP="004664EA">
      <w:r>
        <w:rPr>
          <w:rStyle w:val="CommentReference"/>
        </w:rPr>
        <w:annotationRef/>
      </w:r>
      <w:r w:rsidRPr="005B1C95">
        <w:t>The data or information collected for analysis and testing is appropriately and clearly analysed.</w:t>
      </w:r>
    </w:p>
    <w:p w:rsidR="004664EA" w:rsidRDefault="004664EA">
      <w:pPr>
        <w:pStyle w:val="CommentText"/>
      </w:pPr>
    </w:p>
  </w:comment>
  <w:comment w:id="59" w:author="Kapil" w:date="2021-12-01T21:34:00Z" w:initials="K">
    <w:p w:rsidR="00BA7456" w:rsidRDefault="00BA7456">
      <w:pPr>
        <w:pStyle w:val="CommentText"/>
      </w:pPr>
      <w:r>
        <w:rPr>
          <w:rStyle w:val="CommentReference"/>
        </w:rPr>
        <w:annotationRef/>
      </w:r>
      <w:r>
        <w:rPr>
          <w:lang w:val="en-US"/>
        </w:rPr>
        <w:t>E</w:t>
      </w:r>
      <w:r w:rsidRPr="0090039E">
        <w:rPr>
          <w:lang w:val="en-US"/>
        </w:rPr>
        <w:t>liminate</w:t>
      </w:r>
      <w:r w:rsidRPr="00D404E6">
        <w:rPr>
          <w:lang w:val="en-US"/>
        </w:rPr>
        <w:t xml:space="preserve"> ‘the’</w:t>
      </w:r>
    </w:p>
  </w:comment>
  <w:comment w:id="58" w:author="Kapil" w:date="2022-01-09T13:06:00Z" w:initials="K">
    <w:p w:rsidR="004664EA" w:rsidRDefault="004664EA" w:rsidP="004664EA">
      <w:pPr>
        <w:jc w:val="both"/>
        <w:rPr>
          <w:rFonts w:ascii="Bookman Old Style" w:hAnsi="Bookman Old Style"/>
        </w:rPr>
      </w:pPr>
      <w:r>
        <w:rPr>
          <w:rStyle w:val="CommentReference"/>
        </w:rPr>
        <w:annotationRef/>
      </w:r>
      <w:r>
        <w:rPr>
          <w:rFonts w:ascii="Bookman Old Style" w:hAnsi="Bookman Old Style"/>
        </w:rPr>
        <w:t xml:space="preserve">The author has </w:t>
      </w:r>
      <w:r w:rsidRPr="00721A9E">
        <w:rPr>
          <w:rFonts w:ascii="Bookman Old Style" w:hAnsi="Bookman Old Style"/>
        </w:rPr>
        <w:t>describe</w:t>
      </w:r>
      <w:r>
        <w:rPr>
          <w:rFonts w:ascii="Bookman Old Style" w:hAnsi="Bookman Old Style"/>
        </w:rPr>
        <w:t>d</w:t>
      </w:r>
      <w:r w:rsidRPr="00721A9E">
        <w:rPr>
          <w:rFonts w:ascii="Bookman Old Style" w:hAnsi="Bookman Old Style"/>
        </w:rPr>
        <w:t xml:space="preserve"> what has been done in a systematic and scientific manner. Standard p</w:t>
      </w:r>
      <w:r>
        <w:rPr>
          <w:rFonts w:ascii="Bookman Old Style" w:hAnsi="Bookman Old Style"/>
        </w:rPr>
        <w:t xml:space="preserve">rocedures were cited. </w:t>
      </w:r>
    </w:p>
    <w:p w:rsidR="004664EA" w:rsidRDefault="004664EA">
      <w:pPr>
        <w:pStyle w:val="CommentText"/>
      </w:pPr>
    </w:p>
  </w:comment>
  <w:comment w:id="60" w:author="Kapil" w:date="2021-12-01T21:35:00Z" w:initials="K">
    <w:p w:rsidR="00BA7456" w:rsidRDefault="00BA7456">
      <w:pPr>
        <w:pStyle w:val="CommentText"/>
      </w:pPr>
      <w:r>
        <w:rPr>
          <w:rStyle w:val="CommentReference"/>
        </w:rPr>
        <w:annotationRef/>
      </w:r>
      <w:r w:rsidRPr="0090039E">
        <w:rPr>
          <w:lang w:val="en-US"/>
        </w:rPr>
        <w:t xml:space="preserve">You’d better eliminate this reference and replace it by a sentence </w:t>
      </w:r>
      <w:r>
        <w:rPr>
          <w:lang w:val="en-US"/>
        </w:rPr>
        <w:t>explaining the reason using the titanium instead of another metal</w:t>
      </w:r>
    </w:p>
  </w:comment>
  <w:comment w:id="61" w:author="DELL" w:date="2021-11-30T18:16:00Z" w:initials="D">
    <w:p w:rsidR="007041A6" w:rsidRPr="00E145F5" w:rsidRDefault="007041A6">
      <w:pPr>
        <w:pStyle w:val="CommentText"/>
        <w:rPr>
          <w:lang w:val="en-US"/>
        </w:rPr>
      </w:pPr>
      <w:r>
        <w:rPr>
          <w:rStyle w:val="CommentReference"/>
        </w:rPr>
        <w:annotationRef/>
      </w:r>
      <w:r>
        <w:rPr>
          <w:lang w:val="en-US"/>
        </w:rPr>
        <w:t>as above</w:t>
      </w:r>
    </w:p>
  </w:comment>
  <w:comment w:id="63" w:author="Kapil" w:date="2021-12-01T21:35:00Z" w:initials="K">
    <w:p w:rsidR="00BA7456" w:rsidRDefault="00BA7456">
      <w:pPr>
        <w:pStyle w:val="CommentText"/>
      </w:pPr>
      <w:r>
        <w:rPr>
          <w:rStyle w:val="CommentReference"/>
        </w:rPr>
        <w:annotationRef/>
      </w:r>
      <w:r>
        <w:rPr>
          <w:lang w:val="en-US"/>
        </w:rPr>
        <w:t xml:space="preserve">Remove </w:t>
      </w:r>
      <w:r w:rsidRPr="00EF0028">
        <w:rPr>
          <w:lang w:val="en-US"/>
        </w:rPr>
        <w:t xml:space="preserve"> this reference</w:t>
      </w:r>
    </w:p>
  </w:comment>
  <w:comment w:id="62" w:author="DELL" w:date="2021-11-30T18:17:00Z" w:initials="D">
    <w:p w:rsidR="007041A6" w:rsidRPr="00E145F5" w:rsidRDefault="007041A6">
      <w:pPr>
        <w:pStyle w:val="CommentText"/>
        <w:rPr>
          <w:lang w:val="en-US"/>
        </w:rPr>
      </w:pPr>
      <w:r>
        <w:rPr>
          <w:rStyle w:val="CommentReference"/>
        </w:rPr>
        <w:annotationRef/>
      </w:r>
      <w:r>
        <w:rPr>
          <w:lang w:val="en-US"/>
        </w:rPr>
        <w:t>as above</w:t>
      </w:r>
    </w:p>
  </w:comment>
  <w:comment w:id="65" w:author="Kapil" w:date="2021-12-01T21:35:00Z" w:initials="K">
    <w:p w:rsidR="00BA7456" w:rsidRDefault="00BA7456">
      <w:pPr>
        <w:pStyle w:val="CommentText"/>
      </w:pPr>
      <w:r>
        <w:rPr>
          <w:rStyle w:val="CommentReference"/>
        </w:rPr>
        <w:annotationRef/>
      </w:r>
      <w:r w:rsidRPr="00C41909">
        <w:rPr>
          <w:lang w:val="en-US"/>
        </w:rPr>
        <w:t>Decode the abbreviation</w:t>
      </w:r>
    </w:p>
  </w:comment>
  <w:comment w:id="66" w:author="Kapil" w:date="2021-12-01T21:36:00Z" w:initials="K">
    <w:p w:rsidR="00BA7456" w:rsidRDefault="00BA7456">
      <w:pPr>
        <w:pStyle w:val="CommentText"/>
      </w:pPr>
      <w:r>
        <w:rPr>
          <w:rStyle w:val="CommentReference"/>
        </w:rPr>
        <w:annotationRef/>
      </w:r>
      <w:r w:rsidRPr="00C41909">
        <w:rPr>
          <w:lang w:val="en-US"/>
        </w:rPr>
        <w:t>Decode the abbreviation</w:t>
      </w:r>
    </w:p>
  </w:comment>
  <w:comment w:id="64" w:author="Kapil" w:date="2022-01-09T13:06:00Z" w:initials="K">
    <w:p w:rsidR="004664EA" w:rsidRDefault="004664EA" w:rsidP="004664EA">
      <w:pPr>
        <w:rPr>
          <w:rFonts w:ascii="Bookman Old Style" w:hAnsi="Bookman Old Style"/>
        </w:rPr>
      </w:pPr>
      <w:r>
        <w:rPr>
          <w:rStyle w:val="CommentReference"/>
        </w:rPr>
        <w:annotationRef/>
      </w:r>
      <w:r w:rsidRPr="00567272">
        <w:rPr>
          <w:rFonts w:ascii="Bookman Old Style" w:hAnsi="Bookman Old Style"/>
        </w:rPr>
        <w:t>The structure is compact, sequential and logical.</w:t>
      </w:r>
    </w:p>
    <w:p w:rsidR="004664EA" w:rsidRDefault="004664EA">
      <w:pPr>
        <w:pStyle w:val="CommentText"/>
      </w:pPr>
    </w:p>
  </w:comment>
  <w:comment w:id="67" w:author="Kapil" w:date="2021-12-01T21:36:00Z" w:initials="K">
    <w:p w:rsidR="00BA7456" w:rsidRPr="00AB2A56" w:rsidRDefault="00BA7456" w:rsidP="00BA7456">
      <w:pPr>
        <w:pStyle w:val="CommentText"/>
        <w:rPr>
          <w:lang w:val="en-US"/>
        </w:rPr>
      </w:pPr>
      <w:r>
        <w:rPr>
          <w:rStyle w:val="CommentReference"/>
        </w:rPr>
        <w:annotationRef/>
      </w:r>
      <w:r>
        <w:rPr>
          <w:lang w:val="en-US"/>
        </w:rPr>
        <w:t>D</w:t>
      </w:r>
      <w:r w:rsidRPr="00AB2A56">
        <w:rPr>
          <w:lang w:val="en-US"/>
        </w:rPr>
        <w:t xml:space="preserve">ivide the references </w:t>
      </w:r>
      <w:r>
        <w:rPr>
          <w:lang w:val="en-US"/>
        </w:rPr>
        <w:t>according to the organs</w:t>
      </w:r>
    </w:p>
    <w:p w:rsidR="00BA7456" w:rsidRDefault="00BA7456">
      <w:pPr>
        <w:pStyle w:val="CommentText"/>
      </w:pPr>
    </w:p>
  </w:comment>
  <w:comment w:id="68" w:author="DELL" w:date="2021-11-30T18:17:00Z" w:initials="D">
    <w:p w:rsidR="007041A6" w:rsidRPr="00E145F5" w:rsidRDefault="007041A6">
      <w:pPr>
        <w:pStyle w:val="CommentText"/>
        <w:rPr>
          <w:lang w:val="en-US"/>
        </w:rPr>
      </w:pPr>
      <w:r>
        <w:rPr>
          <w:rStyle w:val="CommentReference"/>
        </w:rPr>
        <w:annotationRef/>
      </w:r>
      <w:r>
        <w:rPr>
          <w:lang w:val="en-US"/>
        </w:rPr>
        <w:t>as above</w:t>
      </w:r>
    </w:p>
  </w:comment>
  <w:comment w:id="70" w:author="DELL" w:date="2021-11-30T18:18:00Z" w:initials="D">
    <w:p w:rsidR="007041A6" w:rsidRPr="00E145F5" w:rsidRDefault="007041A6">
      <w:pPr>
        <w:pStyle w:val="CommentText"/>
        <w:rPr>
          <w:lang w:val="en-US"/>
        </w:rPr>
      </w:pPr>
      <w:r>
        <w:rPr>
          <w:rStyle w:val="CommentReference"/>
        </w:rPr>
        <w:annotationRef/>
      </w:r>
      <w:r>
        <w:rPr>
          <w:lang w:val="en-US"/>
        </w:rPr>
        <w:t>as above</w:t>
      </w:r>
    </w:p>
  </w:comment>
  <w:comment w:id="69" w:author="Kapil" w:date="2022-01-09T13:07:00Z" w:initials="K">
    <w:p w:rsidR="004664EA" w:rsidRDefault="004664EA">
      <w:pPr>
        <w:pStyle w:val="CommentText"/>
      </w:pPr>
      <w:r>
        <w:rPr>
          <w:rStyle w:val="CommentReference"/>
        </w:rPr>
        <w:annotationRef/>
      </w:r>
      <w:r w:rsidRPr="00AB42B9">
        <w:rPr>
          <w:rFonts w:ascii="Bookman Old Style" w:hAnsi="Bookman Old Style"/>
        </w:rPr>
        <w:t>Methodology adopted for various activities has been mentioned with utmost clarity.</w:t>
      </w:r>
    </w:p>
  </w:comment>
  <w:comment w:id="72" w:author="Kapil" w:date="2021-12-22T13:02:00Z" w:initials="K">
    <w:p w:rsidR="00743B16" w:rsidRPr="00743B16" w:rsidRDefault="00743B16">
      <w:pPr>
        <w:pStyle w:val="CommentText"/>
        <w:rPr>
          <w:lang w:val="en-US"/>
        </w:rPr>
      </w:pPr>
      <w:r>
        <w:rPr>
          <w:rStyle w:val="CommentReference"/>
        </w:rPr>
        <w:annotationRef/>
      </w:r>
      <w:r>
        <w:rPr>
          <w:lang w:val="en-US"/>
        </w:rPr>
        <w:t>were</w:t>
      </w:r>
    </w:p>
  </w:comment>
  <w:comment w:id="71" w:author="Kapil" w:date="2022-01-09T13:07:00Z" w:initials="K">
    <w:p w:rsidR="004664EA" w:rsidRDefault="004664EA" w:rsidP="004664EA">
      <w:pPr>
        <w:rPr>
          <w:rFonts w:ascii="Bookman Old Style" w:hAnsi="Bookman Old Style"/>
        </w:rPr>
      </w:pPr>
      <w:r>
        <w:rPr>
          <w:rStyle w:val="CommentReference"/>
        </w:rPr>
        <w:annotationRef/>
      </w:r>
      <w:r w:rsidRPr="00AB42B9">
        <w:rPr>
          <w:rFonts w:ascii="Bookman Old Style" w:hAnsi="Bookman Old Style"/>
        </w:rPr>
        <w:t>The research methodology is clearly described to address the problem s</w:t>
      </w:r>
      <w:r>
        <w:rPr>
          <w:rFonts w:ascii="Bookman Old Style" w:hAnsi="Bookman Old Style"/>
        </w:rPr>
        <w:t xml:space="preserve">tatement and to achieve current </w:t>
      </w:r>
      <w:r w:rsidRPr="00AB42B9">
        <w:rPr>
          <w:rFonts w:ascii="Bookman Old Style" w:hAnsi="Bookman Old Style"/>
        </w:rPr>
        <w:t xml:space="preserve">research objectives. </w:t>
      </w:r>
    </w:p>
    <w:p w:rsidR="004664EA" w:rsidRDefault="004664EA">
      <w:pPr>
        <w:pStyle w:val="CommentText"/>
      </w:pPr>
    </w:p>
  </w:comment>
  <w:comment w:id="73" w:author="Kapil" w:date="2022-01-09T13:07:00Z" w:initials="K">
    <w:p w:rsidR="004664EA" w:rsidRDefault="004664EA" w:rsidP="004664EA">
      <w:pPr>
        <w:rPr>
          <w:rFonts w:ascii="Bookman Old Style" w:hAnsi="Bookman Old Style"/>
        </w:rPr>
      </w:pPr>
      <w:r>
        <w:rPr>
          <w:rStyle w:val="CommentReference"/>
        </w:rPr>
        <w:annotationRef/>
      </w:r>
      <w:r w:rsidRPr="0064524F">
        <w:rPr>
          <w:rFonts w:ascii="Bookman Old Style" w:hAnsi="Bookman Old Style"/>
        </w:rPr>
        <w:t>All findings are well supported by the literature and the objectives of the research are carried out with proper and</w:t>
      </w:r>
      <w:r>
        <w:rPr>
          <w:rFonts w:ascii="Bookman Old Style" w:hAnsi="Bookman Old Style"/>
        </w:rPr>
        <w:t xml:space="preserve"> </w:t>
      </w:r>
      <w:r w:rsidRPr="0064524F">
        <w:rPr>
          <w:rFonts w:ascii="Bookman Old Style" w:hAnsi="Bookman Old Style"/>
        </w:rPr>
        <w:t>logical justifications.</w:t>
      </w:r>
    </w:p>
    <w:p w:rsidR="004664EA" w:rsidRDefault="004664EA">
      <w:pPr>
        <w:pStyle w:val="CommentText"/>
      </w:pPr>
    </w:p>
  </w:comment>
  <w:comment w:id="74" w:author="Kapil" w:date="2022-01-09T13:07:00Z" w:initials="K">
    <w:p w:rsidR="004664EA" w:rsidRDefault="004664EA" w:rsidP="004664EA">
      <w:pPr>
        <w:rPr>
          <w:rFonts w:ascii="Bookman Old Style" w:hAnsi="Bookman Old Style"/>
        </w:rPr>
      </w:pPr>
      <w:r>
        <w:rPr>
          <w:rStyle w:val="CommentReference"/>
        </w:rPr>
        <w:annotationRef/>
      </w:r>
      <w:r w:rsidRPr="0064524F">
        <w:rPr>
          <w:rFonts w:ascii="Bookman Old Style" w:hAnsi="Bookman Old Style"/>
        </w:rPr>
        <w:t xml:space="preserve">Current study’s result is suitable for mapping the interpretation of findings by the policy makers. </w:t>
      </w:r>
    </w:p>
    <w:p w:rsidR="004664EA" w:rsidRDefault="004664EA">
      <w:pPr>
        <w:pStyle w:val="CommentText"/>
      </w:pPr>
    </w:p>
  </w:comment>
  <w:comment w:id="75" w:author="DELL" w:date="2021-11-30T18:21:00Z" w:initials="D">
    <w:p w:rsidR="007041A6" w:rsidRPr="002B5C33" w:rsidRDefault="007041A6">
      <w:pPr>
        <w:pStyle w:val="CommentText"/>
        <w:rPr>
          <w:lang w:val="en-US"/>
        </w:rPr>
      </w:pPr>
      <w:r>
        <w:rPr>
          <w:rStyle w:val="CommentReference"/>
        </w:rPr>
        <w:annotationRef/>
      </w:r>
      <w:r>
        <w:rPr>
          <w:lang w:val="en-US"/>
        </w:rPr>
        <w:t>as above</w:t>
      </w:r>
    </w:p>
  </w:comment>
  <w:comment w:id="76" w:author="Kapil" w:date="2021-12-01T21:37:00Z" w:initials="K">
    <w:p w:rsidR="00BA7456" w:rsidRDefault="00BA7456" w:rsidP="00BA7456">
      <w:pPr>
        <w:pStyle w:val="CommentText"/>
      </w:pPr>
      <w:r>
        <w:rPr>
          <w:rStyle w:val="CommentReference"/>
        </w:rPr>
        <w:annotationRef/>
      </w:r>
      <w:r w:rsidRPr="000A6637">
        <w:t>if it is possible to cite the route of access of each element in the human body whether it was oral or cutaneous .... etc</w:t>
      </w:r>
    </w:p>
    <w:p w:rsidR="00BA7456" w:rsidRDefault="00BA7456" w:rsidP="00BA7456">
      <w:pPr>
        <w:pStyle w:val="CommentText"/>
        <w:rPr>
          <w:lang w:val="en-US"/>
        </w:rPr>
      </w:pPr>
    </w:p>
    <w:p w:rsidR="00BA7456" w:rsidRDefault="00BA7456" w:rsidP="00BA7456">
      <w:pPr>
        <w:pStyle w:val="CommentText"/>
        <w:rPr>
          <w:lang w:val="en-US"/>
        </w:rPr>
      </w:pPr>
      <w:r>
        <w:rPr>
          <w:lang w:val="en-US"/>
        </w:rPr>
        <w:t>T</w:t>
      </w:r>
      <w:r w:rsidRPr="000A6637">
        <w:rPr>
          <w:lang w:val="en-US"/>
        </w:rPr>
        <w:t>he author is demanded</w:t>
      </w:r>
      <w:r>
        <w:rPr>
          <w:lang w:val="en-US"/>
        </w:rPr>
        <w:t xml:space="preserve"> to cite </w:t>
      </w:r>
      <w:r w:rsidRPr="000A6637">
        <w:rPr>
          <w:lang w:val="en-US"/>
        </w:rPr>
        <w:t>the relationship between the distribution of elements in the periodic table and their effects</w:t>
      </w:r>
    </w:p>
    <w:p w:rsidR="00BA7456" w:rsidRPr="000A6637" w:rsidRDefault="00BA7456" w:rsidP="00BA7456">
      <w:pPr>
        <w:pStyle w:val="CommentText"/>
        <w:rPr>
          <w:lang w:val="en-US"/>
        </w:rPr>
      </w:pPr>
    </w:p>
    <w:p w:rsidR="00BA7456" w:rsidRDefault="00BA7456" w:rsidP="00BA7456">
      <w:pPr>
        <w:pStyle w:val="CommentText"/>
        <w:rPr>
          <w:lang w:val="en-US"/>
        </w:rPr>
      </w:pPr>
      <w:r w:rsidRPr="000A6637">
        <w:rPr>
          <w:lang w:val="en-US"/>
        </w:rPr>
        <w:t xml:space="preserve">You </w:t>
      </w:r>
      <w:r>
        <w:rPr>
          <w:lang w:val="en-US"/>
        </w:rPr>
        <w:t xml:space="preserve">could have given details about </w:t>
      </w:r>
      <w:r w:rsidRPr="00996798">
        <w:rPr>
          <w:lang w:val="en-US"/>
        </w:rPr>
        <w:t>which coexistence of elements that worsen the epidemiological situation</w:t>
      </w:r>
    </w:p>
    <w:p w:rsidR="00BA7456" w:rsidRDefault="00BA7456" w:rsidP="00BA7456">
      <w:pPr>
        <w:pStyle w:val="CommentText"/>
        <w:rPr>
          <w:lang w:val="en-US"/>
        </w:rPr>
      </w:pPr>
    </w:p>
    <w:p w:rsidR="00BA7456" w:rsidRDefault="00BA7456" w:rsidP="00BA7456">
      <w:pPr>
        <w:pStyle w:val="CommentText"/>
        <w:rPr>
          <w:lang w:val="en-US"/>
        </w:rPr>
      </w:pPr>
      <w:r>
        <w:rPr>
          <w:lang w:val="en-US"/>
        </w:rPr>
        <w:t xml:space="preserve">In the case of zinc, it’s known that zinc is the most important trace element for central nervous system. </w:t>
      </w:r>
    </w:p>
    <w:p w:rsidR="00BA7456" w:rsidRDefault="00BA7456" w:rsidP="00BA7456">
      <w:pPr>
        <w:pStyle w:val="CommentText"/>
        <w:rPr>
          <w:lang w:val="en-US"/>
        </w:rPr>
      </w:pPr>
      <w:r>
        <w:rPr>
          <w:lang w:val="en-US"/>
        </w:rPr>
        <w:t>In such epidemiological cases. How you can explain that?</w:t>
      </w:r>
    </w:p>
    <w:p w:rsidR="00BA7456" w:rsidRPr="000A6637" w:rsidRDefault="00BA7456" w:rsidP="00BA7456">
      <w:pPr>
        <w:pStyle w:val="CommentText"/>
        <w:rPr>
          <w:lang w:val="en-US"/>
        </w:rPr>
      </w:pPr>
      <w:r>
        <w:rPr>
          <w:lang w:val="en-US"/>
        </w:rPr>
        <w:t>A</w:t>
      </w:r>
      <w:r w:rsidRPr="00996798">
        <w:rPr>
          <w:lang w:val="en-US"/>
        </w:rPr>
        <w:t xml:space="preserve">re there any factors responsible for the </w:t>
      </w:r>
      <w:r>
        <w:rPr>
          <w:lang w:val="en-US"/>
        </w:rPr>
        <w:t>mis</w:t>
      </w:r>
      <w:r w:rsidRPr="00996798">
        <w:rPr>
          <w:lang w:val="en-US"/>
        </w:rPr>
        <w:t xml:space="preserve">distribution of the </w:t>
      </w:r>
      <w:r>
        <w:rPr>
          <w:lang w:val="en-US"/>
        </w:rPr>
        <w:t>Zinc in the body</w:t>
      </w:r>
      <w:r w:rsidRPr="00996798">
        <w:rPr>
          <w:lang w:val="en-US"/>
        </w:rPr>
        <w:t>?</w:t>
      </w:r>
    </w:p>
    <w:p w:rsidR="00BA7456" w:rsidRDefault="00BA7456">
      <w:pPr>
        <w:pStyle w:val="CommentText"/>
      </w:pPr>
    </w:p>
  </w:comment>
  <w:comment w:id="77" w:author="Kapil" w:date="2021-12-22T13:00:00Z" w:initials="K">
    <w:p w:rsidR="00743B16" w:rsidRPr="00743B16" w:rsidRDefault="00743B16">
      <w:pPr>
        <w:pStyle w:val="CommentText"/>
        <w:rPr>
          <w:lang w:val="en-US"/>
        </w:rPr>
      </w:pPr>
      <w:r>
        <w:rPr>
          <w:rStyle w:val="CommentReference"/>
        </w:rPr>
        <w:annotationRef/>
      </w:r>
      <w:r>
        <w:rPr>
          <w:lang w:val="en-US"/>
        </w:rPr>
        <w:t>Table 1 to Table 3</w:t>
      </w:r>
    </w:p>
  </w:comment>
  <w:comment w:id="79" w:author="DELL" w:date="2021-11-30T18:29:00Z" w:initials="D">
    <w:p w:rsidR="007041A6" w:rsidRPr="003C745B" w:rsidRDefault="007041A6">
      <w:pPr>
        <w:pStyle w:val="CommentText"/>
        <w:rPr>
          <w:lang w:val="en-US"/>
        </w:rPr>
      </w:pPr>
      <w:r>
        <w:rPr>
          <w:rStyle w:val="CommentReference"/>
        </w:rPr>
        <w:annotationRef/>
      </w:r>
      <w:r>
        <w:rPr>
          <w:lang w:val="en-US"/>
        </w:rPr>
        <w:t xml:space="preserve">change to: </w:t>
      </w:r>
      <w:r>
        <w:rPr>
          <w:rStyle w:val="y2iqfc"/>
          <w:rFonts w:ascii="inherit" w:hAnsi="inherit"/>
          <w:color w:val="202124"/>
          <w:sz w:val="28"/>
          <w:szCs w:val="28"/>
        </w:rPr>
        <w:t>the differences</w:t>
      </w:r>
    </w:p>
  </w:comment>
  <w:comment w:id="80" w:author="Kapil" w:date="2021-12-22T13:03:00Z" w:initials="K">
    <w:p w:rsidR="00752256" w:rsidRDefault="00752256">
      <w:pPr>
        <w:pStyle w:val="CommentText"/>
      </w:pPr>
      <w:r>
        <w:rPr>
          <w:rStyle w:val="CommentReference"/>
        </w:rPr>
        <w:annotationRef/>
      </w:r>
      <w:r w:rsidRPr="00705F69">
        <w:rPr>
          <w:lang w:val="en-US"/>
        </w:rPr>
        <w:t>Table 2</w:t>
      </w:r>
      <w:r>
        <w:rPr>
          <w:lang w:val="en-US"/>
        </w:rPr>
        <w:t xml:space="preserve"> and Table 3</w:t>
      </w:r>
    </w:p>
  </w:comment>
  <w:comment w:id="78" w:author="DELL" w:date="2021-11-30T18:35:00Z" w:initials="D">
    <w:p w:rsidR="007041A6" w:rsidRPr="003C745B" w:rsidRDefault="007041A6" w:rsidP="003C745B">
      <w:pPr>
        <w:spacing w:line="276" w:lineRule="auto"/>
        <w:rPr>
          <w:rFonts w:asciiTheme="majorBidi" w:hAnsiTheme="majorBidi" w:cstheme="majorBidi"/>
          <w:color w:val="202124"/>
        </w:rPr>
      </w:pPr>
      <w:r>
        <w:rPr>
          <w:rStyle w:val="CommentReference"/>
        </w:rPr>
        <w:annotationRef/>
      </w:r>
      <w:r>
        <w:rPr>
          <w:lang w:val="en-US"/>
        </w:rPr>
        <w:t>change to:</w:t>
      </w:r>
      <w:r w:rsidRPr="003C745B">
        <w:rPr>
          <w:rStyle w:val="y2iqfc"/>
          <w:rFonts w:asciiTheme="majorBidi" w:hAnsiTheme="majorBidi" w:cstheme="majorBidi"/>
          <w:color w:val="202124"/>
        </w:rPr>
        <w:t xml:space="preserve"> In general, the differences found for the contents of </w:t>
      </w:r>
      <w:r w:rsidRPr="0092428F">
        <w:rPr>
          <w:lang w:val="en-US"/>
        </w:rPr>
        <w:t>Ag, Al, Au, Be, Cr, Cs, Hg, Mn, Pb, Rb, Sb,Sc, Th, Yb, Zn, and Zr</w:t>
      </w:r>
      <w:r>
        <w:rPr>
          <w:lang w:val="en-US"/>
        </w:rPr>
        <w:t xml:space="preserve"> </w:t>
      </w:r>
      <w:r w:rsidRPr="003C745B">
        <w:rPr>
          <w:rStyle w:val="y2iqfc"/>
          <w:rFonts w:asciiTheme="majorBidi" w:hAnsiTheme="majorBidi" w:cstheme="majorBidi"/>
          <w:color w:val="202124"/>
        </w:rPr>
        <w:t xml:space="preserve">in CG and TA tissue samples were similar in comparison with </w:t>
      </w:r>
      <w:r w:rsidRPr="003C745B">
        <w:rPr>
          <w:rFonts w:asciiTheme="majorBidi" w:hAnsiTheme="majorBidi" w:cstheme="majorBidi"/>
          <w:lang w:val="en-US"/>
        </w:rPr>
        <w:t>normal thyroid tissue</w:t>
      </w:r>
      <w:r w:rsidRPr="003C745B">
        <w:rPr>
          <w:rStyle w:val="y2iqfc"/>
          <w:rFonts w:asciiTheme="majorBidi" w:hAnsiTheme="majorBidi" w:cstheme="majorBidi"/>
          <w:color w:val="202124"/>
        </w:rPr>
        <w:t xml:space="preserve"> (Table 3). Infected tissue contents of Ag, Al, Cr, Hg, Mn, Th, and Zn increased, while the levels of Au, Be, Cs, Pb, Rb, Sb, Sc, Th, Yb and Zr did not change in both groups of samples (Table 3 ). No differences were found between the TE contents of CG and TA, when the results of these groups were compared with each other (Tables 2 and 3).</w:t>
      </w:r>
    </w:p>
    <w:p w:rsidR="007041A6" w:rsidRPr="003C745B" w:rsidRDefault="007041A6">
      <w:pPr>
        <w:pStyle w:val="CommentText"/>
      </w:pPr>
    </w:p>
  </w:comment>
  <w:comment w:id="81" w:author="DELL" w:date="2021-11-30T18:50:00Z" w:initials="D">
    <w:p w:rsidR="007041A6" w:rsidRPr="005777B6" w:rsidRDefault="007041A6" w:rsidP="005777B6">
      <w:pPr>
        <w:spacing w:after="120" w:line="276" w:lineRule="auto"/>
        <w:rPr>
          <w:rFonts w:asciiTheme="majorBidi" w:hAnsiTheme="majorBidi" w:cstheme="majorBidi"/>
          <w:lang w:val="en-US"/>
        </w:rPr>
      </w:pPr>
      <w:r>
        <w:rPr>
          <w:rStyle w:val="CommentReference"/>
        </w:rPr>
        <w:annotationRef/>
      </w:r>
      <w:r w:rsidRPr="005777B6">
        <w:rPr>
          <w:highlight w:val="yellow"/>
          <w:lang w:val="en-US"/>
        </w:rPr>
        <w:t>Change to:</w:t>
      </w:r>
      <w:r>
        <w:rPr>
          <w:lang w:val="en-US"/>
        </w:rPr>
        <w:t xml:space="preserve"> </w:t>
      </w:r>
      <w:r w:rsidRPr="005777B6">
        <w:rPr>
          <w:rFonts w:asciiTheme="majorBidi" w:hAnsiTheme="majorBidi" w:cstheme="majorBidi"/>
          <w:b/>
          <w:bCs/>
          <w:lang w:val="en-US"/>
        </w:rPr>
        <w:t>Table 1</w:t>
      </w:r>
      <w:r w:rsidRPr="005777B6">
        <w:rPr>
          <w:rFonts w:asciiTheme="majorBidi" w:hAnsiTheme="majorBidi" w:cstheme="majorBidi"/>
          <w:bCs/>
          <w:lang w:val="en-US"/>
        </w:rPr>
        <w:t>.</w:t>
      </w:r>
      <w:r w:rsidRPr="005777B6">
        <w:rPr>
          <w:rFonts w:asciiTheme="majorBidi" w:hAnsiTheme="majorBidi" w:cstheme="majorBidi"/>
          <w:shd w:val="clear" w:color="auto" w:fill="FFFFFF"/>
        </w:rPr>
        <w:t xml:space="preserve">  </w:t>
      </w:r>
      <w:r w:rsidRPr="005777B6">
        <w:rPr>
          <w:rFonts w:asciiTheme="majorBidi" w:hAnsiTheme="majorBidi" w:cstheme="majorBidi"/>
          <w:shd w:val="clear" w:color="auto" w:fill="FFFFFF"/>
          <w:lang w:val="en-US"/>
        </w:rPr>
        <w:t>M</w:t>
      </w:r>
      <w:r w:rsidRPr="005777B6">
        <w:rPr>
          <w:rFonts w:asciiTheme="majorBidi" w:hAnsiTheme="majorBidi" w:cstheme="majorBidi"/>
          <w:shd w:val="clear" w:color="auto" w:fill="FFFFFF"/>
        </w:rPr>
        <w:t>easures of central tendency</w:t>
      </w:r>
      <w:r w:rsidRPr="005777B6">
        <w:rPr>
          <w:rFonts w:asciiTheme="majorBidi" w:hAnsiTheme="majorBidi" w:cstheme="majorBidi"/>
          <w:shd w:val="clear" w:color="auto" w:fill="FFFFFF"/>
          <w:lang w:val="en-US"/>
        </w:rPr>
        <w:t xml:space="preserve"> (Mean, SD and range ) for</w:t>
      </w:r>
      <w:r w:rsidRPr="005777B6">
        <w:rPr>
          <w:rFonts w:asciiTheme="majorBidi" w:hAnsiTheme="majorBidi" w:cstheme="majorBidi"/>
          <w:lang w:val="en-US"/>
        </w:rPr>
        <w:t xml:space="preserve"> 50 trace elements mass fraction (mg/kg, dry mass basis) in thyroid colloid goiter and adenoma</w:t>
      </w:r>
    </w:p>
    <w:p w:rsidR="007041A6" w:rsidRPr="005777B6" w:rsidRDefault="007041A6">
      <w:pPr>
        <w:pStyle w:val="CommentText"/>
        <w:rPr>
          <w:lang w:val="en-US"/>
        </w:rPr>
      </w:pPr>
    </w:p>
  </w:comment>
  <w:comment w:id="82" w:author="DELL" w:date="2021-11-30T18:52:00Z" w:initials="D">
    <w:p w:rsidR="007041A6" w:rsidRPr="00392A5E" w:rsidRDefault="007041A6">
      <w:pPr>
        <w:pStyle w:val="CommentText"/>
        <w:rPr>
          <w:lang w:val="en-US"/>
        </w:rPr>
      </w:pPr>
      <w:r>
        <w:rPr>
          <w:rStyle w:val="CommentReference"/>
        </w:rPr>
        <w:annotationRef/>
      </w:r>
      <w:r>
        <w:rPr>
          <w:lang w:val="en-US"/>
        </w:rPr>
        <w:t>Delete space</w:t>
      </w:r>
    </w:p>
  </w:comment>
  <w:comment w:id="83" w:author="Kapil" w:date="2021-12-01T21:37:00Z" w:initials="K">
    <w:p w:rsidR="00BA7456" w:rsidRDefault="00BA7456" w:rsidP="00BA7456">
      <w:pPr>
        <w:pStyle w:val="CommentText"/>
        <w:rPr>
          <w:lang w:val="en-US"/>
        </w:rPr>
      </w:pPr>
      <w:r>
        <w:rPr>
          <w:rStyle w:val="CommentReference"/>
        </w:rPr>
        <w:annotationRef/>
      </w:r>
      <w:r w:rsidRPr="00610BB6">
        <w:rPr>
          <w:lang w:val="en-US"/>
        </w:rPr>
        <w:t xml:space="preserve">As </w:t>
      </w:r>
      <w:r>
        <w:rPr>
          <w:lang w:val="en-US"/>
        </w:rPr>
        <w:t>the silv</w:t>
      </w:r>
      <w:r w:rsidRPr="00610BB6">
        <w:rPr>
          <w:lang w:val="en-US"/>
        </w:rPr>
        <w:t xml:space="preserve">er </w:t>
      </w:r>
      <w:r>
        <w:rPr>
          <w:lang w:val="en-US"/>
        </w:rPr>
        <w:t xml:space="preserve">located </w:t>
      </w:r>
      <w:r w:rsidRPr="00610BB6">
        <w:rPr>
          <w:lang w:val="en-US"/>
        </w:rPr>
        <w:t xml:space="preserve">in the same column </w:t>
      </w:r>
      <w:r>
        <w:rPr>
          <w:lang w:val="en-US"/>
        </w:rPr>
        <w:t>(‘1B’ of the periodic table) as the gold and copper how it happened only silver induce such damage</w:t>
      </w:r>
    </w:p>
    <w:p w:rsidR="00BA7456" w:rsidRPr="00610BB6" w:rsidRDefault="00BA7456" w:rsidP="00BA7456">
      <w:pPr>
        <w:pStyle w:val="CommentText"/>
        <w:rPr>
          <w:lang w:val="en-US"/>
        </w:rPr>
      </w:pPr>
      <w:r>
        <w:rPr>
          <w:lang w:val="en-US"/>
        </w:rPr>
        <w:t xml:space="preserve">If it is possible you can give more details ‘molecular explanation’  </w:t>
      </w:r>
    </w:p>
    <w:p w:rsidR="00BA7456" w:rsidRDefault="00BA7456">
      <w:pPr>
        <w:pStyle w:val="CommentText"/>
      </w:pPr>
    </w:p>
  </w:comment>
  <w:comment w:id="84" w:author="DELL" w:date="2021-11-30T18:53:00Z" w:initials="D">
    <w:p w:rsidR="007041A6" w:rsidRPr="00392A5E" w:rsidRDefault="007041A6">
      <w:pPr>
        <w:pStyle w:val="CommentText"/>
        <w:rPr>
          <w:lang w:val="en-US"/>
        </w:rPr>
      </w:pPr>
      <w:r>
        <w:rPr>
          <w:rStyle w:val="CommentReference"/>
        </w:rPr>
        <w:annotationRef/>
      </w:r>
      <w:r>
        <w:rPr>
          <w:lang w:val="en-US"/>
        </w:rPr>
        <w:t>As above</w:t>
      </w:r>
    </w:p>
  </w:comment>
  <w:comment w:id="85" w:author="DELL" w:date="2021-11-30T18:54:00Z" w:initials="D">
    <w:p w:rsidR="007041A6" w:rsidRPr="00392A5E" w:rsidRDefault="007041A6">
      <w:pPr>
        <w:pStyle w:val="CommentText"/>
        <w:rPr>
          <w:lang w:val="en-US"/>
        </w:rPr>
      </w:pPr>
      <w:r>
        <w:rPr>
          <w:rStyle w:val="CommentReference"/>
        </w:rPr>
        <w:annotationRef/>
      </w:r>
      <w:r>
        <w:rPr>
          <w:lang w:val="en-US"/>
        </w:rPr>
        <w:t>As above</w:t>
      </w:r>
    </w:p>
  </w:comment>
  <w:comment w:id="86" w:author="DELL" w:date="2021-11-30T18:55:00Z" w:initials="D">
    <w:p w:rsidR="007041A6" w:rsidRPr="00270D36" w:rsidRDefault="007041A6">
      <w:pPr>
        <w:pStyle w:val="CommentText"/>
        <w:rPr>
          <w:lang w:val="en-US"/>
        </w:rPr>
      </w:pPr>
      <w:r>
        <w:rPr>
          <w:rStyle w:val="CommentReference"/>
        </w:rPr>
        <w:annotationRef/>
      </w:r>
      <w:r>
        <w:rPr>
          <w:lang w:val="en-US"/>
        </w:rPr>
        <w:t>As above</w:t>
      </w:r>
    </w:p>
  </w:comment>
  <w:comment w:id="87" w:author="DELL" w:date="2021-11-30T18:55:00Z" w:initials="D">
    <w:p w:rsidR="007041A6" w:rsidRPr="00270D36" w:rsidRDefault="007041A6">
      <w:pPr>
        <w:pStyle w:val="CommentText"/>
        <w:rPr>
          <w:lang w:val="en-US"/>
        </w:rPr>
      </w:pPr>
      <w:r>
        <w:rPr>
          <w:rStyle w:val="CommentReference"/>
        </w:rPr>
        <w:annotationRef/>
      </w:r>
      <w:r>
        <w:rPr>
          <w:lang w:val="en-US"/>
        </w:rPr>
        <w:t>As above</w:t>
      </w:r>
    </w:p>
  </w:comment>
  <w:comment w:id="88" w:author="DELL" w:date="2021-11-30T19:01:00Z" w:initials="D">
    <w:p w:rsidR="007041A6" w:rsidRPr="00861104" w:rsidRDefault="007041A6">
      <w:pPr>
        <w:pStyle w:val="CommentText"/>
        <w:rPr>
          <w:lang w:val="en-US"/>
        </w:rPr>
      </w:pPr>
      <w:r>
        <w:rPr>
          <w:rStyle w:val="CommentReference"/>
        </w:rPr>
        <w:annotationRef/>
      </w:r>
      <w:r>
        <w:rPr>
          <w:lang w:val="en-US"/>
        </w:rPr>
        <w:t xml:space="preserve">Change to: </w:t>
      </w:r>
      <w:r>
        <w:rPr>
          <w:rStyle w:val="y2iqfc"/>
          <w:rFonts w:ascii="inherit" w:hAnsi="inherit"/>
          <w:color w:val="202124"/>
          <w:sz w:val="28"/>
          <w:szCs w:val="28"/>
        </w:rPr>
        <w:t>Al is the most prevalent metal in the environment.</w:t>
      </w:r>
    </w:p>
  </w:comment>
  <w:comment w:id="89" w:author="DELL" w:date="2021-11-30T19:02:00Z" w:initials="D">
    <w:p w:rsidR="007041A6" w:rsidRPr="00861104" w:rsidRDefault="007041A6">
      <w:pPr>
        <w:pStyle w:val="CommentText"/>
        <w:rPr>
          <w:lang w:val="en-US"/>
        </w:rPr>
      </w:pPr>
      <w:r>
        <w:rPr>
          <w:rStyle w:val="CommentReference"/>
        </w:rPr>
        <w:annotationRef/>
      </w:r>
      <w:r>
        <w:rPr>
          <w:lang w:val="en-US"/>
        </w:rPr>
        <w:t xml:space="preserve"> Change to: with</w:t>
      </w:r>
    </w:p>
  </w:comment>
  <w:comment w:id="90" w:author="DELL" w:date="2021-11-30T19:02:00Z" w:initials="D">
    <w:p w:rsidR="007041A6" w:rsidRPr="00861104" w:rsidRDefault="007041A6">
      <w:pPr>
        <w:pStyle w:val="CommentText"/>
        <w:rPr>
          <w:lang w:val="en-US"/>
        </w:rPr>
      </w:pPr>
      <w:r>
        <w:rPr>
          <w:rStyle w:val="CommentReference"/>
        </w:rPr>
        <w:annotationRef/>
      </w:r>
      <w:r>
        <w:rPr>
          <w:lang w:val="en-US"/>
        </w:rPr>
        <w:t>As above</w:t>
      </w:r>
    </w:p>
  </w:comment>
  <w:comment w:id="91" w:author="DELL" w:date="2021-11-30T19:03:00Z" w:initials="D">
    <w:p w:rsidR="007041A6" w:rsidRPr="00861104" w:rsidRDefault="007041A6">
      <w:pPr>
        <w:pStyle w:val="CommentText"/>
        <w:rPr>
          <w:lang w:val="en-US"/>
        </w:rPr>
      </w:pPr>
      <w:r>
        <w:rPr>
          <w:rStyle w:val="CommentReference"/>
        </w:rPr>
        <w:annotationRef/>
      </w:r>
      <w:r>
        <w:rPr>
          <w:lang w:val="en-US"/>
        </w:rPr>
        <w:t xml:space="preserve">Change to: </w:t>
      </w:r>
      <w:r>
        <w:rPr>
          <w:rStyle w:val="y2iqfc"/>
          <w:rFonts w:ascii="inherit" w:hAnsi="inherit"/>
          <w:color w:val="202124"/>
          <w:sz w:val="28"/>
          <w:szCs w:val="28"/>
        </w:rPr>
        <w:t>because there is no biochemical function directly associated with it.</w:t>
      </w:r>
    </w:p>
  </w:comment>
  <w:comment w:id="92" w:author="DELL" w:date="2021-11-30T19:05:00Z" w:initials="D">
    <w:p w:rsidR="007041A6" w:rsidRPr="00861104" w:rsidRDefault="007041A6">
      <w:pPr>
        <w:pStyle w:val="CommentText"/>
        <w:rPr>
          <w:lang w:val="en-US"/>
        </w:rPr>
      </w:pPr>
      <w:r>
        <w:rPr>
          <w:rStyle w:val="CommentReference"/>
        </w:rPr>
        <w:annotationRef/>
      </w:r>
      <w:r>
        <w:rPr>
          <w:lang w:val="en-US"/>
        </w:rPr>
        <w:t xml:space="preserve">Change to: </w:t>
      </w:r>
      <w:r>
        <w:rPr>
          <w:rStyle w:val="y2iqfc"/>
          <w:rFonts w:ascii="inherit" w:hAnsi="inherit"/>
          <w:color w:val="202124"/>
          <w:sz w:val="28"/>
          <w:szCs w:val="28"/>
        </w:rPr>
        <w:t>The toxic effects of Al lead to</w:t>
      </w:r>
    </w:p>
  </w:comment>
  <w:comment w:id="94" w:author="Kapil" w:date="2021-12-01T21:38:00Z" w:initials="K">
    <w:p w:rsidR="00BA7456" w:rsidRPr="00D404E6" w:rsidRDefault="00BA7456" w:rsidP="00BA7456">
      <w:pPr>
        <w:pStyle w:val="CommentText"/>
        <w:rPr>
          <w:lang w:val="en-US"/>
        </w:rPr>
      </w:pPr>
      <w:r>
        <w:rPr>
          <w:rStyle w:val="CommentReference"/>
        </w:rPr>
        <w:annotationRef/>
      </w:r>
      <w:r w:rsidRPr="00D404E6">
        <w:rPr>
          <w:lang w:val="en-US"/>
        </w:rPr>
        <w:t>Eliminate this reference</w:t>
      </w:r>
      <w:r>
        <w:rPr>
          <w:lang w:val="en-US"/>
        </w:rPr>
        <w:t xml:space="preserve"> ‘it gives no information’</w:t>
      </w:r>
    </w:p>
    <w:p w:rsidR="00BA7456" w:rsidRDefault="00BA7456">
      <w:pPr>
        <w:pStyle w:val="CommentText"/>
      </w:pPr>
    </w:p>
  </w:comment>
  <w:comment w:id="93" w:author="DELL" w:date="2021-11-30T19:06:00Z" w:initials="D">
    <w:p w:rsidR="007041A6" w:rsidRPr="0016777F" w:rsidRDefault="007041A6">
      <w:pPr>
        <w:pStyle w:val="CommentText"/>
        <w:rPr>
          <w:lang w:val="en-US"/>
        </w:rPr>
      </w:pPr>
      <w:r>
        <w:rPr>
          <w:rStyle w:val="CommentReference"/>
        </w:rPr>
        <w:annotationRef/>
      </w:r>
      <w:r>
        <w:rPr>
          <w:lang w:val="en-US"/>
        </w:rPr>
        <w:t>As above</w:t>
      </w:r>
    </w:p>
  </w:comment>
  <w:comment w:id="96" w:author="DELL" w:date="2021-11-30T19:07:00Z" w:initials="D">
    <w:p w:rsidR="007041A6" w:rsidRPr="0016777F" w:rsidRDefault="007041A6">
      <w:pPr>
        <w:pStyle w:val="CommentText"/>
        <w:rPr>
          <w:lang w:val="en-US"/>
        </w:rPr>
      </w:pPr>
      <w:r>
        <w:rPr>
          <w:rStyle w:val="CommentReference"/>
        </w:rPr>
        <w:annotationRef/>
      </w:r>
      <w:r>
        <w:rPr>
          <w:lang w:val="en-US"/>
        </w:rPr>
        <w:t xml:space="preserve">Change to : it has been </w:t>
      </w:r>
    </w:p>
  </w:comment>
  <w:comment w:id="95" w:author="Kapil" w:date="2021-12-01T21:38:00Z" w:initials="K">
    <w:p w:rsidR="00BA7456" w:rsidRDefault="00BA7456" w:rsidP="00BA7456">
      <w:pPr>
        <w:pStyle w:val="CommentText"/>
        <w:rPr>
          <w:lang w:val="en-US"/>
        </w:rPr>
      </w:pPr>
      <w:r>
        <w:rPr>
          <w:rStyle w:val="CommentReference"/>
        </w:rPr>
        <w:annotationRef/>
      </w:r>
      <w:r w:rsidRPr="00E545F2">
        <w:rPr>
          <w:lang w:val="en-US"/>
        </w:rPr>
        <w:t>It would better giving details of</w:t>
      </w:r>
      <w:r>
        <w:rPr>
          <w:lang w:val="en-US"/>
        </w:rPr>
        <w:t xml:space="preserve"> themode of action of aluminum</w:t>
      </w:r>
    </w:p>
    <w:p w:rsidR="00BA7456" w:rsidRPr="00E545F2" w:rsidRDefault="00BA7456" w:rsidP="00BA7456">
      <w:pPr>
        <w:pStyle w:val="CommentText"/>
        <w:rPr>
          <w:lang w:val="en-US"/>
        </w:rPr>
      </w:pPr>
      <w:r>
        <w:rPr>
          <w:lang w:val="en-US"/>
        </w:rPr>
        <w:t>Such superficial information could be simple quoted in the introduction</w:t>
      </w:r>
    </w:p>
    <w:p w:rsidR="00BA7456" w:rsidRDefault="00BA7456">
      <w:pPr>
        <w:pStyle w:val="CommentText"/>
      </w:pPr>
    </w:p>
  </w:comment>
  <w:comment w:id="97" w:author="DELL" w:date="2021-11-30T19:07:00Z" w:initials="D">
    <w:p w:rsidR="007041A6" w:rsidRPr="0016777F" w:rsidRDefault="007041A6">
      <w:pPr>
        <w:pStyle w:val="CommentText"/>
        <w:rPr>
          <w:lang w:val="en-US"/>
        </w:rPr>
      </w:pPr>
      <w:r>
        <w:rPr>
          <w:rStyle w:val="CommentReference"/>
        </w:rPr>
        <w:annotationRef/>
      </w:r>
      <w:r>
        <w:rPr>
          <w:lang w:val="en-US"/>
        </w:rPr>
        <w:t>As above</w:t>
      </w:r>
    </w:p>
  </w:comment>
  <w:comment w:id="98" w:author="DELL" w:date="2021-11-30T19:08:00Z" w:initials="D">
    <w:p w:rsidR="007041A6" w:rsidRPr="0016777F" w:rsidRDefault="007041A6">
      <w:pPr>
        <w:pStyle w:val="CommentText"/>
        <w:rPr>
          <w:lang w:val="en-US"/>
        </w:rPr>
      </w:pPr>
      <w:r>
        <w:rPr>
          <w:rStyle w:val="CommentReference"/>
        </w:rPr>
        <w:annotationRef/>
      </w:r>
      <w:r>
        <w:rPr>
          <w:lang w:val="en-US"/>
        </w:rPr>
        <w:t>As above</w:t>
      </w:r>
    </w:p>
  </w:comment>
  <w:comment w:id="99" w:author="DELL" w:date="2021-11-30T19:08:00Z" w:initials="D">
    <w:p w:rsidR="007041A6" w:rsidRPr="0016777F" w:rsidRDefault="007041A6">
      <w:pPr>
        <w:pStyle w:val="CommentText"/>
        <w:rPr>
          <w:lang w:val="en-US"/>
        </w:rPr>
      </w:pPr>
      <w:r>
        <w:rPr>
          <w:rStyle w:val="CommentReference"/>
        </w:rPr>
        <w:annotationRef/>
      </w:r>
      <w:r>
        <w:rPr>
          <w:lang w:val="en-US"/>
        </w:rPr>
        <w:t>As above</w:t>
      </w:r>
    </w:p>
  </w:comment>
  <w:comment w:id="100" w:author="DELL" w:date="2021-11-30T19:08:00Z" w:initials="D">
    <w:p w:rsidR="007041A6" w:rsidRPr="0016777F" w:rsidRDefault="007041A6">
      <w:pPr>
        <w:pStyle w:val="CommentText"/>
        <w:rPr>
          <w:lang w:val="en-US"/>
        </w:rPr>
      </w:pPr>
      <w:r>
        <w:rPr>
          <w:rStyle w:val="CommentReference"/>
        </w:rPr>
        <w:annotationRef/>
      </w:r>
      <w:r>
        <w:rPr>
          <w:lang w:val="en-US"/>
        </w:rPr>
        <w:t>As above</w:t>
      </w:r>
    </w:p>
  </w:comment>
  <w:comment w:id="101" w:author="Kapil" w:date="2021-12-01T21:47:00Z" w:initials="K">
    <w:p w:rsidR="004A5972" w:rsidRDefault="004A5972">
      <w:pPr>
        <w:pStyle w:val="CommentText"/>
      </w:pPr>
      <w:r>
        <w:rPr>
          <w:rStyle w:val="CommentReference"/>
        </w:rPr>
        <w:annotationRef/>
      </w:r>
      <w:r>
        <w:rPr>
          <w:lang w:val="en-US"/>
        </w:rPr>
        <w:t>It should be in italic</w:t>
      </w:r>
    </w:p>
  </w:comment>
  <w:comment w:id="102" w:author="DELL" w:date="2021-11-30T19:08:00Z" w:initials="D">
    <w:p w:rsidR="007041A6" w:rsidRPr="00490A7B" w:rsidRDefault="007041A6">
      <w:pPr>
        <w:pStyle w:val="CommentText"/>
        <w:rPr>
          <w:lang w:val="en-US"/>
        </w:rPr>
      </w:pPr>
      <w:r>
        <w:rPr>
          <w:rStyle w:val="CommentReference"/>
        </w:rPr>
        <w:annotationRef/>
      </w:r>
      <w:r>
        <w:rPr>
          <w:lang w:val="en-US"/>
        </w:rPr>
        <w:t>As above</w:t>
      </w:r>
    </w:p>
  </w:comment>
  <w:comment w:id="103" w:author="DELL" w:date="2021-11-30T19:09:00Z" w:initials="D">
    <w:p w:rsidR="007041A6" w:rsidRPr="00490A7B" w:rsidRDefault="007041A6">
      <w:pPr>
        <w:pStyle w:val="CommentText"/>
        <w:rPr>
          <w:lang w:val="en-US"/>
        </w:rPr>
      </w:pPr>
      <w:r>
        <w:rPr>
          <w:rStyle w:val="CommentReference"/>
        </w:rPr>
        <w:annotationRef/>
      </w:r>
      <w:r>
        <w:rPr>
          <w:lang w:val="en-US"/>
        </w:rPr>
        <w:t>It has been</w:t>
      </w:r>
    </w:p>
  </w:comment>
  <w:comment w:id="104" w:author="DELL" w:date="2021-11-30T19:09:00Z" w:initials="D">
    <w:p w:rsidR="007041A6" w:rsidRPr="00490A7B" w:rsidRDefault="007041A6">
      <w:pPr>
        <w:pStyle w:val="CommentText"/>
        <w:rPr>
          <w:lang w:val="en-US"/>
        </w:rPr>
      </w:pPr>
      <w:r>
        <w:rPr>
          <w:rStyle w:val="CommentReference"/>
        </w:rPr>
        <w:annotationRef/>
      </w:r>
      <w:r>
        <w:rPr>
          <w:lang w:val="en-US"/>
        </w:rPr>
        <w:t>As above</w:t>
      </w:r>
    </w:p>
  </w:comment>
  <w:comment w:id="105" w:author="DELL" w:date="2021-11-30T19:10:00Z" w:initials="D">
    <w:p w:rsidR="007041A6" w:rsidRPr="00C46D31" w:rsidRDefault="007041A6">
      <w:pPr>
        <w:pStyle w:val="CommentText"/>
        <w:rPr>
          <w:lang w:val="en-US"/>
        </w:rPr>
      </w:pPr>
      <w:r>
        <w:rPr>
          <w:rStyle w:val="CommentReference"/>
        </w:rPr>
        <w:annotationRef/>
      </w:r>
      <w:r>
        <w:rPr>
          <w:lang w:val="en-US"/>
        </w:rPr>
        <w:t>As above</w:t>
      </w:r>
    </w:p>
  </w:comment>
  <w:comment w:id="106" w:author="DELL" w:date="2021-11-30T19:10:00Z" w:initials="D">
    <w:p w:rsidR="007041A6" w:rsidRPr="00C46D31" w:rsidRDefault="007041A6">
      <w:pPr>
        <w:pStyle w:val="CommentText"/>
        <w:rPr>
          <w:lang w:val="en-US"/>
        </w:rPr>
      </w:pPr>
      <w:r>
        <w:rPr>
          <w:rStyle w:val="CommentReference"/>
        </w:rPr>
        <w:annotationRef/>
      </w:r>
      <w:r>
        <w:rPr>
          <w:lang w:val="en-US"/>
        </w:rPr>
        <w:t>As above</w:t>
      </w:r>
    </w:p>
  </w:comment>
  <w:comment w:id="107" w:author="DELL" w:date="2021-11-30T19:10:00Z" w:initials="D">
    <w:p w:rsidR="007041A6" w:rsidRPr="00C46D31" w:rsidRDefault="007041A6">
      <w:pPr>
        <w:pStyle w:val="CommentText"/>
        <w:rPr>
          <w:lang w:val="en-US"/>
        </w:rPr>
      </w:pPr>
      <w:r>
        <w:rPr>
          <w:rStyle w:val="CommentReference"/>
        </w:rPr>
        <w:annotationRef/>
      </w:r>
      <w:r>
        <w:rPr>
          <w:lang w:val="en-US"/>
        </w:rPr>
        <w:t>As above</w:t>
      </w:r>
    </w:p>
  </w:comment>
  <w:comment w:id="108" w:author="DELL" w:date="2021-11-30T19:11:00Z" w:initials="D">
    <w:p w:rsidR="007041A6" w:rsidRPr="00C46D31" w:rsidRDefault="007041A6">
      <w:pPr>
        <w:pStyle w:val="CommentText"/>
        <w:rPr>
          <w:lang w:val="en-US"/>
        </w:rPr>
      </w:pPr>
      <w:r>
        <w:rPr>
          <w:rStyle w:val="CommentReference"/>
        </w:rPr>
        <w:annotationRef/>
      </w:r>
      <w:r>
        <w:rPr>
          <w:lang w:val="en-US"/>
        </w:rPr>
        <w:t>As above</w:t>
      </w:r>
    </w:p>
  </w:comment>
  <w:comment w:id="109" w:author="DELL" w:date="2021-11-30T19:11:00Z" w:initials="D">
    <w:p w:rsidR="007041A6" w:rsidRPr="00C46D31" w:rsidRDefault="007041A6">
      <w:pPr>
        <w:pStyle w:val="CommentText"/>
        <w:rPr>
          <w:lang w:val="en-US"/>
        </w:rPr>
      </w:pPr>
      <w:r>
        <w:rPr>
          <w:rStyle w:val="CommentReference"/>
        </w:rPr>
        <w:annotationRef/>
      </w:r>
      <w:r>
        <w:rPr>
          <w:lang w:val="en-US"/>
        </w:rPr>
        <w:t>As above</w:t>
      </w:r>
    </w:p>
  </w:comment>
  <w:comment w:id="110" w:author="DELL" w:date="2021-11-30T19:15:00Z" w:initials="D">
    <w:p w:rsidR="007041A6" w:rsidRPr="00C46D31" w:rsidRDefault="007041A6">
      <w:pPr>
        <w:pStyle w:val="CommentText"/>
        <w:rPr>
          <w:lang w:val="en-US"/>
        </w:rPr>
      </w:pPr>
      <w:r>
        <w:rPr>
          <w:rStyle w:val="CommentReference"/>
        </w:rPr>
        <w:annotationRef/>
      </w:r>
      <w:r>
        <w:rPr>
          <w:lang w:val="en-US"/>
        </w:rPr>
        <w:t>As above</w:t>
      </w:r>
    </w:p>
  </w:comment>
  <w:comment w:id="111" w:author="DELL" w:date="2021-11-30T19:15:00Z" w:initials="D">
    <w:p w:rsidR="007041A6" w:rsidRPr="00C46D31" w:rsidRDefault="007041A6">
      <w:pPr>
        <w:pStyle w:val="CommentText"/>
        <w:rPr>
          <w:lang w:val="en-US"/>
        </w:rPr>
      </w:pPr>
      <w:r>
        <w:rPr>
          <w:rStyle w:val="CommentReference"/>
        </w:rPr>
        <w:annotationRef/>
      </w:r>
      <w:r>
        <w:rPr>
          <w:lang w:val="en-US"/>
        </w:rPr>
        <w:t>As above</w:t>
      </w:r>
    </w:p>
  </w:comment>
  <w:comment w:id="112" w:author="DELL" w:date="2021-11-30T19:16:00Z" w:initials="D">
    <w:p w:rsidR="007041A6" w:rsidRPr="00722D99" w:rsidRDefault="007041A6">
      <w:pPr>
        <w:pStyle w:val="CommentText"/>
        <w:rPr>
          <w:lang w:val="en-US"/>
        </w:rPr>
      </w:pPr>
      <w:r>
        <w:rPr>
          <w:rStyle w:val="CommentReference"/>
        </w:rPr>
        <w:annotationRef/>
      </w:r>
      <w:r>
        <w:rPr>
          <w:lang w:val="en-US"/>
        </w:rPr>
        <w:t>As above</w:t>
      </w:r>
    </w:p>
  </w:comment>
  <w:comment w:id="113" w:author="DELL" w:date="2021-11-30T19:16:00Z" w:initials="D">
    <w:p w:rsidR="007041A6" w:rsidRPr="00722D99" w:rsidRDefault="007041A6">
      <w:pPr>
        <w:pStyle w:val="CommentText"/>
        <w:rPr>
          <w:lang w:val="en-US"/>
        </w:rPr>
      </w:pPr>
      <w:r>
        <w:rPr>
          <w:rStyle w:val="CommentReference"/>
        </w:rPr>
        <w:annotationRef/>
      </w:r>
      <w:r>
        <w:rPr>
          <w:lang w:val="en-US"/>
        </w:rPr>
        <w:t>As above</w:t>
      </w:r>
    </w:p>
  </w:comment>
  <w:comment w:id="114" w:author="DELL" w:date="2021-11-30T19:16:00Z" w:initials="D">
    <w:p w:rsidR="007041A6" w:rsidRPr="00722D99" w:rsidRDefault="007041A6">
      <w:pPr>
        <w:pStyle w:val="CommentText"/>
        <w:rPr>
          <w:lang w:val="en-US"/>
        </w:rPr>
      </w:pPr>
      <w:r>
        <w:rPr>
          <w:rStyle w:val="CommentReference"/>
        </w:rPr>
        <w:annotationRef/>
      </w:r>
      <w:r>
        <w:rPr>
          <w:lang w:val="en-US"/>
        </w:rPr>
        <w:t>As above</w:t>
      </w:r>
    </w:p>
  </w:comment>
  <w:comment w:id="115" w:author="DELL" w:date="2021-11-30T19:17:00Z" w:initials="D">
    <w:p w:rsidR="007041A6" w:rsidRPr="00722D99" w:rsidRDefault="007041A6">
      <w:pPr>
        <w:pStyle w:val="CommentText"/>
        <w:rPr>
          <w:lang w:val="en-US"/>
        </w:rPr>
      </w:pPr>
      <w:r>
        <w:rPr>
          <w:rStyle w:val="CommentReference"/>
        </w:rPr>
        <w:annotationRef/>
      </w:r>
      <w:r>
        <w:rPr>
          <w:lang w:val="en-US"/>
        </w:rPr>
        <w:t>As above</w:t>
      </w:r>
    </w:p>
  </w:comment>
  <w:comment w:id="116" w:author="DELL" w:date="2021-11-30T19:17:00Z" w:initials="D">
    <w:p w:rsidR="007041A6" w:rsidRPr="00722D99" w:rsidRDefault="007041A6">
      <w:pPr>
        <w:pStyle w:val="CommentText"/>
        <w:rPr>
          <w:lang w:val="en-US"/>
        </w:rPr>
      </w:pPr>
      <w:r>
        <w:rPr>
          <w:rStyle w:val="CommentReference"/>
        </w:rPr>
        <w:annotationRef/>
      </w:r>
      <w:r>
        <w:rPr>
          <w:lang w:val="en-US"/>
        </w:rPr>
        <w:t>As above</w:t>
      </w:r>
    </w:p>
  </w:comment>
  <w:comment w:id="117" w:author="DELL" w:date="2021-11-30T19:17:00Z" w:initials="D">
    <w:p w:rsidR="007041A6" w:rsidRPr="00722D99" w:rsidRDefault="007041A6">
      <w:pPr>
        <w:pStyle w:val="CommentText"/>
        <w:rPr>
          <w:lang w:val="en-US"/>
        </w:rPr>
      </w:pPr>
      <w:r>
        <w:rPr>
          <w:rStyle w:val="CommentReference"/>
        </w:rPr>
        <w:annotationRef/>
      </w:r>
      <w:r>
        <w:rPr>
          <w:lang w:val="en-US"/>
        </w:rPr>
        <w:t>As above</w:t>
      </w:r>
    </w:p>
  </w:comment>
  <w:comment w:id="118" w:author="DELL" w:date="2021-11-30T19:18:00Z" w:initials="D">
    <w:p w:rsidR="007041A6" w:rsidRPr="00722D99" w:rsidRDefault="007041A6">
      <w:pPr>
        <w:pStyle w:val="CommentText"/>
        <w:rPr>
          <w:lang w:val="en-US"/>
        </w:rPr>
      </w:pPr>
      <w:r>
        <w:rPr>
          <w:rStyle w:val="CommentReference"/>
        </w:rPr>
        <w:annotationRef/>
      </w:r>
      <w:r>
        <w:rPr>
          <w:lang w:val="en-US"/>
        </w:rPr>
        <w:t>As above</w:t>
      </w:r>
    </w:p>
  </w:comment>
  <w:comment w:id="119" w:author="DELL" w:date="2021-11-30T19:24:00Z" w:initials="D">
    <w:p w:rsidR="007041A6" w:rsidRPr="00F60146" w:rsidRDefault="007041A6">
      <w:pPr>
        <w:pStyle w:val="CommentText"/>
        <w:rPr>
          <w:lang w:val="en-US"/>
        </w:rPr>
      </w:pPr>
      <w:r>
        <w:rPr>
          <w:rStyle w:val="CommentReference"/>
        </w:rPr>
        <w:annotationRef/>
      </w:r>
      <w:r>
        <w:rPr>
          <w:lang w:val="en-US"/>
        </w:rPr>
        <w:t>Change to:</w:t>
      </w:r>
      <w:r w:rsidRPr="00F60146">
        <w:rPr>
          <w:rStyle w:val="y2iqfc"/>
          <w:rFonts w:ascii="inherit" w:hAnsi="inherit"/>
          <w:sz w:val="24"/>
          <w:szCs w:val="24"/>
        </w:rPr>
        <w:t xml:space="preserve"> the high or low levels</w:t>
      </w:r>
    </w:p>
  </w:comment>
  <w:comment w:id="120" w:author="DELL" w:date="2021-11-30T19:25:00Z" w:initials="D">
    <w:p w:rsidR="007041A6" w:rsidRPr="00752379" w:rsidRDefault="007041A6">
      <w:pPr>
        <w:pStyle w:val="CommentText"/>
        <w:rPr>
          <w:lang w:val="en-US"/>
        </w:rPr>
      </w:pPr>
      <w:r>
        <w:rPr>
          <w:rStyle w:val="CommentReference"/>
        </w:rPr>
        <w:annotationRef/>
      </w:r>
      <w:r>
        <w:rPr>
          <w:lang w:val="en-US"/>
        </w:rPr>
        <w:t xml:space="preserve">Change to: </w:t>
      </w:r>
      <w:r w:rsidRPr="00F60146">
        <w:rPr>
          <w:rStyle w:val="y2iqfc"/>
          <w:rFonts w:ascii="inherit" w:hAnsi="inherit"/>
          <w:sz w:val="24"/>
          <w:szCs w:val="24"/>
        </w:rPr>
        <w:t>enhancing thyroid lesions</w:t>
      </w:r>
    </w:p>
  </w:comment>
  <w:comment w:id="121" w:author="DELL" w:date="2021-11-30T19:27:00Z" w:initials="D">
    <w:p w:rsidR="007041A6" w:rsidRPr="00752379" w:rsidRDefault="007041A6">
      <w:pPr>
        <w:pStyle w:val="CommentText"/>
        <w:rPr>
          <w:lang w:val="en-US"/>
        </w:rPr>
      </w:pPr>
      <w:r>
        <w:rPr>
          <w:rStyle w:val="CommentReference"/>
        </w:rPr>
        <w:annotationRef/>
      </w:r>
      <w:r>
        <w:rPr>
          <w:lang w:val="en-US"/>
        </w:rPr>
        <w:t>Add: by using</w:t>
      </w:r>
    </w:p>
  </w:comment>
  <w:comment w:id="122" w:author="DELL" w:date="2021-11-30T19:27:00Z" w:initials="D">
    <w:p w:rsidR="007041A6" w:rsidRPr="00752379" w:rsidRDefault="007041A6">
      <w:pPr>
        <w:pStyle w:val="CommentText"/>
        <w:rPr>
          <w:lang w:val="en-US"/>
        </w:rPr>
      </w:pPr>
      <w:r>
        <w:rPr>
          <w:rStyle w:val="CommentReference"/>
        </w:rPr>
        <w:annotationRef/>
      </w:r>
      <w:r>
        <w:rPr>
          <w:lang w:val="en-US"/>
        </w:rPr>
        <w:t>delete</w:t>
      </w:r>
    </w:p>
  </w:comment>
  <w:comment w:id="123" w:author="DELL" w:date="2021-11-30T19:29:00Z" w:initials="D">
    <w:p w:rsidR="007041A6" w:rsidRPr="00752379" w:rsidRDefault="007041A6">
      <w:pPr>
        <w:pStyle w:val="CommentText"/>
        <w:rPr>
          <w:lang w:val="en-US"/>
        </w:rPr>
      </w:pPr>
      <w:r>
        <w:rPr>
          <w:rStyle w:val="CommentReference"/>
        </w:rPr>
        <w:annotationRef/>
      </w:r>
      <w:r>
        <w:rPr>
          <w:lang w:val="en-US"/>
        </w:rPr>
        <w:t xml:space="preserve">change to: </w:t>
      </w:r>
      <w:r w:rsidRPr="00F60146">
        <w:rPr>
          <w:rStyle w:val="y2iqfc"/>
          <w:rFonts w:ascii="inherit" w:hAnsi="inherit"/>
          <w:sz w:val="24"/>
          <w:szCs w:val="24"/>
        </w:rPr>
        <w:t>either</w:t>
      </w:r>
    </w:p>
  </w:comment>
  <w:comment w:id="124" w:author="DELL" w:date="2021-11-30T19:29:00Z" w:initials="D">
    <w:p w:rsidR="007041A6" w:rsidRPr="00752379" w:rsidRDefault="007041A6">
      <w:pPr>
        <w:pStyle w:val="CommentText"/>
        <w:rPr>
          <w:lang w:val="en-US"/>
        </w:rPr>
      </w:pPr>
      <w:r>
        <w:rPr>
          <w:rStyle w:val="CommentReference"/>
        </w:rPr>
        <w:annotationRef/>
      </w:r>
      <w:r>
        <w:rPr>
          <w:lang w:val="en-US"/>
        </w:rPr>
        <w:t>change to: all</w:t>
      </w:r>
    </w:p>
  </w:comment>
  <w:comment w:id="125" w:author="DELL" w:date="2021-11-30T19:32:00Z" w:initials="D">
    <w:p w:rsidR="007041A6" w:rsidRPr="00015B24" w:rsidRDefault="007041A6">
      <w:pPr>
        <w:pStyle w:val="CommentText"/>
        <w:rPr>
          <w:lang w:val="en-US"/>
        </w:rPr>
      </w:pPr>
      <w:r>
        <w:rPr>
          <w:rStyle w:val="CommentReference"/>
        </w:rPr>
        <w:annotationRef/>
      </w:r>
      <w:r>
        <w:rPr>
          <w:lang w:val="en-US"/>
        </w:rPr>
        <w:t xml:space="preserve">change to: </w:t>
      </w:r>
      <w:r w:rsidRPr="00F60146">
        <w:rPr>
          <w:rStyle w:val="y2iqfc"/>
          <w:rFonts w:ascii="inherit" w:hAnsi="inherit"/>
          <w:sz w:val="24"/>
          <w:szCs w:val="24"/>
        </w:rPr>
        <w:t>a cause, as well as an effect, of thyroid tissue transformation.</w:t>
      </w:r>
    </w:p>
  </w:comment>
  <w:comment w:id="126" w:author="DELL" w:date="2021-11-30T19:33:00Z" w:initials="D">
    <w:p w:rsidR="007041A6" w:rsidRPr="00015B24" w:rsidRDefault="007041A6">
      <w:pPr>
        <w:pStyle w:val="CommentText"/>
        <w:rPr>
          <w:lang w:val="en-US"/>
        </w:rPr>
      </w:pPr>
      <w:r>
        <w:rPr>
          <w:rStyle w:val="CommentReference"/>
        </w:rPr>
        <w:annotationRef/>
      </w:r>
      <w:r>
        <w:rPr>
          <w:lang w:val="en-US"/>
        </w:rPr>
        <w:t>Add:  of</w:t>
      </w:r>
    </w:p>
  </w:comment>
  <w:comment w:id="127" w:author="DELL" w:date="2021-11-30T19:35:00Z" w:initials="D">
    <w:p w:rsidR="007041A6" w:rsidRPr="00015B24" w:rsidRDefault="007041A6">
      <w:pPr>
        <w:pStyle w:val="CommentText"/>
        <w:rPr>
          <w:lang w:val="en-US"/>
        </w:rPr>
      </w:pPr>
      <w:r>
        <w:rPr>
          <w:rStyle w:val="CommentReference"/>
        </w:rPr>
        <w:annotationRef/>
      </w:r>
      <w:r>
        <w:rPr>
          <w:lang w:val="en-US"/>
        </w:rPr>
        <w:t xml:space="preserve">Change to: </w:t>
      </w:r>
      <w:r w:rsidRPr="00F60146">
        <w:rPr>
          <w:rStyle w:val="y2iqfc"/>
          <w:rFonts w:ascii="inherit" w:hAnsi="inherit"/>
          <w:sz w:val="24"/>
          <w:szCs w:val="24"/>
        </w:rPr>
        <w:t>cause of the changes or vice versa</w:t>
      </w:r>
    </w:p>
  </w:comment>
  <w:comment w:id="128" w:author="DELL" w:date="2021-11-30T19:40:00Z" w:initials="D">
    <w:p w:rsidR="007041A6" w:rsidRPr="00FA3F28" w:rsidRDefault="007041A6" w:rsidP="00FA3F28">
      <w:pPr>
        <w:pStyle w:val="HTMLPreformatted"/>
        <w:shd w:val="clear" w:color="auto" w:fill="F8F9FA"/>
        <w:spacing w:line="360" w:lineRule="atLeast"/>
        <w:rPr>
          <w:rFonts w:ascii="inherit" w:hAnsi="inherit"/>
          <w:color w:val="202124"/>
          <w:sz w:val="28"/>
          <w:szCs w:val="28"/>
        </w:rPr>
      </w:pPr>
      <w:r>
        <w:rPr>
          <w:rStyle w:val="CommentReference"/>
        </w:rPr>
        <w:annotationRef/>
      </w:r>
      <w:r>
        <w:t xml:space="preserve">Change to: </w:t>
      </w:r>
      <w:r>
        <w:rPr>
          <w:rStyle w:val="y2iqfc"/>
          <w:rFonts w:ascii="inherit" w:hAnsi="inherit"/>
          <w:color w:val="202124"/>
          <w:sz w:val="28"/>
          <w:szCs w:val="28"/>
        </w:rPr>
        <w:t>In this work, TE analysis was performed in CG and TA tissue samples using the INAA-LLR non-destructive analytical method and the ICP-MS destructive analytical method. The combination of these methods has been shown to be a suitable analytical tool for the determination of fifty TE</w:t>
      </w:r>
    </w:p>
  </w:comment>
  <w:comment w:id="129" w:author="DELL" w:date="2021-11-30T19:46:00Z" w:initials="D">
    <w:p w:rsidR="007041A6" w:rsidRPr="00EB6846" w:rsidRDefault="007041A6" w:rsidP="00EB6846">
      <w:pPr>
        <w:pStyle w:val="HTMLPreformatted"/>
        <w:shd w:val="clear" w:color="auto" w:fill="F8F9FA"/>
        <w:spacing w:line="360" w:lineRule="atLeast"/>
        <w:rPr>
          <w:rFonts w:ascii="inherit" w:hAnsi="inherit"/>
          <w:color w:val="202124"/>
          <w:sz w:val="28"/>
          <w:szCs w:val="28"/>
        </w:rPr>
      </w:pPr>
      <w:r>
        <w:rPr>
          <w:rStyle w:val="CommentReference"/>
        </w:rPr>
        <w:annotationRef/>
      </w:r>
      <w:r>
        <w:t>I prefer :</w:t>
      </w:r>
      <w:r w:rsidRPr="00EB6846">
        <w:rPr>
          <w:rStyle w:val="y2iqfc"/>
          <w:rFonts w:ascii="inherit" w:hAnsi="inherit"/>
          <w:color w:val="202124"/>
          <w:sz w:val="28"/>
          <w:szCs w:val="28"/>
        </w:rPr>
        <w:t xml:space="preserve"> </w:t>
      </w:r>
      <w:r>
        <w:rPr>
          <w:rStyle w:val="y2iqfc"/>
          <w:rFonts w:ascii="inherit" w:hAnsi="inherit"/>
          <w:color w:val="202124"/>
          <w:sz w:val="28"/>
          <w:szCs w:val="28"/>
        </w:rPr>
        <w:t>From the results obtained, it was possible to conclude that the combined characteristics of CG and TA tissue samples were elevated in the level of Ag, Al, Cr, Hg, Mn, Th and Zn in with normal thyroid, and therefore, these TE could be involved in the etiology and pathogenesis of thyroid disorders such as CG and TA.</w:t>
      </w:r>
    </w:p>
  </w:comment>
  <w:comment w:id="130" w:author="Kapil" w:date="2021-12-01T21:40:00Z" w:initials="K">
    <w:p w:rsidR="00BA7456" w:rsidRPr="006212BC" w:rsidRDefault="00BA7456" w:rsidP="00BA7456">
      <w:pPr>
        <w:jc w:val="both"/>
        <w:rPr>
          <w:rFonts w:ascii="Bookman Old Style" w:hAnsi="Bookman Old Style"/>
        </w:rPr>
      </w:pPr>
      <w:r>
        <w:rPr>
          <w:rStyle w:val="CommentReference"/>
        </w:rPr>
        <w:annotationRef/>
      </w:r>
      <w:r w:rsidRPr="00186B8E">
        <w:rPr>
          <w:rFonts w:ascii="Bookman Old Style" w:hAnsi="Bookman Old Style"/>
        </w:rPr>
        <w:t>Please follow the journal specifications for references</w:t>
      </w:r>
      <w:r>
        <w:rPr>
          <w:rFonts w:ascii="Bookman Old Style" w:hAnsi="Bookman Old Style"/>
        </w:rPr>
        <w:t>.</w:t>
      </w:r>
      <w:r w:rsidRPr="00047897">
        <w:rPr>
          <w:rFonts w:ascii="Bookman Old Style" w:hAnsi="Bookman Old Style"/>
        </w:rPr>
        <w:t xml:space="preserve"> </w:t>
      </w:r>
      <w:r w:rsidRPr="00186B8E">
        <w:rPr>
          <w:rFonts w:ascii="Bookman Old Style" w:hAnsi="Bookman Old Style"/>
        </w:rPr>
        <w:t>Please add DOI to articles if available</w:t>
      </w:r>
      <w:r>
        <w:rPr>
          <w:rFonts w:ascii="Bookman Old Style" w:hAnsi="Bookman Old Style"/>
        </w:rPr>
        <w:t xml:space="preserve">. </w:t>
      </w:r>
      <w:r w:rsidRPr="00351C84">
        <w:rPr>
          <w:rFonts w:ascii="Bookman Old Style" w:hAnsi="Bookman Old Style"/>
        </w:rPr>
        <w:t>For example</w:t>
      </w:r>
    </w:p>
    <w:p w:rsidR="00BA7456" w:rsidRDefault="00BA7456" w:rsidP="00BA7456">
      <w:pPr>
        <w:rPr>
          <w:rFonts w:ascii="Bookman Old Style" w:hAnsi="Bookman Old Style"/>
          <w:b/>
          <w:color w:val="00B050"/>
        </w:rPr>
      </w:pPr>
      <w:r w:rsidRPr="006212BC">
        <w:rPr>
          <w:rFonts w:ascii="Bookman Old Style" w:hAnsi="Bookman Old Style"/>
          <w:sz w:val="22"/>
          <w:szCs w:val="22"/>
        </w:rPr>
        <w:t>Ishak AA, Alhadi AM, Al-Shamahy HA. Local experience of telemedicine: examples of cases in Yemen.</w:t>
      </w:r>
      <w:r>
        <w:rPr>
          <w:rFonts w:ascii="Bookman Old Style" w:hAnsi="Bookman Old Style"/>
        </w:rPr>
        <w:t xml:space="preserve"> </w:t>
      </w:r>
      <w:r w:rsidRPr="006212BC">
        <w:rPr>
          <w:rFonts w:ascii="Bookman Old Style" w:hAnsi="Bookman Old Style"/>
          <w:sz w:val="22"/>
          <w:szCs w:val="22"/>
        </w:rPr>
        <w:t>Universal Journal of Pharmaceutical Research 2021; 6(1):34-37.</w:t>
      </w:r>
      <w:r w:rsidRPr="006212BC">
        <w:rPr>
          <w:color w:val="000000"/>
          <w:sz w:val="18"/>
          <w:szCs w:val="18"/>
        </w:rPr>
        <w:br/>
      </w:r>
      <w:r w:rsidRPr="006212BC">
        <w:rPr>
          <w:rStyle w:val="Hyperlink"/>
          <w:rFonts w:ascii="Bookman Old Style" w:hAnsi="Bookman Old Style"/>
          <w:sz w:val="22"/>
        </w:rPr>
        <w:t>https://doi.org/10.22270/ujpr.v6i1.537</w:t>
      </w:r>
    </w:p>
    <w:p w:rsidR="00BA7456" w:rsidRDefault="00BA7456">
      <w:pPr>
        <w:pStyle w:val="CommentText"/>
      </w:pPr>
    </w:p>
  </w:comment>
  <w:comment w:id="131" w:author="Kapil" w:date="2021-12-01T21:55:00Z" w:initials="K">
    <w:p w:rsidR="009B5200" w:rsidRPr="009B5200" w:rsidRDefault="009B5200">
      <w:pPr>
        <w:pStyle w:val="CommentText"/>
        <w:rPr>
          <w:lang w:val="en-US"/>
        </w:rPr>
      </w:pPr>
      <w:r>
        <w:rPr>
          <w:rStyle w:val="CommentReference"/>
        </w:rPr>
        <w:annotationRef/>
      </w:r>
      <w:r>
        <w:rPr>
          <w:lang w:val="en-US"/>
        </w:rPr>
        <w:t xml:space="preserve">Author has cited his own work in reference section. Author should </w:t>
      </w:r>
      <w:r w:rsidR="00D66548">
        <w:rPr>
          <w:lang w:val="en-US"/>
        </w:rPr>
        <w:t>replace/</w:t>
      </w:r>
      <w:r>
        <w:rPr>
          <w:lang w:val="en-US"/>
        </w:rPr>
        <w:t>add others references</w:t>
      </w:r>
      <w:r w:rsidR="00D66548">
        <w:rPr>
          <w:lang w:val="en-US"/>
        </w:rPr>
        <w:t>. This is against the polices of the journal. There is a need of explanation from the author for this.</w:t>
      </w:r>
    </w:p>
  </w:comment>
  <w:comment w:id="132" w:author="Kapil" w:date="2021-12-01T21:49:00Z" w:initials="K">
    <w:p w:rsidR="004A5972" w:rsidRDefault="004A5972">
      <w:pPr>
        <w:pStyle w:val="CommentText"/>
      </w:pPr>
      <w:r>
        <w:rPr>
          <w:rStyle w:val="CommentReference"/>
        </w:rPr>
        <w:annotationRef/>
      </w:r>
      <w:r>
        <w:rPr>
          <w:lang w:val="en-US"/>
        </w:rPr>
        <w:t>It should be in 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706" w:rsidRDefault="002E7706" w:rsidP="00204280">
      <w:r>
        <w:separator/>
      </w:r>
    </w:p>
  </w:endnote>
  <w:endnote w:type="continuationSeparator" w:id="1">
    <w:p w:rsidR="002E7706" w:rsidRDefault="002E7706" w:rsidP="002042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GulliverRM">
    <w:altName w:val="Arial Unicode MS"/>
    <w:panose1 w:val="00000000000000000000"/>
    <w:charset w:val="81"/>
    <w:family w:val="auto"/>
    <w:notTrueType/>
    <w:pitch w:val="default"/>
    <w:sig w:usb0="00000001" w:usb1="09060000" w:usb2="00000010" w:usb3="00000000" w:csb0="00080000" w:csb1="00000000"/>
  </w:font>
  <w:font w:name="MinionPro-Regular">
    <w:altName w:val="Arial Unicode MS"/>
    <w:panose1 w:val="00000000000000000000"/>
    <w:charset w:val="81"/>
    <w:family w:val="auto"/>
    <w:notTrueType/>
    <w:pitch w:val="default"/>
    <w:sig w:usb0="00000201" w:usb1="09060000" w:usb2="00000010" w:usb3="00000000" w:csb0="00080004" w:csb1="00000000"/>
  </w:font>
  <w:font w:name="EBGaramond-Regular">
    <w:altName w:val="MS Mincho"/>
    <w:panose1 w:val="00000000000000000000"/>
    <w:charset w:val="80"/>
    <w:family w:val="auto"/>
    <w:notTrueType/>
    <w:pitch w:val="default"/>
    <w:sig w:usb0="00000000" w:usb1="08070000" w:usb2="00000010" w:usb3="00000000" w:csb0="00020000" w:csb1="00000000"/>
  </w:font>
  <w:font w:name="AdvP4DF60E">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56" w:rsidRDefault="00BA74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56" w:rsidRDefault="00BA74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456" w:rsidRDefault="00BA74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706" w:rsidRDefault="002E7706" w:rsidP="00204280">
      <w:r>
        <w:separator/>
      </w:r>
    </w:p>
  </w:footnote>
  <w:footnote w:type="continuationSeparator" w:id="1">
    <w:p w:rsidR="002E7706" w:rsidRDefault="002E7706" w:rsidP="002042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A6" w:rsidRDefault="00771673">
    <w:pPr>
      <w:pStyle w:val="Header"/>
    </w:pPr>
    <w:r w:rsidRPr="0077167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8079" o:spid="_x0000_s2050" type="#_x0000_t136" style="position:absolute;margin-left:0;margin-top:0;width:356.25pt;height:45.75pt;rotation:315;z-index:-251654144;mso-position-horizontal:center;mso-position-horizontal-relative:margin;mso-position-vertical:center;mso-position-vertical-relative:margin" o:allowincell="f" fillcolor="#00b050" stroked="f">
          <v:fill opacity=".5"/>
          <v:textpath style="font-family:&quot;Times New Roman&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A6" w:rsidRDefault="00771673">
    <w:pPr>
      <w:pStyle w:val="Header"/>
    </w:pPr>
    <w:r w:rsidRPr="0077167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8080" o:spid="_x0000_s2051" type="#_x0000_t136" style="position:absolute;margin-left:0;margin-top:0;width:356.25pt;height:45.75pt;rotation:315;z-index:-251652096;mso-position-horizontal:center;mso-position-horizontal-relative:margin;mso-position-vertical:center;mso-position-vertical-relative:margin" o:allowincell="f" fillcolor="#00b050" stroked="f">
          <v:fill opacity=".5"/>
          <v:textpath style="font-family:&quot;Times New Roman&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A6" w:rsidRDefault="00771673">
    <w:pPr>
      <w:pStyle w:val="Header"/>
    </w:pPr>
    <w:r w:rsidRPr="0077167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8078" o:spid="_x0000_s2049" type="#_x0000_t136" style="position:absolute;margin-left:0;margin-top:0;width:356.25pt;height:45.75pt;rotation:315;z-index:-251656192;mso-position-horizontal:center;mso-position-horizontal-relative:margin;mso-position-vertical:center;mso-position-vertical-relative:margin" o:allowincell="f" fillcolor="#00b050" stroked="f">
          <v:fill opacity=".5"/>
          <v:textpath style="font-family:&quot;Times New Roman&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424A"/>
    <w:multiLevelType w:val="singleLevel"/>
    <w:tmpl w:val="0D90A9FA"/>
    <w:lvl w:ilvl="0">
      <w:start w:val="1"/>
      <w:numFmt w:val="decimal"/>
      <w:lvlText w:val="%1."/>
      <w:legacy w:legacy="1" w:legacySpace="0" w:legacyIndent="567"/>
      <w:lvlJc w:val="left"/>
      <w:pPr>
        <w:ind w:left="567" w:hanging="567"/>
      </w:pPr>
    </w:lvl>
  </w:abstractNum>
  <w:abstractNum w:abstractNumId="1">
    <w:nsid w:val="060B104E"/>
    <w:multiLevelType w:val="hybridMultilevel"/>
    <w:tmpl w:val="9CE4834E"/>
    <w:lvl w:ilvl="0" w:tplc="C49E9C42">
      <w:start w:val="1"/>
      <w:numFmt w:val="decimal"/>
      <w:lvlText w:val="%1)"/>
      <w:lvlJc w:val="left"/>
      <w:pPr>
        <w:ind w:left="720" w:hanging="360"/>
      </w:pPr>
      <w:rPr>
        <w:rFonts w:asciiTheme="minorHAnsi" w:hAnsi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D4009"/>
    <w:multiLevelType w:val="hybridMultilevel"/>
    <w:tmpl w:val="9F82A7DE"/>
    <w:lvl w:ilvl="0" w:tplc="7FE4B92A">
      <w:start w:val="1"/>
      <w:numFmt w:val="decimal"/>
      <w:lvlText w:val="%1."/>
      <w:lvlJc w:val="left"/>
      <w:pPr>
        <w:tabs>
          <w:tab w:val="num" w:pos="360"/>
        </w:tabs>
        <w:ind w:left="360" w:hanging="360"/>
      </w:pPr>
      <w:rPr>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A5E5B92"/>
    <w:multiLevelType w:val="hybridMultilevel"/>
    <w:tmpl w:val="9B047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ACC5CC9"/>
    <w:multiLevelType w:val="hybridMultilevel"/>
    <w:tmpl w:val="E3C6C79A"/>
    <w:lvl w:ilvl="0" w:tplc="02AE0DAE">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D1F1F6E"/>
    <w:multiLevelType w:val="hybridMultilevel"/>
    <w:tmpl w:val="EC7CF3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8C2CF8"/>
    <w:multiLevelType w:val="hybridMultilevel"/>
    <w:tmpl w:val="D7E4C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92A0F4B"/>
    <w:multiLevelType w:val="hybridMultilevel"/>
    <w:tmpl w:val="B7DAA3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E962378"/>
    <w:multiLevelType w:val="hybridMultilevel"/>
    <w:tmpl w:val="9CFC1680"/>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1F474C"/>
    <w:multiLevelType w:val="hybridMultilevel"/>
    <w:tmpl w:val="EE501BBC"/>
    <w:lvl w:ilvl="0" w:tplc="66AC52F4">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2DCB0800"/>
    <w:multiLevelType w:val="multilevel"/>
    <w:tmpl w:val="0C90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7E5156"/>
    <w:multiLevelType w:val="multilevel"/>
    <w:tmpl w:val="0FF8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9F6940"/>
    <w:multiLevelType w:val="hybridMultilevel"/>
    <w:tmpl w:val="2BB07AF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1F26B4"/>
    <w:multiLevelType w:val="hybridMultilevel"/>
    <w:tmpl w:val="2BB07AF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5C0C1E"/>
    <w:multiLevelType w:val="hybridMultilevel"/>
    <w:tmpl w:val="2BB07AF0"/>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9A3DCD"/>
    <w:multiLevelType w:val="hybridMultilevel"/>
    <w:tmpl w:val="C4661644"/>
    <w:lvl w:ilvl="0" w:tplc="6F6A9D48">
      <w:start w:val="1"/>
      <w:numFmt w:val="decimal"/>
      <w:lvlText w:val="%1."/>
      <w:lvlJc w:val="left"/>
      <w:pPr>
        <w:ind w:left="360" w:hanging="360"/>
      </w:pPr>
      <w:rPr>
        <w:rFonts w:ascii="Times New Roman" w:hAnsi="Times New Roman" w:cs="Times New Roman" w:hint="default"/>
        <w:b w:val="0"/>
        <w:sz w:val="24"/>
        <w:szCs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FD01FE"/>
    <w:multiLevelType w:val="hybridMultilevel"/>
    <w:tmpl w:val="4C40AE0C"/>
    <w:lvl w:ilvl="0" w:tplc="7A2206C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E23D07"/>
    <w:multiLevelType w:val="singleLevel"/>
    <w:tmpl w:val="22B4C19A"/>
    <w:lvl w:ilvl="0">
      <w:start w:val="1"/>
      <w:numFmt w:val="decimal"/>
      <w:lvlText w:val="%1."/>
      <w:legacy w:legacy="1" w:legacySpace="0" w:legacyIndent="454"/>
      <w:lvlJc w:val="left"/>
      <w:pPr>
        <w:ind w:left="454" w:hanging="454"/>
      </w:pPr>
      <w:rPr>
        <w:rFonts w:ascii="Times New Roman" w:hAnsi="Times New Roman" w:cs="Times New Roman" w:hint="default"/>
        <w:b w:val="0"/>
        <w:sz w:val="22"/>
        <w:szCs w:val="22"/>
      </w:rPr>
    </w:lvl>
  </w:abstractNum>
  <w:abstractNum w:abstractNumId="18">
    <w:nsid w:val="517A0106"/>
    <w:multiLevelType w:val="hybridMultilevel"/>
    <w:tmpl w:val="9112E7AE"/>
    <w:lvl w:ilvl="0" w:tplc="9EAC9F7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3A477E4"/>
    <w:multiLevelType w:val="multilevel"/>
    <w:tmpl w:val="539C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347769"/>
    <w:multiLevelType w:val="hybridMultilevel"/>
    <w:tmpl w:val="81FAF89C"/>
    <w:lvl w:ilvl="0" w:tplc="20B28E26">
      <w:start w:val="84"/>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94738C5"/>
    <w:multiLevelType w:val="hybridMultilevel"/>
    <w:tmpl w:val="D072552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0A96F2E"/>
    <w:multiLevelType w:val="hybridMultilevel"/>
    <w:tmpl w:val="E9B42614"/>
    <w:lvl w:ilvl="0" w:tplc="5A7CDE3A">
      <w:start w:val="1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6AFF7ACF"/>
    <w:multiLevelType w:val="hybridMultilevel"/>
    <w:tmpl w:val="8A38E722"/>
    <w:lvl w:ilvl="0" w:tplc="B85637E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B0571B1"/>
    <w:multiLevelType w:val="multilevel"/>
    <w:tmpl w:val="BEC4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9D09E0"/>
    <w:multiLevelType w:val="multilevel"/>
    <w:tmpl w:val="F790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554822"/>
    <w:multiLevelType w:val="hybridMultilevel"/>
    <w:tmpl w:val="FF1C815C"/>
    <w:lvl w:ilvl="0" w:tplc="32ECDA9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17"/>
  </w:num>
  <w:num w:numId="3">
    <w:abstractNumId w:val="8"/>
  </w:num>
  <w:num w:numId="4">
    <w:abstractNumId w:val="22"/>
  </w:num>
  <w:num w:numId="5">
    <w:abstractNumId w:val="9"/>
  </w:num>
  <w:num w:numId="6">
    <w:abstractNumId w:val="21"/>
  </w:num>
  <w:num w:numId="7">
    <w:abstractNumId w:val="0"/>
    <w:lvlOverride w:ilvl="0">
      <w:lvl w:ilvl="0">
        <w:start w:val="1"/>
        <w:numFmt w:val="decimal"/>
        <w:lvlText w:val="%1."/>
        <w:legacy w:legacy="1" w:legacySpace="0" w:legacyIndent="454"/>
        <w:lvlJc w:val="left"/>
        <w:pPr>
          <w:ind w:left="454" w:hanging="454"/>
        </w:pPr>
        <w:rPr>
          <w:rFonts w:ascii="Times New Roman" w:hAnsi="Times New Roman" w:cs="Times New Roman" w:hint="default"/>
          <w:b w:val="0"/>
          <w:sz w:val="22"/>
          <w:szCs w:val="22"/>
        </w:rPr>
      </w:lvl>
    </w:lvlOverride>
  </w:num>
  <w:num w:numId="8">
    <w:abstractNumId w:val="2"/>
  </w:num>
  <w:num w:numId="9">
    <w:abstractNumId w:val="4"/>
  </w:num>
  <w:num w:numId="10">
    <w:abstractNumId w:val="7"/>
  </w:num>
  <w:num w:numId="11">
    <w:abstractNumId w:val="18"/>
  </w:num>
  <w:num w:numId="12">
    <w:abstractNumId w:val="23"/>
  </w:num>
  <w:num w:numId="13">
    <w:abstractNumId w:val="26"/>
  </w:num>
  <w:num w:numId="14">
    <w:abstractNumId w:val="12"/>
  </w:num>
  <w:num w:numId="15">
    <w:abstractNumId w:val="5"/>
  </w:num>
  <w:num w:numId="16">
    <w:abstractNumId w:val="20"/>
  </w:num>
  <w:num w:numId="17">
    <w:abstractNumId w:val="15"/>
  </w:num>
  <w:num w:numId="18">
    <w:abstractNumId w:val="13"/>
  </w:num>
  <w:num w:numId="19">
    <w:abstractNumId w:val="14"/>
  </w:num>
  <w:num w:numId="20">
    <w:abstractNumId w:val="6"/>
  </w:num>
  <w:num w:numId="21">
    <w:abstractNumId w:val="3"/>
  </w:num>
  <w:num w:numId="22">
    <w:abstractNumId w:val="25"/>
  </w:num>
  <w:num w:numId="23">
    <w:abstractNumId w:val="11"/>
  </w:num>
  <w:num w:numId="24">
    <w:abstractNumId w:val="19"/>
  </w:num>
  <w:num w:numId="25">
    <w:abstractNumId w:val="10"/>
  </w:num>
  <w:num w:numId="26">
    <w:abstractNumId w:val="2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DA4B51"/>
    <w:rsid w:val="00013362"/>
    <w:rsid w:val="00015B24"/>
    <w:rsid w:val="00034A9D"/>
    <w:rsid w:val="00036A0E"/>
    <w:rsid w:val="000376C7"/>
    <w:rsid w:val="0004429F"/>
    <w:rsid w:val="00053AF7"/>
    <w:rsid w:val="0005489B"/>
    <w:rsid w:val="00054DB1"/>
    <w:rsid w:val="000554D4"/>
    <w:rsid w:val="0006037A"/>
    <w:rsid w:val="00060CD4"/>
    <w:rsid w:val="00065392"/>
    <w:rsid w:val="000665F7"/>
    <w:rsid w:val="000666BE"/>
    <w:rsid w:val="00067F6F"/>
    <w:rsid w:val="00071776"/>
    <w:rsid w:val="00073191"/>
    <w:rsid w:val="00073E1A"/>
    <w:rsid w:val="00076EB0"/>
    <w:rsid w:val="000864D3"/>
    <w:rsid w:val="000878A3"/>
    <w:rsid w:val="00093554"/>
    <w:rsid w:val="000A2E06"/>
    <w:rsid w:val="000B4B2C"/>
    <w:rsid w:val="000B6C1A"/>
    <w:rsid w:val="000B6F9E"/>
    <w:rsid w:val="000C1B59"/>
    <w:rsid w:val="000D6AF8"/>
    <w:rsid w:val="000E0790"/>
    <w:rsid w:val="000E3DB1"/>
    <w:rsid w:val="000F142C"/>
    <w:rsid w:val="000F6CAF"/>
    <w:rsid w:val="001103BA"/>
    <w:rsid w:val="00114AF0"/>
    <w:rsid w:val="00117063"/>
    <w:rsid w:val="001205B1"/>
    <w:rsid w:val="00121E01"/>
    <w:rsid w:val="00122CC1"/>
    <w:rsid w:val="00122F44"/>
    <w:rsid w:val="00141451"/>
    <w:rsid w:val="00141DC4"/>
    <w:rsid w:val="0016368D"/>
    <w:rsid w:val="001645FB"/>
    <w:rsid w:val="0016777F"/>
    <w:rsid w:val="00181545"/>
    <w:rsid w:val="0018215F"/>
    <w:rsid w:val="00184ED3"/>
    <w:rsid w:val="001852A4"/>
    <w:rsid w:val="00186844"/>
    <w:rsid w:val="001939D8"/>
    <w:rsid w:val="00194B09"/>
    <w:rsid w:val="00196847"/>
    <w:rsid w:val="001A7618"/>
    <w:rsid w:val="001C60E1"/>
    <w:rsid w:val="001D03D9"/>
    <w:rsid w:val="001E3345"/>
    <w:rsid w:val="001E4F02"/>
    <w:rsid w:val="001E570E"/>
    <w:rsid w:val="001F1EAE"/>
    <w:rsid w:val="001F2F5E"/>
    <w:rsid w:val="001F2F75"/>
    <w:rsid w:val="00201C2B"/>
    <w:rsid w:val="00204280"/>
    <w:rsid w:val="00244A74"/>
    <w:rsid w:val="00246C0F"/>
    <w:rsid w:val="00247546"/>
    <w:rsid w:val="00255151"/>
    <w:rsid w:val="00263B4F"/>
    <w:rsid w:val="00265E82"/>
    <w:rsid w:val="00267B36"/>
    <w:rsid w:val="00270D36"/>
    <w:rsid w:val="00272B31"/>
    <w:rsid w:val="0027465C"/>
    <w:rsid w:val="0027710E"/>
    <w:rsid w:val="00277AD4"/>
    <w:rsid w:val="00281D4C"/>
    <w:rsid w:val="00284F5D"/>
    <w:rsid w:val="002A0518"/>
    <w:rsid w:val="002A3937"/>
    <w:rsid w:val="002B1789"/>
    <w:rsid w:val="002B42EF"/>
    <w:rsid w:val="002B5C33"/>
    <w:rsid w:val="002B617A"/>
    <w:rsid w:val="002B6C58"/>
    <w:rsid w:val="002B7550"/>
    <w:rsid w:val="002C24CF"/>
    <w:rsid w:val="002C2A3D"/>
    <w:rsid w:val="002C2CB9"/>
    <w:rsid w:val="002D0497"/>
    <w:rsid w:val="002D2873"/>
    <w:rsid w:val="002D7BF9"/>
    <w:rsid w:val="002E156C"/>
    <w:rsid w:val="002E26E9"/>
    <w:rsid w:val="002E34DB"/>
    <w:rsid w:val="002E7706"/>
    <w:rsid w:val="00301E0C"/>
    <w:rsid w:val="00302AD2"/>
    <w:rsid w:val="003034FB"/>
    <w:rsid w:val="003038DA"/>
    <w:rsid w:val="0030782E"/>
    <w:rsid w:val="003118BD"/>
    <w:rsid w:val="00335577"/>
    <w:rsid w:val="0034320B"/>
    <w:rsid w:val="00350678"/>
    <w:rsid w:val="00356DBD"/>
    <w:rsid w:val="00361B42"/>
    <w:rsid w:val="0036454E"/>
    <w:rsid w:val="003648D1"/>
    <w:rsid w:val="00364A08"/>
    <w:rsid w:val="00364AB5"/>
    <w:rsid w:val="00366B7A"/>
    <w:rsid w:val="003673EB"/>
    <w:rsid w:val="00373B95"/>
    <w:rsid w:val="00383B93"/>
    <w:rsid w:val="00391A12"/>
    <w:rsid w:val="00392A5E"/>
    <w:rsid w:val="003B0FC5"/>
    <w:rsid w:val="003B4BAC"/>
    <w:rsid w:val="003C1CA0"/>
    <w:rsid w:val="003C1FCD"/>
    <w:rsid w:val="003C745B"/>
    <w:rsid w:val="003D50DC"/>
    <w:rsid w:val="003E51AC"/>
    <w:rsid w:val="003F03B5"/>
    <w:rsid w:val="003F3B83"/>
    <w:rsid w:val="003F4E0D"/>
    <w:rsid w:val="00400624"/>
    <w:rsid w:val="00407E7A"/>
    <w:rsid w:val="0041400A"/>
    <w:rsid w:val="00414C7B"/>
    <w:rsid w:val="004157A1"/>
    <w:rsid w:val="00434BD7"/>
    <w:rsid w:val="00434E86"/>
    <w:rsid w:val="00442024"/>
    <w:rsid w:val="00444A66"/>
    <w:rsid w:val="004550F8"/>
    <w:rsid w:val="00456FC1"/>
    <w:rsid w:val="00457335"/>
    <w:rsid w:val="004664EA"/>
    <w:rsid w:val="0047362F"/>
    <w:rsid w:val="00474237"/>
    <w:rsid w:val="004746F4"/>
    <w:rsid w:val="00476182"/>
    <w:rsid w:val="00490A7B"/>
    <w:rsid w:val="00491459"/>
    <w:rsid w:val="00491C2E"/>
    <w:rsid w:val="00493B0B"/>
    <w:rsid w:val="004966FC"/>
    <w:rsid w:val="004A2E18"/>
    <w:rsid w:val="004A5972"/>
    <w:rsid w:val="004B33D6"/>
    <w:rsid w:val="004B414F"/>
    <w:rsid w:val="004B54FC"/>
    <w:rsid w:val="004C04CD"/>
    <w:rsid w:val="004C251E"/>
    <w:rsid w:val="004C315B"/>
    <w:rsid w:val="004D09A9"/>
    <w:rsid w:val="004D0DB8"/>
    <w:rsid w:val="004D26EB"/>
    <w:rsid w:val="004D43DA"/>
    <w:rsid w:val="004E4064"/>
    <w:rsid w:val="004E5930"/>
    <w:rsid w:val="005035DC"/>
    <w:rsid w:val="0050587E"/>
    <w:rsid w:val="00506016"/>
    <w:rsid w:val="00506D07"/>
    <w:rsid w:val="0050717D"/>
    <w:rsid w:val="00513F73"/>
    <w:rsid w:val="00520226"/>
    <w:rsid w:val="00520C9F"/>
    <w:rsid w:val="00533B57"/>
    <w:rsid w:val="005379C2"/>
    <w:rsid w:val="00544BB6"/>
    <w:rsid w:val="00546718"/>
    <w:rsid w:val="0055093C"/>
    <w:rsid w:val="00552204"/>
    <w:rsid w:val="00555025"/>
    <w:rsid w:val="00555E10"/>
    <w:rsid w:val="00560D75"/>
    <w:rsid w:val="005636BE"/>
    <w:rsid w:val="00564375"/>
    <w:rsid w:val="0057223C"/>
    <w:rsid w:val="005739CB"/>
    <w:rsid w:val="00574B2E"/>
    <w:rsid w:val="005772BA"/>
    <w:rsid w:val="00577619"/>
    <w:rsid w:val="005777B6"/>
    <w:rsid w:val="00577E42"/>
    <w:rsid w:val="0058296F"/>
    <w:rsid w:val="00584320"/>
    <w:rsid w:val="00585638"/>
    <w:rsid w:val="005859D5"/>
    <w:rsid w:val="0059244A"/>
    <w:rsid w:val="005A132C"/>
    <w:rsid w:val="005C3D8C"/>
    <w:rsid w:val="005E110C"/>
    <w:rsid w:val="005E23EB"/>
    <w:rsid w:val="005E2608"/>
    <w:rsid w:val="005F1EFC"/>
    <w:rsid w:val="005F6647"/>
    <w:rsid w:val="005F720E"/>
    <w:rsid w:val="00600192"/>
    <w:rsid w:val="006012DD"/>
    <w:rsid w:val="0060166E"/>
    <w:rsid w:val="0060246C"/>
    <w:rsid w:val="00605943"/>
    <w:rsid w:val="00620B76"/>
    <w:rsid w:val="0063176C"/>
    <w:rsid w:val="00635167"/>
    <w:rsid w:val="00635AAF"/>
    <w:rsid w:val="00636923"/>
    <w:rsid w:val="00637AF6"/>
    <w:rsid w:val="00641EB9"/>
    <w:rsid w:val="00650E0F"/>
    <w:rsid w:val="00655AF0"/>
    <w:rsid w:val="006623C0"/>
    <w:rsid w:val="00664F8D"/>
    <w:rsid w:val="006707E4"/>
    <w:rsid w:val="00670B46"/>
    <w:rsid w:val="00676F0A"/>
    <w:rsid w:val="00677FDD"/>
    <w:rsid w:val="00682C49"/>
    <w:rsid w:val="00682FB9"/>
    <w:rsid w:val="00690093"/>
    <w:rsid w:val="00694A8A"/>
    <w:rsid w:val="00695239"/>
    <w:rsid w:val="006A00B6"/>
    <w:rsid w:val="006A07EF"/>
    <w:rsid w:val="006A0E90"/>
    <w:rsid w:val="006A1247"/>
    <w:rsid w:val="006A42C1"/>
    <w:rsid w:val="006A5599"/>
    <w:rsid w:val="006B4006"/>
    <w:rsid w:val="006B4650"/>
    <w:rsid w:val="006C1DE9"/>
    <w:rsid w:val="006C3DCD"/>
    <w:rsid w:val="006C4BCB"/>
    <w:rsid w:val="006C5B6D"/>
    <w:rsid w:val="006D6CDE"/>
    <w:rsid w:val="006E2518"/>
    <w:rsid w:val="006E5CA9"/>
    <w:rsid w:val="006E6571"/>
    <w:rsid w:val="006E7428"/>
    <w:rsid w:val="006F7EDC"/>
    <w:rsid w:val="0070310E"/>
    <w:rsid w:val="007041A6"/>
    <w:rsid w:val="00705F69"/>
    <w:rsid w:val="00706679"/>
    <w:rsid w:val="00710051"/>
    <w:rsid w:val="00722D99"/>
    <w:rsid w:val="007315D5"/>
    <w:rsid w:val="0073179A"/>
    <w:rsid w:val="0073598F"/>
    <w:rsid w:val="00736A71"/>
    <w:rsid w:val="007432E1"/>
    <w:rsid w:val="00743611"/>
    <w:rsid w:val="00743B16"/>
    <w:rsid w:val="00746097"/>
    <w:rsid w:val="0075040C"/>
    <w:rsid w:val="00752256"/>
    <w:rsid w:val="00752379"/>
    <w:rsid w:val="00757305"/>
    <w:rsid w:val="007616E3"/>
    <w:rsid w:val="00762322"/>
    <w:rsid w:val="0076258F"/>
    <w:rsid w:val="00762EAA"/>
    <w:rsid w:val="0076553E"/>
    <w:rsid w:val="00765A84"/>
    <w:rsid w:val="00766173"/>
    <w:rsid w:val="00771673"/>
    <w:rsid w:val="00771D8F"/>
    <w:rsid w:val="00776355"/>
    <w:rsid w:val="00776810"/>
    <w:rsid w:val="007859BF"/>
    <w:rsid w:val="0078670C"/>
    <w:rsid w:val="00787443"/>
    <w:rsid w:val="0079372F"/>
    <w:rsid w:val="007940A6"/>
    <w:rsid w:val="007957F3"/>
    <w:rsid w:val="007B2684"/>
    <w:rsid w:val="007B4465"/>
    <w:rsid w:val="007B5047"/>
    <w:rsid w:val="007C0AB7"/>
    <w:rsid w:val="007C1A2B"/>
    <w:rsid w:val="007C53CD"/>
    <w:rsid w:val="007C7C13"/>
    <w:rsid w:val="007D7D42"/>
    <w:rsid w:val="007E454D"/>
    <w:rsid w:val="007E6A19"/>
    <w:rsid w:val="007F09AB"/>
    <w:rsid w:val="007F46E7"/>
    <w:rsid w:val="007F6AC7"/>
    <w:rsid w:val="007F79BA"/>
    <w:rsid w:val="0080233D"/>
    <w:rsid w:val="00806D0B"/>
    <w:rsid w:val="00811C59"/>
    <w:rsid w:val="00823D31"/>
    <w:rsid w:val="00830522"/>
    <w:rsid w:val="0083129B"/>
    <w:rsid w:val="008330C2"/>
    <w:rsid w:val="008337A3"/>
    <w:rsid w:val="00842094"/>
    <w:rsid w:val="0084241F"/>
    <w:rsid w:val="00847688"/>
    <w:rsid w:val="00860C9F"/>
    <w:rsid w:val="00861104"/>
    <w:rsid w:val="00865AD5"/>
    <w:rsid w:val="008834C5"/>
    <w:rsid w:val="0088585E"/>
    <w:rsid w:val="00887E43"/>
    <w:rsid w:val="00893C5E"/>
    <w:rsid w:val="00894A87"/>
    <w:rsid w:val="008962A6"/>
    <w:rsid w:val="008A0BD7"/>
    <w:rsid w:val="008A3FD5"/>
    <w:rsid w:val="008B3027"/>
    <w:rsid w:val="008B54A7"/>
    <w:rsid w:val="008C005C"/>
    <w:rsid w:val="008C0E58"/>
    <w:rsid w:val="008C7277"/>
    <w:rsid w:val="008D1FBE"/>
    <w:rsid w:val="008D3BBB"/>
    <w:rsid w:val="008E075B"/>
    <w:rsid w:val="008F1DD0"/>
    <w:rsid w:val="008F28C2"/>
    <w:rsid w:val="008F34F1"/>
    <w:rsid w:val="008F54CE"/>
    <w:rsid w:val="008F7DF0"/>
    <w:rsid w:val="00905B5D"/>
    <w:rsid w:val="009079E0"/>
    <w:rsid w:val="009106A9"/>
    <w:rsid w:val="0091112B"/>
    <w:rsid w:val="00912B6C"/>
    <w:rsid w:val="00913241"/>
    <w:rsid w:val="009143E7"/>
    <w:rsid w:val="009241E6"/>
    <w:rsid w:val="0092428F"/>
    <w:rsid w:val="00924C79"/>
    <w:rsid w:val="00951B6D"/>
    <w:rsid w:val="00954103"/>
    <w:rsid w:val="009624E9"/>
    <w:rsid w:val="00964F3B"/>
    <w:rsid w:val="00965B06"/>
    <w:rsid w:val="009726A6"/>
    <w:rsid w:val="00972BE1"/>
    <w:rsid w:val="00973E5F"/>
    <w:rsid w:val="009773CF"/>
    <w:rsid w:val="009811DB"/>
    <w:rsid w:val="009822A2"/>
    <w:rsid w:val="009832F2"/>
    <w:rsid w:val="00983CEC"/>
    <w:rsid w:val="00987A6A"/>
    <w:rsid w:val="009930D1"/>
    <w:rsid w:val="009A1C10"/>
    <w:rsid w:val="009A59AA"/>
    <w:rsid w:val="009A5CA0"/>
    <w:rsid w:val="009A6629"/>
    <w:rsid w:val="009B0F00"/>
    <w:rsid w:val="009B5200"/>
    <w:rsid w:val="009B6234"/>
    <w:rsid w:val="009B7162"/>
    <w:rsid w:val="009C2DCD"/>
    <w:rsid w:val="009D370C"/>
    <w:rsid w:val="009D59CC"/>
    <w:rsid w:val="009D5E1B"/>
    <w:rsid w:val="009E0579"/>
    <w:rsid w:val="009E1B87"/>
    <w:rsid w:val="009E229C"/>
    <w:rsid w:val="009E3408"/>
    <w:rsid w:val="00A00A9A"/>
    <w:rsid w:val="00A00E12"/>
    <w:rsid w:val="00A1020D"/>
    <w:rsid w:val="00A13888"/>
    <w:rsid w:val="00A13B26"/>
    <w:rsid w:val="00A2522F"/>
    <w:rsid w:val="00A317A8"/>
    <w:rsid w:val="00A3332B"/>
    <w:rsid w:val="00A37A0A"/>
    <w:rsid w:val="00A37A7F"/>
    <w:rsid w:val="00A510F9"/>
    <w:rsid w:val="00A57AC4"/>
    <w:rsid w:val="00A6756B"/>
    <w:rsid w:val="00A70FE9"/>
    <w:rsid w:val="00A72FC3"/>
    <w:rsid w:val="00A74772"/>
    <w:rsid w:val="00A848D1"/>
    <w:rsid w:val="00A91BE8"/>
    <w:rsid w:val="00A97D09"/>
    <w:rsid w:val="00AA03D5"/>
    <w:rsid w:val="00AA7700"/>
    <w:rsid w:val="00AB1335"/>
    <w:rsid w:val="00AB3F3F"/>
    <w:rsid w:val="00AB70C3"/>
    <w:rsid w:val="00AC2E8A"/>
    <w:rsid w:val="00AC48E6"/>
    <w:rsid w:val="00AC7217"/>
    <w:rsid w:val="00AD5663"/>
    <w:rsid w:val="00AE3A03"/>
    <w:rsid w:val="00AE696E"/>
    <w:rsid w:val="00AE7237"/>
    <w:rsid w:val="00AE7806"/>
    <w:rsid w:val="00AF1A41"/>
    <w:rsid w:val="00B074F1"/>
    <w:rsid w:val="00B12A4A"/>
    <w:rsid w:val="00B15D3B"/>
    <w:rsid w:val="00B17BEF"/>
    <w:rsid w:val="00B17E6F"/>
    <w:rsid w:val="00B3211B"/>
    <w:rsid w:val="00B325BC"/>
    <w:rsid w:val="00B4513E"/>
    <w:rsid w:val="00B54AFE"/>
    <w:rsid w:val="00B578BB"/>
    <w:rsid w:val="00B64D4A"/>
    <w:rsid w:val="00B65FA3"/>
    <w:rsid w:val="00B70AA8"/>
    <w:rsid w:val="00B8211D"/>
    <w:rsid w:val="00B86BBB"/>
    <w:rsid w:val="00B876D5"/>
    <w:rsid w:val="00B939F4"/>
    <w:rsid w:val="00B93B23"/>
    <w:rsid w:val="00B96704"/>
    <w:rsid w:val="00B979E0"/>
    <w:rsid w:val="00BA7456"/>
    <w:rsid w:val="00BB3144"/>
    <w:rsid w:val="00BB4292"/>
    <w:rsid w:val="00BB6A9F"/>
    <w:rsid w:val="00BB6AA2"/>
    <w:rsid w:val="00BC116F"/>
    <w:rsid w:val="00BC7F77"/>
    <w:rsid w:val="00BD5E09"/>
    <w:rsid w:val="00BF2D18"/>
    <w:rsid w:val="00BF5112"/>
    <w:rsid w:val="00C12716"/>
    <w:rsid w:val="00C1706E"/>
    <w:rsid w:val="00C26AA9"/>
    <w:rsid w:val="00C275ED"/>
    <w:rsid w:val="00C27747"/>
    <w:rsid w:val="00C27A92"/>
    <w:rsid w:val="00C375D5"/>
    <w:rsid w:val="00C37CA7"/>
    <w:rsid w:val="00C40318"/>
    <w:rsid w:val="00C406A1"/>
    <w:rsid w:val="00C46D31"/>
    <w:rsid w:val="00C63DFF"/>
    <w:rsid w:val="00C670EB"/>
    <w:rsid w:val="00C74369"/>
    <w:rsid w:val="00C91213"/>
    <w:rsid w:val="00C91C62"/>
    <w:rsid w:val="00C94B3F"/>
    <w:rsid w:val="00C96A45"/>
    <w:rsid w:val="00CA52A2"/>
    <w:rsid w:val="00CB001D"/>
    <w:rsid w:val="00CB1E64"/>
    <w:rsid w:val="00CC01B4"/>
    <w:rsid w:val="00CC5439"/>
    <w:rsid w:val="00CC78B7"/>
    <w:rsid w:val="00CD6932"/>
    <w:rsid w:val="00CE2040"/>
    <w:rsid w:val="00CE425C"/>
    <w:rsid w:val="00CE520C"/>
    <w:rsid w:val="00CF6B8C"/>
    <w:rsid w:val="00CF7E0B"/>
    <w:rsid w:val="00D16883"/>
    <w:rsid w:val="00D207C1"/>
    <w:rsid w:val="00D249D5"/>
    <w:rsid w:val="00D314A4"/>
    <w:rsid w:val="00D31A30"/>
    <w:rsid w:val="00D33CAD"/>
    <w:rsid w:val="00D4079B"/>
    <w:rsid w:val="00D41820"/>
    <w:rsid w:val="00D515C2"/>
    <w:rsid w:val="00D51615"/>
    <w:rsid w:val="00D56276"/>
    <w:rsid w:val="00D564D2"/>
    <w:rsid w:val="00D61090"/>
    <w:rsid w:val="00D6643B"/>
    <w:rsid w:val="00D66548"/>
    <w:rsid w:val="00D71003"/>
    <w:rsid w:val="00D741F7"/>
    <w:rsid w:val="00D74508"/>
    <w:rsid w:val="00D87011"/>
    <w:rsid w:val="00D87FE5"/>
    <w:rsid w:val="00D9039E"/>
    <w:rsid w:val="00D97433"/>
    <w:rsid w:val="00DA4B51"/>
    <w:rsid w:val="00DB381C"/>
    <w:rsid w:val="00DB3D94"/>
    <w:rsid w:val="00DC0A4A"/>
    <w:rsid w:val="00DD1154"/>
    <w:rsid w:val="00DD1C3F"/>
    <w:rsid w:val="00DD6636"/>
    <w:rsid w:val="00DD6858"/>
    <w:rsid w:val="00DD6A7D"/>
    <w:rsid w:val="00DE0ED6"/>
    <w:rsid w:val="00DE125E"/>
    <w:rsid w:val="00DE4BF3"/>
    <w:rsid w:val="00DE582E"/>
    <w:rsid w:val="00DE6594"/>
    <w:rsid w:val="00DE68B3"/>
    <w:rsid w:val="00DF0BB7"/>
    <w:rsid w:val="00DF116B"/>
    <w:rsid w:val="00E04C17"/>
    <w:rsid w:val="00E05136"/>
    <w:rsid w:val="00E10E83"/>
    <w:rsid w:val="00E12C81"/>
    <w:rsid w:val="00E145F5"/>
    <w:rsid w:val="00E14779"/>
    <w:rsid w:val="00E17D41"/>
    <w:rsid w:val="00E307FF"/>
    <w:rsid w:val="00E35196"/>
    <w:rsid w:val="00E3707F"/>
    <w:rsid w:val="00E40FEF"/>
    <w:rsid w:val="00E47482"/>
    <w:rsid w:val="00E47DFB"/>
    <w:rsid w:val="00E51D3D"/>
    <w:rsid w:val="00E54529"/>
    <w:rsid w:val="00E54F77"/>
    <w:rsid w:val="00E56049"/>
    <w:rsid w:val="00E66A8E"/>
    <w:rsid w:val="00E758C5"/>
    <w:rsid w:val="00E95848"/>
    <w:rsid w:val="00EA0DC2"/>
    <w:rsid w:val="00EA581B"/>
    <w:rsid w:val="00EB468E"/>
    <w:rsid w:val="00EB6846"/>
    <w:rsid w:val="00EC12D6"/>
    <w:rsid w:val="00ED7C71"/>
    <w:rsid w:val="00EE63B6"/>
    <w:rsid w:val="00EF1B5E"/>
    <w:rsid w:val="00EF2A22"/>
    <w:rsid w:val="00EF339F"/>
    <w:rsid w:val="00EF42AA"/>
    <w:rsid w:val="00EF42BE"/>
    <w:rsid w:val="00F1569F"/>
    <w:rsid w:val="00F16DCE"/>
    <w:rsid w:val="00F22087"/>
    <w:rsid w:val="00F2230C"/>
    <w:rsid w:val="00F2243A"/>
    <w:rsid w:val="00F22714"/>
    <w:rsid w:val="00F232B0"/>
    <w:rsid w:val="00F40878"/>
    <w:rsid w:val="00F41F1C"/>
    <w:rsid w:val="00F55067"/>
    <w:rsid w:val="00F60146"/>
    <w:rsid w:val="00F74CCD"/>
    <w:rsid w:val="00F80E7A"/>
    <w:rsid w:val="00F85995"/>
    <w:rsid w:val="00F90418"/>
    <w:rsid w:val="00F94C13"/>
    <w:rsid w:val="00FA0DEE"/>
    <w:rsid w:val="00FA3F28"/>
    <w:rsid w:val="00FA58BA"/>
    <w:rsid w:val="00FB084F"/>
    <w:rsid w:val="00FB6F8C"/>
    <w:rsid w:val="00FC16EB"/>
    <w:rsid w:val="00FC386D"/>
    <w:rsid w:val="00FC7F49"/>
    <w:rsid w:val="00FD54C5"/>
    <w:rsid w:val="00FD7756"/>
    <w:rsid w:val="00FE3F5A"/>
    <w:rsid w:val="00FE42CD"/>
    <w:rsid w:val="00FE66B8"/>
    <w:rsid w:val="00FF2CF7"/>
    <w:rsid w:val="00FF4CD8"/>
    <w:rsid w:val="00FF52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5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DA4B51"/>
    <w:pPr>
      <w:keepNext/>
      <w:outlineLvl w:val="0"/>
    </w:pPr>
    <w:rPr>
      <w:rFonts w:eastAsia="Arial Unicode MS"/>
      <w:b/>
      <w:bCs/>
      <w:lang w:val="en-US"/>
    </w:rPr>
  </w:style>
  <w:style w:type="paragraph" w:styleId="Heading2">
    <w:name w:val="heading 2"/>
    <w:basedOn w:val="Normal"/>
    <w:next w:val="Normal"/>
    <w:link w:val="Heading2Char"/>
    <w:qFormat/>
    <w:rsid w:val="00DA4B51"/>
    <w:pPr>
      <w:keepNext/>
      <w:spacing w:before="240" w:after="60"/>
      <w:outlineLvl w:val="1"/>
    </w:pPr>
    <w:rPr>
      <w:rFonts w:ascii="Arial" w:hAnsi="Arial" w:cs="Arial"/>
      <w:b/>
      <w:bCs/>
      <w:i/>
      <w:iCs/>
      <w:sz w:val="28"/>
      <w:szCs w:val="28"/>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B51"/>
    <w:rPr>
      <w:rFonts w:ascii="Times New Roman" w:eastAsia="Arial Unicode MS" w:hAnsi="Times New Roman" w:cs="Times New Roman"/>
      <w:b/>
      <w:bCs/>
      <w:sz w:val="24"/>
      <w:szCs w:val="24"/>
      <w:lang w:val="en-US" w:eastAsia="ru-RU"/>
    </w:rPr>
  </w:style>
  <w:style w:type="character" w:customStyle="1" w:styleId="Heading2Char">
    <w:name w:val="Heading 2 Char"/>
    <w:basedOn w:val="DefaultParagraphFont"/>
    <w:link w:val="Heading2"/>
    <w:rsid w:val="00DA4B51"/>
    <w:rPr>
      <w:rFonts w:ascii="Arial" w:eastAsia="Times New Roman" w:hAnsi="Arial" w:cs="Arial"/>
      <w:b/>
      <w:bCs/>
      <w:i/>
      <w:iCs/>
      <w:sz w:val="28"/>
      <w:szCs w:val="28"/>
      <w:lang w:val="el-GR" w:eastAsia="el-GR"/>
    </w:rPr>
  </w:style>
  <w:style w:type="paragraph" w:styleId="BodyText">
    <w:name w:val="Body Text"/>
    <w:basedOn w:val="Normal"/>
    <w:link w:val="BodyTextChar"/>
    <w:rsid w:val="00DA4B51"/>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rsid w:val="00DA4B51"/>
    <w:rPr>
      <w:rFonts w:ascii="Times New Roman" w:eastAsia="Times New Roman" w:hAnsi="Times New Roman" w:cs="Times New Roman"/>
      <w:sz w:val="20"/>
      <w:szCs w:val="20"/>
      <w:lang w:eastAsia="ru-RU"/>
    </w:rPr>
  </w:style>
  <w:style w:type="character" w:styleId="Hyperlink">
    <w:name w:val="Hyperlink"/>
    <w:basedOn w:val="DefaultParagraphFont"/>
    <w:uiPriority w:val="99"/>
    <w:rsid w:val="00DA4B51"/>
    <w:rPr>
      <w:rFonts w:cs="Times New Roman"/>
      <w:color w:val="0000FF"/>
      <w:u w:val="single"/>
    </w:rPr>
  </w:style>
  <w:style w:type="paragraph" w:styleId="BodyTextIndent">
    <w:name w:val="Body Text Indent"/>
    <w:basedOn w:val="Normal"/>
    <w:link w:val="BodyTextIndentChar"/>
    <w:rsid w:val="00DA4B51"/>
    <w:pPr>
      <w:spacing w:after="120"/>
      <w:ind w:left="283"/>
    </w:pPr>
  </w:style>
  <w:style w:type="character" w:customStyle="1" w:styleId="BodyTextIndentChar">
    <w:name w:val="Body Text Indent Char"/>
    <w:basedOn w:val="DefaultParagraphFont"/>
    <w:link w:val="BodyTextIndent"/>
    <w:rsid w:val="00DA4B51"/>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DA4B51"/>
    <w:rPr>
      <w:rFonts w:cs="Times New Roman"/>
      <w:b/>
      <w:bCs/>
    </w:rPr>
  </w:style>
  <w:style w:type="character" w:customStyle="1" w:styleId="hps">
    <w:name w:val="hps"/>
    <w:basedOn w:val="DefaultParagraphFont"/>
    <w:rsid w:val="00DA4B51"/>
    <w:rPr>
      <w:rFonts w:cs="Times New Roman"/>
    </w:rPr>
  </w:style>
  <w:style w:type="character" w:customStyle="1" w:styleId="longtext1">
    <w:name w:val="long_text1"/>
    <w:basedOn w:val="DefaultParagraphFont"/>
    <w:rsid w:val="00DA4B51"/>
    <w:rPr>
      <w:rFonts w:cs="Times New Roman"/>
      <w:sz w:val="13"/>
      <w:szCs w:val="13"/>
    </w:rPr>
  </w:style>
  <w:style w:type="character" w:customStyle="1" w:styleId="pagination">
    <w:name w:val="pagination"/>
    <w:basedOn w:val="DefaultParagraphFont"/>
    <w:rsid w:val="00DA4B51"/>
  </w:style>
  <w:style w:type="paragraph" w:styleId="BodyTextIndent3">
    <w:name w:val="Body Text Indent 3"/>
    <w:basedOn w:val="Normal"/>
    <w:link w:val="BodyTextIndent3Char"/>
    <w:rsid w:val="00DA4B51"/>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DA4B51"/>
    <w:rPr>
      <w:rFonts w:ascii="Times New Roman" w:eastAsia="Times New Roman" w:hAnsi="Times New Roman" w:cs="Times New Roman"/>
      <w:sz w:val="16"/>
      <w:szCs w:val="16"/>
      <w:lang w:eastAsia="ru-RU"/>
    </w:rPr>
  </w:style>
  <w:style w:type="character" w:customStyle="1" w:styleId="citation-flpages">
    <w:name w:val="citation-flpages"/>
    <w:basedOn w:val="DefaultParagraphFont"/>
    <w:rsid w:val="00DA4B51"/>
  </w:style>
  <w:style w:type="character" w:customStyle="1" w:styleId="journaltitle">
    <w:name w:val="journaltitle"/>
    <w:basedOn w:val="DefaultParagraphFont"/>
    <w:rsid w:val="00DA4B51"/>
  </w:style>
  <w:style w:type="character" w:customStyle="1" w:styleId="articlecitationyear">
    <w:name w:val="articlecitation_year"/>
    <w:basedOn w:val="DefaultParagraphFont"/>
    <w:rsid w:val="00DA4B51"/>
  </w:style>
  <w:style w:type="character" w:customStyle="1" w:styleId="articlecitationvolume">
    <w:name w:val="articlecitation_volume"/>
    <w:basedOn w:val="DefaultParagraphFont"/>
    <w:rsid w:val="00DA4B51"/>
  </w:style>
  <w:style w:type="character" w:customStyle="1" w:styleId="articlecitationpages">
    <w:name w:val="articlecitation_pages"/>
    <w:basedOn w:val="DefaultParagraphFont"/>
    <w:rsid w:val="00DA4B51"/>
  </w:style>
  <w:style w:type="character" w:customStyle="1" w:styleId="authorname">
    <w:name w:val="authorname"/>
    <w:basedOn w:val="DefaultParagraphFont"/>
    <w:rsid w:val="00DA4B51"/>
  </w:style>
  <w:style w:type="character" w:customStyle="1" w:styleId="doi">
    <w:name w:val="doi"/>
    <w:basedOn w:val="DefaultParagraphFont"/>
    <w:rsid w:val="00DA4B51"/>
  </w:style>
  <w:style w:type="character" w:customStyle="1" w:styleId="value">
    <w:name w:val="value"/>
    <w:basedOn w:val="DefaultParagraphFont"/>
    <w:rsid w:val="00DA4B51"/>
  </w:style>
  <w:style w:type="character" w:customStyle="1" w:styleId="label1">
    <w:name w:val="label1"/>
    <w:basedOn w:val="DefaultParagraphFont"/>
    <w:rsid w:val="00DA4B51"/>
  </w:style>
  <w:style w:type="paragraph" w:styleId="BodyTextIndent2">
    <w:name w:val="Body Text Indent 2"/>
    <w:basedOn w:val="Normal"/>
    <w:link w:val="BodyTextIndent2Char"/>
    <w:rsid w:val="00DA4B51"/>
    <w:pPr>
      <w:spacing w:after="120" w:line="480" w:lineRule="auto"/>
      <w:ind w:left="283"/>
    </w:pPr>
  </w:style>
  <w:style w:type="character" w:customStyle="1" w:styleId="BodyTextIndent2Char">
    <w:name w:val="Body Text Indent 2 Char"/>
    <w:basedOn w:val="DefaultParagraphFont"/>
    <w:link w:val="BodyTextIndent2"/>
    <w:rsid w:val="00DA4B51"/>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DA4B51"/>
    <w:rPr>
      <w:b/>
      <w:bCs/>
    </w:rPr>
  </w:style>
  <w:style w:type="character" w:customStyle="1" w:styleId="A0">
    <w:name w:val="A0"/>
    <w:rsid w:val="00DA4B51"/>
    <w:rPr>
      <w:rFonts w:cs="Century Gothic"/>
      <w:color w:val="000000"/>
      <w:sz w:val="14"/>
      <w:szCs w:val="14"/>
    </w:rPr>
  </w:style>
  <w:style w:type="paragraph" w:styleId="ListParagraph">
    <w:name w:val="List Paragraph"/>
    <w:basedOn w:val="Normal"/>
    <w:uiPriority w:val="34"/>
    <w:qFormat/>
    <w:rsid w:val="00912B6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C04CD"/>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pple-converted-space">
    <w:name w:val="apple-converted-space"/>
    <w:basedOn w:val="DefaultParagraphFont"/>
    <w:rsid w:val="007859BF"/>
  </w:style>
  <w:style w:type="character" w:customStyle="1" w:styleId="previewtxt">
    <w:name w:val="previewtxt"/>
    <w:basedOn w:val="DefaultParagraphFont"/>
    <w:rsid w:val="007859BF"/>
  </w:style>
  <w:style w:type="character" w:customStyle="1" w:styleId="st1">
    <w:name w:val="st1"/>
    <w:basedOn w:val="DefaultParagraphFont"/>
    <w:rsid w:val="007859BF"/>
  </w:style>
  <w:style w:type="paragraph" w:customStyle="1" w:styleId="Text">
    <w:name w:val="Text"/>
    <w:basedOn w:val="Normal"/>
    <w:rsid w:val="00E54F77"/>
    <w:pPr>
      <w:widowControl w:val="0"/>
      <w:spacing w:line="252" w:lineRule="auto"/>
      <w:ind w:firstLine="202"/>
      <w:jc w:val="both"/>
    </w:pPr>
    <w:rPr>
      <w:sz w:val="20"/>
      <w:szCs w:val="20"/>
      <w:lang w:val="en-US" w:eastAsia="en-US"/>
    </w:rPr>
  </w:style>
  <w:style w:type="character" w:customStyle="1" w:styleId="documenttypeverticalalignmiddle">
    <w:name w:val="documenttype verticalalignmiddle"/>
    <w:basedOn w:val="DefaultParagraphFont"/>
    <w:rsid w:val="00E54F77"/>
  </w:style>
  <w:style w:type="character" w:customStyle="1" w:styleId="refdoctitle">
    <w:name w:val="refdoctitle"/>
    <w:basedOn w:val="DefaultParagraphFont"/>
    <w:rsid w:val="00E54F77"/>
  </w:style>
  <w:style w:type="character" w:customStyle="1" w:styleId="ref-journal">
    <w:name w:val="ref-journal"/>
    <w:basedOn w:val="DefaultParagraphFont"/>
    <w:rsid w:val="00A00A9A"/>
  </w:style>
  <w:style w:type="character" w:customStyle="1" w:styleId="ref-title">
    <w:name w:val="ref-title"/>
    <w:basedOn w:val="DefaultParagraphFont"/>
    <w:rsid w:val="00A00A9A"/>
  </w:style>
  <w:style w:type="paragraph" w:styleId="NormalWeb">
    <w:name w:val="Normal (Web)"/>
    <w:basedOn w:val="Normal"/>
    <w:unhideWhenUsed/>
    <w:rsid w:val="00574B2E"/>
    <w:pPr>
      <w:spacing w:after="150"/>
    </w:pPr>
  </w:style>
  <w:style w:type="character" w:customStyle="1" w:styleId="title-text">
    <w:name w:val="title-text"/>
    <w:basedOn w:val="DefaultParagraphFont"/>
    <w:rsid w:val="00574B2E"/>
  </w:style>
  <w:style w:type="character" w:customStyle="1" w:styleId="citation">
    <w:name w:val="citation"/>
    <w:basedOn w:val="DefaultParagraphFont"/>
    <w:rsid w:val="00C63DFF"/>
  </w:style>
  <w:style w:type="paragraph" w:customStyle="1" w:styleId="-1">
    <w:name w:val="正文-1"/>
    <w:basedOn w:val="Normal"/>
    <w:link w:val="-1Char"/>
    <w:rsid w:val="00054DB1"/>
    <w:pPr>
      <w:ind w:firstLineChars="100" w:firstLine="100"/>
      <w:jc w:val="both"/>
    </w:pPr>
    <w:rPr>
      <w:rFonts w:eastAsia="SimSun"/>
      <w:sz w:val="21"/>
      <w:szCs w:val="18"/>
      <w:lang w:val="en-US" w:eastAsia="en-US"/>
    </w:rPr>
  </w:style>
  <w:style w:type="character" w:customStyle="1" w:styleId="-1Char">
    <w:name w:val="正文-1 Char"/>
    <w:basedOn w:val="DefaultParagraphFont"/>
    <w:link w:val="-1"/>
    <w:locked/>
    <w:rsid w:val="00054DB1"/>
    <w:rPr>
      <w:rFonts w:ascii="Times New Roman" w:eastAsia="SimSun" w:hAnsi="Times New Roman" w:cs="Times New Roman"/>
      <w:sz w:val="21"/>
      <w:szCs w:val="18"/>
      <w:lang w:val="en-US"/>
    </w:rPr>
  </w:style>
  <w:style w:type="paragraph" w:customStyle="1" w:styleId="Body">
    <w:name w:val="Body"/>
    <w:basedOn w:val="Normal"/>
    <w:rsid w:val="00301E0C"/>
    <w:pPr>
      <w:spacing w:after="240"/>
      <w:jc w:val="both"/>
    </w:pPr>
    <w:rPr>
      <w:rFonts w:ascii="Helvetica" w:hAnsi="Helvetica"/>
      <w:sz w:val="20"/>
      <w:szCs w:val="20"/>
      <w:lang w:val="en-US" w:eastAsia="en-US"/>
    </w:rPr>
  </w:style>
  <w:style w:type="paragraph" w:customStyle="1" w:styleId="ConcHead">
    <w:name w:val="Conc Head"/>
    <w:basedOn w:val="Normal"/>
    <w:rsid w:val="00301E0C"/>
    <w:pPr>
      <w:keepNext/>
      <w:spacing w:after="240"/>
    </w:pPr>
    <w:rPr>
      <w:rFonts w:ascii="Helvetica" w:hAnsi="Helvetica"/>
      <w:b/>
      <w:caps/>
      <w:sz w:val="22"/>
      <w:szCs w:val="20"/>
      <w:lang w:val="en-US" w:eastAsia="en-US"/>
    </w:rPr>
  </w:style>
  <w:style w:type="paragraph" w:customStyle="1" w:styleId="p">
    <w:name w:val="p"/>
    <w:basedOn w:val="Normal"/>
    <w:rsid w:val="009A6629"/>
    <w:pPr>
      <w:spacing w:before="100" w:beforeAutospacing="1" w:after="100" w:afterAutospacing="1"/>
    </w:pPr>
  </w:style>
  <w:style w:type="character" w:customStyle="1" w:styleId="cit">
    <w:name w:val="cit"/>
    <w:basedOn w:val="DefaultParagraphFont"/>
    <w:rsid w:val="00196847"/>
  </w:style>
  <w:style w:type="paragraph" w:styleId="NoSpacing">
    <w:name w:val="No Spacing"/>
    <w:uiPriority w:val="1"/>
    <w:qFormat/>
    <w:rsid w:val="007F6AC7"/>
    <w:pPr>
      <w:spacing w:after="0" w:line="240" w:lineRule="auto"/>
    </w:pPr>
    <w:rPr>
      <w:rFonts w:ascii="Calibri" w:eastAsia="Calibri" w:hAnsi="Calibri" w:cs="Times New Roman"/>
    </w:rPr>
  </w:style>
  <w:style w:type="character" w:customStyle="1" w:styleId="keyword1">
    <w:name w:val="keyword1"/>
    <w:basedOn w:val="DefaultParagraphFont"/>
    <w:rsid w:val="00CE2040"/>
    <w:rPr>
      <w:shd w:val="clear" w:color="auto" w:fill="F2F2F2"/>
    </w:rPr>
  </w:style>
  <w:style w:type="character" w:customStyle="1" w:styleId="authors-list-item">
    <w:name w:val="authors-list-item"/>
    <w:basedOn w:val="DefaultParagraphFont"/>
    <w:rsid w:val="00983CEC"/>
  </w:style>
  <w:style w:type="character" w:customStyle="1" w:styleId="comma">
    <w:name w:val="comma"/>
    <w:basedOn w:val="DefaultParagraphFont"/>
    <w:rsid w:val="00983CEC"/>
  </w:style>
  <w:style w:type="character" w:customStyle="1" w:styleId="A1">
    <w:name w:val="A1"/>
    <w:uiPriority w:val="99"/>
    <w:rsid w:val="00983CEC"/>
    <w:rPr>
      <w:rFonts w:cs="Cambria"/>
      <w:color w:val="000000"/>
      <w:sz w:val="15"/>
      <w:szCs w:val="15"/>
    </w:rPr>
  </w:style>
  <w:style w:type="character" w:customStyle="1" w:styleId="u-inline-block">
    <w:name w:val="u-inline-block"/>
    <w:rsid w:val="00983CEC"/>
  </w:style>
  <w:style w:type="character" w:customStyle="1" w:styleId="m-4316533558507110585m5076704167581948767gmailmsg">
    <w:name w:val="m_-4316533558507110585m5076704167581948767gmailmsg"/>
    <w:rsid w:val="00983CEC"/>
  </w:style>
  <w:style w:type="character" w:customStyle="1" w:styleId="highlight">
    <w:name w:val="highlight"/>
    <w:basedOn w:val="DefaultParagraphFont"/>
    <w:rsid w:val="00983CEC"/>
  </w:style>
  <w:style w:type="paragraph" w:styleId="BalloonText">
    <w:name w:val="Balloon Text"/>
    <w:basedOn w:val="Normal"/>
    <w:link w:val="BalloonTextChar"/>
    <w:uiPriority w:val="99"/>
    <w:semiHidden/>
    <w:unhideWhenUsed/>
    <w:rsid w:val="0063176C"/>
    <w:rPr>
      <w:rFonts w:ascii="Tahoma" w:hAnsi="Tahoma" w:cs="Tahoma"/>
      <w:sz w:val="16"/>
      <w:szCs w:val="16"/>
    </w:rPr>
  </w:style>
  <w:style w:type="character" w:customStyle="1" w:styleId="BalloonTextChar">
    <w:name w:val="Balloon Text Char"/>
    <w:basedOn w:val="DefaultParagraphFont"/>
    <w:link w:val="BalloonText"/>
    <w:uiPriority w:val="99"/>
    <w:semiHidden/>
    <w:rsid w:val="0063176C"/>
    <w:rPr>
      <w:rFonts w:ascii="Tahoma" w:eastAsia="Times New Roman" w:hAnsi="Tahoma" w:cs="Tahoma"/>
      <w:sz w:val="16"/>
      <w:szCs w:val="16"/>
      <w:lang w:eastAsia="ru-RU"/>
    </w:rPr>
  </w:style>
  <w:style w:type="character" w:customStyle="1" w:styleId="popper-title">
    <w:name w:val="popper-title"/>
    <w:rsid w:val="00263B4F"/>
  </w:style>
  <w:style w:type="character" w:customStyle="1" w:styleId="metadata--author-name">
    <w:name w:val="metadata--author-name"/>
    <w:rsid w:val="00263B4F"/>
  </w:style>
  <w:style w:type="character" w:customStyle="1" w:styleId="metadata--authors-count">
    <w:name w:val="metadata--authors-count"/>
    <w:rsid w:val="00263B4F"/>
  </w:style>
  <w:style w:type="character" w:customStyle="1" w:styleId="metadata--author-affiliation-index">
    <w:name w:val="metadata--author-affiliation-index"/>
    <w:rsid w:val="00263B4F"/>
  </w:style>
  <w:style w:type="character" w:customStyle="1" w:styleId="metadata--source-title">
    <w:name w:val="metadata--source-title"/>
    <w:rsid w:val="00263B4F"/>
  </w:style>
  <w:style w:type="character" w:customStyle="1" w:styleId="highwire-citation-author2">
    <w:name w:val="highwire-citation-author2"/>
    <w:rsid w:val="00263B4F"/>
  </w:style>
  <w:style w:type="character" w:customStyle="1" w:styleId="highwire-cite-metadata-date">
    <w:name w:val="highwire-cite-metadata-date"/>
    <w:rsid w:val="00263B4F"/>
  </w:style>
  <w:style w:type="character" w:customStyle="1" w:styleId="highwire-cite-metadata-volume">
    <w:name w:val="highwire-cite-metadata-volume"/>
    <w:rsid w:val="00263B4F"/>
  </w:style>
  <w:style w:type="character" w:customStyle="1" w:styleId="highwire-cite-metadata-issue">
    <w:name w:val="highwire-cite-metadata-issue"/>
    <w:rsid w:val="00263B4F"/>
  </w:style>
  <w:style w:type="character" w:customStyle="1" w:styleId="highwire-cite-metadata-pages">
    <w:name w:val="highwire-cite-metadata-pages"/>
    <w:rsid w:val="00263B4F"/>
  </w:style>
  <w:style w:type="character" w:customStyle="1" w:styleId="y2iqfc">
    <w:name w:val="y2iqfc"/>
    <w:basedOn w:val="DefaultParagraphFont"/>
    <w:rsid w:val="009D5E1B"/>
  </w:style>
  <w:style w:type="character" w:customStyle="1" w:styleId="A2">
    <w:name w:val="A2"/>
    <w:uiPriority w:val="99"/>
    <w:rsid w:val="007616E3"/>
    <w:rPr>
      <w:color w:val="000000"/>
      <w:sz w:val="16"/>
      <w:szCs w:val="16"/>
    </w:rPr>
  </w:style>
  <w:style w:type="character" w:customStyle="1" w:styleId="element-citation">
    <w:name w:val="element-citation"/>
    <w:basedOn w:val="DefaultParagraphFont"/>
    <w:rsid w:val="007616E3"/>
  </w:style>
  <w:style w:type="character" w:customStyle="1" w:styleId="ref-vol">
    <w:name w:val="ref-vol"/>
    <w:basedOn w:val="DefaultParagraphFont"/>
    <w:rsid w:val="007616E3"/>
  </w:style>
  <w:style w:type="paragraph" w:customStyle="1" w:styleId="04-OS-Author">
    <w:name w:val="04-OS-Author"/>
    <w:basedOn w:val="Normal"/>
    <w:qFormat/>
    <w:rsid w:val="00FB6F8C"/>
    <w:pPr>
      <w:widowControl w:val="0"/>
      <w:adjustRightInd w:val="0"/>
      <w:snapToGrid w:val="0"/>
      <w:spacing w:before="240" w:after="160" w:line="240" w:lineRule="exact"/>
    </w:pPr>
    <w:rPr>
      <w:rFonts w:eastAsia="Arial"/>
      <w:kern w:val="2"/>
      <w:lang w:val="en-GB" w:eastAsia="zh-CN"/>
    </w:rPr>
  </w:style>
  <w:style w:type="paragraph" w:customStyle="1" w:styleId="20-OS-Text">
    <w:name w:val="20-OS-Text"/>
    <w:basedOn w:val="Normal"/>
    <w:qFormat/>
    <w:rsid w:val="00641EB9"/>
    <w:pPr>
      <w:widowControl w:val="0"/>
      <w:adjustRightInd w:val="0"/>
      <w:snapToGrid w:val="0"/>
      <w:spacing w:line="240" w:lineRule="exact"/>
      <w:ind w:firstLineChars="100" w:firstLine="100"/>
      <w:jc w:val="both"/>
    </w:pPr>
    <w:rPr>
      <w:kern w:val="2"/>
      <w:sz w:val="20"/>
      <w:szCs w:val="20"/>
      <w:lang w:val="en-US" w:eastAsia="zh-CN"/>
    </w:rPr>
  </w:style>
  <w:style w:type="paragraph" w:styleId="Header">
    <w:name w:val="header"/>
    <w:basedOn w:val="Normal"/>
    <w:link w:val="HeaderChar"/>
    <w:uiPriority w:val="99"/>
    <w:semiHidden/>
    <w:unhideWhenUsed/>
    <w:rsid w:val="00204280"/>
    <w:pPr>
      <w:tabs>
        <w:tab w:val="center" w:pos="4680"/>
        <w:tab w:val="right" w:pos="9360"/>
      </w:tabs>
    </w:pPr>
  </w:style>
  <w:style w:type="character" w:customStyle="1" w:styleId="HeaderChar">
    <w:name w:val="Header Char"/>
    <w:basedOn w:val="DefaultParagraphFont"/>
    <w:link w:val="Header"/>
    <w:uiPriority w:val="99"/>
    <w:semiHidden/>
    <w:rsid w:val="00204280"/>
    <w:rPr>
      <w:rFonts w:ascii="Times New Roman" w:eastAsia="Times New Roman" w:hAnsi="Times New Roman" w:cs="Times New Roman"/>
      <w:sz w:val="24"/>
      <w:szCs w:val="24"/>
      <w:lang w:eastAsia="ru-RU"/>
    </w:rPr>
  </w:style>
  <w:style w:type="paragraph" w:styleId="Footer">
    <w:name w:val="footer"/>
    <w:basedOn w:val="Normal"/>
    <w:link w:val="FooterChar"/>
    <w:uiPriority w:val="99"/>
    <w:semiHidden/>
    <w:unhideWhenUsed/>
    <w:rsid w:val="00204280"/>
    <w:pPr>
      <w:tabs>
        <w:tab w:val="center" w:pos="4680"/>
        <w:tab w:val="right" w:pos="9360"/>
      </w:tabs>
    </w:pPr>
  </w:style>
  <w:style w:type="character" w:customStyle="1" w:styleId="FooterChar">
    <w:name w:val="Footer Char"/>
    <w:basedOn w:val="DefaultParagraphFont"/>
    <w:link w:val="Footer"/>
    <w:uiPriority w:val="99"/>
    <w:semiHidden/>
    <w:rsid w:val="00204280"/>
    <w:rPr>
      <w:rFonts w:ascii="Times New Roman" w:eastAsia="Times New Roman" w:hAnsi="Times New Roman" w:cs="Times New Roman"/>
      <w:sz w:val="24"/>
      <w:szCs w:val="24"/>
      <w:lang w:eastAsia="ru-RU"/>
    </w:rPr>
  </w:style>
  <w:style w:type="paragraph" w:styleId="HTMLPreformatted">
    <w:name w:val="HTML Preformatted"/>
    <w:basedOn w:val="Normal"/>
    <w:link w:val="HTMLPreformattedChar"/>
    <w:uiPriority w:val="99"/>
    <w:unhideWhenUsed/>
    <w:rsid w:val="00B45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B4513E"/>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860C9F"/>
    <w:rPr>
      <w:sz w:val="16"/>
      <w:szCs w:val="16"/>
    </w:rPr>
  </w:style>
  <w:style w:type="paragraph" w:styleId="CommentText">
    <w:name w:val="annotation text"/>
    <w:basedOn w:val="Normal"/>
    <w:link w:val="CommentTextChar"/>
    <w:uiPriority w:val="99"/>
    <w:unhideWhenUsed/>
    <w:rsid w:val="00860C9F"/>
    <w:rPr>
      <w:sz w:val="20"/>
      <w:szCs w:val="20"/>
    </w:rPr>
  </w:style>
  <w:style w:type="character" w:customStyle="1" w:styleId="CommentTextChar">
    <w:name w:val="Comment Text Char"/>
    <w:basedOn w:val="DefaultParagraphFont"/>
    <w:link w:val="CommentText"/>
    <w:uiPriority w:val="99"/>
    <w:rsid w:val="00860C9F"/>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60C9F"/>
    <w:rPr>
      <w:b/>
      <w:bCs/>
    </w:rPr>
  </w:style>
  <w:style w:type="character" w:customStyle="1" w:styleId="CommentSubjectChar">
    <w:name w:val="Comment Subject Char"/>
    <w:basedOn w:val="CommentTextChar"/>
    <w:link w:val="CommentSubject"/>
    <w:uiPriority w:val="99"/>
    <w:semiHidden/>
    <w:rsid w:val="00860C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B5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4B51"/>
    <w:pPr>
      <w:keepNext/>
      <w:outlineLvl w:val="0"/>
    </w:pPr>
    <w:rPr>
      <w:rFonts w:eastAsia="Arial Unicode MS"/>
      <w:b/>
      <w:bCs/>
      <w:lang w:val="en-US"/>
    </w:rPr>
  </w:style>
  <w:style w:type="paragraph" w:styleId="2">
    <w:name w:val="heading 2"/>
    <w:basedOn w:val="a"/>
    <w:next w:val="a"/>
    <w:link w:val="20"/>
    <w:qFormat/>
    <w:rsid w:val="00DA4B51"/>
    <w:pPr>
      <w:keepNext/>
      <w:spacing w:before="240" w:after="60"/>
      <w:outlineLvl w:val="1"/>
    </w:pPr>
    <w:rPr>
      <w:rFonts w:ascii="Arial" w:hAnsi="Arial" w:cs="Arial"/>
      <w:b/>
      <w:bCs/>
      <w:i/>
      <w:iCs/>
      <w:sz w:val="28"/>
      <w:szCs w:val="2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B51"/>
    <w:rPr>
      <w:rFonts w:ascii="Times New Roman" w:eastAsia="Arial Unicode MS" w:hAnsi="Times New Roman" w:cs="Times New Roman"/>
      <w:b/>
      <w:bCs/>
      <w:sz w:val="24"/>
      <w:szCs w:val="24"/>
      <w:lang w:val="en-US" w:eastAsia="ru-RU"/>
    </w:rPr>
  </w:style>
  <w:style w:type="character" w:customStyle="1" w:styleId="20">
    <w:name w:val="Заголовок 2 Знак"/>
    <w:basedOn w:val="a0"/>
    <w:link w:val="2"/>
    <w:rsid w:val="00DA4B51"/>
    <w:rPr>
      <w:rFonts w:ascii="Arial" w:eastAsia="Times New Roman" w:hAnsi="Arial" w:cs="Arial"/>
      <w:b/>
      <w:bCs/>
      <w:i/>
      <w:iCs/>
      <w:sz w:val="28"/>
      <w:szCs w:val="28"/>
      <w:lang w:val="el-GR" w:eastAsia="el-GR"/>
    </w:rPr>
  </w:style>
  <w:style w:type="paragraph" w:styleId="a3">
    <w:name w:val="Body Text"/>
    <w:basedOn w:val="a"/>
    <w:link w:val="a4"/>
    <w:rsid w:val="00DA4B51"/>
    <w:pPr>
      <w:overflowPunct w:val="0"/>
      <w:autoSpaceDE w:val="0"/>
      <w:autoSpaceDN w:val="0"/>
      <w:adjustRightInd w:val="0"/>
      <w:spacing w:after="120"/>
      <w:textAlignment w:val="baseline"/>
    </w:pPr>
    <w:rPr>
      <w:sz w:val="20"/>
      <w:szCs w:val="20"/>
    </w:rPr>
  </w:style>
  <w:style w:type="character" w:customStyle="1" w:styleId="a4">
    <w:name w:val="Основной текст Знак"/>
    <w:basedOn w:val="a0"/>
    <w:link w:val="a3"/>
    <w:rsid w:val="00DA4B51"/>
    <w:rPr>
      <w:rFonts w:ascii="Times New Roman" w:eastAsia="Times New Roman" w:hAnsi="Times New Roman" w:cs="Times New Roman"/>
      <w:sz w:val="20"/>
      <w:szCs w:val="20"/>
      <w:lang w:eastAsia="ru-RU"/>
    </w:rPr>
  </w:style>
  <w:style w:type="character" w:styleId="a5">
    <w:name w:val="Hyperlink"/>
    <w:basedOn w:val="a0"/>
    <w:uiPriority w:val="99"/>
    <w:rsid w:val="00DA4B51"/>
    <w:rPr>
      <w:rFonts w:cs="Times New Roman"/>
      <w:color w:val="0000FF"/>
      <w:u w:val="single"/>
    </w:rPr>
  </w:style>
  <w:style w:type="paragraph" w:styleId="a6">
    <w:name w:val="Body Text Indent"/>
    <w:basedOn w:val="a"/>
    <w:link w:val="a7"/>
    <w:rsid w:val="00DA4B51"/>
    <w:pPr>
      <w:spacing w:after="120"/>
      <w:ind w:left="283"/>
    </w:pPr>
  </w:style>
  <w:style w:type="character" w:customStyle="1" w:styleId="a7">
    <w:name w:val="Основной текст с отступом Знак"/>
    <w:basedOn w:val="a0"/>
    <w:link w:val="a6"/>
    <w:rsid w:val="00DA4B51"/>
    <w:rPr>
      <w:rFonts w:ascii="Times New Roman" w:eastAsia="Times New Roman" w:hAnsi="Times New Roman" w:cs="Times New Roman"/>
      <w:sz w:val="24"/>
      <w:szCs w:val="24"/>
      <w:lang w:eastAsia="ru-RU"/>
    </w:rPr>
  </w:style>
  <w:style w:type="character" w:styleId="a8">
    <w:name w:val="Emphasis"/>
    <w:basedOn w:val="a0"/>
    <w:uiPriority w:val="20"/>
    <w:qFormat/>
    <w:rsid w:val="00DA4B51"/>
    <w:rPr>
      <w:rFonts w:cs="Times New Roman"/>
      <w:b/>
      <w:bCs/>
    </w:rPr>
  </w:style>
  <w:style w:type="character" w:customStyle="1" w:styleId="hps">
    <w:name w:val="hps"/>
    <w:basedOn w:val="a0"/>
    <w:rsid w:val="00DA4B51"/>
    <w:rPr>
      <w:rFonts w:cs="Times New Roman"/>
    </w:rPr>
  </w:style>
  <w:style w:type="character" w:customStyle="1" w:styleId="longtext1">
    <w:name w:val="long_text1"/>
    <w:basedOn w:val="a0"/>
    <w:rsid w:val="00DA4B51"/>
    <w:rPr>
      <w:rFonts w:cs="Times New Roman"/>
      <w:sz w:val="13"/>
      <w:szCs w:val="13"/>
    </w:rPr>
  </w:style>
  <w:style w:type="character" w:customStyle="1" w:styleId="pagination">
    <w:name w:val="pagination"/>
    <w:basedOn w:val="a0"/>
    <w:rsid w:val="00DA4B51"/>
  </w:style>
  <w:style w:type="paragraph" w:styleId="3">
    <w:name w:val="Body Text Indent 3"/>
    <w:basedOn w:val="a"/>
    <w:link w:val="30"/>
    <w:rsid w:val="00DA4B51"/>
    <w:pPr>
      <w:overflowPunct w:val="0"/>
      <w:autoSpaceDE w:val="0"/>
      <w:autoSpaceDN w:val="0"/>
      <w:adjustRightInd w:val="0"/>
      <w:spacing w:after="120"/>
      <w:ind w:left="283"/>
      <w:textAlignment w:val="baseline"/>
    </w:pPr>
    <w:rPr>
      <w:sz w:val="16"/>
      <w:szCs w:val="16"/>
    </w:rPr>
  </w:style>
  <w:style w:type="character" w:customStyle="1" w:styleId="30">
    <w:name w:val="Основной текст с отступом 3 Знак"/>
    <w:basedOn w:val="a0"/>
    <w:link w:val="3"/>
    <w:rsid w:val="00DA4B51"/>
    <w:rPr>
      <w:rFonts w:ascii="Times New Roman" w:eastAsia="Times New Roman" w:hAnsi="Times New Roman" w:cs="Times New Roman"/>
      <w:sz w:val="16"/>
      <w:szCs w:val="16"/>
      <w:lang w:eastAsia="ru-RU"/>
    </w:rPr>
  </w:style>
  <w:style w:type="character" w:customStyle="1" w:styleId="citation-flpages">
    <w:name w:val="citation-flpages"/>
    <w:basedOn w:val="a0"/>
    <w:rsid w:val="00DA4B51"/>
  </w:style>
  <w:style w:type="character" w:customStyle="1" w:styleId="journaltitle">
    <w:name w:val="journaltitle"/>
    <w:basedOn w:val="a0"/>
    <w:rsid w:val="00DA4B51"/>
  </w:style>
  <w:style w:type="character" w:customStyle="1" w:styleId="articlecitationyear">
    <w:name w:val="articlecitation_year"/>
    <w:basedOn w:val="a0"/>
    <w:rsid w:val="00DA4B51"/>
  </w:style>
  <w:style w:type="character" w:customStyle="1" w:styleId="articlecitationvolume">
    <w:name w:val="articlecitation_volume"/>
    <w:basedOn w:val="a0"/>
    <w:rsid w:val="00DA4B51"/>
  </w:style>
  <w:style w:type="character" w:customStyle="1" w:styleId="articlecitationpages">
    <w:name w:val="articlecitation_pages"/>
    <w:basedOn w:val="a0"/>
    <w:rsid w:val="00DA4B51"/>
  </w:style>
  <w:style w:type="character" w:customStyle="1" w:styleId="authorname">
    <w:name w:val="authorname"/>
    <w:basedOn w:val="a0"/>
    <w:rsid w:val="00DA4B51"/>
  </w:style>
  <w:style w:type="character" w:customStyle="1" w:styleId="doi">
    <w:name w:val="doi"/>
    <w:basedOn w:val="a0"/>
    <w:rsid w:val="00DA4B51"/>
  </w:style>
  <w:style w:type="character" w:customStyle="1" w:styleId="value">
    <w:name w:val="value"/>
    <w:basedOn w:val="a0"/>
    <w:rsid w:val="00DA4B51"/>
  </w:style>
  <w:style w:type="character" w:customStyle="1" w:styleId="label1">
    <w:name w:val="label1"/>
    <w:basedOn w:val="a0"/>
    <w:rsid w:val="00DA4B51"/>
  </w:style>
  <w:style w:type="paragraph" w:styleId="21">
    <w:name w:val="Body Text Indent 2"/>
    <w:basedOn w:val="a"/>
    <w:link w:val="22"/>
    <w:rsid w:val="00DA4B51"/>
    <w:pPr>
      <w:spacing w:after="120" w:line="480" w:lineRule="auto"/>
      <w:ind w:left="283"/>
    </w:pPr>
  </w:style>
  <w:style w:type="character" w:customStyle="1" w:styleId="22">
    <w:name w:val="Основной текст с отступом 2 Знак"/>
    <w:basedOn w:val="a0"/>
    <w:link w:val="21"/>
    <w:rsid w:val="00DA4B51"/>
    <w:rPr>
      <w:rFonts w:ascii="Times New Roman" w:eastAsia="Times New Roman" w:hAnsi="Times New Roman" w:cs="Times New Roman"/>
      <w:sz w:val="24"/>
      <w:szCs w:val="24"/>
      <w:lang w:eastAsia="ru-RU"/>
    </w:rPr>
  </w:style>
  <w:style w:type="character" w:styleId="a9">
    <w:name w:val="Strong"/>
    <w:basedOn w:val="a0"/>
    <w:uiPriority w:val="22"/>
    <w:qFormat/>
    <w:rsid w:val="00DA4B51"/>
    <w:rPr>
      <w:b/>
      <w:bCs/>
    </w:rPr>
  </w:style>
  <w:style w:type="character" w:customStyle="1" w:styleId="A00">
    <w:name w:val="A0"/>
    <w:rsid w:val="00DA4B51"/>
    <w:rPr>
      <w:rFonts w:cs="Century Gothic"/>
      <w:color w:val="000000"/>
      <w:sz w:val="14"/>
      <w:szCs w:val="14"/>
    </w:rPr>
  </w:style>
  <w:style w:type="paragraph" w:styleId="aa">
    <w:name w:val="List Paragraph"/>
    <w:basedOn w:val="a"/>
    <w:uiPriority w:val="34"/>
    <w:qFormat/>
    <w:rsid w:val="00912B6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C04CD"/>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pple-converted-space">
    <w:name w:val="apple-converted-space"/>
    <w:basedOn w:val="a0"/>
    <w:rsid w:val="007859BF"/>
  </w:style>
  <w:style w:type="character" w:customStyle="1" w:styleId="previewtxt">
    <w:name w:val="previewtxt"/>
    <w:basedOn w:val="a0"/>
    <w:rsid w:val="007859BF"/>
  </w:style>
  <w:style w:type="character" w:customStyle="1" w:styleId="st1">
    <w:name w:val="st1"/>
    <w:basedOn w:val="a0"/>
    <w:rsid w:val="007859BF"/>
  </w:style>
  <w:style w:type="paragraph" w:customStyle="1" w:styleId="Text">
    <w:name w:val="Text"/>
    <w:basedOn w:val="a"/>
    <w:rsid w:val="00E54F77"/>
    <w:pPr>
      <w:widowControl w:val="0"/>
      <w:spacing w:line="252" w:lineRule="auto"/>
      <w:ind w:firstLine="202"/>
      <w:jc w:val="both"/>
    </w:pPr>
    <w:rPr>
      <w:sz w:val="20"/>
      <w:szCs w:val="20"/>
      <w:lang w:val="en-US" w:eastAsia="en-US"/>
    </w:rPr>
  </w:style>
  <w:style w:type="character" w:customStyle="1" w:styleId="documenttypeverticalalignmiddle">
    <w:name w:val="documenttype verticalalignmiddle"/>
    <w:basedOn w:val="a0"/>
    <w:rsid w:val="00E54F77"/>
  </w:style>
  <w:style w:type="character" w:customStyle="1" w:styleId="refdoctitle">
    <w:name w:val="refdoctitle"/>
    <w:basedOn w:val="a0"/>
    <w:rsid w:val="00E54F77"/>
  </w:style>
  <w:style w:type="character" w:customStyle="1" w:styleId="ref-journal">
    <w:name w:val="ref-journal"/>
    <w:basedOn w:val="a0"/>
    <w:rsid w:val="00A00A9A"/>
  </w:style>
  <w:style w:type="character" w:customStyle="1" w:styleId="ref-title">
    <w:name w:val="ref-title"/>
    <w:basedOn w:val="a0"/>
    <w:rsid w:val="00A00A9A"/>
  </w:style>
  <w:style w:type="paragraph" w:styleId="ab">
    <w:name w:val="Normal (Web)"/>
    <w:basedOn w:val="a"/>
    <w:uiPriority w:val="99"/>
    <w:semiHidden/>
    <w:unhideWhenUsed/>
    <w:rsid w:val="00574B2E"/>
    <w:pPr>
      <w:spacing w:after="150"/>
    </w:pPr>
  </w:style>
  <w:style w:type="character" w:customStyle="1" w:styleId="title-text">
    <w:name w:val="title-text"/>
    <w:basedOn w:val="a0"/>
    <w:rsid w:val="00574B2E"/>
  </w:style>
  <w:style w:type="character" w:customStyle="1" w:styleId="citation">
    <w:name w:val="citation"/>
    <w:basedOn w:val="a0"/>
    <w:rsid w:val="00C63DFF"/>
  </w:style>
  <w:style w:type="paragraph" w:customStyle="1" w:styleId="-1">
    <w:name w:val="正文-1"/>
    <w:basedOn w:val="a"/>
    <w:link w:val="-1Char"/>
    <w:rsid w:val="00054DB1"/>
    <w:pPr>
      <w:ind w:firstLineChars="100" w:firstLine="100"/>
      <w:jc w:val="both"/>
    </w:pPr>
    <w:rPr>
      <w:rFonts w:eastAsia="SimSun"/>
      <w:sz w:val="21"/>
      <w:szCs w:val="18"/>
      <w:lang w:val="en-US" w:eastAsia="en-US"/>
    </w:rPr>
  </w:style>
  <w:style w:type="character" w:customStyle="1" w:styleId="-1Char">
    <w:name w:val="正文-1 Char"/>
    <w:basedOn w:val="a0"/>
    <w:link w:val="-1"/>
    <w:locked/>
    <w:rsid w:val="00054DB1"/>
    <w:rPr>
      <w:rFonts w:ascii="Times New Roman" w:eastAsia="SimSun" w:hAnsi="Times New Roman" w:cs="Times New Roman"/>
      <w:sz w:val="21"/>
      <w:szCs w:val="18"/>
      <w:lang w:val="en-US"/>
    </w:rPr>
  </w:style>
  <w:style w:type="paragraph" w:customStyle="1" w:styleId="Body">
    <w:name w:val="Body"/>
    <w:basedOn w:val="a"/>
    <w:rsid w:val="00301E0C"/>
    <w:pPr>
      <w:spacing w:after="240"/>
      <w:jc w:val="both"/>
    </w:pPr>
    <w:rPr>
      <w:rFonts w:ascii="Helvetica" w:hAnsi="Helvetica"/>
      <w:sz w:val="20"/>
      <w:szCs w:val="20"/>
      <w:lang w:val="en-US" w:eastAsia="en-US"/>
    </w:rPr>
  </w:style>
  <w:style w:type="paragraph" w:customStyle="1" w:styleId="ConcHead">
    <w:name w:val="Conc Head"/>
    <w:basedOn w:val="a"/>
    <w:rsid w:val="00301E0C"/>
    <w:pPr>
      <w:keepNext/>
      <w:spacing w:after="240"/>
    </w:pPr>
    <w:rPr>
      <w:rFonts w:ascii="Helvetica" w:hAnsi="Helvetica"/>
      <w:b/>
      <w:caps/>
      <w:sz w:val="22"/>
      <w:szCs w:val="20"/>
      <w:lang w:val="en-US" w:eastAsia="en-US"/>
    </w:rPr>
  </w:style>
  <w:style w:type="paragraph" w:customStyle="1" w:styleId="p">
    <w:name w:val="p"/>
    <w:basedOn w:val="a"/>
    <w:rsid w:val="009A6629"/>
    <w:pPr>
      <w:spacing w:before="100" w:beforeAutospacing="1" w:after="100" w:afterAutospacing="1"/>
    </w:pPr>
  </w:style>
  <w:style w:type="character" w:customStyle="1" w:styleId="cit">
    <w:name w:val="cit"/>
    <w:basedOn w:val="a0"/>
    <w:rsid w:val="00196847"/>
  </w:style>
  <w:style w:type="paragraph" w:styleId="ac">
    <w:name w:val="No Spacing"/>
    <w:uiPriority w:val="1"/>
    <w:qFormat/>
    <w:rsid w:val="007F6AC7"/>
    <w:pPr>
      <w:spacing w:after="0" w:line="240" w:lineRule="auto"/>
    </w:pPr>
    <w:rPr>
      <w:rFonts w:ascii="Calibri" w:eastAsia="Calibri" w:hAnsi="Calibri" w:cs="Times New Roman"/>
    </w:rPr>
  </w:style>
  <w:style w:type="character" w:customStyle="1" w:styleId="keyword1">
    <w:name w:val="keyword1"/>
    <w:basedOn w:val="a0"/>
    <w:rsid w:val="00CE2040"/>
    <w:rPr>
      <w:shd w:val="clear" w:color="auto" w:fill="F2F2F2"/>
    </w:rPr>
  </w:style>
  <w:style w:type="character" w:customStyle="1" w:styleId="authors-list-item">
    <w:name w:val="authors-list-item"/>
    <w:basedOn w:val="a0"/>
    <w:rsid w:val="00983CEC"/>
  </w:style>
  <w:style w:type="character" w:customStyle="1" w:styleId="comma">
    <w:name w:val="comma"/>
    <w:basedOn w:val="a0"/>
    <w:rsid w:val="00983CEC"/>
  </w:style>
  <w:style w:type="character" w:customStyle="1" w:styleId="A10">
    <w:name w:val="A1"/>
    <w:uiPriority w:val="99"/>
    <w:rsid w:val="00983CEC"/>
    <w:rPr>
      <w:rFonts w:cs="Cambria"/>
      <w:color w:val="000000"/>
      <w:sz w:val="15"/>
      <w:szCs w:val="15"/>
    </w:rPr>
  </w:style>
  <w:style w:type="character" w:customStyle="1" w:styleId="u-inline-block">
    <w:name w:val="u-inline-block"/>
    <w:rsid w:val="00983CEC"/>
  </w:style>
  <w:style w:type="character" w:customStyle="1" w:styleId="m-4316533558507110585m5076704167581948767gmailmsg">
    <w:name w:val="m_-4316533558507110585m5076704167581948767gmailmsg"/>
    <w:rsid w:val="00983CEC"/>
  </w:style>
  <w:style w:type="character" w:customStyle="1" w:styleId="highlight">
    <w:name w:val="highlight"/>
    <w:basedOn w:val="a0"/>
    <w:rsid w:val="00983CEC"/>
  </w:style>
  <w:style w:type="paragraph" w:styleId="ad">
    <w:name w:val="Balloon Text"/>
    <w:basedOn w:val="a"/>
    <w:link w:val="ae"/>
    <w:uiPriority w:val="99"/>
    <w:semiHidden/>
    <w:unhideWhenUsed/>
    <w:rsid w:val="0063176C"/>
    <w:rPr>
      <w:rFonts w:ascii="Tahoma" w:hAnsi="Tahoma" w:cs="Tahoma"/>
      <w:sz w:val="16"/>
      <w:szCs w:val="16"/>
    </w:rPr>
  </w:style>
  <w:style w:type="character" w:customStyle="1" w:styleId="ae">
    <w:name w:val="Текст выноски Знак"/>
    <w:basedOn w:val="a0"/>
    <w:link w:val="ad"/>
    <w:uiPriority w:val="99"/>
    <w:semiHidden/>
    <w:rsid w:val="0063176C"/>
    <w:rPr>
      <w:rFonts w:ascii="Tahoma" w:eastAsia="Times New Roman" w:hAnsi="Tahoma" w:cs="Tahoma"/>
      <w:sz w:val="16"/>
      <w:szCs w:val="16"/>
      <w:lang w:eastAsia="ru-RU"/>
    </w:rPr>
  </w:style>
  <w:style w:type="character" w:customStyle="1" w:styleId="popper-title">
    <w:name w:val="popper-title"/>
    <w:rsid w:val="00263B4F"/>
  </w:style>
  <w:style w:type="character" w:customStyle="1" w:styleId="metadata--author-name">
    <w:name w:val="metadata--author-name"/>
    <w:rsid w:val="00263B4F"/>
  </w:style>
  <w:style w:type="character" w:customStyle="1" w:styleId="metadata--authors-count">
    <w:name w:val="metadata--authors-count"/>
    <w:rsid w:val="00263B4F"/>
  </w:style>
  <w:style w:type="character" w:customStyle="1" w:styleId="metadata--author-affiliation-index">
    <w:name w:val="metadata--author-affiliation-index"/>
    <w:rsid w:val="00263B4F"/>
  </w:style>
  <w:style w:type="character" w:customStyle="1" w:styleId="metadata--source-title">
    <w:name w:val="metadata--source-title"/>
    <w:rsid w:val="00263B4F"/>
  </w:style>
  <w:style w:type="character" w:customStyle="1" w:styleId="highwire-citation-author2">
    <w:name w:val="highwire-citation-author2"/>
    <w:rsid w:val="00263B4F"/>
  </w:style>
  <w:style w:type="character" w:customStyle="1" w:styleId="highwire-cite-metadata-date">
    <w:name w:val="highwire-cite-metadata-date"/>
    <w:rsid w:val="00263B4F"/>
  </w:style>
  <w:style w:type="character" w:customStyle="1" w:styleId="highwire-cite-metadata-volume">
    <w:name w:val="highwire-cite-metadata-volume"/>
    <w:rsid w:val="00263B4F"/>
  </w:style>
  <w:style w:type="character" w:customStyle="1" w:styleId="highwire-cite-metadata-issue">
    <w:name w:val="highwire-cite-metadata-issue"/>
    <w:rsid w:val="00263B4F"/>
  </w:style>
  <w:style w:type="character" w:customStyle="1" w:styleId="highwire-cite-metadata-pages">
    <w:name w:val="highwire-cite-metadata-pages"/>
    <w:rsid w:val="00263B4F"/>
  </w:style>
  <w:style w:type="character" w:customStyle="1" w:styleId="y2iqfc">
    <w:name w:val="y2iqfc"/>
    <w:basedOn w:val="a0"/>
    <w:rsid w:val="009D5E1B"/>
  </w:style>
  <w:style w:type="character" w:customStyle="1" w:styleId="A20">
    <w:name w:val="A2"/>
    <w:uiPriority w:val="99"/>
    <w:rsid w:val="007616E3"/>
    <w:rPr>
      <w:color w:val="000000"/>
      <w:sz w:val="16"/>
      <w:szCs w:val="16"/>
    </w:rPr>
  </w:style>
  <w:style w:type="character" w:customStyle="1" w:styleId="element-citation">
    <w:name w:val="element-citation"/>
    <w:basedOn w:val="a0"/>
    <w:rsid w:val="007616E3"/>
  </w:style>
  <w:style w:type="character" w:customStyle="1" w:styleId="ref-vol">
    <w:name w:val="ref-vol"/>
    <w:basedOn w:val="a0"/>
    <w:rsid w:val="007616E3"/>
  </w:style>
  <w:style w:type="paragraph" w:customStyle="1" w:styleId="04-OS-Author">
    <w:name w:val="04-OS-Author"/>
    <w:basedOn w:val="a"/>
    <w:qFormat/>
    <w:rsid w:val="00FB6F8C"/>
    <w:pPr>
      <w:widowControl w:val="0"/>
      <w:adjustRightInd w:val="0"/>
      <w:snapToGrid w:val="0"/>
      <w:spacing w:before="240" w:after="160" w:line="240" w:lineRule="exact"/>
    </w:pPr>
    <w:rPr>
      <w:rFonts w:eastAsia="Arial"/>
      <w:kern w:val="2"/>
      <w:lang w:val="en-GB" w:eastAsia="zh-CN"/>
    </w:rPr>
  </w:style>
  <w:style w:type="paragraph" w:customStyle="1" w:styleId="20-OS-Text">
    <w:name w:val="20-OS-Text"/>
    <w:basedOn w:val="a"/>
    <w:qFormat/>
    <w:rsid w:val="00641EB9"/>
    <w:pPr>
      <w:widowControl w:val="0"/>
      <w:adjustRightInd w:val="0"/>
      <w:snapToGrid w:val="0"/>
      <w:spacing w:line="240" w:lineRule="exact"/>
      <w:ind w:firstLineChars="100" w:firstLine="100"/>
      <w:jc w:val="both"/>
    </w:pPr>
    <w:rPr>
      <w:kern w:val="2"/>
      <w:sz w:val="20"/>
      <w:szCs w:val="20"/>
      <w:lang w:val="en-US" w:eastAsia="zh-CN"/>
    </w:rPr>
  </w:style>
</w:styles>
</file>

<file path=word/webSettings.xml><?xml version="1.0" encoding="utf-8"?>
<w:webSettings xmlns:r="http://schemas.openxmlformats.org/officeDocument/2006/relationships" xmlns:w="http://schemas.openxmlformats.org/wordprocessingml/2006/main">
  <w:divs>
    <w:div w:id="565409923">
      <w:bodyDiv w:val="1"/>
      <w:marLeft w:val="0"/>
      <w:marRight w:val="0"/>
      <w:marTop w:val="0"/>
      <w:marBottom w:val="0"/>
      <w:divBdr>
        <w:top w:val="none" w:sz="0" w:space="0" w:color="auto"/>
        <w:left w:val="none" w:sz="0" w:space="0" w:color="auto"/>
        <w:bottom w:val="none" w:sz="0" w:space="0" w:color="auto"/>
        <w:right w:val="none" w:sz="0" w:space="0" w:color="auto"/>
      </w:divBdr>
    </w:div>
    <w:div w:id="577053746">
      <w:bodyDiv w:val="1"/>
      <w:marLeft w:val="0"/>
      <w:marRight w:val="0"/>
      <w:marTop w:val="0"/>
      <w:marBottom w:val="0"/>
      <w:divBdr>
        <w:top w:val="none" w:sz="0" w:space="0" w:color="auto"/>
        <w:left w:val="none" w:sz="0" w:space="0" w:color="auto"/>
        <w:bottom w:val="none" w:sz="0" w:space="0" w:color="auto"/>
        <w:right w:val="none" w:sz="0" w:space="0" w:color="auto"/>
      </w:divBdr>
    </w:div>
    <w:div w:id="763494501">
      <w:bodyDiv w:val="1"/>
      <w:marLeft w:val="0"/>
      <w:marRight w:val="0"/>
      <w:marTop w:val="0"/>
      <w:marBottom w:val="0"/>
      <w:divBdr>
        <w:top w:val="none" w:sz="0" w:space="0" w:color="auto"/>
        <w:left w:val="none" w:sz="0" w:space="0" w:color="auto"/>
        <w:bottom w:val="none" w:sz="0" w:space="0" w:color="auto"/>
        <w:right w:val="none" w:sz="0" w:space="0" w:color="auto"/>
      </w:divBdr>
    </w:div>
    <w:div w:id="1097944974">
      <w:bodyDiv w:val="1"/>
      <w:marLeft w:val="0"/>
      <w:marRight w:val="0"/>
      <w:marTop w:val="0"/>
      <w:marBottom w:val="0"/>
      <w:divBdr>
        <w:top w:val="none" w:sz="0" w:space="0" w:color="auto"/>
        <w:left w:val="none" w:sz="0" w:space="0" w:color="auto"/>
        <w:bottom w:val="none" w:sz="0" w:space="0" w:color="auto"/>
        <w:right w:val="none" w:sz="0" w:space="0" w:color="auto"/>
      </w:divBdr>
    </w:div>
    <w:div w:id="1187673097">
      <w:bodyDiv w:val="1"/>
      <w:marLeft w:val="0"/>
      <w:marRight w:val="0"/>
      <w:marTop w:val="0"/>
      <w:marBottom w:val="0"/>
      <w:divBdr>
        <w:top w:val="none" w:sz="0" w:space="0" w:color="auto"/>
        <w:left w:val="none" w:sz="0" w:space="0" w:color="auto"/>
        <w:bottom w:val="none" w:sz="0" w:space="0" w:color="auto"/>
        <w:right w:val="none" w:sz="0" w:space="0" w:color="auto"/>
      </w:divBdr>
    </w:div>
    <w:div w:id="1240290046">
      <w:bodyDiv w:val="1"/>
      <w:marLeft w:val="0"/>
      <w:marRight w:val="0"/>
      <w:marTop w:val="0"/>
      <w:marBottom w:val="0"/>
      <w:divBdr>
        <w:top w:val="none" w:sz="0" w:space="0" w:color="auto"/>
        <w:left w:val="none" w:sz="0" w:space="0" w:color="auto"/>
        <w:bottom w:val="none" w:sz="0" w:space="0" w:color="auto"/>
        <w:right w:val="none" w:sz="0" w:space="0" w:color="auto"/>
      </w:divBdr>
    </w:div>
    <w:div w:id="1241254958">
      <w:bodyDiv w:val="1"/>
      <w:marLeft w:val="0"/>
      <w:marRight w:val="0"/>
      <w:marTop w:val="0"/>
      <w:marBottom w:val="0"/>
      <w:divBdr>
        <w:top w:val="none" w:sz="0" w:space="0" w:color="auto"/>
        <w:left w:val="none" w:sz="0" w:space="0" w:color="auto"/>
        <w:bottom w:val="none" w:sz="0" w:space="0" w:color="auto"/>
        <w:right w:val="none" w:sz="0" w:space="0" w:color="auto"/>
      </w:divBdr>
    </w:div>
    <w:div w:id="1257248485">
      <w:bodyDiv w:val="1"/>
      <w:marLeft w:val="0"/>
      <w:marRight w:val="0"/>
      <w:marTop w:val="0"/>
      <w:marBottom w:val="0"/>
      <w:divBdr>
        <w:top w:val="none" w:sz="0" w:space="0" w:color="auto"/>
        <w:left w:val="none" w:sz="0" w:space="0" w:color="auto"/>
        <w:bottom w:val="none" w:sz="0" w:space="0" w:color="auto"/>
        <w:right w:val="none" w:sz="0" w:space="0" w:color="auto"/>
      </w:divBdr>
    </w:div>
    <w:div w:id="1297033070">
      <w:bodyDiv w:val="1"/>
      <w:marLeft w:val="0"/>
      <w:marRight w:val="0"/>
      <w:marTop w:val="0"/>
      <w:marBottom w:val="0"/>
      <w:divBdr>
        <w:top w:val="none" w:sz="0" w:space="0" w:color="auto"/>
        <w:left w:val="none" w:sz="0" w:space="0" w:color="auto"/>
        <w:bottom w:val="none" w:sz="0" w:space="0" w:color="auto"/>
        <w:right w:val="none" w:sz="0" w:space="0" w:color="auto"/>
      </w:divBdr>
    </w:div>
    <w:div w:id="1361734652">
      <w:bodyDiv w:val="1"/>
      <w:marLeft w:val="0"/>
      <w:marRight w:val="0"/>
      <w:marTop w:val="0"/>
      <w:marBottom w:val="0"/>
      <w:divBdr>
        <w:top w:val="none" w:sz="0" w:space="0" w:color="auto"/>
        <w:left w:val="none" w:sz="0" w:space="0" w:color="auto"/>
        <w:bottom w:val="none" w:sz="0" w:space="0" w:color="auto"/>
        <w:right w:val="none" w:sz="0" w:space="0" w:color="auto"/>
      </w:divBdr>
    </w:div>
    <w:div w:id="1386220812">
      <w:bodyDiv w:val="1"/>
      <w:marLeft w:val="0"/>
      <w:marRight w:val="0"/>
      <w:marTop w:val="0"/>
      <w:marBottom w:val="0"/>
      <w:divBdr>
        <w:top w:val="none" w:sz="0" w:space="0" w:color="auto"/>
        <w:left w:val="none" w:sz="0" w:space="0" w:color="auto"/>
        <w:bottom w:val="none" w:sz="0" w:space="0" w:color="auto"/>
        <w:right w:val="none" w:sz="0" w:space="0" w:color="auto"/>
      </w:divBdr>
    </w:div>
    <w:div w:id="1733236921">
      <w:bodyDiv w:val="1"/>
      <w:marLeft w:val="0"/>
      <w:marRight w:val="0"/>
      <w:marTop w:val="0"/>
      <w:marBottom w:val="0"/>
      <w:divBdr>
        <w:top w:val="none" w:sz="0" w:space="0" w:color="auto"/>
        <w:left w:val="none" w:sz="0" w:space="0" w:color="auto"/>
        <w:bottom w:val="none" w:sz="0" w:space="0" w:color="auto"/>
        <w:right w:val="none" w:sz="0" w:space="0" w:color="auto"/>
      </w:divBdr>
    </w:div>
    <w:div w:id="1805809960">
      <w:bodyDiv w:val="1"/>
      <w:marLeft w:val="0"/>
      <w:marRight w:val="0"/>
      <w:marTop w:val="0"/>
      <w:marBottom w:val="0"/>
      <w:divBdr>
        <w:top w:val="none" w:sz="0" w:space="0" w:color="auto"/>
        <w:left w:val="none" w:sz="0" w:space="0" w:color="auto"/>
        <w:bottom w:val="none" w:sz="0" w:space="0" w:color="auto"/>
        <w:right w:val="none" w:sz="0" w:space="0" w:color="auto"/>
      </w:divBdr>
    </w:div>
    <w:div w:id="1815877201">
      <w:bodyDiv w:val="1"/>
      <w:marLeft w:val="0"/>
      <w:marRight w:val="0"/>
      <w:marTop w:val="0"/>
      <w:marBottom w:val="0"/>
      <w:divBdr>
        <w:top w:val="none" w:sz="0" w:space="0" w:color="auto"/>
        <w:left w:val="none" w:sz="0" w:space="0" w:color="auto"/>
        <w:bottom w:val="none" w:sz="0" w:space="0" w:color="auto"/>
        <w:right w:val="none" w:sz="0" w:space="0" w:color="auto"/>
      </w:divBdr>
    </w:div>
    <w:div w:id="1820459714">
      <w:bodyDiv w:val="1"/>
      <w:marLeft w:val="0"/>
      <w:marRight w:val="0"/>
      <w:marTop w:val="0"/>
      <w:marBottom w:val="0"/>
      <w:divBdr>
        <w:top w:val="none" w:sz="0" w:space="0" w:color="auto"/>
        <w:left w:val="none" w:sz="0" w:space="0" w:color="auto"/>
        <w:bottom w:val="none" w:sz="0" w:space="0" w:color="auto"/>
        <w:right w:val="none" w:sz="0" w:space="0" w:color="auto"/>
      </w:divBdr>
    </w:div>
    <w:div w:id="1996301862">
      <w:bodyDiv w:val="1"/>
      <w:marLeft w:val="0"/>
      <w:marRight w:val="0"/>
      <w:marTop w:val="0"/>
      <w:marBottom w:val="0"/>
      <w:divBdr>
        <w:top w:val="none" w:sz="0" w:space="0" w:color="auto"/>
        <w:left w:val="none" w:sz="0" w:space="0" w:color="auto"/>
        <w:bottom w:val="none" w:sz="0" w:space="0" w:color="auto"/>
        <w:right w:val="none" w:sz="0" w:space="0" w:color="auto"/>
      </w:divBdr>
    </w:div>
    <w:div w:id="1997830450">
      <w:bodyDiv w:val="1"/>
      <w:marLeft w:val="0"/>
      <w:marRight w:val="0"/>
      <w:marTop w:val="0"/>
      <w:marBottom w:val="0"/>
      <w:divBdr>
        <w:top w:val="none" w:sz="0" w:space="0" w:color="auto"/>
        <w:left w:val="none" w:sz="0" w:space="0" w:color="auto"/>
        <w:bottom w:val="none" w:sz="0" w:space="0" w:color="auto"/>
        <w:right w:val="none" w:sz="0" w:space="0" w:color="auto"/>
      </w:divBdr>
    </w:div>
    <w:div w:id="203411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22Hartwig%20A%22%5BAuthor%5D" TargetMode="External"/><Relationship Id="rId117" Type="http://schemas.openxmlformats.org/officeDocument/2006/relationships/hyperlink" Target="https://www.ncbi.nlm.nih.gov/pubmed/?term=Attard%20M%5BAuthor%5D&amp;cauthor=true&amp;cauthor_uid=26438396" TargetMode="External"/><Relationship Id="rId21" Type="http://schemas.openxmlformats.org/officeDocument/2006/relationships/hyperlink" Target="https://pubmed.ncbi.nlm.nih.gov/33396135/" TargetMode="External"/><Relationship Id="rId42" Type="http://schemas.openxmlformats.org/officeDocument/2006/relationships/hyperlink" Target="https://pubmed.ncbi.nlm.nih.gov/9373990/" TargetMode="External"/><Relationship Id="rId47" Type="http://schemas.openxmlformats.org/officeDocument/2006/relationships/hyperlink" Target="https://ideas.repec.org/a/adp/jctbeb/v4y2017i4p64-72.html" TargetMode="External"/><Relationship Id="rId63" Type="http://schemas.openxmlformats.org/officeDocument/2006/relationships/hyperlink" Target="https://doi.org/10.1111/j.2047-2927.2012.00005.x" TargetMode="External"/><Relationship Id="rId68" Type="http://schemas.openxmlformats.org/officeDocument/2006/relationships/hyperlink" Target="https://www.ncbi.nlm.nih.gov/pubmed/?term=Lansdown%20AB%5BAuthor%5D&amp;cauthor=true&amp;cauthor_uid=17453933" TargetMode="External"/><Relationship Id="rId84" Type="http://schemas.openxmlformats.org/officeDocument/2006/relationships/hyperlink" Target="https://www.ncbi.nlm.nih.gov/pubmed/?term=Priya%20S%5BAuthor%5D&amp;cauthor=true&amp;cauthor_uid=24820829" TargetMode="External"/><Relationship Id="rId89" Type="http://schemas.openxmlformats.org/officeDocument/2006/relationships/hyperlink" Target="https://www.ncbi.nlm.nih.gov/pubmed/?term=Zhitkovich%20A%5BAuthor%5D&amp;cauthor=true&amp;cauthor_uid=21766833" TargetMode="External"/><Relationship Id="rId112" Type="http://schemas.openxmlformats.org/officeDocument/2006/relationships/hyperlink" Target="https://www.ncbi.nlm.nih.gov/pubmed/?term=Ronchi%20A%5BAuthor%5D&amp;cauthor=true&amp;cauthor_uid=26438396" TargetMode="External"/><Relationship Id="rId133" Type="http://schemas.openxmlformats.org/officeDocument/2006/relationships/hyperlink" Target="http://www.ncbi.nlm.nih.gov/pubmed?term=Alam%20S%5BAuthor%5D&amp;cauthor=true&amp;cauthor_uid=23016122" TargetMode="External"/><Relationship Id="rId138" Type="http://schemas.openxmlformats.org/officeDocument/2006/relationships/hyperlink" Target="https://www.ncbi.nlm.nih.gov/pubmed/?term=Jouybari%20L%5BAuthor%5D&amp;cauthor=true&amp;cauthor_uid=31442959" TargetMode="External"/><Relationship Id="rId154" Type="http://schemas.openxmlformats.org/officeDocument/2006/relationships/footer" Target="footer2.xml"/><Relationship Id="rId159" Type="http://schemas.microsoft.com/office/2007/relationships/stylesWithEffects" Target="stylesWithEffects.xml"/><Relationship Id="rId16" Type="http://schemas.openxmlformats.org/officeDocument/2006/relationships/hyperlink" Target="https://pubmed.ncbi.nlm.nih.gov/?term=Bastidas-S%C3%A1nchez+BE&amp;cauthor_id=31061736" TargetMode="External"/><Relationship Id="rId107" Type="http://schemas.openxmlformats.org/officeDocument/2006/relationships/hyperlink" Target="https://pubmed.ncbi.nlm.nih.gov/16973445/" TargetMode="External"/><Relationship Id="rId11" Type="http://schemas.openxmlformats.org/officeDocument/2006/relationships/hyperlink" Target="https://www.jnma.com.np/jnma/index.php/jnma/article/view/5038" TargetMode="External"/><Relationship Id="rId32" Type="http://schemas.openxmlformats.org/officeDocument/2006/relationships/hyperlink" Target="https://www.ncbi.nlm.nih.gov/pmc/articles/PMC3230540/" TargetMode="External"/><Relationship Id="rId37" Type="http://schemas.openxmlformats.org/officeDocument/2006/relationships/hyperlink" Target="https://pubmed.ncbi.nlm.nih.gov/7741233/" TargetMode="External"/><Relationship Id="rId53" Type="http://schemas.openxmlformats.org/officeDocument/2006/relationships/hyperlink" Target="https://www.ecronicon.com/ecgy/pdf/ECGY-07-00198.pdf" TargetMode="External"/><Relationship Id="rId58" Type="http://schemas.openxmlformats.org/officeDocument/2006/relationships/hyperlink" Target="https://biomedgrid.com/pdf/AJBSR.MS.ID.001931.pdf" TargetMode="External"/><Relationship Id="rId74" Type="http://schemas.openxmlformats.org/officeDocument/2006/relationships/hyperlink" Target="https://www.ncbi.nlm.nih.gov/pubmed/?term=Drake%20PL%5BAuthor%5D&amp;cauthor=true&amp;cauthor_uid=15964881" TargetMode="External"/><Relationship Id="rId79" Type="http://schemas.openxmlformats.org/officeDocument/2006/relationships/hyperlink" Target="https://www.ncbi.nlm.nih.gov/pmc/articles/PMC7071840/" TargetMode="External"/><Relationship Id="rId102" Type="http://schemas.openxmlformats.org/officeDocument/2006/relationships/hyperlink" Target="https://www.ncbi.nlm.nih.gov/pubmed/?term=Budhraja%20A%5BAuthor%5D&amp;cauthor=true&amp;cauthor_uid=23518002" TargetMode="External"/><Relationship Id="rId123" Type="http://schemas.openxmlformats.org/officeDocument/2006/relationships/hyperlink" Target="https://www.ncbi.nlm.nih.gov/pmc/articles/PMC6616488/" TargetMode="External"/><Relationship Id="rId128" Type="http://schemas.openxmlformats.org/officeDocument/2006/relationships/hyperlink" Target="https://pubmed.ncbi.nlm.nih.gov/23914218/" TargetMode="External"/><Relationship Id="rId144" Type="http://schemas.openxmlformats.org/officeDocument/2006/relationships/hyperlink" Target="https://www.ncbi.nlm.nih.gov/pubmed/?term=Chartrand%20MS%5BAuthor%5D&amp;cauthor=true&amp;cauthor_uid=31442959" TargetMode="External"/><Relationship Id="rId149" Type="http://schemas.openxmlformats.org/officeDocument/2006/relationships/hyperlink" Target="https://pubmed.ncbi.nlm.nih.gov/31442959/" TargetMode="External"/><Relationship Id="rId5" Type="http://schemas.openxmlformats.org/officeDocument/2006/relationships/footnotes" Target="footnotes.xml"/><Relationship Id="rId90" Type="http://schemas.openxmlformats.org/officeDocument/2006/relationships/hyperlink" Target="https://www.ncbi.nlm.nih.gov/pubmed/21766833" TargetMode="External"/><Relationship Id="rId95" Type="http://schemas.openxmlformats.org/officeDocument/2006/relationships/hyperlink" Target="https://www.ncbi.nlm.nih.gov/pubmed/?term=Michelli-Rivera%20A%5BAuthor%5D&amp;cauthor=true&amp;cauthor_uid=23518002" TargetMode="External"/><Relationship Id="rId22" Type="http://schemas.openxmlformats.org/officeDocument/2006/relationships/hyperlink" Target="https://www.deepdyve.com/lp/springer-journals/medical-elementology-as-a-new-scientific-discipline-NYNbKJe7UB" TargetMode="External"/><Relationship Id="rId27" Type="http://schemas.openxmlformats.org/officeDocument/2006/relationships/hyperlink" Target="http://www.ncbi.nlm.nih.gov/pubmed/18496671" TargetMode="External"/><Relationship Id="rId43" Type="http://schemas.openxmlformats.org/officeDocument/2006/relationships/hyperlink" Target="https://scholars.direct/Articles/geriatric-medicine/tghc-1-004.php?jid=geriatric-medicine" TargetMode="External"/><Relationship Id="rId48" Type="http://schemas.openxmlformats.org/officeDocument/2006/relationships/hyperlink" Target="http://www.journals.tmkarpinski.com/index.php/mmed/article/view/33" TargetMode="External"/><Relationship Id="rId64" Type="http://schemas.openxmlformats.org/officeDocument/2006/relationships/hyperlink" Target="https://pubmed.ncbi.nlm.nih.gov/22549701/" TargetMode="External"/><Relationship Id="rId69" Type="http://schemas.openxmlformats.org/officeDocument/2006/relationships/hyperlink" Target="https://www.ncbi.nlm.nih.gov/pubmed/17453933" TargetMode="External"/><Relationship Id="rId113" Type="http://schemas.openxmlformats.org/officeDocument/2006/relationships/hyperlink" Target="https://www.ncbi.nlm.nih.gov/pubmed/?term=Minoia%20C%5BAuthor%5D&amp;cauthor=true&amp;cauthor_uid=26438396" TargetMode="External"/><Relationship Id="rId118" Type="http://schemas.openxmlformats.org/officeDocument/2006/relationships/hyperlink" Target="https://www.ncbi.nlm.nih.gov/pubmed/?term=Squatrito%20S%5BAuthor%5D&amp;cauthor=true&amp;cauthor_uid=26438396" TargetMode="External"/><Relationship Id="rId134" Type="http://schemas.openxmlformats.org/officeDocument/2006/relationships/hyperlink" Target="http://www.ncbi.nlm.nih.gov/pubmed?term=Kelleher%20SL%5BAuthor%5D&amp;cauthor=true&amp;cauthor_uid=23016122" TargetMode="External"/><Relationship Id="rId139" Type="http://schemas.openxmlformats.org/officeDocument/2006/relationships/hyperlink" Target="https://www.ncbi.nlm.nih.gov/pubmed/?term=Kiani%20F%5BAuthor%5D&amp;cauthor=true&amp;cauthor_uid=31442959" TargetMode="External"/><Relationship Id="rId80" Type="http://schemas.openxmlformats.org/officeDocument/2006/relationships/hyperlink" Target="https://pubmed.ncbi.nlm.nih.gov/22099156/" TargetMode="External"/><Relationship Id="rId85" Type="http://schemas.openxmlformats.org/officeDocument/2006/relationships/hyperlink" Target="https://www.ncbi.nlm.nih.gov/pubmed/?term=Bajpai%20P%5BAuthor%5D&amp;cauthor=true&amp;cauthor_uid=24820829" TargetMode="External"/><Relationship Id="rId150" Type="http://schemas.openxmlformats.org/officeDocument/2006/relationships/hyperlink" Target="https://doi.org/10.22270/ujpr.v6i1.537" TargetMode="External"/><Relationship Id="rId155" Type="http://schemas.openxmlformats.org/officeDocument/2006/relationships/header" Target="header3.xml"/><Relationship Id="rId12" Type="http://schemas.openxmlformats.org/officeDocument/2006/relationships/hyperlink" Target="https://www.ncbi.nlm.nih.gov/pmc/articles/PMC7572169/" TargetMode="External"/><Relationship Id="rId17" Type="http://schemas.openxmlformats.org/officeDocument/2006/relationships/hyperlink" Target="https://pubmed.ncbi.nlm.nih.gov/31061736/" TargetMode="External"/><Relationship Id="rId33" Type="http://schemas.openxmlformats.org/officeDocument/2006/relationships/hyperlink" Target="https://pubmed.ncbi.nlm.nih.gov/5449249/" TargetMode="External"/><Relationship Id="rId38" Type="http://schemas.openxmlformats.org/officeDocument/2006/relationships/hyperlink" Target="https://inis.iaea.org/search/search.aspx?orig_q=RN:27073875" TargetMode="External"/><Relationship Id="rId59" Type="http://schemas.openxmlformats.org/officeDocument/2006/relationships/hyperlink" Target="https://metallomicsresearch.brte.org/wp-content/uploads/2021/10/2021_1_BRTE320105.pdf" TargetMode="External"/><Relationship Id="rId103" Type="http://schemas.openxmlformats.org/officeDocument/2006/relationships/hyperlink" Target="https://www.ncbi.nlm.nih.gov/pubmed/?term=Hitron%20AJ%5BAuthor%5D&amp;cauthor=true&amp;cauthor_uid=23518002" TargetMode="External"/><Relationship Id="rId108" Type="http://schemas.openxmlformats.org/officeDocument/2006/relationships/hyperlink" Target="https://pubmed.ncbi.nlm.nih.gov/31832764/" TargetMode="External"/><Relationship Id="rId124" Type="http://schemas.openxmlformats.org/officeDocument/2006/relationships/hyperlink" Target="https://pubmed.ncbi.nlm.nih.gov/16454345/" TargetMode="External"/><Relationship Id="rId129" Type="http://schemas.openxmlformats.org/officeDocument/2006/relationships/hyperlink" Target="https://www.ncbi.nlm.nih.gov/pmc/articles/PMC7216164/" TargetMode="External"/><Relationship Id="rId20" Type="http://schemas.openxmlformats.org/officeDocument/2006/relationships/hyperlink" Target="https://pubmed.ncbi.nlm.nih.gov/32874759/" TargetMode="External"/><Relationship Id="rId41" Type="http://schemas.openxmlformats.org/officeDocument/2006/relationships/hyperlink" Target="https://pubmed.ncbi.nlm.nih.gov/10865819/" TargetMode="External"/><Relationship Id="rId54" Type="http://schemas.openxmlformats.org/officeDocument/2006/relationships/hyperlink" Target="https://medwinpublishers.com/WHSJ/WHSJ16000108.pdf" TargetMode="External"/><Relationship Id="rId62" Type="http://schemas.openxmlformats.org/officeDocument/2006/relationships/hyperlink" Target="https://pubmed.ncbi.nlm.nih.gov/21354803/" TargetMode="External"/><Relationship Id="rId70" Type="http://schemas.openxmlformats.org/officeDocument/2006/relationships/hyperlink" Target="https://pubmed.ncbi.nlm.nih.gov/17453933/" TargetMode="External"/><Relationship Id="rId75" Type="http://schemas.openxmlformats.org/officeDocument/2006/relationships/hyperlink" Target="https://www.ncbi.nlm.nih.gov/pubmed/?term=Hazelwood%20KJ%5BAuthor%5D&amp;cauthor=true&amp;cauthor_uid=15964881" TargetMode="External"/><Relationship Id="rId83" Type="http://schemas.openxmlformats.org/officeDocument/2006/relationships/hyperlink" Target="https://www.ncbi.nlm.nih.gov/pubmed/?term=Nigam%20A%5BAuthor%5D&amp;cauthor=true&amp;cauthor_uid=24820829" TargetMode="External"/><Relationship Id="rId88" Type="http://schemas.openxmlformats.org/officeDocument/2006/relationships/hyperlink" Target="https://www.ncbi.nlm.nih.gov/pmc/articles/PMC4069729/" TargetMode="External"/><Relationship Id="rId91" Type="http://schemas.openxmlformats.org/officeDocument/2006/relationships/hyperlink" Target="https://pubmed.ncbi.nlm.nih.gov/21766833/" TargetMode="External"/><Relationship Id="rId96" Type="http://schemas.openxmlformats.org/officeDocument/2006/relationships/hyperlink" Target="https://www.ncbi.nlm.nih.gov/pubmed/?term=Han%20SY%5BAuthor%5D&amp;cauthor=true&amp;cauthor_uid=23518002" TargetMode="External"/><Relationship Id="rId111" Type="http://schemas.openxmlformats.org/officeDocument/2006/relationships/hyperlink" Target="https://www.ncbi.nlm.nih.gov/pubmed/?term=Russo%20M%5BAuthor%5D&amp;cauthor=true&amp;cauthor_uid=26438396" TargetMode="External"/><Relationship Id="rId132" Type="http://schemas.openxmlformats.org/officeDocument/2006/relationships/hyperlink" Target="https://pubmed.ncbi.nlm.nih.gov/34204586/" TargetMode="External"/><Relationship Id="rId140" Type="http://schemas.openxmlformats.org/officeDocument/2006/relationships/hyperlink" Target="https://www.ncbi.nlm.nih.gov/pubmed/?term=Akbari%20A%5BAuthor%5D&amp;cauthor=true&amp;cauthor_uid=31442959" TargetMode="External"/><Relationship Id="rId145" Type="http://schemas.openxmlformats.org/officeDocument/2006/relationships/hyperlink" Target="https://www.ncbi.nlm.nih.gov/pubmed/?term=Sayehmiri%20K%5BAuthor%5D&amp;cauthor=true&amp;cauthor_uid=31442959" TargetMode="External"/><Relationship Id="rId15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med.ncbi.nlm.nih.gov/31766270/" TargetMode="External"/><Relationship Id="rId23" Type="http://schemas.openxmlformats.org/officeDocument/2006/relationships/hyperlink" Target="https://www.ncbi.nlm.nih.gov/pmc/articles/PMC5385584/" TargetMode="External"/><Relationship Id="rId28" Type="http://schemas.openxmlformats.org/officeDocument/2006/relationships/hyperlink" Target="https://pubmed.ncbi.nlm.nih.gov/18496671/" TargetMode="External"/><Relationship Id="rId36" Type="http://schemas.openxmlformats.org/officeDocument/2006/relationships/hyperlink" Target="https://pubmed.ncbi.nlm.nih.gov/?term=Vtyurin+BM&amp;cauthor_id=7741233" TargetMode="External"/><Relationship Id="rId49" Type="http://schemas.openxmlformats.org/officeDocument/2006/relationships/hyperlink" Target="https://lupinepublishers.com/biomedical-sciences-journal/fulltext/neutron-activation-and-x-Ray-fluorescent-analysis-in-study-of-association-between-age-and-chemical-element-contents-in-thyroid-of-males.ID.000144.php" TargetMode="External"/><Relationship Id="rId57" Type="http://schemas.openxmlformats.org/officeDocument/2006/relationships/hyperlink" Target="https://www.actascientific.com/ASMS/pdf/ASMS-02-0144.pdf" TargetMode="External"/><Relationship Id="rId106" Type="http://schemas.openxmlformats.org/officeDocument/2006/relationships/hyperlink" Target="https://pubmed.ncbi.nlm.nih.gov/33396135/" TargetMode="External"/><Relationship Id="rId114" Type="http://schemas.openxmlformats.org/officeDocument/2006/relationships/hyperlink" Target="https://www.ncbi.nlm.nih.gov/pubmed/?term=Cataldo%20D%5BAuthor%5D&amp;cauthor=true&amp;cauthor_uid=26438396" TargetMode="External"/><Relationship Id="rId119" Type="http://schemas.openxmlformats.org/officeDocument/2006/relationships/hyperlink" Target="https://www.ncbi.nlm.nih.gov/pubmed/?term=Trimarchi%20F%5BAuthor%5D&amp;cauthor=true&amp;cauthor_uid=26438396" TargetMode="External"/><Relationship Id="rId127" Type="http://schemas.openxmlformats.org/officeDocument/2006/relationships/hyperlink" Target="https://pubmed.ncbi.nlm.nih.gov/6286094/" TargetMode="External"/><Relationship Id="rId10" Type="http://schemas.openxmlformats.org/officeDocument/2006/relationships/hyperlink" Target="https://www.ncbi.nlm.nih.gov/pmc/articles/PMC6616488/" TargetMode="External"/><Relationship Id="rId31" Type="http://schemas.openxmlformats.org/officeDocument/2006/relationships/hyperlink" Target="http://www.ncbi.nlm.nih.gov/pubmed/21610324" TargetMode="External"/><Relationship Id="rId44" Type="http://schemas.openxmlformats.org/officeDocument/2006/relationships/hyperlink" Target="https://medcraveonline.com/MOJGG/age-related-changes-of-some-trace-element-contents-in-intact-thyroid-of-males-investigated-by-energy-dispersive-x-ray-fluorescent-analysis.html" TargetMode="External"/><Relationship Id="rId52" Type="http://schemas.openxmlformats.org/officeDocument/2006/relationships/hyperlink" Target="https://link.springer.com/article/10.1007/s40520-018-0906-0?shared-article-renderer" TargetMode="External"/><Relationship Id="rId60" Type="http://schemas.openxmlformats.org/officeDocument/2006/relationships/hyperlink" Target="https://unisciencepub.com/storage/2021/11/Evaluation-of-Fifty-Trace-Element-Contents-in-Thyroid-Adenomas.pdf" TargetMode="External"/><Relationship Id="rId65" Type="http://schemas.openxmlformats.org/officeDocument/2006/relationships/hyperlink" Target="https://www.researchgate.net/publication/274308023_The_Distribution_of_54_Trace_Elements_Including_Zinc_in_Pediatric_and_Nonhyperplastic_Young_Adult_Prostate_Gland_Tissues" TargetMode="External"/><Relationship Id="rId73" Type="http://schemas.openxmlformats.org/officeDocument/2006/relationships/hyperlink" Target="https://pubmed.ncbi.nlm.nih.gov/16766878/" TargetMode="External"/><Relationship Id="rId78" Type="http://schemas.openxmlformats.org/officeDocument/2006/relationships/hyperlink" Target="https://www.sciencedirect.com/science/article/pii/S0147651320312641" TargetMode="External"/><Relationship Id="rId81" Type="http://schemas.openxmlformats.org/officeDocument/2006/relationships/hyperlink" Target="https://pubmed.ncbi.nlm.nih.gov/32081544/" TargetMode="External"/><Relationship Id="rId86" Type="http://schemas.openxmlformats.org/officeDocument/2006/relationships/hyperlink" Target="https://www.ncbi.nlm.nih.gov/pubmed/?term=Kumar%20S%5BAuthor%5D&amp;cauthor=true&amp;cauthor_uid=24820829" TargetMode="External"/><Relationship Id="rId94" Type="http://schemas.openxmlformats.org/officeDocument/2006/relationships/hyperlink" Target="https://www.ncbi.nlm.nih.gov/pubmed/?term=Li%20XL%5BAuthor%5D&amp;cauthor=true&amp;cauthor_uid=23518002" TargetMode="External"/><Relationship Id="rId99" Type="http://schemas.openxmlformats.org/officeDocument/2006/relationships/hyperlink" Target="https://www.ncbi.nlm.nih.gov/pubmed/?term=Wang%20X%5BAuthor%5D&amp;cauthor=true&amp;cauthor_uid=23518002" TargetMode="External"/><Relationship Id="rId101" Type="http://schemas.openxmlformats.org/officeDocument/2006/relationships/hyperlink" Target="https://www.ncbi.nlm.nih.gov/pubmed/?term=Yin%20YQ%5BAuthor%5D&amp;cauthor=true&amp;cauthor_uid=23518002" TargetMode="External"/><Relationship Id="rId122" Type="http://schemas.openxmlformats.org/officeDocument/2006/relationships/hyperlink" Target="https://pubmed.ncbi.nlm.nih.gov/26438396/" TargetMode="External"/><Relationship Id="rId130" Type="http://schemas.openxmlformats.org/officeDocument/2006/relationships/hyperlink" Target="https://www.ncbi.nlm.nih.gov/pmc/articles/PMC7216164/" TargetMode="External"/><Relationship Id="rId135" Type="http://schemas.openxmlformats.org/officeDocument/2006/relationships/hyperlink" Target="http://www.ncbi.nlm.nih.gov/pubmed/23016122" TargetMode="External"/><Relationship Id="rId143" Type="http://schemas.openxmlformats.org/officeDocument/2006/relationships/hyperlink" Target="https://www.ncbi.nlm.nih.gov/pubmed/?term=Aaseth%20J%5BAuthor%5D&amp;cauthor=true&amp;cauthor_uid=31442959" TargetMode="External"/><Relationship Id="rId148" Type="http://schemas.openxmlformats.org/officeDocument/2006/relationships/hyperlink" Target="https://www.ncbi.nlm.nih.gov/pubmed/31442959" TargetMode="External"/><Relationship Id="rId151" Type="http://schemas.openxmlformats.org/officeDocument/2006/relationships/header" Target="header1.xml"/><Relationship Id="rId15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ncbi.nlm.nih.gov/pmc/articles/PMC5075591/" TargetMode="External"/><Relationship Id="rId13" Type="http://schemas.openxmlformats.org/officeDocument/2006/relationships/hyperlink" Target="https://pubmed.ncbi.nlm.nih.gov/22443979/" TargetMode="External"/><Relationship Id="rId18" Type="http://schemas.openxmlformats.org/officeDocument/2006/relationships/hyperlink" Target="https://pubmed.ncbi.nlm.nih.gov/?term=Gavrovi%C4%87-Jankulovi%C4%87+M&amp;cauthor_id=31345357" TargetMode="External"/><Relationship Id="rId39" Type="http://schemas.openxmlformats.org/officeDocument/2006/relationships/hyperlink" Target="https://www.scirp.org/(S(351jmbntvnsjt1aadkposzje))/reference/ReferencesPapers.aspx?ReferenceID=1490208" TargetMode="External"/><Relationship Id="rId109" Type="http://schemas.openxmlformats.org/officeDocument/2006/relationships/hyperlink" Target="https://pubmed.ncbi.nlm.nih.gov/33640496/" TargetMode="External"/><Relationship Id="rId34" Type="http://schemas.openxmlformats.org/officeDocument/2006/relationships/hyperlink" Target="https://pubmed.ncbi.nlm.nih.gov/7064415/" TargetMode="External"/><Relationship Id="rId50" Type="http://schemas.openxmlformats.org/officeDocument/2006/relationships/hyperlink" Target="https://www.sciforschenonline.org/journals/bioanalytical-techniques/article-data/JBAS-3-114/JBAS-3-114.pdf" TargetMode="External"/><Relationship Id="rId55" Type="http://schemas.openxmlformats.org/officeDocument/2006/relationships/hyperlink" Target="https://scientiaricerca.com/srgype/SRGYPE-02-00048.php" TargetMode="External"/><Relationship Id="rId76" Type="http://schemas.openxmlformats.org/officeDocument/2006/relationships/hyperlink" Target="https://www.ncbi.nlm.nih.gov/pubmed/15964881" TargetMode="External"/><Relationship Id="rId97" Type="http://schemas.openxmlformats.org/officeDocument/2006/relationships/hyperlink" Target="https://www.ncbi.nlm.nih.gov/pubmed/?term=Wang%20L%5BAuthor%5D&amp;cauthor=true&amp;cauthor_uid=23518002" TargetMode="External"/><Relationship Id="rId104" Type="http://schemas.openxmlformats.org/officeDocument/2006/relationships/hyperlink" Target="https://www.ncbi.nlm.nih.gov/pubmed/23518002" TargetMode="External"/><Relationship Id="rId120" Type="http://schemas.openxmlformats.org/officeDocument/2006/relationships/hyperlink" Target="https://www.ncbi.nlm.nih.gov/pubmed/?term=Vigneri%20R%5BAuthor%5D&amp;cauthor=true&amp;cauthor_uid=26438396" TargetMode="External"/><Relationship Id="rId125" Type="http://schemas.openxmlformats.org/officeDocument/2006/relationships/hyperlink" Target="https://pubmed.ncbi.nlm.nih.gov/?term=Ahmed-Farid+OA&amp;cauthor_id=31482261" TargetMode="External"/><Relationship Id="rId141" Type="http://schemas.openxmlformats.org/officeDocument/2006/relationships/hyperlink" Target="https://www.ncbi.nlm.nih.gov/pubmed/?term=Sanagoo%20A%5BAuthor%5D&amp;cauthor=true&amp;cauthor_uid=31442959" TargetMode="External"/><Relationship Id="rId146" Type="http://schemas.openxmlformats.org/officeDocument/2006/relationships/hyperlink" Target="https://www.ncbi.nlm.nih.gov/pubmed/?term=Chirumbolo%20S%5BAuthor%5D&amp;cauthor=true&amp;cauthor_uid=31442959" TargetMode="External"/><Relationship Id="rId7" Type="http://schemas.openxmlformats.org/officeDocument/2006/relationships/image" Target="media/image1.png"/><Relationship Id="rId71" Type="http://schemas.openxmlformats.org/officeDocument/2006/relationships/hyperlink" Target="https://www.ncbi.nlm.nih.gov/pubmed/?term=Lansdown%20AB%5BAuthor%5D&amp;cauthor=true&amp;cauthor_uid=16766878" TargetMode="External"/><Relationship Id="rId92" Type="http://schemas.openxmlformats.org/officeDocument/2006/relationships/hyperlink" Target="https://www.ncbi.nlm.nih.gov/pubmed/?term=Ding%20SZ%5BAuthor%5D&amp;cauthor=true&amp;cauthor_uid=23518002" TargetMode="External"/><Relationship Id="rId2" Type="http://schemas.openxmlformats.org/officeDocument/2006/relationships/styles" Target="styles.xml"/><Relationship Id="rId29" Type="http://schemas.openxmlformats.org/officeDocument/2006/relationships/hyperlink" Target="http://www.ncbi.nlm.nih.gov/pubmed?term=%22Martinez-Zamudio%20R%22%5BAuthor%5D" TargetMode="External"/><Relationship Id="rId24" Type="http://schemas.openxmlformats.org/officeDocument/2006/relationships/hyperlink" Target="https://www.ncbi.nlm.nih.gov/pmc/articles/PMC5385584/" TargetMode="External"/><Relationship Id="rId40" Type="http://schemas.openxmlformats.org/officeDocument/2006/relationships/hyperlink" Target="https://jglobal.jst.go.jp/en/detail?JGLOBAL_ID=200902189182887592" TargetMode="External"/><Relationship Id="rId45" Type="http://schemas.openxmlformats.org/officeDocument/2006/relationships/hyperlink" Target="https://www.jscimedcentral.com/Aging/aging-1-1002.php" TargetMode="External"/><Relationship Id="rId66" Type="http://schemas.openxmlformats.org/officeDocument/2006/relationships/hyperlink" Target="https://pubmed.ncbi.nlm.nih.gov/19629406/" TargetMode="External"/><Relationship Id="rId87" Type="http://schemas.openxmlformats.org/officeDocument/2006/relationships/hyperlink" Target="https://www.ncbi.nlm.nih.gov/pubmed/24820829" TargetMode="External"/><Relationship Id="rId110" Type="http://schemas.openxmlformats.org/officeDocument/2006/relationships/hyperlink" Target="https://www.ncbi.nlm.nih.gov/pubmed/?term=Malandrino%20P%5BAuthor%5D&amp;cauthor=true&amp;cauthor_uid=26438396" TargetMode="External"/><Relationship Id="rId115" Type="http://schemas.openxmlformats.org/officeDocument/2006/relationships/hyperlink" Target="https://www.ncbi.nlm.nih.gov/pubmed/?term=Regalbuto%20C%5BAuthor%5D&amp;cauthor=true&amp;cauthor_uid=26438396" TargetMode="External"/><Relationship Id="rId131" Type="http://schemas.openxmlformats.org/officeDocument/2006/relationships/hyperlink" Target="https://pubmed.ncbi.nlm.nih.gov/33804693/" TargetMode="External"/><Relationship Id="rId136" Type="http://schemas.openxmlformats.org/officeDocument/2006/relationships/hyperlink" Target="https://www.ncbi.nlm.nih.gov/pmc/articles/PMC3448077/" TargetMode="External"/><Relationship Id="rId157" Type="http://schemas.openxmlformats.org/officeDocument/2006/relationships/fontTable" Target="fontTable.xml"/><Relationship Id="rId61" Type="http://schemas.openxmlformats.org/officeDocument/2006/relationships/hyperlink" Target="https://link.springer.com/article/10.1007/BF02039345" TargetMode="External"/><Relationship Id="rId82" Type="http://schemas.openxmlformats.org/officeDocument/2006/relationships/hyperlink" Target="https://pubmed.ncbi.nlm.nih.gov/14757716/" TargetMode="External"/><Relationship Id="rId152" Type="http://schemas.openxmlformats.org/officeDocument/2006/relationships/header" Target="header2.xml"/><Relationship Id="rId19" Type="http://schemas.openxmlformats.org/officeDocument/2006/relationships/hyperlink" Target="https://pubmed.ncbi.nlm.nih.gov/31345357/" TargetMode="External"/><Relationship Id="rId14" Type="http://schemas.openxmlformats.org/officeDocument/2006/relationships/hyperlink" Target="https://pubmed.ncbi.nlm.nih.gov/11289736/" TargetMode="External"/><Relationship Id="rId30" Type="http://schemas.openxmlformats.org/officeDocument/2006/relationships/hyperlink" Target="http://www.ncbi.nlm.nih.gov/pubmed?term=%22Ha%20HC%22%5BAuthor%5D" TargetMode="External"/><Relationship Id="rId35" Type="http://schemas.openxmlformats.org/officeDocument/2006/relationships/hyperlink" Target="https://pubmed.ncbi.nlm.nih.gov/?term=Tsyb+AF&amp;cauthor_id=7741233" TargetMode="External"/><Relationship Id="rId56" Type="http://schemas.openxmlformats.org/officeDocument/2006/relationships/hyperlink" Target="https://www.gudapuris.com/articles/10.31829-2640-6284.crgo2018-2(1)-105.pdf" TargetMode="External"/><Relationship Id="rId77" Type="http://schemas.openxmlformats.org/officeDocument/2006/relationships/hyperlink" Target="https://pubmed.ncbi.nlm.nih.gov/15964881/" TargetMode="External"/><Relationship Id="rId100" Type="http://schemas.openxmlformats.org/officeDocument/2006/relationships/hyperlink" Target="https://www.ncbi.nlm.nih.gov/pubmed/?term=Lu%20J%5BAuthor%5D&amp;cauthor=true&amp;cauthor_uid=23518002" TargetMode="External"/><Relationship Id="rId105" Type="http://schemas.openxmlformats.org/officeDocument/2006/relationships/hyperlink" Target="https://pubmed.ncbi.nlm.nih.gov/23518002/" TargetMode="External"/><Relationship Id="rId126" Type="http://schemas.openxmlformats.org/officeDocument/2006/relationships/hyperlink" Target="https://pubmed.ncbi.nlm.nih.gov/31482261/" TargetMode="External"/><Relationship Id="rId147" Type="http://schemas.openxmlformats.org/officeDocument/2006/relationships/hyperlink" Target="https://www.ncbi.nlm.nih.gov/pubmed/?term=Bj%C3%B8rklund%20G%5BAuthor%5D&amp;cauthor=true&amp;cauthor_uid=31442959" TargetMode="External"/><Relationship Id="rId8" Type="http://schemas.openxmlformats.org/officeDocument/2006/relationships/comments" Target="comments.xml"/><Relationship Id="rId51" Type="http://schemas.openxmlformats.org/officeDocument/2006/relationships/hyperlink" Target="https://www.jsmcentral.org/sm-gerontology/fulltext_smggr-v2-1014.pdf" TargetMode="External"/><Relationship Id="rId72" Type="http://schemas.openxmlformats.org/officeDocument/2006/relationships/hyperlink" Target="https://www.ncbi.nlm.nih.gov/pubmed/16766878" TargetMode="External"/><Relationship Id="rId93" Type="http://schemas.openxmlformats.org/officeDocument/2006/relationships/hyperlink" Target="https://www.ncbi.nlm.nih.gov/pubmed/?term=Yang%20YX%5BAuthor%5D&amp;cauthor=true&amp;cauthor_uid=23518002" TargetMode="External"/><Relationship Id="rId98" Type="http://schemas.openxmlformats.org/officeDocument/2006/relationships/hyperlink" Target="https://www.ncbi.nlm.nih.gov/pubmed/?term=Pratheeshkumar%20P%5BAuthor%5D&amp;cauthor=true&amp;cauthor_uid=23518002" TargetMode="External"/><Relationship Id="rId121" Type="http://schemas.openxmlformats.org/officeDocument/2006/relationships/hyperlink" Target="https://www.ncbi.nlm.nih.gov/pubmed/26438396" TargetMode="External"/><Relationship Id="rId142" Type="http://schemas.openxmlformats.org/officeDocument/2006/relationships/hyperlink" Target="https://www.ncbi.nlm.nih.gov/pubmed/?term=Sayehmiri%20F%5BAuthor%5D&amp;cauthor=true&amp;cauthor_uid=31442959" TargetMode="External"/><Relationship Id="rId3" Type="http://schemas.openxmlformats.org/officeDocument/2006/relationships/settings" Target="settings.xml"/><Relationship Id="rId25" Type="http://schemas.openxmlformats.org/officeDocument/2006/relationships/hyperlink" Target="http://www.ncbi.nlm.nih.gov/pubmed?term=%22Beyersmann%20D%22%5BAuthor%5D" TargetMode="External"/><Relationship Id="rId46" Type="http://schemas.openxmlformats.org/officeDocument/2006/relationships/hyperlink" Target="https://pdfs.semanticscholar.org/bb3f/1dacae61b3a2322d68f02bc5ea9bbce09afa.pdf" TargetMode="External"/><Relationship Id="rId67" Type="http://schemas.openxmlformats.org/officeDocument/2006/relationships/hyperlink" Target="https://link.springer.com/article/10.1007/BF00322330" TargetMode="External"/><Relationship Id="rId116" Type="http://schemas.openxmlformats.org/officeDocument/2006/relationships/hyperlink" Target="https://www.ncbi.nlm.nih.gov/pubmed/?term=Giordano%20C%5BAuthor%5D&amp;cauthor=true&amp;cauthor_uid=26438396" TargetMode="External"/><Relationship Id="rId137" Type="http://schemas.openxmlformats.org/officeDocument/2006/relationships/hyperlink" Target="https://www.researchgate.net/publication/306131274_Intracellular_Zinc_Excess_as_One_of_the_Main_Factors_in_the_Etiology_of_Prostate_Cancer"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17</Pages>
  <Words>9832</Words>
  <Characters>56048</Characters>
  <Application>Microsoft Office Word</Application>
  <DocSecurity>0</DocSecurity>
  <Lines>467</Lines>
  <Paragraphs>131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Kapil</cp:lastModifiedBy>
  <cp:revision>40</cp:revision>
  <cp:lastPrinted>2021-06-29T17:18:00Z</cp:lastPrinted>
  <dcterms:created xsi:type="dcterms:W3CDTF">2021-11-25T15:03:00Z</dcterms:created>
  <dcterms:modified xsi:type="dcterms:W3CDTF">2022-01-09T21:08:00Z</dcterms:modified>
</cp:coreProperties>
</file>