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BD" w:rsidRPr="006C1E68" w:rsidRDefault="000A11BD" w:rsidP="000A11BD">
      <w:pPr>
        <w:shd w:val="clear" w:color="auto" w:fill="00B050"/>
        <w:jc w:val="center"/>
        <w:rPr>
          <w:b/>
          <w:bCs/>
          <w:color w:val="FFFFFF"/>
          <w:sz w:val="28"/>
          <w:szCs w:val="28"/>
        </w:rPr>
      </w:pPr>
      <w:r w:rsidRPr="006C1E68">
        <w:rPr>
          <w:b/>
          <w:bCs/>
          <w:color w:val="FFFFFF"/>
          <w:sz w:val="28"/>
          <w:szCs w:val="28"/>
        </w:rPr>
        <w:t>Reviewer’s Comments</w:t>
      </w:r>
    </w:p>
    <w:p w:rsidR="000A11BD" w:rsidRDefault="000A11BD" w:rsidP="004B414F">
      <w:pPr>
        <w:pStyle w:val="BodyText"/>
        <w:spacing w:line="360" w:lineRule="auto"/>
        <w:jc w:val="center"/>
        <w:rPr>
          <w:b/>
          <w:sz w:val="28"/>
          <w:szCs w:val="28"/>
          <w:lang w:val="en-US"/>
        </w:rPr>
      </w:pPr>
      <w:r>
        <w:rPr>
          <w:b/>
          <w:noProof/>
          <w:sz w:val="28"/>
          <w:szCs w:val="28"/>
          <w:lang w:val="en-US" w:eastAsia="en-US"/>
        </w:rPr>
        <w:drawing>
          <wp:inline distT="0" distB="0" distL="0" distR="0">
            <wp:extent cx="5586620" cy="185480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85744" cy="1854510"/>
                    </a:xfrm>
                    <a:prstGeom prst="rect">
                      <a:avLst/>
                    </a:prstGeom>
                    <a:noFill/>
                    <a:ln w="9525">
                      <a:noFill/>
                      <a:miter lim="800000"/>
                      <a:headEnd/>
                      <a:tailEnd/>
                    </a:ln>
                  </pic:spPr>
                </pic:pic>
              </a:graphicData>
            </a:graphic>
          </wp:inline>
        </w:drawing>
      </w:r>
    </w:p>
    <w:p w:rsidR="000A11BD" w:rsidRDefault="000A11BD" w:rsidP="000A11BD">
      <w:pPr>
        <w:jc w:val="center"/>
        <w:rPr>
          <w:b/>
          <w:spacing w:val="1"/>
          <w:lang w:val="en-GB"/>
        </w:rPr>
      </w:pPr>
      <w:commentRangeStart w:id="0"/>
      <w:r>
        <w:rPr>
          <w:b/>
          <w:bCs/>
          <w:kern w:val="36"/>
          <w:lang w:val="en-US"/>
        </w:rPr>
        <w:t>D</w:t>
      </w:r>
      <w:r w:rsidRPr="0010540A">
        <w:rPr>
          <w:b/>
          <w:bCs/>
          <w:kern w:val="36"/>
          <w:lang w:val="en-US"/>
        </w:rPr>
        <w:t>iagnosis</w:t>
      </w:r>
      <w:r>
        <w:rPr>
          <w:b/>
          <w:bCs/>
          <w:kern w:val="36"/>
          <w:lang w:val="en-US"/>
        </w:rPr>
        <w:t xml:space="preserve"> of </w:t>
      </w:r>
      <w:r>
        <w:rPr>
          <w:b/>
          <w:spacing w:val="1"/>
          <w:lang w:val="en-GB"/>
        </w:rPr>
        <w:t>Thyroid Malignancy using Trace Elements of Nodular Tissue determined by X-Ray Fluorescence Analy</w:t>
      </w:r>
      <w:commentRangeStart w:id="1"/>
      <w:r>
        <w:rPr>
          <w:b/>
          <w:spacing w:val="1"/>
          <w:lang w:val="en-GB"/>
        </w:rPr>
        <w:t>sis</w:t>
      </w:r>
      <w:bookmarkStart w:id="2" w:name="_GoBack"/>
      <w:bookmarkEnd w:id="2"/>
      <w:commentRangeEnd w:id="0"/>
      <w:r>
        <w:rPr>
          <w:rStyle w:val="CommentReference"/>
        </w:rPr>
        <w:commentReference w:id="0"/>
      </w:r>
      <w:commentRangeEnd w:id="1"/>
      <w:r w:rsidR="00660ECC">
        <w:rPr>
          <w:rStyle w:val="CommentReference"/>
        </w:rPr>
        <w:commentReference w:id="1"/>
      </w:r>
    </w:p>
    <w:p w:rsidR="000A11BD" w:rsidRDefault="000A11BD" w:rsidP="004B414F">
      <w:pPr>
        <w:pStyle w:val="BodyText"/>
        <w:spacing w:line="360" w:lineRule="auto"/>
        <w:jc w:val="center"/>
        <w:rPr>
          <w:b/>
          <w:sz w:val="28"/>
          <w:szCs w:val="28"/>
          <w:lang w:val="en-US"/>
        </w:rPr>
      </w:pPr>
    </w:p>
    <w:p w:rsidR="00DA4B51" w:rsidRDefault="00DA4B51" w:rsidP="000A11BD">
      <w:pPr>
        <w:spacing w:after="200" w:line="276" w:lineRule="auto"/>
        <w:rPr>
          <w:lang w:val="en-US"/>
        </w:rPr>
      </w:pPr>
    </w:p>
    <w:p w:rsidR="000A11BD" w:rsidRPr="000A11BD" w:rsidRDefault="000A11BD" w:rsidP="000A11BD">
      <w:pPr>
        <w:spacing w:after="200" w:line="276" w:lineRule="auto"/>
        <w:rPr>
          <w:b/>
          <w:sz w:val="28"/>
          <w:szCs w:val="28"/>
          <w:lang w:val="en-US"/>
        </w:rPr>
      </w:pPr>
    </w:p>
    <w:p w:rsidR="006C5B6D" w:rsidRPr="00990D8D" w:rsidRDefault="00CC371C" w:rsidP="00C85E82">
      <w:pPr>
        <w:jc w:val="both"/>
        <w:rPr>
          <w:b/>
          <w:bCs/>
          <w:caps/>
          <w:lang w:val="en-GB"/>
        </w:rPr>
      </w:pPr>
      <w:r w:rsidRPr="00990D8D">
        <w:rPr>
          <w:b/>
          <w:bCs/>
          <w:caps/>
          <w:lang w:val="en-GB"/>
        </w:rPr>
        <w:t>Abstract</w:t>
      </w:r>
    </w:p>
    <w:p w:rsidR="00CC371C" w:rsidRDefault="00CC371C" w:rsidP="00C85E82">
      <w:pPr>
        <w:jc w:val="both"/>
        <w:rPr>
          <w:lang w:val="en-US"/>
        </w:rPr>
      </w:pPr>
      <w:r w:rsidRPr="00A677E3">
        <w:rPr>
          <w:b/>
          <w:lang w:val="en-US"/>
        </w:rPr>
        <w:t>Background</w:t>
      </w:r>
      <w:r w:rsidRPr="00A677E3">
        <w:rPr>
          <w:lang w:val="en-US"/>
        </w:rPr>
        <w:t xml:space="preserve">: </w:t>
      </w:r>
      <w:commentRangeStart w:id="3"/>
      <w:r w:rsidR="0088215C" w:rsidRPr="00A677E3">
        <w:rPr>
          <w:lang w:val="en-US"/>
        </w:rPr>
        <w:t xml:space="preserve">Thyroid </w:t>
      </w:r>
      <w:r w:rsidR="00A677E3" w:rsidRPr="007714B7">
        <w:rPr>
          <w:lang w:val="en-US"/>
        </w:rPr>
        <w:t>benign (</w:t>
      </w:r>
      <w:r w:rsidR="00A677E3">
        <w:rPr>
          <w:lang w:val="en-US"/>
        </w:rPr>
        <w:t>TBN</w:t>
      </w:r>
      <w:r w:rsidR="00A677E3" w:rsidRPr="007714B7">
        <w:rPr>
          <w:lang w:val="en-US"/>
        </w:rPr>
        <w:t>) and malignant (</w:t>
      </w:r>
      <w:r w:rsidR="00A677E3">
        <w:rPr>
          <w:lang w:val="en-US"/>
        </w:rPr>
        <w:t>TMN</w:t>
      </w:r>
      <w:r w:rsidR="00C85E82">
        <w:rPr>
          <w:lang w:val="en-US"/>
        </w:rPr>
        <w:t>) n</w:t>
      </w:r>
      <w:r w:rsidR="00C85E82" w:rsidRPr="007714B7">
        <w:rPr>
          <w:lang w:val="en-US"/>
        </w:rPr>
        <w:t>odules are a common thyroid lesion</w:t>
      </w:r>
      <w:r w:rsidR="00C85E82">
        <w:rPr>
          <w:lang w:val="en-US"/>
        </w:rPr>
        <w:t xml:space="preserve">. </w:t>
      </w:r>
      <w:commentRangeEnd w:id="3"/>
      <w:r w:rsidR="006A4A1A">
        <w:rPr>
          <w:rStyle w:val="CommentReference"/>
        </w:rPr>
        <w:commentReference w:id="3"/>
      </w:r>
      <w:r w:rsidR="00C85E82">
        <w:rPr>
          <w:lang w:val="en-US"/>
        </w:rPr>
        <w:t>T</w:t>
      </w:r>
      <w:r w:rsidR="00C85E82" w:rsidRPr="007714B7">
        <w:rPr>
          <w:lang w:val="en-US"/>
        </w:rPr>
        <w:t xml:space="preserve">he differentiation of </w:t>
      </w:r>
      <w:r w:rsidR="00C85E82">
        <w:rPr>
          <w:lang w:val="en-US"/>
        </w:rPr>
        <w:t>TMN</w:t>
      </w:r>
      <w:r w:rsidR="00C85E82" w:rsidRPr="007714B7">
        <w:rPr>
          <w:lang w:val="en-US"/>
        </w:rPr>
        <w:t xml:space="preserve"> often remains a clinical challenge</w:t>
      </w:r>
      <w:r w:rsidR="00C85E82">
        <w:rPr>
          <w:lang w:val="en-US"/>
        </w:rPr>
        <w:t xml:space="preserve"> and </w:t>
      </w:r>
      <w:r w:rsidR="00C85E82" w:rsidRPr="007714B7">
        <w:rPr>
          <w:lang w:val="en-US"/>
        </w:rPr>
        <w:t xml:space="preserve">further improvements </w:t>
      </w:r>
      <w:r w:rsidR="00C85E82">
        <w:rPr>
          <w:lang w:val="en-US"/>
        </w:rPr>
        <w:t>of TMN</w:t>
      </w:r>
      <w:r w:rsidR="00C85E82" w:rsidRPr="007714B7">
        <w:rPr>
          <w:lang w:val="en-US"/>
        </w:rPr>
        <w:t xml:space="preserve"> diagnostic accuracy are warranted</w:t>
      </w:r>
      <w:r w:rsidR="00C85E82">
        <w:rPr>
          <w:lang w:val="en-US"/>
        </w:rPr>
        <w:t xml:space="preserve">. </w:t>
      </w:r>
      <w:commentRangeStart w:id="4"/>
      <w:r w:rsidR="00C85E82">
        <w:rPr>
          <w:lang w:val="en-US"/>
        </w:rPr>
        <w:t xml:space="preserve">The aim of present study </w:t>
      </w:r>
      <w:r w:rsidR="00C85E82" w:rsidRPr="00AC6C70">
        <w:rPr>
          <w:highlight w:val="yellow"/>
          <w:lang w:val="en-US"/>
        </w:rPr>
        <w:t>was</w:t>
      </w:r>
      <w:r w:rsidR="00AC6C70" w:rsidRPr="00AC6C70">
        <w:rPr>
          <w:highlight w:val="yellow"/>
          <w:lang w:val="en-US"/>
        </w:rPr>
        <w:t xml:space="preserve"> (is)</w:t>
      </w:r>
      <w:r w:rsidR="00C85E82">
        <w:rPr>
          <w:lang w:val="en-US"/>
        </w:rPr>
        <w:t xml:space="preserve"> </w:t>
      </w:r>
      <w:r w:rsidR="00C85E82" w:rsidRPr="00523EB8">
        <w:rPr>
          <w:lang w:val="en-US"/>
        </w:rPr>
        <w:t>to evaluate possibilities of using</w:t>
      </w:r>
      <w:r w:rsidR="002F5A27">
        <w:rPr>
          <w:lang w:val="en-US"/>
        </w:rPr>
        <w:t xml:space="preserve"> </w:t>
      </w:r>
      <w:r w:rsidR="002F5A27" w:rsidRPr="00523EB8">
        <w:rPr>
          <w:lang w:val="en-US"/>
        </w:rPr>
        <w:t xml:space="preserve">differences </w:t>
      </w:r>
      <w:r w:rsidR="002F5A27">
        <w:rPr>
          <w:lang w:val="en-US"/>
        </w:rPr>
        <w:t>in trace el</w:t>
      </w:r>
      <w:r w:rsidR="00C85E82">
        <w:rPr>
          <w:lang w:val="en-US"/>
        </w:rPr>
        <w:t>ement</w:t>
      </w:r>
      <w:r w:rsidR="002F5A27">
        <w:rPr>
          <w:lang w:val="en-US"/>
        </w:rPr>
        <w:t>s</w:t>
      </w:r>
      <w:r w:rsidR="00C85E82" w:rsidRPr="00523EB8">
        <w:rPr>
          <w:lang w:val="en-US"/>
        </w:rPr>
        <w:t xml:space="preserve"> </w:t>
      </w:r>
      <w:r w:rsidR="002F5A27">
        <w:rPr>
          <w:lang w:val="en-US"/>
        </w:rPr>
        <w:t>(</w:t>
      </w:r>
      <w:r w:rsidR="00C85E82" w:rsidRPr="00523EB8">
        <w:rPr>
          <w:lang w:val="en-US"/>
        </w:rPr>
        <w:t>TEs</w:t>
      </w:r>
      <w:r w:rsidR="002F5A27">
        <w:rPr>
          <w:lang w:val="en-US"/>
        </w:rPr>
        <w:t>)</w:t>
      </w:r>
      <w:r w:rsidR="00C85E82" w:rsidRPr="00523EB8">
        <w:rPr>
          <w:lang w:val="en-US"/>
        </w:rPr>
        <w:t xml:space="preserve"> </w:t>
      </w:r>
      <w:r w:rsidR="002F5A27">
        <w:rPr>
          <w:lang w:val="en-US"/>
        </w:rPr>
        <w:t xml:space="preserve">contents in nodular tissue </w:t>
      </w:r>
      <w:r w:rsidR="00C85E82" w:rsidRPr="00523EB8">
        <w:rPr>
          <w:lang w:val="en-US"/>
        </w:rPr>
        <w:t>for diagnosis of thyroid malignancy</w:t>
      </w:r>
      <w:r w:rsidR="002F5A27">
        <w:rPr>
          <w:lang w:val="en-US"/>
        </w:rPr>
        <w:t>.</w:t>
      </w:r>
      <w:commentRangeEnd w:id="4"/>
      <w:r w:rsidR="006A4A1A">
        <w:rPr>
          <w:rStyle w:val="CommentReference"/>
        </w:rPr>
        <w:commentReference w:id="4"/>
      </w:r>
    </w:p>
    <w:p w:rsidR="000F5EDA" w:rsidRPr="00122DD0" w:rsidRDefault="000F5EDA" w:rsidP="00C85E82">
      <w:pPr>
        <w:jc w:val="both"/>
        <w:rPr>
          <w:lang w:val="en-US"/>
        </w:rPr>
      </w:pPr>
      <w:commentRangeStart w:id="5"/>
      <w:r w:rsidRPr="00A677E3">
        <w:rPr>
          <w:b/>
          <w:lang w:val="en-US"/>
        </w:rPr>
        <w:t>Method</w:t>
      </w:r>
      <w:r w:rsidRPr="00A677E3">
        <w:rPr>
          <w:lang w:val="en-US"/>
        </w:rPr>
        <w:t>s:</w:t>
      </w:r>
      <w:commentRangeEnd w:id="5"/>
      <w:r w:rsidR="00A60D04">
        <w:rPr>
          <w:rStyle w:val="CommentReference"/>
        </w:rPr>
        <w:commentReference w:id="5"/>
      </w:r>
      <w:r w:rsidRPr="00A677E3">
        <w:rPr>
          <w:lang w:val="en-US"/>
        </w:rPr>
        <w:t xml:space="preserve"> </w:t>
      </w:r>
      <w:r w:rsidR="00802ECF" w:rsidRPr="00A677E3">
        <w:rPr>
          <w:lang w:val="en-US"/>
        </w:rPr>
        <w:t>Contents of</w:t>
      </w:r>
      <w:r w:rsidRPr="00A677E3">
        <w:rPr>
          <w:lang w:val="en-US"/>
        </w:rPr>
        <w:t xml:space="preserve"> </w:t>
      </w:r>
      <w:r w:rsidR="00802ECF" w:rsidRPr="00A677E3">
        <w:rPr>
          <w:lang w:val="en-US"/>
        </w:rPr>
        <w:t>TEs such as</w:t>
      </w:r>
      <w:r w:rsidRPr="00A677E3">
        <w:rPr>
          <w:lang w:val="en-US"/>
        </w:rPr>
        <w:t xml:space="preserve"> </w:t>
      </w:r>
      <w:r w:rsidR="002F5A27" w:rsidRPr="00122DD0">
        <w:rPr>
          <w:lang w:val="en-US"/>
        </w:rPr>
        <w:t xml:space="preserve">bromine (Br), </w:t>
      </w:r>
      <w:r w:rsidRPr="00122DD0">
        <w:rPr>
          <w:lang w:val="en-US"/>
        </w:rPr>
        <w:t>copper (Cu), iron (Fe), iodine (I), rubidium (Rb), strontium (Sr), and zinc (Zn</w:t>
      </w:r>
      <w:r w:rsidRPr="00122DD0">
        <w:rPr>
          <w:bCs/>
          <w:lang w:val="en-US"/>
        </w:rPr>
        <w:t>) were</w:t>
      </w:r>
      <w:r w:rsidRPr="00122DD0">
        <w:rPr>
          <w:lang w:val="en-US"/>
        </w:rPr>
        <w:t xml:space="preserve"> prospectively evaluated in</w:t>
      </w:r>
      <w:r w:rsidR="006E48CF" w:rsidRPr="00122DD0">
        <w:rPr>
          <w:lang w:val="en-US"/>
        </w:rPr>
        <w:t xml:space="preserve"> </w:t>
      </w:r>
      <w:r w:rsidR="0010540A" w:rsidRPr="00122DD0">
        <w:rPr>
          <w:lang w:val="en-US"/>
        </w:rPr>
        <w:t>“normal” thyroid (</w:t>
      </w:r>
      <w:r w:rsidR="00FA0A4E" w:rsidRPr="00122DD0">
        <w:rPr>
          <w:lang w:val="en-US"/>
        </w:rPr>
        <w:t xml:space="preserve">NT) of </w:t>
      </w:r>
      <w:r w:rsidR="00DC7A9A" w:rsidRPr="00122DD0">
        <w:rPr>
          <w:lang w:val="en-US"/>
        </w:rPr>
        <w:t>105 individuals</w:t>
      </w:r>
      <w:r w:rsidR="0010540A" w:rsidRPr="00122DD0">
        <w:rPr>
          <w:lang w:val="en-US"/>
        </w:rPr>
        <w:t xml:space="preserve"> as well as </w:t>
      </w:r>
      <w:r w:rsidR="00DC7A9A" w:rsidRPr="00122DD0">
        <w:rPr>
          <w:lang w:val="en-US"/>
        </w:rPr>
        <w:t xml:space="preserve">in </w:t>
      </w:r>
      <w:r w:rsidR="00FA0A4E" w:rsidRPr="00122DD0">
        <w:rPr>
          <w:lang w:val="en-US"/>
        </w:rPr>
        <w:t xml:space="preserve">nodular tissue of </w:t>
      </w:r>
      <w:r w:rsidR="002F5A27" w:rsidRPr="00122DD0">
        <w:rPr>
          <w:lang w:val="en-US"/>
        </w:rPr>
        <w:t>thyroids with</w:t>
      </w:r>
      <w:r w:rsidR="00473C5E" w:rsidRPr="00122DD0">
        <w:rPr>
          <w:lang w:val="en-US"/>
        </w:rPr>
        <w:t xml:space="preserve"> TBN (79 patients) and </w:t>
      </w:r>
      <w:r w:rsidR="006E48CF" w:rsidRPr="00122DD0">
        <w:rPr>
          <w:lang w:val="en-US"/>
        </w:rPr>
        <w:t xml:space="preserve">to </w:t>
      </w:r>
      <w:r w:rsidR="00473C5E" w:rsidRPr="00122DD0">
        <w:rPr>
          <w:lang w:val="en-US"/>
        </w:rPr>
        <w:t>TMN (</w:t>
      </w:r>
      <w:r w:rsidR="00BC5222" w:rsidRPr="00122DD0">
        <w:rPr>
          <w:lang w:val="en-US"/>
        </w:rPr>
        <w:t>4</w:t>
      </w:r>
      <w:r w:rsidR="0027310D" w:rsidRPr="00122DD0">
        <w:rPr>
          <w:lang w:val="en-US"/>
        </w:rPr>
        <w:t>1</w:t>
      </w:r>
      <w:r w:rsidRPr="00122DD0">
        <w:rPr>
          <w:lang w:val="en-US"/>
        </w:rPr>
        <w:t xml:space="preserve"> patients</w:t>
      </w:r>
      <w:r w:rsidR="00473C5E" w:rsidRPr="00122DD0">
        <w:rPr>
          <w:lang w:val="en-US"/>
        </w:rPr>
        <w:t>)</w:t>
      </w:r>
      <w:r w:rsidRPr="00122DD0">
        <w:rPr>
          <w:lang w:val="en-US"/>
        </w:rPr>
        <w:t>. Measurements were performed using</w:t>
      </w:r>
      <w:r w:rsidR="006E48CF" w:rsidRPr="00122DD0">
        <w:rPr>
          <w:lang w:val="en-US"/>
        </w:rPr>
        <w:t xml:space="preserve"> </w:t>
      </w:r>
      <w:r w:rsidRPr="00122DD0">
        <w:rPr>
          <w:lang w:val="en-US" w:eastAsia="en-US"/>
        </w:rPr>
        <w:t>energy-dispersive X-ray fluorescent</w:t>
      </w:r>
      <w:r w:rsidRPr="00122DD0">
        <w:rPr>
          <w:lang w:val="en-GB"/>
        </w:rPr>
        <w:t xml:space="preserve"> analysis.</w:t>
      </w:r>
      <w:r w:rsidRPr="00122DD0">
        <w:rPr>
          <w:lang w:val="en-US"/>
        </w:rPr>
        <w:t xml:space="preserve"> </w:t>
      </w:r>
    </w:p>
    <w:p w:rsidR="00B42BA4" w:rsidRPr="00122DD0" w:rsidRDefault="00CC371C" w:rsidP="00B42BA4">
      <w:pPr>
        <w:pStyle w:val="Body"/>
        <w:spacing w:after="0"/>
        <w:rPr>
          <w:rFonts w:ascii="Times New Roman" w:hAnsi="Times New Roman"/>
          <w:sz w:val="24"/>
          <w:szCs w:val="24"/>
        </w:rPr>
      </w:pPr>
      <w:commentRangeStart w:id="6"/>
      <w:r w:rsidRPr="00122DD0">
        <w:rPr>
          <w:rFonts w:ascii="Times New Roman" w:hAnsi="Times New Roman"/>
          <w:b/>
          <w:sz w:val="24"/>
          <w:szCs w:val="24"/>
        </w:rPr>
        <w:t>Results</w:t>
      </w:r>
      <w:commentRangeEnd w:id="6"/>
      <w:r w:rsidR="002D7A86" w:rsidRPr="00122DD0">
        <w:rPr>
          <w:rStyle w:val="CommentReference"/>
          <w:rFonts w:ascii="Times New Roman" w:hAnsi="Times New Roman"/>
          <w:lang w:val="ru-RU" w:eastAsia="ru-RU"/>
        </w:rPr>
        <w:commentReference w:id="6"/>
      </w:r>
      <w:r w:rsidRPr="00122DD0">
        <w:rPr>
          <w:rFonts w:ascii="Times New Roman" w:hAnsi="Times New Roman"/>
          <w:sz w:val="24"/>
          <w:szCs w:val="24"/>
        </w:rPr>
        <w:t xml:space="preserve">: </w:t>
      </w:r>
      <w:r w:rsidR="003742EB" w:rsidRPr="00122DD0">
        <w:rPr>
          <w:rFonts w:ascii="Times New Roman" w:hAnsi="Times New Roman"/>
          <w:sz w:val="24"/>
          <w:szCs w:val="24"/>
        </w:rPr>
        <w:t xml:space="preserve">It was observed that in TMN tissue the mean mass fractions of I and Zn were lower while the mean mass fraction of Rb was higher than in NT and TBN tissue. It was demonstrated that I </w:t>
      </w:r>
      <w:commentRangeStart w:id="7"/>
      <w:r w:rsidR="003742EB" w:rsidRPr="00122DD0">
        <w:rPr>
          <w:rFonts w:ascii="Times New Roman" w:hAnsi="Times New Roman"/>
          <w:sz w:val="24"/>
          <w:szCs w:val="24"/>
        </w:rPr>
        <w:t xml:space="preserve">content </w:t>
      </w:r>
      <w:commentRangeEnd w:id="7"/>
      <w:r w:rsidR="00B42BA4" w:rsidRPr="00122DD0">
        <w:rPr>
          <w:rStyle w:val="CommentReference"/>
          <w:rFonts w:ascii="Times New Roman" w:hAnsi="Times New Roman"/>
          <w:lang w:val="ru-RU" w:eastAsia="ru-RU"/>
        </w:rPr>
        <w:commentReference w:id="7"/>
      </w:r>
      <w:r w:rsidR="003742EB" w:rsidRPr="00122DD0">
        <w:rPr>
          <w:rFonts w:ascii="Times New Roman" w:hAnsi="Times New Roman"/>
          <w:sz w:val="24"/>
          <w:szCs w:val="24"/>
        </w:rPr>
        <w:t xml:space="preserve">is nodular tissue is the most informative parameter for the diagnosis of thyroid malignancy. </w:t>
      </w:r>
    </w:p>
    <w:p w:rsidR="003D7025" w:rsidRPr="00122DD0" w:rsidRDefault="003742EB" w:rsidP="002D7A86">
      <w:pPr>
        <w:pStyle w:val="Body"/>
        <w:spacing w:after="0"/>
        <w:rPr>
          <w:rFonts w:ascii="Times New Roman" w:hAnsi="Times New Roman"/>
          <w:sz w:val="24"/>
          <w:szCs w:val="24"/>
          <w:lang w:eastAsia="ru-RU"/>
        </w:rPr>
      </w:pPr>
      <w:commentRangeStart w:id="8"/>
      <w:r w:rsidRPr="00122DD0">
        <w:rPr>
          <w:rFonts w:asciiTheme="majorBidi" w:hAnsiTheme="majorBidi" w:cstheme="majorBidi"/>
          <w:sz w:val="24"/>
          <w:szCs w:val="24"/>
        </w:rPr>
        <w:t>It was found that “Sensitivity”, “Specificity” and “Accuracy” of TMN identification using the I level</w:t>
      </w:r>
      <w:r w:rsidRPr="00122DD0">
        <w:rPr>
          <w:rFonts w:asciiTheme="majorBidi" w:hAnsiTheme="majorBidi" w:cstheme="majorBidi"/>
          <w:sz w:val="24"/>
          <w:szCs w:val="24"/>
          <w:lang w:eastAsia="ru-RU"/>
        </w:rPr>
        <w:t xml:space="preserve"> in the </w:t>
      </w:r>
      <w:r w:rsidRPr="00122DD0">
        <w:rPr>
          <w:rFonts w:asciiTheme="majorBidi" w:hAnsiTheme="majorBidi" w:cstheme="majorBidi"/>
          <w:sz w:val="24"/>
          <w:szCs w:val="24"/>
        </w:rPr>
        <w:t>needle biopsy of affected thyroid tissue</w:t>
      </w:r>
      <w:r w:rsidRPr="00122DD0">
        <w:rPr>
          <w:rFonts w:asciiTheme="majorBidi" w:hAnsiTheme="majorBidi" w:cstheme="majorBidi"/>
          <w:sz w:val="24"/>
          <w:szCs w:val="24"/>
          <w:lang w:eastAsia="ru-RU"/>
        </w:rPr>
        <w:t xml:space="preserve"> was significantly higher than that using US examination and </w:t>
      </w:r>
      <w:r w:rsidRPr="00122DD0">
        <w:rPr>
          <w:rFonts w:asciiTheme="majorBidi" w:hAnsiTheme="majorBidi" w:cstheme="majorBidi"/>
          <w:sz w:val="24"/>
          <w:szCs w:val="24"/>
        </w:rPr>
        <w:t>cytological test of fine needle aspiration biopsy</w:t>
      </w:r>
      <w:r w:rsidR="00A60D04" w:rsidRPr="00122DD0">
        <w:rPr>
          <w:rFonts w:asciiTheme="majorBidi" w:hAnsiTheme="majorBidi" w:cstheme="majorBidi"/>
          <w:sz w:val="24"/>
          <w:szCs w:val="24"/>
        </w:rPr>
        <w:t xml:space="preserve"> in which they were </w:t>
      </w:r>
      <w:r w:rsidR="00B42BA4" w:rsidRPr="00122DD0">
        <w:rPr>
          <w:rFonts w:asciiTheme="majorBidi" w:hAnsiTheme="majorBidi" w:cstheme="majorBidi"/>
          <w:bCs/>
          <w:sz w:val="24"/>
          <w:szCs w:val="24"/>
        </w:rPr>
        <w:t>87</w:t>
      </w:r>
      <w:r w:rsidR="00B42BA4" w:rsidRPr="00122DD0">
        <w:rPr>
          <w:rFonts w:asciiTheme="majorBidi" w:hAnsiTheme="majorBidi" w:cstheme="majorBidi"/>
          <w:bCs/>
          <w:sz w:val="24"/>
          <w:szCs w:val="24"/>
          <w:lang w:val="fr-FR"/>
        </w:rPr>
        <w:t>±</w:t>
      </w:r>
      <w:r w:rsidR="00B42BA4" w:rsidRPr="00122DD0">
        <w:rPr>
          <w:rFonts w:asciiTheme="majorBidi" w:hAnsiTheme="majorBidi" w:cstheme="majorBidi"/>
          <w:bCs/>
          <w:sz w:val="24"/>
          <w:szCs w:val="24"/>
        </w:rPr>
        <w:t>5%, 96</w:t>
      </w:r>
      <w:r w:rsidR="00B42BA4" w:rsidRPr="00122DD0">
        <w:rPr>
          <w:rFonts w:asciiTheme="majorBidi" w:hAnsiTheme="majorBidi" w:cstheme="majorBidi"/>
          <w:bCs/>
          <w:sz w:val="24"/>
          <w:szCs w:val="24"/>
          <w:lang w:val="fr-FR"/>
        </w:rPr>
        <w:t>±</w:t>
      </w:r>
      <w:r w:rsidR="00B42BA4" w:rsidRPr="00122DD0">
        <w:rPr>
          <w:rFonts w:asciiTheme="majorBidi" w:hAnsiTheme="majorBidi" w:cstheme="majorBidi"/>
          <w:bCs/>
          <w:sz w:val="24"/>
          <w:szCs w:val="24"/>
        </w:rPr>
        <w:t xml:space="preserve">2% and </w:t>
      </w:r>
      <w:r w:rsidR="00B42BA4" w:rsidRPr="00122DD0">
        <w:rPr>
          <w:rFonts w:asciiTheme="majorBidi" w:hAnsiTheme="majorBidi" w:cstheme="majorBidi"/>
          <w:bCs/>
          <w:sz w:val="24"/>
          <w:szCs w:val="24"/>
          <w:lang w:val="fr-FR"/>
        </w:rPr>
        <w:t>9</w:t>
      </w:r>
      <w:r w:rsidR="00B42BA4" w:rsidRPr="00122DD0">
        <w:rPr>
          <w:rFonts w:asciiTheme="majorBidi" w:hAnsiTheme="majorBidi" w:cstheme="majorBidi"/>
          <w:bCs/>
          <w:sz w:val="24"/>
          <w:szCs w:val="24"/>
        </w:rPr>
        <w:t>4</w:t>
      </w:r>
      <w:r w:rsidR="00B42BA4" w:rsidRPr="00122DD0">
        <w:rPr>
          <w:rFonts w:asciiTheme="majorBidi" w:hAnsiTheme="majorBidi" w:cstheme="majorBidi"/>
          <w:bCs/>
          <w:sz w:val="24"/>
          <w:szCs w:val="24"/>
          <w:lang w:val="fr-FR"/>
        </w:rPr>
        <w:t>±</w:t>
      </w:r>
      <w:r w:rsidR="00B42BA4" w:rsidRPr="00122DD0">
        <w:rPr>
          <w:rFonts w:asciiTheme="majorBidi" w:hAnsiTheme="majorBidi" w:cstheme="majorBidi"/>
          <w:bCs/>
          <w:sz w:val="24"/>
          <w:szCs w:val="24"/>
        </w:rPr>
        <w:t>2% respectively.</w:t>
      </w:r>
      <w:r w:rsidR="00B42BA4" w:rsidRPr="00122DD0">
        <w:rPr>
          <w:rFonts w:ascii="Times New Roman" w:hAnsi="Times New Roman"/>
          <w:sz w:val="24"/>
          <w:szCs w:val="24"/>
          <w:lang w:eastAsia="ru-RU"/>
        </w:rPr>
        <w:t xml:space="preserve"> </w:t>
      </w:r>
      <w:commentRangeEnd w:id="8"/>
      <w:r w:rsidR="00B42BA4" w:rsidRPr="00122DD0">
        <w:rPr>
          <w:rStyle w:val="CommentReference"/>
          <w:rFonts w:ascii="Times New Roman" w:hAnsi="Times New Roman"/>
          <w:lang w:val="ru-RU" w:eastAsia="ru-RU"/>
        </w:rPr>
        <w:commentReference w:id="8"/>
      </w:r>
    </w:p>
    <w:p w:rsidR="002D7A86" w:rsidRPr="00122DD0" w:rsidRDefault="002752D6" w:rsidP="002D7A86">
      <w:pPr>
        <w:jc w:val="both"/>
        <w:rPr>
          <w:lang w:val="en-US"/>
        </w:rPr>
      </w:pPr>
      <w:r w:rsidRPr="00122DD0">
        <w:rPr>
          <w:b/>
        </w:rPr>
        <w:t>Conclusions</w:t>
      </w:r>
      <w:r w:rsidRPr="00122DD0">
        <w:t xml:space="preserve">: </w:t>
      </w:r>
      <w:r w:rsidR="003742EB" w:rsidRPr="00122DD0">
        <w:t xml:space="preserve">It was concluded that </w:t>
      </w:r>
      <w:commentRangeStart w:id="9"/>
      <w:r w:rsidR="003742EB" w:rsidRPr="00122DD0">
        <w:t xml:space="preserve">study </w:t>
      </w:r>
      <w:commentRangeEnd w:id="9"/>
      <w:r w:rsidR="002D7A86" w:rsidRPr="00122DD0">
        <w:rPr>
          <w:rStyle w:val="CommentReference"/>
        </w:rPr>
        <w:commentReference w:id="9"/>
      </w:r>
      <w:commentRangeStart w:id="10"/>
      <w:r w:rsidR="003742EB" w:rsidRPr="00122DD0">
        <w:t>of</w:t>
      </w:r>
      <w:commentRangeEnd w:id="10"/>
      <w:r w:rsidR="002D7A86" w:rsidRPr="00122DD0">
        <w:rPr>
          <w:rStyle w:val="CommentReference"/>
        </w:rPr>
        <w:commentReference w:id="10"/>
      </w:r>
      <w:r w:rsidR="003742EB" w:rsidRPr="00122DD0">
        <w:t xml:space="preserve"> the I level in a needle biopsy of TNs, </w:t>
      </w:r>
      <w:commentRangeStart w:id="11"/>
      <w:r w:rsidR="003742EB" w:rsidRPr="00122DD0">
        <w:t xml:space="preserve">obtained by </w:t>
      </w:r>
      <w:commentRangeEnd w:id="11"/>
      <w:r w:rsidR="002D7A86" w:rsidRPr="00122DD0">
        <w:rPr>
          <w:rStyle w:val="CommentReference"/>
        </w:rPr>
        <w:commentReference w:id="11"/>
      </w:r>
      <w:r w:rsidR="003742EB" w:rsidRPr="00122DD0">
        <w:t xml:space="preserve">using </w:t>
      </w:r>
      <w:commentRangeStart w:id="12"/>
      <w:r w:rsidR="00D669F3" w:rsidRPr="00122DD0">
        <w:rPr>
          <w:lang w:val="en-US"/>
        </w:rPr>
        <w:t>(</w:t>
      </w:r>
      <w:commentRangeEnd w:id="12"/>
      <w:r w:rsidR="002D7A86" w:rsidRPr="00122DD0">
        <w:rPr>
          <w:rStyle w:val="CommentReference"/>
        </w:rPr>
        <w:commentReference w:id="12"/>
      </w:r>
      <w:r w:rsidR="00D669F3" w:rsidRPr="00122DD0">
        <w:rPr>
          <w:lang w:val="en-US" w:eastAsia="en-US"/>
        </w:rPr>
        <w:t>energy-dispersive X-ray fluorescent</w:t>
      </w:r>
      <w:r w:rsidR="00D669F3" w:rsidRPr="00122DD0">
        <w:rPr>
          <w:lang w:val="en-GB"/>
        </w:rPr>
        <w:t xml:space="preserve"> analysis</w:t>
      </w:r>
      <w:commentRangeStart w:id="13"/>
      <w:r w:rsidR="00D669F3" w:rsidRPr="00122DD0">
        <w:rPr>
          <w:lang w:val="en-GB"/>
        </w:rPr>
        <w:t>)</w:t>
      </w:r>
      <w:commentRangeEnd w:id="13"/>
      <w:r w:rsidR="002D7A86" w:rsidRPr="00122DD0">
        <w:rPr>
          <w:rStyle w:val="CommentReference"/>
        </w:rPr>
        <w:commentReference w:id="13"/>
      </w:r>
      <w:r w:rsidR="00D669F3" w:rsidRPr="00122DD0">
        <w:rPr>
          <w:lang w:val="en-GB"/>
        </w:rPr>
        <w:t xml:space="preserve"> </w:t>
      </w:r>
      <w:commentRangeStart w:id="14"/>
      <w:r w:rsidR="003742EB" w:rsidRPr="00122DD0">
        <w:t>EDXRF</w:t>
      </w:r>
      <w:commentRangeEnd w:id="14"/>
      <w:r w:rsidR="00025DD9" w:rsidRPr="00122DD0">
        <w:rPr>
          <w:rStyle w:val="CommentReference"/>
        </w:rPr>
        <w:commentReference w:id="14"/>
      </w:r>
      <w:r w:rsidR="003742EB" w:rsidRPr="00122DD0">
        <w:t xml:space="preserve">, is a fast, reliable, and </w:t>
      </w:r>
      <w:commentRangeStart w:id="15"/>
      <w:r w:rsidR="003742EB" w:rsidRPr="00122DD0">
        <w:t xml:space="preserve">very </w:t>
      </w:r>
      <w:commentRangeEnd w:id="15"/>
      <w:r w:rsidR="00025DD9" w:rsidRPr="00122DD0">
        <w:rPr>
          <w:rStyle w:val="CommentReference"/>
        </w:rPr>
        <w:commentReference w:id="15"/>
      </w:r>
      <w:r w:rsidR="003742EB" w:rsidRPr="00122DD0">
        <w:t>informative diagnostic tool that can be successfully used as an additional test of thyroid malignancy identification.</w:t>
      </w:r>
    </w:p>
    <w:p w:rsidR="00DA4B51" w:rsidRPr="00473C5E" w:rsidRDefault="00DA4B51" w:rsidP="00284F5D">
      <w:pPr>
        <w:jc w:val="both"/>
        <w:rPr>
          <w:lang w:val="en-US"/>
        </w:rPr>
      </w:pPr>
      <w:r w:rsidRPr="00122DD0">
        <w:rPr>
          <w:b/>
          <w:lang w:val="en-US"/>
        </w:rPr>
        <w:t>Keywords:</w:t>
      </w:r>
      <w:r w:rsidR="00383B93" w:rsidRPr="00122DD0">
        <w:rPr>
          <w:lang w:val="en-US"/>
        </w:rPr>
        <w:t xml:space="preserve"> </w:t>
      </w:r>
      <w:r w:rsidR="00FA0A4E" w:rsidRPr="00122DD0">
        <w:rPr>
          <w:bCs/>
          <w:lang w:val="en-US"/>
        </w:rPr>
        <w:t>Diagnosis of thyroid malignancy, Normal t</w:t>
      </w:r>
      <w:r w:rsidR="0004429F" w:rsidRPr="00122DD0">
        <w:rPr>
          <w:bCs/>
          <w:lang w:val="en-US"/>
        </w:rPr>
        <w:t xml:space="preserve">hyroid; </w:t>
      </w:r>
      <w:r w:rsidR="008F1DD0" w:rsidRPr="00122DD0">
        <w:rPr>
          <w:lang w:val="en-US"/>
        </w:rPr>
        <w:t xml:space="preserve">Thyroid </w:t>
      </w:r>
      <w:r w:rsidR="000E3121" w:rsidRPr="00122DD0">
        <w:rPr>
          <w:lang w:val="en-US"/>
        </w:rPr>
        <w:t>nodules</w:t>
      </w:r>
      <w:r w:rsidR="008F1DD0" w:rsidRPr="00122DD0">
        <w:rPr>
          <w:lang w:val="en-US"/>
        </w:rPr>
        <w:t xml:space="preserve">; </w:t>
      </w:r>
      <w:r w:rsidRPr="00122DD0">
        <w:rPr>
          <w:bCs/>
          <w:lang w:val="en-US"/>
        </w:rPr>
        <w:t>Trace elements</w:t>
      </w:r>
      <w:r w:rsidR="00DE68B3" w:rsidRPr="00122DD0">
        <w:rPr>
          <w:lang w:val="en-US"/>
        </w:rPr>
        <w:t>;</w:t>
      </w:r>
      <w:r w:rsidRPr="00122DD0">
        <w:rPr>
          <w:bCs/>
          <w:lang w:val="en-US"/>
        </w:rPr>
        <w:t xml:space="preserve"> </w:t>
      </w:r>
      <w:r w:rsidRPr="00122DD0">
        <w:rPr>
          <w:lang w:val="en-GB"/>
        </w:rPr>
        <w:t>Energy-dispersive X-ray fluorescent analysis</w:t>
      </w:r>
    </w:p>
    <w:p w:rsidR="00823D31" w:rsidRPr="00473C5E" w:rsidRDefault="00823D31" w:rsidP="00284F5D">
      <w:pPr>
        <w:rPr>
          <w:b/>
          <w:lang w:val="en-US"/>
        </w:rPr>
      </w:pPr>
    </w:p>
    <w:p w:rsidR="00284F5D" w:rsidRPr="00473C5E" w:rsidRDefault="00284F5D" w:rsidP="00284F5D">
      <w:pPr>
        <w:rPr>
          <w:b/>
          <w:lang w:val="en-US"/>
        </w:rPr>
      </w:pPr>
    </w:p>
    <w:p w:rsidR="00DA4B51" w:rsidRPr="00990D8D" w:rsidRDefault="00DA4B51" w:rsidP="00284F5D">
      <w:pPr>
        <w:rPr>
          <w:b/>
          <w:caps/>
          <w:lang w:val="en-US"/>
        </w:rPr>
      </w:pPr>
      <w:commentRangeStart w:id="16"/>
      <w:r w:rsidRPr="00990D8D">
        <w:rPr>
          <w:b/>
          <w:caps/>
          <w:lang w:val="en-US"/>
        </w:rPr>
        <w:t>Introduction</w:t>
      </w:r>
      <w:commentRangeEnd w:id="16"/>
      <w:r w:rsidR="000B24C3">
        <w:rPr>
          <w:rStyle w:val="CommentReference"/>
        </w:rPr>
        <w:commentReference w:id="16"/>
      </w:r>
    </w:p>
    <w:p w:rsidR="00990D8D" w:rsidRPr="00990D8D" w:rsidRDefault="00990D8D" w:rsidP="00284F5D">
      <w:pPr>
        <w:rPr>
          <w:b/>
          <w:caps/>
          <w:lang w:val="en-US"/>
        </w:rPr>
      </w:pPr>
    </w:p>
    <w:p w:rsidR="00BC48BA" w:rsidRPr="007714B7" w:rsidRDefault="00BC48BA" w:rsidP="00BC48BA">
      <w:pPr>
        <w:pStyle w:val="p"/>
        <w:shd w:val="clear" w:color="auto" w:fill="FFFFFF"/>
        <w:spacing w:before="0" w:beforeAutospacing="0" w:after="0" w:afterAutospacing="0"/>
        <w:jc w:val="both"/>
        <w:rPr>
          <w:lang w:val="en-US"/>
        </w:rPr>
      </w:pPr>
      <w:commentRangeStart w:id="17"/>
      <w:r w:rsidRPr="007714B7">
        <w:rPr>
          <w:lang w:val="en-US"/>
        </w:rPr>
        <w:t>Nodules are a common thyroid lesion, particularly in women. Depending on the method of examination and general population, thyroid nodules (TN</w:t>
      </w:r>
      <w:r>
        <w:rPr>
          <w:lang w:val="en-US"/>
        </w:rPr>
        <w:t>s</w:t>
      </w:r>
      <w:r w:rsidRPr="007714B7">
        <w:rPr>
          <w:lang w:val="en-US"/>
        </w:rPr>
        <w:t xml:space="preserve">) have an incidence of 19–68% </w:t>
      </w:r>
      <w:commentRangeStart w:id="18"/>
      <w:r w:rsidRPr="000B023A">
        <w:rPr>
          <w:lang w:val="en-US"/>
        </w:rPr>
        <w:t>[</w:t>
      </w:r>
      <w:hyperlink r:id="rId9" w:anchor="b1-medscimonit-26-e918452" w:history="1">
        <w:r w:rsidRPr="00BC48BA">
          <w:rPr>
            <w:rStyle w:val="Hyperlink"/>
            <w:rFonts w:eastAsia="Arial Unicode MS"/>
            <w:lang w:val="en-US"/>
          </w:rPr>
          <w:t>1</w:t>
        </w:r>
      </w:hyperlink>
      <w:r w:rsidRPr="000B023A">
        <w:rPr>
          <w:lang w:val="en-US"/>
        </w:rPr>
        <w:t>].</w:t>
      </w:r>
      <w:r w:rsidRPr="007714B7">
        <w:rPr>
          <w:lang w:val="en-US"/>
        </w:rPr>
        <w:t xml:space="preserve"> </w:t>
      </w:r>
      <w:commentRangeEnd w:id="18"/>
      <w:r w:rsidR="00021808">
        <w:rPr>
          <w:rStyle w:val="CommentReference"/>
        </w:rPr>
        <w:commentReference w:id="18"/>
      </w:r>
      <w:r w:rsidRPr="007714B7">
        <w:rPr>
          <w:lang w:val="en-US"/>
        </w:rPr>
        <w:t>In clinical practice, TN</w:t>
      </w:r>
      <w:r>
        <w:rPr>
          <w:lang w:val="en-US"/>
        </w:rPr>
        <w:t>s</w:t>
      </w:r>
      <w:r w:rsidRPr="007714B7">
        <w:rPr>
          <w:lang w:val="en-US"/>
        </w:rPr>
        <w:t xml:space="preserve"> are classified into benign (</w:t>
      </w:r>
      <w:r>
        <w:rPr>
          <w:lang w:val="en-US"/>
        </w:rPr>
        <w:t>TBN</w:t>
      </w:r>
      <w:r w:rsidRPr="007714B7">
        <w:rPr>
          <w:lang w:val="en-US"/>
        </w:rPr>
        <w:t>) and malignant (</w:t>
      </w:r>
      <w:r>
        <w:rPr>
          <w:lang w:val="en-US"/>
        </w:rPr>
        <w:t>TMN</w:t>
      </w:r>
      <w:r w:rsidRPr="007714B7">
        <w:rPr>
          <w:lang w:val="en-US"/>
        </w:rPr>
        <w:t>), and among all TN</w:t>
      </w:r>
      <w:r>
        <w:rPr>
          <w:lang w:val="en-US"/>
        </w:rPr>
        <w:t>s</w:t>
      </w:r>
      <w:r w:rsidRPr="007714B7">
        <w:rPr>
          <w:lang w:val="en-US"/>
        </w:rPr>
        <w:t xml:space="preserve"> approximately 10% are </w:t>
      </w:r>
      <w:r>
        <w:rPr>
          <w:lang w:val="en-US"/>
        </w:rPr>
        <w:t>TMN</w:t>
      </w:r>
      <w:r w:rsidRPr="007714B7">
        <w:rPr>
          <w:lang w:val="en-US"/>
        </w:rPr>
        <w:t xml:space="preserve"> </w:t>
      </w:r>
      <w:commentRangeStart w:id="19"/>
      <w:r w:rsidRPr="007714B7">
        <w:rPr>
          <w:lang w:val="en-US"/>
        </w:rPr>
        <w:t>[2]</w:t>
      </w:r>
      <w:commentRangeEnd w:id="19"/>
      <w:r w:rsidR="00021808">
        <w:rPr>
          <w:rStyle w:val="CommentReference"/>
        </w:rPr>
        <w:commentReference w:id="19"/>
      </w:r>
      <w:r w:rsidRPr="007714B7">
        <w:rPr>
          <w:lang w:val="en-US"/>
        </w:rPr>
        <w:t xml:space="preserve">. </w:t>
      </w:r>
      <w:r w:rsidRPr="007714B7">
        <w:t xml:space="preserve">It is appropriate mention here that the incidence of </w:t>
      </w:r>
      <w:r>
        <w:rPr>
          <w:lang w:val="en-US"/>
        </w:rPr>
        <w:t>TMN</w:t>
      </w:r>
      <w:r w:rsidRPr="007714B7">
        <w:t xml:space="preserve"> is increasing rapidly (about </w:t>
      </w:r>
      <w:r w:rsidRPr="007714B7">
        <w:rPr>
          <w:lang w:val="en-US"/>
        </w:rPr>
        <w:t xml:space="preserve">5% each year) </w:t>
      </w:r>
      <w:r w:rsidRPr="007714B7">
        <w:t xml:space="preserve">worldwide </w:t>
      </w:r>
      <w:commentRangeStart w:id="20"/>
      <w:r w:rsidRPr="007714B7">
        <w:t>[2].</w:t>
      </w:r>
      <w:r w:rsidRPr="007714B7">
        <w:rPr>
          <w:lang w:val="en-US"/>
        </w:rPr>
        <w:t xml:space="preserve"> </w:t>
      </w:r>
      <w:commentRangeEnd w:id="20"/>
      <w:r w:rsidR="00021808">
        <w:rPr>
          <w:rStyle w:val="CommentReference"/>
        </w:rPr>
        <w:commentReference w:id="20"/>
      </w:r>
      <w:r w:rsidRPr="007714B7">
        <w:rPr>
          <w:lang w:val="en-US"/>
        </w:rPr>
        <w:t xml:space="preserve">Surgical treatment is not </w:t>
      </w:r>
      <w:r w:rsidRPr="000B023A">
        <w:rPr>
          <w:lang w:val="en-US"/>
        </w:rPr>
        <w:t xml:space="preserve">always </w:t>
      </w:r>
      <w:r w:rsidRPr="007714B7">
        <w:rPr>
          <w:lang w:val="en-US"/>
        </w:rPr>
        <w:t xml:space="preserve">necessary for </w:t>
      </w:r>
      <w:r>
        <w:rPr>
          <w:lang w:val="en-US"/>
        </w:rPr>
        <w:t>TBN</w:t>
      </w:r>
      <w:r w:rsidRPr="007714B7">
        <w:rPr>
          <w:lang w:val="en-US"/>
        </w:rPr>
        <w:t xml:space="preserve"> whereas </w:t>
      </w:r>
      <w:commentRangeEnd w:id="17"/>
      <w:r w:rsidR="00BA548B">
        <w:rPr>
          <w:rStyle w:val="CommentReference"/>
        </w:rPr>
        <w:commentReference w:id="17"/>
      </w:r>
      <w:r w:rsidRPr="007714B7">
        <w:rPr>
          <w:lang w:val="en-US"/>
        </w:rPr>
        <w:t xml:space="preserve">surgical treatment is required in </w:t>
      </w:r>
      <w:r>
        <w:rPr>
          <w:lang w:val="en-US"/>
        </w:rPr>
        <w:t>TMN</w:t>
      </w:r>
      <w:r w:rsidRPr="007714B7">
        <w:rPr>
          <w:lang w:val="en-US"/>
        </w:rPr>
        <w:t xml:space="preserve">. Thus, differentiated </w:t>
      </w:r>
      <w:r>
        <w:rPr>
          <w:lang w:val="en-US"/>
        </w:rPr>
        <w:t>TBN</w:t>
      </w:r>
      <w:r w:rsidRPr="007714B7">
        <w:rPr>
          <w:lang w:val="en-US"/>
        </w:rPr>
        <w:t xml:space="preserve"> and </w:t>
      </w:r>
      <w:r>
        <w:rPr>
          <w:lang w:val="en-US"/>
        </w:rPr>
        <w:t>TMN</w:t>
      </w:r>
      <w:r w:rsidRPr="007714B7">
        <w:rPr>
          <w:lang w:val="en-US"/>
        </w:rPr>
        <w:t xml:space="preserve"> have a great influence on thyroid therapy.</w:t>
      </w:r>
    </w:p>
    <w:p w:rsidR="00BC48BA" w:rsidRPr="00612FCA" w:rsidRDefault="00BC48BA" w:rsidP="00BC48BA">
      <w:pPr>
        <w:jc w:val="both"/>
        <w:rPr>
          <w:lang w:val="en-US"/>
        </w:rPr>
      </w:pPr>
      <w:r w:rsidRPr="00D4162C">
        <w:rPr>
          <w:lang w:val="en-US"/>
        </w:rPr>
        <w:t>Ultrasound (US)</w:t>
      </w:r>
      <w:r>
        <w:rPr>
          <w:lang w:val="en-US"/>
        </w:rPr>
        <w:t xml:space="preserve"> </w:t>
      </w:r>
      <w:r w:rsidRPr="007714B7">
        <w:rPr>
          <w:lang w:val="en-US"/>
        </w:rPr>
        <w:t>examination widely use as the primary method for early detection and diagnosis of the TN</w:t>
      </w:r>
      <w:r>
        <w:rPr>
          <w:lang w:val="en-US"/>
        </w:rPr>
        <w:t>s</w:t>
      </w:r>
      <w:r w:rsidRPr="007714B7">
        <w:rPr>
          <w:lang w:val="en-US"/>
        </w:rPr>
        <w:t xml:space="preserve">. However, there are many similarities in the </w:t>
      </w:r>
      <w:r>
        <w:rPr>
          <w:lang w:val="en-US"/>
        </w:rPr>
        <w:t>US</w:t>
      </w:r>
      <w:r w:rsidRPr="007714B7">
        <w:rPr>
          <w:lang w:val="en-US"/>
        </w:rPr>
        <w:t xml:space="preserve"> characteristics </w:t>
      </w:r>
      <w:r w:rsidRPr="000B023A">
        <w:rPr>
          <w:lang w:val="en-US"/>
        </w:rPr>
        <w:t>of both TBN and TMN</w:t>
      </w:r>
      <w:r w:rsidR="00830B9D">
        <w:rPr>
          <w:lang w:val="en-US"/>
        </w:rPr>
        <w:t>.</w:t>
      </w:r>
      <w:r w:rsidRPr="000B023A">
        <w:rPr>
          <w:lang w:val="en-US"/>
        </w:rPr>
        <w:t xml:space="preserve"> </w:t>
      </w:r>
      <w:r w:rsidRPr="007714B7">
        <w:rPr>
          <w:lang w:val="en-US"/>
        </w:rPr>
        <w:t xml:space="preserve">For misdiagnosis prevention some computer-diagnosis systems based on the analysis of </w:t>
      </w:r>
      <w:r>
        <w:rPr>
          <w:lang w:val="en-US"/>
        </w:rPr>
        <w:t>US</w:t>
      </w:r>
      <w:r w:rsidRPr="007714B7">
        <w:rPr>
          <w:lang w:val="en-US"/>
        </w:rPr>
        <w:t xml:space="preserve"> images </w:t>
      </w:r>
      <w:r w:rsidRPr="007714B7">
        <w:rPr>
          <w:lang w:val="en-US"/>
        </w:rPr>
        <w:lastRenderedPageBreak/>
        <w:t xml:space="preserve">were developed, however </w:t>
      </w:r>
      <w:r w:rsidR="00830B9D">
        <w:t>a</w:t>
      </w:r>
      <w:r w:rsidRPr="007714B7">
        <w:rPr>
          <w:lang w:val="en-US"/>
        </w:rPr>
        <w:t xml:space="preserve">s usual these systems for the diagnosis of </w:t>
      </w:r>
      <w:r w:rsidRPr="000B023A">
        <w:rPr>
          <w:lang w:val="en-US"/>
        </w:rPr>
        <w:t xml:space="preserve">TMN </w:t>
      </w:r>
      <w:r w:rsidRPr="007714B7">
        <w:rPr>
          <w:lang w:val="en-US"/>
        </w:rPr>
        <w:t xml:space="preserve">showed accuracy, sensitivity, and specificity nearly 80% </w:t>
      </w:r>
      <w:commentRangeStart w:id="21"/>
      <w:r w:rsidRPr="007714B7">
        <w:rPr>
          <w:lang w:val="en-US"/>
        </w:rPr>
        <w:t>[2</w:t>
      </w:r>
      <w:r w:rsidR="00830B9D">
        <w:rPr>
          <w:lang w:val="en-US"/>
        </w:rPr>
        <w:t>,3</w:t>
      </w:r>
      <w:r w:rsidRPr="007714B7">
        <w:rPr>
          <w:lang w:val="en-US"/>
        </w:rPr>
        <w:t xml:space="preserve">]. </w:t>
      </w:r>
      <w:commentRangeEnd w:id="21"/>
      <w:r w:rsidR="00D4162C">
        <w:rPr>
          <w:rStyle w:val="CommentReference"/>
        </w:rPr>
        <w:commentReference w:id="21"/>
      </w:r>
      <w:commentRangeStart w:id="22"/>
      <w:r w:rsidRPr="007714B7">
        <w:rPr>
          <w:lang w:val="en-US"/>
        </w:rPr>
        <w:t xml:space="preserve">Therefore, when </w:t>
      </w:r>
      <w:r w:rsidRPr="007714B7">
        <w:t xml:space="preserve">US </w:t>
      </w:r>
      <w:r w:rsidRPr="007714B7">
        <w:rPr>
          <w:lang w:val="en-US"/>
        </w:rPr>
        <w:t xml:space="preserve">examination </w:t>
      </w:r>
      <w:r w:rsidRPr="007714B7">
        <w:t xml:space="preserve">shows suspicious signs, an </w:t>
      </w:r>
      <w:r>
        <w:rPr>
          <w:lang w:val="en-US"/>
        </w:rPr>
        <w:t>US</w:t>
      </w:r>
      <w:r w:rsidRPr="007714B7">
        <w:rPr>
          <w:lang w:val="en-US"/>
        </w:rPr>
        <w:t xml:space="preserve">-guided </w:t>
      </w:r>
      <w:r w:rsidRPr="007714B7">
        <w:t xml:space="preserve">fine-needle aspiration biopsy is advised. </w:t>
      </w:r>
      <w:r w:rsidRPr="007714B7">
        <w:rPr>
          <w:lang w:val="en-US"/>
        </w:rPr>
        <w:t xml:space="preserve">Despite </w:t>
      </w:r>
      <w:r w:rsidRPr="007714B7">
        <w:t xml:space="preserve">the </w:t>
      </w:r>
      <w:r w:rsidRPr="007714B7">
        <w:rPr>
          <w:lang w:val="en-US"/>
        </w:rPr>
        <w:t xml:space="preserve">fine needle aspiration biopsy has remained the diagnostic tool of choice for evaluation of US </w:t>
      </w:r>
      <w:r w:rsidRPr="007714B7">
        <w:t>suspicious</w:t>
      </w:r>
      <w:r w:rsidRPr="007714B7">
        <w:rPr>
          <w:lang w:val="en-US"/>
        </w:rPr>
        <w:t xml:space="preserve"> thyroid nodules, the differentiation of </w:t>
      </w:r>
      <w:r>
        <w:rPr>
          <w:lang w:val="en-US"/>
        </w:rPr>
        <w:t>TMN</w:t>
      </w:r>
      <w:r w:rsidRPr="007714B7">
        <w:rPr>
          <w:lang w:val="en-US"/>
        </w:rPr>
        <w:t xml:space="preserve"> often remains a diagnostic and clinical challenge since up to 30% of nodules are categorized as cytologically “indeterminate” </w:t>
      </w:r>
      <w:commentRangeStart w:id="23"/>
      <w:r w:rsidRPr="007714B7">
        <w:rPr>
          <w:lang w:val="en-US"/>
        </w:rPr>
        <w:t>[4].</w:t>
      </w:r>
      <w:commentRangeEnd w:id="23"/>
      <w:r w:rsidR="00D4162C">
        <w:rPr>
          <w:rStyle w:val="CommentReference"/>
        </w:rPr>
        <w:commentReference w:id="23"/>
      </w:r>
      <w:r w:rsidRPr="007714B7">
        <w:rPr>
          <w:lang w:val="en-US"/>
        </w:rPr>
        <w:t xml:space="preserve"> Thus, to improve diagnostic accuracy of </w:t>
      </w:r>
      <w:r>
        <w:rPr>
          <w:lang w:val="en-US"/>
        </w:rPr>
        <w:t>TMN</w:t>
      </w:r>
      <w:r w:rsidRPr="007714B7">
        <w:rPr>
          <w:lang w:val="en-US"/>
        </w:rPr>
        <w:t xml:space="preserve">, new technologies have to be developed for clinical applications. However, a recent </w:t>
      </w:r>
      <w:r w:rsidRPr="007714B7">
        <w:rPr>
          <w:bCs/>
          <w:kern w:val="36"/>
          <w:lang w:val="en-US"/>
        </w:rPr>
        <w:t>systematic review and meta-analysis of molecular tests in the preoperative diagnosis of indeterminate TN</w:t>
      </w:r>
      <w:r>
        <w:rPr>
          <w:bCs/>
          <w:kern w:val="36"/>
          <w:lang w:val="en-US"/>
        </w:rPr>
        <w:t>s</w:t>
      </w:r>
      <w:r w:rsidRPr="007714B7">
        <w:rPr>
          <w:bCs/>
          <w:kern w:val="36"/>
          <w:lang w:val="en-US"/>
        </w:rPr>
        <w:t xml:space="preserve"> shown </w:t>
      </w:r>
      <w:r w:rsidRPr="007714B7">
        <w:rPr>
          <w:color w:val="000000"/>
          <w:lang w:val="en-US"/>
        </w:rPr>
        <w:t xml:space="preserve">that at the current time there is no perfect biochemical, immunological, and genetic biomarkers to discriminate malignancy </w:t>
      </w:r>
      <w:commentRangeStart w:id="24"/>
      <w:r w:rsidRPr="007714B7">
        <w:rPr>
          <w:color w:val="000000"/>
          <w:lang w:val="en-US"/>
        </w:rPr>
        <w:t xml:space="preserve">[5]. </w:t>
      </w:r>
      <w:commentRangeEnd w:id="24"/>
      <w:r w:rsidR="00AA5685">
        <w:rPr>
          <w:rStyle w:val="CommentReference"/>
        </w:rPr>
        <w:commentReference w:id="24"/>
      </w:r>
      <w:r w:rsidRPr="007714B7">
        <w:rPr>
          <w:lang w:val="en-US"/>
        </w:rPr>
        <w:t xml:space="preserve">Therefore, further improvements </w:t>
      </w:r>
      <w:r>
        <w:rPr>
          <w:lang w:val="en-US"/>
        </w:rPr>
        <w:t>of TMN</w:t>
      </w:r>
      <w:r w:rsidRPr="007714B7">
        <w:rPr>
          <w:lang w:val="en-US"/>
        </w:rPr>
        <w:t xml:space="preserve"> diagnostic accuracy are warranted.</w:t>
      </w:r>
      <w:r>
        <w:rPr>
          <w:lang w:val="en-US"/>
        </w:rPr>
        <w:t xml:space="preserve">  </w:t>
      </w:r>
      <w:commentRangeEnd w:id="22"/>
      <w:r w:rsidR="00BA548B">
        <w:rPr>
          <w:rStyle w:val="CommentReference"/>
        </w:rPr>
        <w:commentReference w:id="22"/>
      </w:r>
    </w:p>
    <w:p w:rsidR="00CC371C" w:rsidRPr="00CC371C" w:rsidRDefault="00ED63EE" w:rsidP="00CC371C">
      <w:pPr>
        <w:jc w:val="both"/>
        <w:rPr>
          <w:lang w:val="en-US"/>
        </w:rPr>
      </w:pPr>
      <w:r>
        <w:rPr>
          <w:lang w:val="en-US"/>
        </w:rPr>
        <w:t xml:space="preserve">During </w:t>
      </w:r>
      <w:commentRangeStart w:id="25"/>
      <w:r>
        <w:rPr>
          <w:lang w:val="en-US"/>
        </w:rPr>
        <w:t>the last decades i</w:t>
      </w:r>
      <w:r w:rsidR="00CC371C" w:rsidRPr="00CC371C">
        <w:rPr>
          <w:lang w:val="en-US"/>
        </w:rPr>
        <w:t xml:space="preserve">t was demonstrated that besides the iodine deficiency and excess many other dietary, environmental, and occupational factors are associated with the </w:t>
      </w:r>
      <w:r w:rsidR="00BB744D">
        <w:rPr>
          <w:lang w:val="en-US"/>
        </w:rPr>
        <w:t>TN</w:t>
      </w:r>
      <w:r>
        <w:rPr>
          <w:lang w:val="en-US"/>
        </w:rPr>
        <w:t>s</w:t>
      </w:r>
      <w:r w:rsidR="00BB744D" w:rsidRPr="00CC371C">
        <w:rPr>
          <w:lang w:val="en-US"/>
        </w:rPr>
        <w:t xml:space="preserve"> </w:t>
      </w:r>
      <w:r w:rsidR="00CC371C" w:rsidRPr="00CC371C">
        <w:rPr>
          <w:lang w:val="en-US"/>
        </w:rPr>
        <w:t>incidence</w:t>
      </w:r>
      <w:r w:rsidR="000E3121">
        <w:rPr>
          <w:lang w:val="en-US"/>
        </w:rPr>
        <w:t xml:space="preserve"> </w:t>
      </w:r>
      <w:commentRangeStart w:id="26"/>
      <w:commentRangeStart w:id="27"/>
      <w:r w:rsidR="000E3121" w:rsidRPr="009432E5">
        <w:rPr>
          <w:highlight w:val="yellow"/>
          <w:lang w:val="en-US"/>
        </w:rPr>
        <w:t>[</w:t>
      </w:r>
      <w:r w:rsidR="00BB744D" w:rsidRPr="00AA5685">
        <w:rPr>
          <w:lang w:val="en-US"/>
        </w:rPr>
        <w:t>3</w:t>
      </w:r>
      <w:commentRangeEnd w:id="26"/>
      <w:r w:rsidR="00660ECC">
        <w:rPr>
          <w:rStyle w:val="CommentReference"/>
        </w:rPr>
        <w:commentReference w:id="26"/>
      </w:r>
      <w:r w:rsidR="00BB744D" w:rsidRPr="00AA5685">
        <w:rPr>
          <w:lang w:val="en-US"/>
        </w:rPr>
        <w:t>,</w:t>
      </w:r>
      <w:r w:rsidR="00CC371C" w:rsidRPr="00AA5685">
        <w:rPr>
          <w:lang w:val="en-US"/>
        </w:rPr>
        <w:t>9-11</w:t>
      </w:r>
      <w:r w:rsidR="000E3121" w:rsidRPr="00AA5685">
        <w:rPr>
          <w:lang w:val="en-US"/>
        </w:rPr>
        <w:t>]</w:t>
      </w:r>
      <w:commentRangeEnd w:id="27"/>
      <w:r w:rsidR="00AA5685">
        <w:rPr>
          <w:rStyle w:val="CommentReference"/>
        </w:rPr>
        <w:commentReference w:id="27"/>
      </w:r>
      <w:r w:rsidR="00CC371C" w:rsidRPr="00AA5685">
        <w:rPr>
          <w:lang w:val="en-US"/>
        </w:rPr>
        <w:t>. Among these factors a disturbance of evolutionary stable input of many trace element</w:t>
      </w:r>
      <w:r w:rsidR="00CC371C" w:rsidRPr="00CC371C">
        <w:rPr>
          <w:lang w:val="en-US"/>
        </w:rPr>
        <w:t>s (TE</w:t>
      </w:r>
      <w:r w:rsidR="00CA5901">
        <w:rPr>
          <w:lang w:val="en-US"/>
        </w:rPr>
        <w:t>s</w:t>
      </w:r>
      <w:r w:rsidR="00CC371C" w:rsidRPr="00CC371C">
        <w:rPr>
          <w:lang w:val="en-US"/>
        </w:rPr>
        <w:t xml:space="preserve">) in human body after industrial revolution plays a significant role in etiology of </w:t>
      </w:r>
      <w:r w:rsidR="00BB744D">
        <w:rPr>
          <w:lang w:val="en-US"/>
        </w:rPr>
        <w:t>TN</w:t>
      </w:r>
      <w:r w:rsidR="00A01313">
        <w:rPr>
          <w:lang w:val="en-US"/>
        </w:rPr>
        <w:t>s</w:t>
      </w:r>
      <w:r w:rsidR="00BB744D" w:rsidRPr="00CC371C">
        <w:rPr>
          <w:lang w:val="en-US"/>
        </w:rPr>
        <w:t xml:space="preserve"> </w:t>
      </w:r>
      <w:commentRangeStart w:id="28"/>
      <w:r w:rsidR="000E3121">
        <w:rPr>
          <w:lang w:val="en-US"/>
        </w:rPr>
        <w:t>[</w:t>
      </w:r>
      <w:r w:rsidR="00CC371C" w:rsidRPr="000E3121">
        <w:rPr>
          <w:lang w:val="en-US"/>
        </w:rPr>
        <w:t>12</w:t>
      </w:r>
      <w:r w:rsidR="000E3121">
        <w:rPr>
          <w:lang w:val="en-US"/>
        </w:rPr>
        <w:t>]</w:t>
      </w:r>
      <w:r w:rsidR="006D115F">
        <w:rPr>
          <w:lang w:val="en-US"/>
        </w:rPr>
        <w:t xml:space="preserve">. </w:t>
      </w:r>
      <w:commentRangeEnd w:id="28"/>
      <w:r w:rsidR="00D449AC">
        <w:rPr>
          <w:rStyle w:val="CommentReference"/>
        </w:rPr>
        <w:commentReference w:id="28"/>
      </w:r>
      <w:r w:rsidR="00CC371C" w:rsidRPr="00CC371C">
        <w:rPr>
          <w:lang w:val="en-US"/>
        </w:rPr>
        <w:t>Besides iodine, many other TE</w:t>
      </w:r>
      <w:r w:rsidR="00CA5901">
        <w:rPr>
          <w:lang w:val="en-US"/>
        </w:rPr>
        <w:t>s</w:t>
      </w:r>
      <w:r w:rsidR="00CC371C" w:rsidRPr="00CC371C">
        <w:rPr>
          <w:lang w:val="en-US"/>
        </w:rPr>
        <w:t xml:space="preserve"> have also essential physiological </w:t>
      </w:r>
      <w:r w:rsidR="006D115F">
        <w:rPr>
          <w:lang w:val="en-US"/>
        </w:rPr>
        <w:t xml:space="preserve">role and involved in thyroid </w:t>
      </w:r>
      <w:r w:rsidR="00CC371C" w:rsidRPr="00CC371C">
        <w:rPr>
          <w:lang w:val="en-US"/>
        </w:rPr>
        <w:t>functions</w:t>
      </w:r>
      <w:r w:rsidR="000E3121">
        <w:rPr>
          <w:lang w:val="en-US"/>
        </w:rPr>
        <w:t xml:space="preserve"> </w:t>
      </w:r>
      <w:commentRangeStart w:id="29"/>
      <w:r w:rsidR="000E3121">
        <w:rPr>
          <w:lang w:val="en-US"/>
        </w:rPr>
        <w:t>[</w:t>
      </w:r>
      <w:r w:rsidR="00CC371C" w:rsidRPr="000E3121">
        <w:rPr>
          <w:lang w:val="en-US"/>
        </w:rPr>
        <w:t>13</w:t>
      </w:r>
      <w:r w:rsidR="000E3121">
        <w:rPr>
          <w:lang w:val="en-US"/>
        </w:rPr>
        <w:t>]</w:t>
      </w:r>
      <w:commentRangeEnd w:id="29"/>
      <w:r w:rsidR="00D449AC">
        <w:rPr>
          <w:rStyle w:val="CommentReference"/>
        </w:rPr>
        <w:commentReference w:id="29"/>
      </w:r>
      <w:r w:rsidR="00CC371C" w:rsidRPr="00CC371C">
        <w:rPr>
          <w:lang w:val="en-US"/>
        </w:rPr>
        <w:t>. Essential or toxic (goitrogenic, mutagenic, carcinogenic) properties of TE</w:t>
      </w:r>
      <w:r w:rsidR="00CA5901">
        <w:rPr>
          <w:lang w:val="en-US"/>
        </w:rPr>
        <w:t>s</w:t>
      </w:r>
      <w:r w:rsidR="00CC371C" w:rsidRPr="00CC371C">
        <w:rPr>
          <w:lang w:val="en-US"/>
        </w:rPr>
        <w:t xml:space="preserve"> depend on tissue-specific need or tolerance, respectively</w:t>
      </w:r>
      <w:r w:rsidR="000E3121">
        <w:rPr>
          <w:lang w:val="en-US"/>
        </w:rPr>
        <w:t xml:space="preserve"> </w:t>
      </w:r>
      <w:commentRangeStart w:id="30"/>
      <w:r w:rsidR="000E3121">
        <w:rPr>
          <w:lang w:val="en-US"/>
        </w:rPr>
        <w:t>[</w:t>
      </w:r>
      <w:r w:rsidR="00CC371C" w:rsidRPr="000E3121">
        <w:rPr>
          <w:lang w:val="en-US"/>
        </w:rPr>
        <w:t>13</w:t>
      </w:r>
      <w:r w:rsidR="000E3121">
        <w:rPr>
          <w:lang w:val="en-US"/>
        </w:rPr>
        <w:t>]</w:t>
      </w:r>
      <w:commentRangeEnd w:id="30"/>
      <w:r w:rsidR="00D449AC">
        <w:rPr>
          <w:rStyle w:val="CommentReference"/>
        </w:rPr>
        <w:commentReference w:id="30"/>
      </w:r>
      <w:r w:rsidR="00CC371C" w:rsidRPr="00CC371C">
        <w:rPr>
          <w:lang w:val="en-US"/>
        </w:rPr>
        <w:t>.</w:t>
      </w:r>
      <w:r w:rsidR="00CC371C" w:rsidRPr="00CC371C">
        <w:rPr>
          <w:vertAlign w:val="superscript"/>
          <w:lang w:val="en-US"/>
        </w:rPr>
        <w:t xml:space="preserve"> </w:t>
      </w:r>
      <w:r w:rsidR="00CC371C" w:rsidRPr="00CC371C">
        <w:rPr>
          <w:lang w:val="en-US"/>
        </w:rPr>
        <w:t>Excessive accumulation or an imbalance of the TE</w:t>
      </w:r>
      <w:r w:rsidR="00CA5901">
        <w:rPr>
          <w:lang w:val="en-US"/>
        </w:rPr>
        <w:t>s</w:t>
      </w:r>
      <w:r w:rsidR="00CC371C" w:rsidRPr="00CC371C">
        <w:rPr>
          <w:lang w:val="en-US"/>
        </w:rPr>
        <w:t xml:space="preserve"> may disturb the cell functions and may result in cellular </w:t>
      </w:r>
      <w:r w:rsidR="000E3121">
        <w:rPr>
          <w:lang w:val="en-US"/>
        </w:rPr>
        <w:t xml:space="preserve">proliferation, </w:t>
      </w:r>
      <w:r w:rsidR="00CC371C" w:rsidRPr="00CC371C">
        <w:rPr>
          <w:lang w:val="en-US"/>
        </w:rPr>
        <w:t>degeneration, death, benign or malignant transformation</w:t>
      </w:r>
      <w:r w:rsidR="000E3121">
        <w:rPr>
          <w:lang w:val="en-US"/>
        </w:rPr>
        <w:t xml:space="preserve"> </w:t>
      </w:r>
      <w:commentRangeEnd w:id="25"/>
      <w:r w:rsidR="00BA548B">
        <w:rPr>
          <w:rStyle w:val="CommentReference"/>
        </w:rPr>
        <w:commentReference w:id="25"/>
      </w:r>
      <w:commentRangeStart w:id="31"/>
      <w:r w:rsidR="000E3121">
        <w:rPr>
          <w:lang w:val="en-US"/>
        </w:rPr>
        <w:t>[</w:t>
      </w:r>
      <w:r w:rsidR="00CC371C" w:rsidRPr="000E3121">
        <w:rPr>
          <w:lang w:val="en-US"/>
        </w:rPr>
        <w:t>13-15</w:t>
      </w:r>
      <w:r w:rsidR="000E3121">
        <w:rPr>
          <w:lang w:val="en-US"/>
        </w:rPr>
        <w:t>]</w:t>
      </w:r>
      <w:commentRangeEnd w:id="31"/>
      <w:r w:rsidR="00D449AC">
        <w:rPr>
          <w:rStyle w:val="CommentReference"/>
        </w:rPr>
        <w:commentReference w:id="31"/>
      </w:r>
      <w:r w:rsidR="00CC371C" w:rsidRPr="00CC371C">
        <w:rPr>
          <w:lang w:val="en-US"/>
        </w:rPr>
        <w:t>.</w:t>
      </w:r>
      <w:r w:rsidR="00CC371C" w:rsidRPr="00CC371C">
        <w:rPr>
          <w:vertAlign w:val="superscript"/>
          <w:lang w:val="en-US"/>
        </w:rPr>
        <w:t xml:space="preserve"> </w:t>
      </w:r>
      <w:r w:rsidR="00CC371C" w:rsidRPr="00CC371C">
        <w:rPr>
          <w:lang w:val="en-US"/>
        </w:rPr>
        <w:t xml:space="preserve">   </w:t>
      </w:r>
    </w:p>
    <w:p w:rsidR="00CC371C" w:rsidRDefault="00CC371C" w:rsidP="00CC371C">
      <w:pPr>
        <w:jc w:val="both"/>
        <w:rPr>
          <w:lang w:val="en-US"/>
        </w:rPr>
      </w:pPr>
      <w:r w:rsidRPr="00CC371C">
        <w:rPr>
          <w:lang w:val="en-US"/>
        </w:rPr>
        <w:t xml:space="preserve">In </w:t>
      </w:r>
      <w:commentRangeStart w:id="32"/>
      <w:r w:rsidRPr="00CC371C">
        <w:rPr>
          <w:lang w:val="en-US"/>
        </w:rPr>
        <w:t xml:space="preserve">our previous studies the complex of </w:t>
      </w:r>
      <w:r w:rsidRPr="00CC371C">
        <w:rPr>
          <w:i/>
          <w:lang w:val="en-US"/>
        </w:rPr>
        <w:t>in vivo</w:t>
      </w:r>
      <w:r w:rsidRPr="00CC371C">
        <w:rPr>
          <w:lang w:val="en-US"/>
        </w:rPr>
        <w:t xml:space="preserve"> and </w:t>
      </w:r>
      <w:r w:rsidRPr="00CC371C">
        <w:rPr>
          <w:i/>
          <w:lang w:val="en-US"/>
        </w:rPr>
        <w:t>in vitro</w:t>
      </w:r>
      <w:r w:rsidRPr="00CC371C">
        <w:rPr>
          <w:lang w:val="en-US"/>
        </w:rPr>
        <w:t xml:space="preserve"> nuclear analytical and related methods was developed and used for the investigation of </w:t>
      </w:r>
      <w:r w:rsidRPr="00064AFB">
        <w:rPr>
          <w:lang w:val="en-US"/>
        </w:rPr>
        <w:t>iodine and other TE</w:t>
      </w:r>
      <w:r w:rsidR="00CA5901" w:rsidRPr="00064AFB">
        <w:rPr>
          <w:lang w:val="en-US"/>
        </w:rPr>
        <w:t>s</w:t>
      </w:r>
      <w:r w:rsidRPr="00064AFB">
        <w:rPr>
          <w:lang w:val="en-US"/>
        </w:rPr>
        <w:t xml:space="preserve"> contents</w:t>
      </w:r>
      <w:r w:rsidRPr="00CC371C">
        <w:rPr>
          <w:lang w:val="en-US"/>
        </w:rPr>
        <w:t xml:space="preserve"> in the normal and pathological thyroid</w:t>
      </w:r>
      <w:r w:rsidR="00410FCA">
        <w:rPr>
          <w:lang w:val="en-US"/>
        </w:rPr>
        <w:t xml:space="preserve"> </w:t>
      </w:r>
      <w:commentRangeStart w:id="33"/>
      <w:r w:rsidR="00410FCA">
        <w:rPr>
          <w:lang w:val="en-US"/>
        </w:rPr>
        <w:t>[</w:t>
      </w:r>
      <w:r w:rsidRPr="00410FCA">
        <w:rPr>
          <w:lang w:val="en-US"/>
        </w:rPr>
        <w:t>16-22</w:t>
      </w:r>
      <w:commentRangeEnd w:id="33"/>
      <w:r w:rsidR="00D449AC">
        <w:rPr>
          <w:rStyle w:val="CommentReference"/>
        </w:rPr>
        <w:commentReference w:id="33"/>
      </w:r>
      <w:r w:rsidR="00410FCA">
        <w:rPr>
          <w:lang w:val="en-US"/>
        </w:rPr>
        <w:t>]</w:t>
      </w:r>
      <w:r w:rsidRPr="00CC371C">
        <w:rPr>
          <w:lang w:val="en-US"/>
        </w:rPr>
        <w:t>. Iodine level in the normal thyroid was investigated in relation to age, gender and some non-thyroidal diseases</w:t>
      </w:r>
      <w:r w:rsidR="00410FCA">
        <w:rPr>
          <w:lang w:val="en-US"/>
        </w:rPr>
        <w:t xml:space="preserve"> </w:t>
      </w:r>
      <w:commentRangeStart w:id="34"/>
      <w:r w:rsidR="00410FCA">
        <w:rPr>
          <w:lang w:val="en-US"/>
        </w:rPr>
        <w:t>[</w:t>
      </w:r>
      <w:r w:rsidRPr="00410FCA">
        <w:rPr>
          <w:lang w:val="en-US"/>
        </w:rPr>
        <w:t>23,24</w:t>
      </w:r>
      <w:r w:rsidR="00410FCA">
        <w:rPr>
          <w:lang w:val="en-US"/>
        </w:rPr>
        <w:t>]</w:t>
      </w:r>
      <w:r w:rsidRPr="00CC371C">
        <w:rPr>
          <w:lang w:val="en-US"/>
        </w:rPr>
        <w:t xml:space="preserve">. </w:t>
      </w:r>
      <w:commentRangeEnd w:id="34"/>
      <w:r w:rsidR="00D449AC">
        <w:rPr>
          <w:rStyle w:val="CommentReference"/>
        </w:rPr>
        <w:commentReference w:id="34"/>
      </w:r>
      <w:r w:rsidRPr="00CC371C">
        <w:rPr>
          <w:lang w:val="en-US"/>
        </w:rPr>
        <w:t>After that, variations of many TE</w:t>
      </w:r>
      <w:r w:rsidR="00CA5901">
        <w:rPr>
          <w:lang w:val="en-US"/>
        </w:rPr>
        <w:t>s</w:t>
      </w:r>
      <w:r w:rsidRPr="00CC371C">
        <w:rPr>
          <w:lang w:val="en-US"/>
        </w:rPr>
        <w:t xml:space="preserve"> content with age in the thyroid of males and females were studied and age- and gender-dependence of some TE</w:t>
      </w:r>
      <w:r w:rsidR="00CA5901">
        <w:rPr>
          <w:lang w:val="en-US"/>
        </w:rPr>
        <w:t>s</w:t>
      </w:r>
      <w:r w:rsidRPr="00CC371C">
        <w:rPr>
          <w:lang w:val="en-US"/>
        </w:rPr>
        <w:t xml:space="preserve"> was observed</w:t>
      </w:r>
      <w:r w:rsidR="00410FCA">
        <w:rPr>
          <w:lang w:val="en-US"/>
        </w:rPr>
        <w:t xml:space="preserve"> </w:t>
      </w:r>
      <w:commentRangeEnd w:id="32"/>
      <w:r w:rsidR="00BA548B">
        <w:rPr>
          <w:rStyle w:val="CommentReference"/>
        </w:rPr>
        <w:commentReference w:id="32"/>
      </w:r>
      <w:commentRangeStart w:id="35"/>
      <w:r w:rsidR="00410FCA">
        <w:rPr>
          <w:lang w:val="en-US"/>
        </w:rPr>
        <w:t>[</w:t>
      </w:r>
      <w:r w:rsidRPr="00410FCA">
        <w:rPr>
          <w:lang w:val="en-US"/>
        </w:rPr>
        <w:t>25-41</w:t>
      </w:r>
      <w:r w:rsidR="00410FCA">
        <w:rPr>
          <w:lang w:val="en-US"/>
        </w:rPr>
        <w:t>]</w:t>
      </w:r>
      <w:r w:rsidRPr="00CC371C">
        <w:rPr>
          <w:lang w:val="en-US"/>
        </w:rPr>
        <w:t xml:space="preserve">. </w:t>
      </w:r>
      <w:commentRangeEnd w:id="35"/>
      <w:r w:rsidR="00D449AC">
        <w:rPr>
          <w:rStyle w:val="CommentReference"/>
        </w:rPr>
        <w:commentReference w:id="35"/>
      </w:r>
      <w:r w:rsidRPr="00CC371C">
        <w:rPr>
          <w:lang w:val="en-US"/>
        </w:rPr>
        <w:t>Furthermore, a significant difference between some TE</w:t>
      </w:r>
      <w:r w:rsidR="00CA5901">
        <w:rPr>
          <w:lang w:val="en-US"/>
        </w:rPr>
        <w:t>s</w:t>
      </w:r>
      <w:r w:rsidRPr="00CC371C">
        <w:rPr>
          <w:lang w:val="en-US"/>
        </w:rPr>
        <w:t xml:space="preserve"> contents in </w:t>
      </w:r>
      <w:r w:rsidR="00410FCA">
        <w:rPr>
          <w:lang w:val="en-US"/>
        </w:rPr>
        <w:t>colloid goiter, thyroiditis,</w:t>
      </w:r>
      <w:r w:rsidRPr="00CC371C">
        <w:rPr>
          <w:lang w:val="en-US"/>
        </w:rPr>
        <w:t xml:space="preserve"> </w:t>
      </w:r>
      <w:r w:rsidR="00410FCA">
        <w:rPr>
          <w:lang w:val="en-US"/>
        </w:rPr>
        <w:t>thyroid adenoma</w:t>
      </w:r>
      <w:r w:rsidR="00A42943">
        <w:rPr>
          <w:lang w:val="en-US"/>
        </w:rPr>
        <w:t>,</w:t>
      </w:r>
      <w:r w:rsidR="009E398C">
        <w:rPr>
          <w:lang w:val="en-US"/>
        </w:rPr>
        <w:t xml:space="preserve"> and cancer</w:t>
      </w:r>
      <w:r w:rsidRPr="00CC371C">
        <w:rPr>
          <w:lang w:val="en-US"/>
        </w:rPr>
        <w:t xml:space="preserve"> in comparison with normal thyroid </w:t>
      </w:r>
      <w:r w:rsidR="0006544E">
        <w:rPr>
          <w:spacing w:val="1"/>
          <w:lang w:val="en-GB"/>
        </w:rPr>
        <w:t>and thyroid t</w:t>
      </w:r>
      <w:r w:rsidR="0006544E" w:rsidRPr="00372BEA">
        <w:rPr>
          <w:spacing w:val="1"/>
          <w:lang w:val="en-GB"/>
        </w:rPr>
        <w:t xml:space="preserve">issue adjacent to </w:t>
      </w:r>
      <w:r w:rsidR="0006544E">
        <w:rPr>
          <w:spacing w:val="1"/>
          <w:lang w:val="en-GB"/>
        </w:rPr>
        <w:t>TNs</w:t>
      </w:r>
      <w:r w:rsidR="0006544E" w:rsidRPr="00CC371C">
        <w:rPr>
          <w:lang w:val="en-US"/>
        </w:rPr>
        <w:t xml:space="preserve"> </w:t>
      </w:r>
      <w:r w:rsidRPr="00CC371C">
        <w:rPr>
          <w:lang w:val="en-US"/>
        </w:rPr>
        <w:t>was demonstrated</w:t>
      </w:r>
      <w:r w:rsidR="00410FCA">
        <w:rPr>
          <w:lang w:val="en-US"/>
        </w:rPr>
        <w:t xml:space="preserve"> </w:t>
      </w:r>
      <w:commentRangeStart w:id="36"/>
      <w:r w:rsidR="00410FCA" w:rsidRPr="00137EA5">
        <w:rPr>
          <w:lang w:val="en-US"/>
        </w:rPr>
        <w:t>[</w:t>
      </w:r>
      <w:r w:rsidRPr="00AC6C70">
        <w:rPr>
          <w:highlight w:val="yellow"/>
          <w:lang w:val="en-US"/>
        </w:rPr>
        <w:t>42-4</w:t>
      </w:r>
      <w:r w:rsidR="0006544E" w:rsidRPr="00AC6C70">
        <w:rPr>
          <w:highlight w:val="yellow"/>
          <w:lang w:val="en-US"/>
        </w:rPr>
        <w:t>8</w:t>
      </w:r>
      <w:commentRangeEnd w:id="36"/>
      <w:r w:rsidR="006B3D4B">
        <w:rPr>
          <w:rStyle w:val="CommentReference"/>
        </w:rPr>
        <w:commentReference w:id="36"/>
      </w:r>
      <w:r w:rsidR="00410FCA" w:rsidRPr="00AC6C70">
        <w:rPr>
          <w:highlight w:val="yellow"/>
          <w:lang w:val="en-US"/>
        </w:rPr>
        <w:t>]</w:t>
      </w:r>
      <w:r w:rsidRPr="00AC6C70">
        <w:rPr>
          <w:highlight w:val="yellow"/>
          <w:lang w:val="en-US"/>
        </w:rPr>
        <w:t>.</w:t>
      </w:r>
      <w:r w:rsidRPr="00CC371C">
        <w:rPr>
          <w:lang w:val="en-US"/>
        </w:rPr>
        <w:t xml:space="preserve">  </w:t>
      </w:r>
    </w:p>
    <w:p w:rsidR="00A21585" w:rsidRPr="00523EB8" w:rsidRDefault="00523EB8" w:rsidP="00CC371C">
      <w:pPr>
        <w:jc w:val="both"/>
        <w:rPr>
          <w:lang w:val="en-US"/>
        </w:rPr>
      </w:pPr>
      <w:commentRangeStart w:id="37"/>
      <w:r w:rsidRPr="00523EB8">
        <w:rPr>
          <w:lang w:val="en-US"/>
        </w:rPr>
        <w:t>T</w:t>
      </w:r>
      <w:r w:rsidR="00A21585" w:rsidRPr="00523EB8">
        <w:rPr>
          <w:rFonts w:eastAsia="AdvP4DF60E"/>
          <w:lang w:val="en-US"/>
        </w:rPr>
        <w:t xml:space="preserve">he present study </w:t>
      </w:r>
      <w:r w:rsidR="00A21585" w:rsidRPr="00523EB8">
        <w:rPr>
          <w:lang w:val="en-US"/>
        </w:rPr>
        <w:t xml:space="preserve">had two aims. The main objective was to assess </w:t>
      </w:r>
      <w:r w:rsidR="00A21585" w:rsidRPr="00FA0A4E">
        <w:rPr>
          <w:lang w:val="en-US"/>
        </w:rPr>
        <w:t xml:space="preserve">the </w:t>
      </w:r>
      <w:r w:rsidR="00180E90" w:rsidRPr="00FA0A4E">
        <w:rPr>
          <w:lang w:val="en-US"/>
        </w:rPr>
        <w:t>bromine (Br), copper (Cu), iron (Fe), iodine (I), rubidium (Rb), strontium (Sr), and zinc (Zn</w:t>
      </w:r>
      <w:r w:rsidR="00180E90" w:rsidRPr="00FA0A4E">
        <w:rPr>
          <w:bCs/>
          <w:lang w:val="en-US"/>
        </w:rPr>
        <w:t>)</w:t>
      </w:r>
      <w:r w:rsidR="00180E90" w:rsidRPr="00A677E3">
        <w:rPr>
          <w:bCs/>
          <w:lang w:val="en-US"/>
        </w:rPr>
        <w:t xml:space="preserve"> </w:t>
      </w:r>
      <w:r w:rsidR="00A21585" w:rsidRPr="00523EB8">
        <w:rPr>
          <w:lang w:val="en-US"/>
        </w:rPr>
        <w:t>contents</w:t>
      </w:r>
      <w:r w:rsidR="00FA0A4E">
        <w:rPr>
          <w:lang w:val="en-US"/>
        </w:rPr>
        <w:t xml:space="preserve"> in “normal” thyroid</w:t>
      </w:r>
      <w:r w:rsidR="00850381">
        <w:rPr>
          <w:lang w:val="en-US"/>
        </w:rPr>
        <w:t xml:space="preserve"> (NT)</w:t>
      </w:r>
      <w:r w:rsidR="003239B3">
        <w:rPr>
          <w:lang w:val="en-US"/>
        </w:rPr>
        <w:t xml:space="preserve"> as well as</w:t>
      </w:r>
      <w:r w:rsidR="00A21585" w:rsidRPr="00523EB8">
        <w:rPr>
          <w:lang w:val="en-US"/>
        </w:rPr>
        <w:t xml:space="preserve"> in nodular tissue of patients who had either TBN or TMN using a combination of non-</w:t>
      </w:r>
      <w:r w:rsidR="00A21585" w:rsidRPr="00BB3823">
        <w:rPr>
          <w:lang w:val="en-US"/>
        </w:rPr>
        <w:t xml:space="preserve">destructive </w:t>
      </w:r>
      <w:r w:rsidR="00A21585" w:rsidRPr="00BB3823">
        <w:rPr>
          <w:vertAlign w:val="superscript"/>
          <w:lang w:val="en-GB"/>
        </w:rPr>
        <w:t>109</w:t>
      </w:r>
      <w:r w:rsidR="00A21585" w:rsidRPr="00BB3823">
        <w:rPr>
          <w:lang w:val="en-GB"/>
        </w:rPr>
        <w:t xml:space="preserve">Cd and </w:t>
      </w:r>
      <w:r w:rsidR="00A21585" w:rsidRPr="00BB3823">
        <w:rPr>
          <w:vertAlign w:val="superscript"/>
          <w:lang w:val="en-GB"/>
        </w:rPr>
        <w:t>241</w:t>
      </w:r>
      <w:r w:rsidR="00A21585" w:rsidRPr="00BB3823">
        <w:rPr>
          <w:lang w:val="en-GB"/>
        </w:rPr>
        <w:t xml:space="preserve">Am radionuclide-induced </w:t>
      </w:r>
      <w:r w:rsidR="00A21585" w:rsidRPr="00BB3823">
        <w:rPr>
          <w:lang w:val="en-US" w:eastAsia="en-US"/>
        </w:rPr>
        <w:t>energy-dispersive X-ray fluorescent</w:t>
      </w:r>
      <w:r w:rsidR="00A21585" w:rsidRPr="00BB3823">
        <w:rPr>
          <w:lang w:val="en-GB"/>
        </w:rPr>
        <w:t xml:space="preserve"> analysis (</w:t>
      </w:r>
      <w:r w:rsidR="00A21585" w:rsidRPr="00BB3823">
        <w:rPr>
          <w:vertAlign w:val="superscript"/>
          <w:lang w:val="en-GB"/>
        </w:rPr>
        <w:t>109</w:t>
      </w:r>
      <w:r w:rsidR="00A21585" w:rsidRPr="00BB3823">
        <w:rPr>
          <w:lang w:val="en-GB"/>
        </w:rPr>
        <w:t>Cd</w:t>
      </w:r>
      <w:r w:rsidR="009107FA" w:rsidRPr="00BB3823">
        <w:rPr>
          <w:lang w:val="en-GB"/>
        </w:rPr>
        <w:t>-</w:t>
      </w:r>
      <w:r w:rsidR="00A21585" w:rsidRPr="00BB3823">
        <w:rPr>
          <w:lang w:val="en-GB"/>
        </w:rPr>
        <w:t xml:space="preserve">EDXRF and </w:t>
      </w:r>
      <w:r w:rsidR="00A21585" w:rsidRPr="00BB3823">
        <w:rPr>
          <w:vertAlign w:val="superscript"/>
          <w:lang w:val="en-GB"/>
        </w:rPr>
        <w:t>241</w:t>
      </w:r>
      <w:r w:rsidR="00A21585" w:rsidRPr="00BB3823">
        <w:rPr>
          <w:lang w:val="en-GB"/>
        </w:rPr>
        <w:t>Am</w:t>
      </w:r>
      <w:r w:rsidR="009107FA" w:rsidRPr="00BB3823">
        <w:rPr>
          <w:lang w:val="en-GB"/>
        </w:rPr>
        <w:t>-</w:t>
      </w:r>
      <w:r w:rsidR="00A21585" w:rsidRPr="00BB3823">
        <w:rPr>
          <w:lang w:val="en-GB"/>
        </w:rPr>
        <w:t>EDXRF, respectively)</w:t>
      </w:r>
      <w:r w:rsidR="00A21585" w:rsidRPr="00BB3823">
        <w:rPr>
          <w:lang w:val="en-US"/>
        </w:rPr>
        <w:t>. The</w:t>
      </w:r>
      <w:r w:rsidR="00A21585" w:rsidRPr="00523EB8">
        <w:rPr>
          <w:lang w:val="en-US"/>
        </w:rPr>
        <w:t xml:space="preserve"> second aim was to </w:t>
      </w:r>
      <w:r w:rsidR="003239B3" w:rsidRPr="000A414B">
        <w:rPr>
          <w:lang w:val="en-US"/>
        </w:rPr>
        <w:t xml:space="preserve">evaluate </w:t>
      </w:r>
      <w:r w:rsidR="003239B3">
        <w:rPr>
          <w:lang w:val="en-US"/>
        </w:rPr>
        <w:t>TEs content to aid</w:t>
      </w:r>
      <w:r w:rsidR="003239B3" w:rsidRPr="000A414B">
        <w:rPr>
          <w:lang w:val="en-US"/>
        </w:rPr>
        <w:t xml:space="preserve"> diagnosis of </w:t>
      </w:r>
      <w:r w:rsidRPr="00523EB8">
        <w:rPr>
          <w:lang w:val="en-US"/>
        </w:rPr>
        <w:t>thyroid malignancy.</w:t>
      </w:r>
      <w:commentRangeEnd w:id="37"/>
      <w:r w:rsidR="00BB3823">
        <w:rPr>
          <w:rStyle w:val="CommentReference"/>
        </w:rPr>
        <w:commentReference w:id="37"/>
      </w:r>
    </w:p>
    <w:p w:rsidR="006B3D4B" w:rsidRDefault="006B3D4B" w:rsidP="006B3D4B">
      <w:pPr>
        <w:pStyle w:val="HTMLPreformatted"/>
        <w:shd w:val="clear" w:color="auto" w:fill="F8F9FA"/>
        <w:spacing w:line="360" w:lineRule="atLeast"/>
        <w:rPr>
          <w:rStyle w:val="y2iqfc"/>
          <w:rFonts w:ascii="inherit" w:hAnsi="inherit"/>
          <w:color w:val="202124"/>
          <w:sz w:val="28"/>
          <w:szCs w:val="28"/>
        </w:rPr>
      </w:pPr>
    </w:p>
    <w:p w:rsidR="00DA4B51" w:rsidRDefault="00DA4B51" w:rsidP="004D26EB">
      <w:pPr>
        <w:pStyle w:val="BodyText"/>
        <w:spacing w:after="0"/>
        <w:rPr>
          <w:b/>
          <w:bCs/>
          <w:caps/>
          <w:sz w:val="24"/>
          <w:szCs w:val="24"/>
          <w:lang w:val="en-US"/>
        </w:rPr>
      </w:pPr>
      <w:commentRangeStart w:id="38"/>
      <w:r w:rsidRPr="00990D8D">
        <w:rPr>
          <w:b/>
          <w:bCs/>
          <w:caps/>
          <w:sz w:val="24"/>
          <w:szCs w:val="24"/>
          <w:lang w:val="en-US"/>
        </w:rPr>
        <w:t>Material and Methods</w:t>
      </w:r>
      <w:commentRangeEnd w:id="38"/>
      <w:r w:rsidR="00D27928">
        <w:rPr>
          <w:rStyle w:val="CommentReference"/>
        </w:rPr>
        <w:commentReference w:id="38"/>
      </w:r>
    </w:p>
    <w:p w:rsidR="00990D8D" w:rsidRPr="00990D8D" w:rsidRDefault="00990D8D" w:rsidP="004D26EB">
      <w:pPr>
        <w:pStyle w:val="BodyText"/>
        <w:spacing w:after="0"/>
        <w:rPr>
          <w:b/>
          <w:bCs/>
          <w:caps/>
          <w:sz w:val="24"/>
          <w:szCs w:val="24"/>
          <w:lang w:val="en-US"/>
        </w:rPr>
      </w:pPr>
    </w:p>
    <w:p w:rsidR="003239B3" w:rsidRPr="00E50AA4" w:rsidRDefault="003239B3" w:rsidP="007B6321">
      <w:pPr>
        <w:pStyle w:val="BodyText"/>
        <w:spacing w:after="0"/>
        <w:jc w:val="both"/>
        <w:rPr>
          <w:b/>
          <w:bCs/>
          <w:sz w:val="24"/>
          <w:szCs w:val="24"/>
          <w:lang w:val="en-US"/>
        </w:rPr>
      </w:pPr>
      <w:commentRangeStart w:id="39"/>
      <w:r w:rsidRPr="007B6321">
        <w:rPr>
          <w:sz w:val="24"/>
          <w:szCs w:val="24"/>
          <w:lang w:val="en-US"/>
        </w:rPr>
        <w:t xml:space="preserve">Samples of the </w:t>
      </w:r>
      <w:r w:rsidR="00850381">
        <w:rPr>
          <w:sz w:val="24"/>
          <w:szCs w:val="24"/>
          <w:lang w:val="en-US"/>
        </w:rPr>
        <w:t xml:space="preserve">NT </w:t>
      </w:r>
      <w:r w:rsidRPr="007B6321">
        <w:rPr>
          <w:sz w:val="24"/>
          <w:szCs w:val="24"/>
          <w:lang w:val="en-US"/>
        </w:rPr>
        <w:t xml:space="preserve">were obtained from randomly selected autopsy specimens of </w:t>
      </w:r>
      <w:r w:rsidR="007B6321" w:rsidRPr="007B6321">
        <w:rPr>
          <w:sz w:val="24"/>
          <w:szCs w:val="24"/>
          <w:lang w:val="en-US"/>
        </w:rPr>
        <w:t>105 deceased (</w:t>
      </w:r>
      <w:r w:rsidR="007B6321" w:rsidRPr="007B6321">
        <w:rPr>
          <w:sz w:val="24"/>
          <w:szCs w:val="24"/>
        </w:rPr>
        <w:t>European-Caucasian,</w:t>
      </w:r>
      <w:r w:rsidR="007B6321" w:rsidRPr="007B6321">
        <w:rPr>
          <w:sz w:val="24"/>
          <w:szCs w:val="24"/>
          <w:lang w:val="en-US"/>
        </w:rPr>
        <w:t xml:space="preserve"> mean age 44</w:t>
      </w:r>
      <w:r w:rsidR="007B6321" w:rsidRPr="007B6321">
        <w:rPr>
          <w:sz w:val="24"/>
          <w:szCs w:val="24"/>
        </w:rPr>
        <w:sym w:font="Symbol" w:char="F0B1"/>
      </w:r>
      <w:r w:rsidR="007B6321" w:rsidRPr="007B6321">
        <w:rPr>
          <w:sz w:val="24"/>
          <w:szCs w:val="24"/>
          <w:lang w:val="en-US"/>
        </w:rPr>
        <w:t xml:space="preserve">21 years, range </w:t>
      </w:r>
      <w:commentRangeStart w:id="40"/>
      <w:r w:rsidR="007B6321" w:rsidRPr="007B6321">
        <w:rPr>
          <w:sz w:val="24"/>
          <w:szCs w:val="24"/>
          <w:lang w:val="en-US"/>
        </w:rPr>
        <w:t>2-87</w:t>
      </w:r>
      <w:commentRangeEnd w:id="40"/>
      <w:r w:rsidR="00E50AA4">
        <w:rPr>
          <w:rStyle w:val="CommentReference"/>
        </w:rPr>
        <w:commentReference w:id="40"/>
      </w:r>
      <w:r w:rsidR="007B6321" w:rsidRPr="007B6321">
        <w:rPr>
          <w:sz w:val="24"/>
          <w:szCs w:val="24"/>
          <w:lang w:val="en-US"/>
        </w:rPr>
        <w:t>), who had died suddenly. The majority of deaths were due to trauma.</w:t>
      </w:r>
      <w:commentRangeStart w:id="41"/>
      <w:r w:rsidRPr="007B6321">
        <w:rPr>
          <w:sz w:val="24"/>
          <w:szCs w:val="24"/>
          <w:lang w:val="en-US"/>
        </w:rPr>
        <w:t>.</w:t>
      </w:r>
      <w:commentRangeEnd w:id="41"/>
      <w:r w:rsidR="00E50AA4">
        <w:rPr>
          <w:rStyle w:val="CommentReference"/>
        </w:rPr>
        <w:commentReference w:id="41"/>
      </w:r>
      <w:r w:rsidRPr="007B6321">
        <w:rPr>
          <w:sz w:val="24"/>
          <w:szCs w:val="24"/>
          <w:lang w:val="en-US"/>
        </w:rPr>
        <w:t xml:space="preserve"> </w:t>
      </w:r>
      <w:r w:rsidRPr="007B6321">
        <w:rPr>
          <w:sz w:val="24"/>
          <w:szCs w:val="24"/>
          <w:lang w:val="en-GB"/>
        </w:rPr>
        <w:t>All the deceased were citizens of Obninsk and</w:t>
      </w:r>
      <w:r w:rsidRPr="007B6321">
        <w:rPr>
          <w:sz w:val="24"/>
          <w:szCs w:val="24"/>
          <w:lang w:val="en-US"/>
        </w:rPr>
        <w:t xml:space="preserve"> had undergone routine autopsy at the Forensic Medicine Department of City Hospital, Obninsk.</w:t>
      </w:r>
      <w:r w:rsidR="00BA6636">
        <w:rPr>
          <w:sz w:val="24"/>
          <w:szCs w:val="24"/>
          <w:lang w:val="en-US"/>
        </w:rPr>
        <w:t xml:space="preserve"> </w:t>
      </w:r>
      <w:r w:rsidRPr="007B6321">
        <w:rPr>
          <w:sz w:val="24"/>
          <w:szCs w:val="24"/>
          <w:lang w:val="en-US"/>
        </w:rPr>
        <w:t>A histological examination in the control group was used to control the age norm conformity, as well as to confirm the absence of micro-</w:t>
      </w:r>
      <w:r w:rsidRPr="00E50AA4">
        <w:rPr>
          <w:sz w:val="24"/>
          <w:szCs w:val="24"/>
          <w:lang w:val="en-US"/>
        </w:rPr>
        <w:t>nodules and latent cancer.</w:t>
      </w:r>
      <w:commentRangeEnd w:id="39"/>
      <w:r w:rsidR="00D27928">
        <w:rPr>
          <w:rStyle w:val="CommentReference"/>
        </w:rPr>
        <w:commentReference w:id="39"/>
      </w:r>
    </w:p>
    <w:p w:rsidR="0027310D" w:rsidRPr="00E50AA4" w:rsidRDefault="007C2A39" w:rsidP="0027310D">
      <w:pPr>
        <w:jc w:val="both"/>
        <w:rPr>
          <w:lang w:val="en-US"/>
        </w:rPr>
      </w:pPr>
      <w:commentRangeStart w:id="42"/>
      <w:r w:rsidRPr="00E50AA4">
        <w:rPr>
          <w:lang w:val="en-US"/>
        </w:rPr>
        <w:t xml:space="preserve">All </w:t>
      </w:r>
      <w:r w:rsidR="006E6ADB" w:rsidRPr="00E50AA4">
        <w:rPr>
          <w:lang w:val="en-US"/>
        </w:rPr>
        <w:t>patients suffered from TBN</w:t>
      </w:r>
      <w:r w:rsidRPr="00E50AA4">
        <w:rPr>
          <w:lang w:val="en-US"/>
        </w:rPr>
        <w:t xml:space="preserve"> (</w:t>
      </w:r>
      <w:r w:rsidR="006E6ADB" w:rsidRPr="00E50AA4">
        <w:rPr>
          <w:lang w:val="en-US"/>
        </w:rPr>
        <w:t>n=</w:t>
      </w:r>
      <w:r w:rsidRPr="00E50AA4">
        <w:rPr>
          <w:lang w:val="en-US"/>
        </w:rPr>
        <w:t xml:space="preserve">79, </w:t>
      </w:r>
      <w:r w:rsidR="006E6ADB" w:rsidRPr="00E50AA4">
        <w:rPr>
          <w:lang w:val="en-US"/>
        </w:rPr>
        <w:t>mean age M</w:t>
      </w:r>
      <w:r w:rsidR="006E6ADB" w:rsidRPr="00E50AA4">
        <w:sym w:font="Symbol" w:char="F0B1"/>
      </w:r>
      <w:r w:rsidR="006E6ADB" w:rsidRPr="00E50AA4">
        <w:rPr>
          <w:lang w:val="en-US"/>
        </w:rPr>
        <w:t>SD was 44</w:t>
      </w:r>
      <w:r w:rsidR="006E6ADB" w:rsidRPr="00E50AA4">
        <w:sym w:font="Symbol" w:char="F0B1"/>
      </w:r>
      <w:r w:rsidR="006E6ADB" w:rsidRPr="00E50AA4">
        <w:rPr>
          <w:lang w:val="en-US"/>
        </w:rPr>
        <w:t xml:space="preserve">11 years, range </w:t>
      </w:r>
      <w:commentRangeStart w:id="43"/>
      <w:r w:rsidR="006E6ADB" w:rsidRPr="00E50AA4">
        <w:rPr>
          <w:lang w:val="en-US"/>
        </w:rPr>
        <w:t>22-64</w:t>
      </w:r>
      <w:commentRangeEnd w:id="43"/>
      <w:r w:rsidR="00E50AA4">
        <w:rPr>
          <w:rStyle w:val="CommentReference"/>
        </w:rPr>
        <w:commentReference w:id="43"/>
      </w:r>
      <w:r w:rsidRPr="00E50AA4">
        <w:rPr>
          <w:lang w:val="en-US"/>
        </w:rPr>
        <w:t>)</w:t>
      </w:r>
      <w:r w:rsidR="006E6ADB" w:rsidRPr="00E50AA4">
        <w:rPr>
          <w:lang w:val="en-US"/>
        </w:rPr>
        <w:t xml:space="preserve"> and from TMN</w:t>
      </w:r>
      <w:r w:rsidR="0027310D" w:rsidRPr="00E50AA4">
        <w:rPr>
          <w:lang w:val="en-US"/>
        </w:rPr>
        <w:t xml:space="preserve"> (n=41, mean age</w:t>
      </w:r>
      <w:r w:rsidR="0027310D" w:rsidRPr="00FD3F63">
        <w:rPr>
          <w:lang w:val="en-US"/>
        </w:rPr>
        <w:t xml:space="preserve"> </w:t>
      </w:r>
      <w:r w:rsidR="0027310D" w:rsidRPr="00872213">
        <w:rPr>
          <w:lang w:val="en-US"/>
        </w:rPr>
        <w:t>M</w:t>
      </w:r>
      <w:r w:rsidR="0027310D" w:rsidRPr="00872213">
        <w:sym w:font="Symbol" w:char="F0B1"/>
      </w:r>
      <w:r w:rsidR="0027310D" w:rsidRPr="00872213">
        <w:rPr>
          <w:lang w:val="en-US"/>
        </w:rPr>
        <w:t xml:space="preserve">SD was </w:t>
      </w:r>
      <w:r w:rsidR="0027310D">
        <w:rPr>
          <w:lang w:val="en-US"/>
        </w:rPr>
        <w:t>46</w:t>
      </w:r>
      <w:r w:rsidR="0027310D" w:rsidRPr="00872213">
        <w:sym w:font="Symbol" w:char="F0B1"/>
      </w:r>
      <w:r w:rsidR="0027310D">
        <w:rPr>
          <w:lang w:val="en-US"/>
        </w:rPr>
        <w:t>15</w:t>
      </w:r>
      <w:r w:rsidR="0027310D" w:rsidRPr="00872213">
        <w:rPr>
          <w:lang w:val="en-US"/>
        </w:rPr>
        <w:t xml:space="preserve"> years</w:t>
      </w:r>
      <w:r w:rsidR="0027310D">
        <w:rPr>
          <w:lang w:val="en-US"/>
        </w:rPr>
        <w:t xml:space="preserve">, range </w:t>
      </w:r>
      <w:commentRangeStart w:id="44"/>
      <w:r w:rsidR="0027310D">
        <w:rPr>
          <w:lang w:val="en-US"/>
        </w:rPr>
        <w:t>16</w:t>
      </w:r>
      <w:r w:rsidR="0027310D" w:rsidRPr="00872213">
        <w:rPr>
          <w:lang w:val="en-US"/>
        </w:rPr>
        <w:t>-</w:t>
      </w:r>
      <w:r w:rsidR="0027310D">
        <w:rPr>
          <w:lang w:val="en-US"/>
        </w:rPr>
        <w:t>75</w:t>
      </w:r>
      <w:commentRangeEnd w:id="44"/>
      <w:r w:rsidR="00E50AA4">
        <w:rPr>
          <w:rStyle w:val="CommentReference"/>
        </w:rPr>
        <w:commentReference w:id="44"/>
      </w:r>
      <w:r w:rsidR="0027310D" w:rsidRPr="00872213">
        <w:rPr>
          <w:lang w:val="en-US"/>
        </w:rPr>
        <w:t xml:space="preserve">) were hospitalized in the </w:t>
      </w:r>
      <w:r w:rsidR="0027310D">
        <w:rPr>
          <w:lang w:val="en-US"/>
        </w:rPr>
        <w:t>Head and Neck</w:t>
      </w:r>
      <w:r w:rsidR="0027310D" w:rsidRPr="00872213">
        <w:rPr>
          <w:lang w:val="en-US"/>
        </w:rPr>
        <w:t xml:space="preserve"> Department of the Medical Radiological Research Centre</w:t>
      </w:r>
      <w:r w:rsidR="0027310D">
        <w:rPr>
          <w:lang w:val="en-US"/>
        </w:rPr>
        <w:t xml:space="preserve"> (</w:t>
      </w:r>
      <w:r w:rsidR="0027310D" w:rsidRPr="004B5231">
        <w:rPr>
          <w:lang w:val="en-US"/>
        </w:rPr>
        <w:t>MRRC</w:t>
      </w:r>
      <w:r w:rsidR="0027310D">
        <w:rPr>
          <w:lang w:val="en-US"/>
        </w:rPr>
        <w:t>), Obninsk</w:t>
      </w:r>
      <w:r w:rsidR="003F6577">
        <w:rPr>
          <w:lang w:val="en-US"/>
        </w:rPr>
        <w:t>.</w:t>
      </w:r>
      <w:r w:rsidR="0027310D" w:rsidRPr="00872213">
        <w:rPr>
          <w:lang w:val="en-US"/>
        </w:rPr>
        <w:t xml:space="preserve"> </w:t>
      </w:r>
      <w:r w:rsidR="0027310D" w:rsidRPr="00E50AA4">
        <w:rPr>
          <w:lang w:val="en-US"/>
        </w:rPr>
        <w:t xml:space="preserve">Thick-needle puncture biopsy of suspicious nodules of the thyroid was performed for every patient, to permit morphological study of thyroid tissue at these sites and to estimate their </w:t>
      </w:r>
      <w:r w:rsidR="00523EB8" w:rsidRPr="00E50AA4">
        <w:rPr>
          <w:lang w:val="en-US"/>
        </w:rPr>
        <w:t>TEs</w:t>
      </w:r>
      <w:r w:rsidR="0027310D" w:rsidRPr="00E50AA4">
        <w:rPr>
          <w:lang w:val="en-US"/>
        </w:rPr>
        <w:t xml:space="preserve"> contents. In all cases the diagnosis has been confirmed by clinical and morphological results obtained during studies of biopsy and resected materials. Histological conclusions for </w:t>
      </w:r>
      <w:r w:rsidR="00523EB8" w:rsidRPr="00E50AA4">
        <w:rPr>
          <w:lang w:val="en-US"/>
        </w:rPr>
        <w:t>TBN</w:t>
      </w:r>
      <w:r w:rsidRPr="00E50AA4">
        <w:rPr>
          <w:lang w:val="en-US"/>
        </w:rPr>
        <w:t xml:space="preserve"> were: 46 colloid goiter, 19 thyroid adenoma, 8 Hashimoto's thyroiditis, and 6 </w:t>
      </w:r>
      <w:r w:rsidRPr="00E50AA4">
        <w:rPr>
          <w:bCs/>
          <w:kern w:val="36"/>
          <w:lang w:val="en-US"/>
        </w:rPr>
        <w:t xml:space="preserve">Riedel’s Struma, whereas for </w:t>
      </w:r>
      <w:r w:rsidR="00523EB8" w:rsidRPr="00E50AA4">
        <w:rPr>
          <w:bCs/>
          <w:kern w:val="36"/>
          <w:lang w:val="en-US"/>
        </w:rPr>
        <w:t>TMN</w:t>
      </w:r>
      <w:r w:rsidR="0027310D" w:rsidRPr="00E50AA4">
        <w:rPr>
          <w:lang w:val="en-US"/>
        </w:rPr>
        <w:t xml:space="preserve"> were: 25 papillary adenocarcinomas, 8 follicular adenocarcinomas, 7 solid carcinomas, and 1 reticulosarcoma. </w:t>
      </w:r>
      <w:r w:rsidR="006E6ADB" w:rsidRPr="00E50AA4">
        <w:rPr>
          <w:lang w:val="en-US"/>
        </w:rPr>
        <w:t>S</w:t>
      </w:r>
      <w:r w:rsidR="0027310D" w:rsidRPr="00E50AA4">
        <w:rPr>
          <w:lang w:val="en-US"/>
        </w:rPr>
        <w:t xml:space="preserve">amples of </w:t>
      </w:r>
      <w:r w:rsidR="00523EB8" w:rsidRPr="00E50AA4">
        <w:rPr>
          <w:lang w:val="en-US"/>
        </w:rPr>
        <w:t>nodular</w:t>
      </w:r>
      <w:r w:rsidR="006E6ADB" w:rsidRPr="00E50AA4">
        <w:rPr>
          <w:lang w:val="en-US"/>
        </w:rPr>
        <w:t xml:space="preserve"> tissue</w:t>
      </w:r>
      <w:r w:rsidR="0027310D" w:rsidRPr="00E50AA4">
        <w:rPr>
          <w:lang w:val="en-US"/>
        </w:rPr>
        <w:t xml:space="preserve"> </w:t>
      </w:r>
      <w:r w:rsidR="00523EB8" w:rsidRPr="00E50AA4">
        <w:rPr>
          <w:lang w:val="en-US"/>
        </w:rPr>
        <w:t>for</w:t>
      </w:r>
      <w:r w:rsidR="0027310D" w:rsidRPr="00E50AA4">
        <w:rPr>
          <w:lang w:val="en-US"/>
        </w:rPr>
        <w:t xml:space="preserve"> </w:t>
      </w:r>
      <w:r w:rsidR="00523EB8" w:rsidRPr="00E50AA4">
        <w:rPr>
          <w:vertAlign w:val="superscript"/>
          <w:lang w:val="en-GB"/>
        </w:rPr>
        <w:t>109</w:t>
      </w:r>
      <w:r w:rsidR="00523EB8" w:rsidRPr="00E50AA4">
        <w:rPr>
          <w:lang w:val="en-GB"/>
        </w:rPr>
        <w:t>Cd</w:t>
      </w:r>
      <w:r w:rsidR="009107FA" w:rsidRPr="00E50AA4">
        <w:rPr>
          <w:lang w:val="en-GB"/>
        </w:rPr>
        <w:t>-</w:t>
      </w:r>
      <w:r w:rsidR="00523EB8" w:rsidRPr="00E50AA4">
        <w:rPr>
          <w:lang w:val="en-GB"/>
        </w:rPr>
        <w:t xml:space="preserve">EDXRF and </w:t>
      </w:r>
      <w:r w:rsidR="00523EB8" w:rsidRPr="00E50AA4">
        <w:rPr>
          <w:vertAlign w:val="superscript"/>
          <w:lang w:val="en-GB"/>
        </w:rPr>
        <w:t>241</w:t>
      </w:r>
      <w:r w:rsidR="00523EB8" w:rsidRPr="00E50AA4">
        <w:rPr>
          <w:lang w:val="en-GB"/>
        </w:rPr>
        <w:t>Am</w:t>
      </w:r>
      <w:r w:rsidR="009107FA" w:rsidRPr="00E50AA4">
        <w:rPr>
          <w:lang w:val="en-GB"/>
        </w:rPr>
        <w:t>-</w:t>
      </w:r>
      <w:r w:rsidR="00523EB8" w:rsidRPr="00E50AA4">
        <w:rPr>
          <w:lang w:val="en-GB"/>
        </w:rPr>
        <w:t>EDXRF</w:t>
      </w:r>
      <w:r w:rsidR="00523EB8" w:rsidRPr="00E50AA4">
        <w:rPr>
          <w:lang w:val="en-US"/>
        </w:rPr>
        <w:t xml:space="preserve"> analysis </w:t>
      </w:r>
      <w:r w:rsidR="006371E3" w:rsidRPr="00E50AA4">
        <w:rPr>
          <w:lang w:val="en-US"/>
        </w:rPr>
        <w:t>were taken from</w:t>
      </w:r>
      <w:r w:rsidR="00D51FB6" w:rsidRPr="00E50AA4">
        <w:rPr>
          <w:lang w:val="en-US"/>
        </w:rPr>
        <w:t xml:space="preserve"> both biopsy and</w:t>
      </w:r>
      <w:r w:rsidR="006371E3" w:rsidRPr="00E50AA4">
        <w:rPr>
          <w:lang w:val="en-US"/>
        </w:rPr>
        <w:t xml:space="preserve"> resected materials.</w:t>
      </w:r>
      <w:commentRangeEnd w:id="42"/>
      <w:r w:rsidR="00D27928">
        <w:rPr>
          <w:rStyle w:val="CommentReference"/>
        </w:rPr>
        <w:commentReference w:id="42"/>
      </w:r>
    </w:p>
    <w:p w:rsidR="00207A6E" w:rsidRDefault="00207A6E" w:rsidP="00893C5E">
      <w:pPr>
        <w:jc w:val="both"/>
        <w:rPr>
          <w:lang w:val="en-US"/>
        </w:rPr>
      </w:pPr>
      <w:commentRangeStart w:id="45"/>
      <w:r w:rsidRPr="004B5231">
        <w:rPr>
          <w:lang w:val="en-US"/>
        </w:rPr>
        <w:t xml:space="preserve">All studies were approved by the Ethical Committees of MRRC. All the procedures performed in studies involving human participants were in accordance with the ethical standards of the institutional and/or national research committee and with the 1964 Helsinki declaration and its later </w:t>
      </w:r>
      <w:r w:rsidRPr="004B5231">
        <w:rPr>
          <w:lang w:val="en-US"/>
        </w:rPr>
        <w:lastRenderedPageBreak/>
        <w:t>amendments, or with comparable ethical standards. Informed consent was obtained from all individual participants included in the study</w:t>
      </w:r>
      <w:r w:rsidR="009107FA">
        <w:rPr>
          <w:lang w:val="en-US"/>
        </w:rPr>
        <w:t>.</w:t>
      </w:r>
      <w:commentRangeEnd w:id="45"/>
      <w:r w:rsidR="00D27928">
        <w:rPr>
          <w:rStyle w:val="CommentReference"/>
        </w:rPr>
        <w:commentReference w:id="45"/>
      </w:r>
    </w:p>
    <w:p w:rsidR="00DA4B51" w:rsidRDefault="00DA4B51" w:rsidP="008D1FBE">
      <w:pPr>
        <w:jc w:val="both"/>
        <w:rPr>
          <w:lang w:val="en-US"/>
        </w:rPr>
      </w:pPr>
      <w:commentRangeStart w:id="46"/>
      <w:commentRangeStart w:id="47"/>
      <w:r>
        <w:rPr>
          <w:lang w:val="en-US"/>
        </w:rPr>
        <w:t>All t</w:t>
      </w:r>
      <w:r w:rsidRPr="00872213">
        <w:rPr>
          <w:lang w:val="en-US"/>
        </w:rPr>
        <w:t>issue samples</w:t>
      </w:r>
      <w:r w:rsidR="00A55951">
        <w:rPr>
          <w:lang w:val="en-US"/>
        </w:rPr>
        <w:t xml:space="preserve"> obtained from </w:t>
      </w:r>
      <w:r w:rsidR="00850381">
        <w:rPr>
          <w:lang w:val="en-US"/>
        </w:rPr>
        <w:t>NT</w:t>
      </w:r>
      <w:r w:rsidR="007B6321">
        <w:rPr>
          <w:lang w:val="en-US"/>
        </w:rPr>
        <w:t xml:space="preserve">, </w:t>
      </w:r>
      <w:r w:rsidR="009107FA" w:rsidRPr="00523EB8">
        <w:rPr>
          <w:lang w:val="en-US"/>
        </w:rPr>
        <w:t xml:space="preserve">TBN </w:t>
      </w:r>
      <w:r w:rsidR="009107FA">
        <w:rPr>
          <w:lang w:val="en-US"/>
        </w:rPr>
        <w:t>and</w:t>
      </w:r>
      <w:r w:rsidR="009107FA" w:rsidRPr="00523EB8">
        <w:rPr>
          <w:lang w:val="en-US"/>
        </w:rPr>
        <w:t xml:space="preserve"> TMN </w:t>
      </w:r>
      <w:r w:rsidRPr="00872213">
        <w:rPr>
          <w:lang w:val="en-US"/>
        </w:rPr>
        <w:t xml:space="preserve">were divided into two </w:t>
      </w:r>
      <w:r w:rsidRPr="00DC0A4A">
        <w:rPr>
          <w:lang w:val="en-US"/>
        </w:rPr>
        <w:t>portions</w:t>
      </w:r>
      <w:r w:rsidR="00DC0A4A" w:rsidRPr="00DC0A4A">
        <w:rPr>
          <w:lang w:val="en-US"/>
        </w:rPr>
        <w:t xml:space="preserve"> using a titanium scalpel</w:t>
      </w:r>
      <w:r w:rsidR="006371E3">
        <w:rPr>
          <w:lang w:val="en-US"/>
        </w:rPr>
        <w:t xml:space="preserve"> to prevent contamination by TEs of stainless steel</w:t>
      </w:r>
      <w:r w:rsidR="00DC0A4A" w:rsidRPr="00DC0A4A">
        <w:rPr>
          <w:lang w:val="en-US"/>
        </w:rPr>
        <w:t xml:space="preserve"> </w:t>
      </w:r>
      <w:commentRangeStart w:id="48"/>
      <w:r w:rsidR="00DC0A4A" w:rsidRPr="00DC0A4A">
        <w:rPr>
          <w:lang w:val="en-US"/>
        </w:rPr>
        <w:t>[</w:t>
      </w:r>
      <w:r w:rsidR="008D1FBE">
        <w:rPr>
          <w:lang w:val="en-US"/>
        </w:rPr>
        <w:t>4</w:t>
      </w:r>
      <w:r w:rsidR="009107FA">
        <w:rPr>
          <w:lang w:val="en-US"/>
        </w:rPr>
        <w:t>9</w:t>
      </w:r>
      <w:r w:rsidR="00DC0A4A" w:rsidRPr="00DC0A4A">
        <w:rPr>
          <w:lang w:val="en-US"/>
        </w:rPr>
        <w:t>]</w:t>
      </w:r>
      <w:r w:rsidRPr="00DC0A4A">
        <w:rPr>
          <w:lang w:val="en-US"/>
        </w:rPr>
        <w:t>.</w:t>
      </w:r>
      <w:r w:rsidRPr="00872213">
        <w:rPr>
          <w:lang w:val="en-US"/>
        </w:rPr>
        <w:t xml:space="preserve"> </w:t>
      </w:r>
      <w:commentRangeEnd w:id="48"/>
      <w:r w:rsidR="00392DB2">
        <w:rPr>
          <w:rStyle w:val="CommentReference"/>
        </w:rPr>
        <w:commentReference w:id="48"/>
      </w:r>
      <w:r w:rsidRPr="00872213">
        <w:rPr>
          <w:lang w:val="en-US"/>
        </w:rPr>
        <w:t xml:space="preserve">One was used for morphological study while the other was intended for </w:t>
      </w:r>
      <w:r w:rsidR="009E229C">
        <w:rPr>
          <w:lang w:val="en-US"/>
        </w:rPr>
        <w:t>TE</w:t>
      </w:r>
      <w:r w:rsidR="00104A5B">
        <w:rPr>
          <w:lang w:val="en-US"/>
        </w:rPr>
        <w:t>s</w:t>
      </w:r>
      <w:r w:rsidRPr="00872213">
        <w:rPr>
          <w:lang w:val="en-US"/>
        </w:rPr>
        <w:t xml:space="preserve"> analysis. After the samples intended for </w:t>
      </w:r>
      <w:r w:rsidR="009E229C">
        <w:rPr>
          <w:lang w:val="en-US"/>
        </w:rPr>
        <w:t>TE</w:t>
      </w:r>
      <w:r w:rsidR="00A55951">
        <w:rPr>
          <w:lang w:val="en-US"/>
        </w:rPr>
        <w:t>s</w:t>
      </w:r>
      <w:r w:rsidRPr="00872213">
        <w:rPr>
          <w:lang w:val="en-US"/>
        </w:rPr>
        <w:t xml:space="preserve"> analysis were weighed, they were freeze-dried and homogenized</w:t>
      </w:r>
      <w:r w:rsidR="00E54F77">
        <w:rPr>
          <w:lang w:val="en-US"/>
        </w:rPr>
        <w:t xml:space="preserve"> </w:t>
      </w:r>
      <w:commentRangeStart w:id="49"/>
      <w:r w:rsidR="00E54F77">
        <w:rPr>
          <w:lang w:val="en-US"/>
        </w:rPr>
        <w:t>[</w:t>
      </w:r>
      <w:r w:rsidR="009107FA">
        <w:rPr>
          <w:lang w:val="en-US"/>
        </w:rPr>
        <w:t>50</w:t>
      </w:r>
      <w:r w:rsidR="00E54F77">
        <w:rPr>
          <w:lang w:val="en-US"/>
        </w:rPr>
        <w:t>]</w:t>
      </w:r>
      <w:r w:rsidRPr="00872213">
        <w:rPr>
          <w:lang w:val="en-US"/>
        </w:rPr>
        <w:t xml:space="preserve">. </w:t>
      </w:r>
      <w:commentRangeEnd w:id="49"/>
      <w:r w:rsidR="00392DB2">
        <w:rPr>
          <w:rStyle w:val="CommentReference"/>
        </w:rPr>
        <w:commentReference w:id="49"/>
      </w:r>
    </w:p>
    <w:p w:rsidR="00DA4B51" w:rsidRPr="00872213" w:rsidRDefault="00DA4B51" w:rsidP="008D1FBE">
      <w:pPr>
        <w:jc w:val="both"/>
        <w:rPr>
          <w:lang w:val="en-US"/>
        </w:rPr>
      </w:pPr>
      <w:r w:rsidRPr="00872213">
        <w:rPr>
          <w:lang w:val="en-US"/>
        </w:rPr>
        <w:t xml:space="preserve">To determine the contents of </w:t>
      </w:r>
      <w:r>
        <w:rPr>
          <w:lang w:val="en-US"/>
        </w:rPr>
        <w:t xml:space="preserve">the </w:t>
      </w:r>
      <w:r w:rsidR="009E229C">
        <w:rPr>
          <w:color w:val="131413"/>
          <w:lang w:val="en-US"/>
        </w:rPr>
        <w:t>TE</w:t>
      </w:r>
      <w:r w:rsidR="00104A5B">
        <w:rPr>
          <w:color w:val="131413"/>
          <w:lang w:val="en-US"/>
        </w:rPr>
        <w:t>s</w:t>
      </w:r>
      <w:r>
        <w:rPr>
          <w:lang w:val="en-US"/>
        </w:rPr>
        <w:t xml:space="preserve"> by comparison with </w:t>
      </w:r>
      <w:r w:rsidRPr="00872213">
        <w:rPr>
          <w:lang w:val="en-US"/>
        </w:rPr>
        <w:t>known</w:t>
      </w:r>
      <w:r>
        <w:rPr>
          <w:lang w:val="en-US"/>
        </w:rPr>
        <w:t xml:space="preserve"> data for</w:t>
      </w:r>
      <w:r w:rsidRPr="00872213">
        <w:rPr>
          <w:lang w:val="en-US"/>
        </w:rPr>
        <w:t xml:space="preserve"> standard, aliquots of commercial, chemically pure compounds</w:t>
      </w:r>
      <w:r>
        <w:rPr>
          <w:lang w:val="en-US"/>
        </w:rPr>
        <w:t xml:space="preserve"> and </w:t>
      </w:r>
      <w:r w:rsidRPr="0089350C">
        <w:rPr>
          <w:lang w:val="en-GB"/>
        </w:rPr>
        <w:t xml:space="preserve">synthetic reference materials </w:t>
      </w:r>
      <w:r w:rsidRPr="00872213">
        <w:rPr>
          <w:lang w:val="en-US"/>
        </w:rPr>
        <w:t>were used</w:t>
      </w:r>
      <w:r>
        <w:rPr>
          <w:lang w:val="en-US"/>
        </w:rPr>
        <w:t xml:space="preserve"> [</w:t>
      </w:r>
      <w:r w:rsidR="009107FA">
        <w:rPr>
          <w:lang w:val="en-US"/>
        </w:rPr>
        <w:t>51</w:t>
      </w:r>
      <w:r>
        <w:rPr>
          <w:lang w:val="en-US"/>
        </w:rPr>
        <w:t>]</w:t>
      </w:r>
      <w:r w:rsidRPr="00872213">
        <w:rPr>
          <w:lang w:val="en-US"/>
        </w:rPr>
        <w:t xml:space="preserve">. Ten subsamples of the Certified Reference Material (CRM) IAEA H-4 (animal muscle) were analyzed to estimate the precision and accuracy of results. The CRM IAEA H-4 subsamples were prepared in the same way as the samples of dry homogenized </w:t>
      </w:r>
      <w:commentRangeEnd w:id="47"/>
      <w:r w:rsidR="00BA548B">
        <w:rPr>
          <w:rStyle w:val="CommentReference"/>
        </w:rPr>
        <w:commentReference w:id="47"/>
      </w:r>
      <w:r w:rsidR="009107FA">
        <w:rPr>
          <w:lang w:val="en-US"/>
        </w:rPr>
        <w:t>nodular</w:t>
      </w:r>
      <w:r w:rsidRPr="00872213">
        <w:rPr>
          <w:lang w:val="en-US"/>
        </w:rPr>
        <w:t xml:space="preserve"> tissue. </w:t>
      </w:r>
    </w:p>
    <w:p w:rsidR="00104A5B" w:rsidRDefault="00DA4B51" w:rsidP="008D1FBE">
      <w:pPr>
        <w:jc w:val="both"/>
        <w:rPr>
          <w:lang w:val="en-US"/>
        </w:rPr>
      </w:pPr>
      <w:r w:rsidRPr="00872213">
        <w:rPr>
          <w:lang w:val="en-US"/>
        </w:rPr>
        <w:t xml:space="preserve">Details of </w:t>
      </w:r>
      <w:commentRangeStart w:id="50"/>
      <w:r w:rsidRPr="00872213">
        <w:rPr>
          <w:lang w:val="en-US"/>
        </w:rPr>
        <w:t>the relevant</w:t>
      </w:r>
      <w:r w:rsidRPr="00872213">
        <w:rPr>
          <w:color w:val="FF0000"/>
          <w:lang w:val="en-US"/>
        </w:rPr>
        <w:t xml:space="preserve"> </w:t>
      </w:r>
      <w:r w:rsidRPr="00872213">
        <w:rPr>
          <w:lang w:val="en-US"/>
        </w:rPr>
        <w:t xml:space="preserve">facility for </w:t>
      </w:r>
      <w:r w:rsidR="009107FA" w:rsidRPr="00523EB8">
        <w:rPr>
          <w:vertAlign w:val="superscript"/>
          <w:lang w:val="en-GB"/>
        </w:rPr>
        <w:t>109</w:t>
      </w:r>
      <w:r w:rsidR="009107FA" w:rsidRPr="00523EB8">
        <w:rPr>
          <w:lang w:val="en-GB"/>
        </w:rPr>
        <w:t>Cd</w:t>
      </w:r>
      <w:r w:rsidR="009107FA">
        <w:rPr>
          <w:lang w:val="en-GB"/>
        </w:rPr>
        <w:t>-</w:t>
      </w:r>
      <w:r w:rsidR="009107FA" w:rsidRPr="00523EB8">
        <w:rPr>
          <w:lang w:val="en-GB"/>
        </w:rPr>
        <w:t>EDXRF</w:t>
      </w:r>
      <w:r w:rsidR="00104A5B">
        <w:rPr>
          <w:lang w:val="en-US"/>
        </w:rPr>
        <w:t xml:space="preserve"> determination of </w:t>
      </w:r>
      <w:r w:rsidR="007019F4">
        <w:rPr>
          <w:lang w:val="en-US"/>
        </w:rPr>
        <w:t xml:space="preserve">Br, </w:t>
      </w:r>
      <w:r w:rsidR="00104A5B">
        <w:rPr>
          <w:lang w:val="en-US"/>
        </w:rPr>
        <w:t>Cu, Fe, Rb, Sr, and Zn contents</w:t>
      </w:r>
      <w:r w:rsidRPr="00872213">
        <w:rPr>
          <w:lang w:val="en-US"/>
        </w:rPr>
        <w:t xml:space="preserve">, methods of analysis and the </w:t>
      </w:r>
      <w:r w:rsidR="006707E4">
        <w:rPr>
          <w:lang w:val="en-US"/>
        </w:rPr>
        <w:t>quality control of results</w:t>
      </w:r>
      <w:r w:rsidR="006707E4" w:rsidRPr="00F72804">
        <w:rPr>
          <w:lang w:val="en-US"/>
        </w:rPr>
        <w:t xml:space="preserve"> </w:t>
      </w:r>
      <w:r w:rsidRPr="00872213">
        <w:rPr>
          <w:lang w:val="en-US"/>
        </w:rPr>
        <w:t xml:space="preserve">were presented in our earlier publications concerning the </w:t>
      </w:r>
      <w:r w:rsidR="006061BF" w:rsidRPr="00872213">
        <w:rPr>
          <w:vertAlign w:val="superscript"/>
          <w:lang w:val="en-US"/>
        </w:rPr>
        <w:t>109</w:t>
      </w:r>
      <w:r w:rsidR="006061BF" w:rsidRPr="00872213">
        <w:rPr>
          <w:lang w:val="en-US"/>
        </w:rPr>
        <w:t>Cd</w:t>
      </w:r>
      <w:r w:rsidR="006061BF">
        <w:rPr>
          <w:lang w:val="en-US"/>
        </w:rPr>
        <w:t>-</w:t>
      </w:r>
      <w:r w:rsidRPr="00872213">
        <w:rPr>
          <w:lang w:val="en-US"/>
        </w:rPr>
        <w:t xml:space="preserve">EDXRF analysis of human </w:t>
      </w:r>
      <w:r w:rsidR="00C670EB">
        <w:rPr>
          <w:lang w:val="en-US"/>
        </w:rPr>
        <w:t>thyroid</w:t>
      </w:r>
      <w:r w:rsidRPr="00872213">
        <w:rPr>
          <w:lang w:val="en-US"/>
        </w:rPr>
        <w:t xml:space="preserve"> </w:t>
      </w:r>
      <w:r w:rsidR="00C670EB">
        <w:rPr>
          <w:lang w:val="en-US"/>
        </w:rPr>
        <w:t xml:space="preserve">and prostate </w:t>
      </w:r>
      <w:r w:rsidRPr="00872213">
        <w:rPr>
          <w:lang w:val="en-US"/>
        </w:rPr>
        <w:t>tissue</w:t>
      </w:r>
      <w:r>
        <w:rPr>
          <w:lang w:val="en-US"/>
        </w:rPr>
        <w:t xml:space="preserve"> [</w:t>
      </w:r>
      <w:commentRangeStart w:id="51"/>
      <w:r w:rsidR="000376C7">
        <w:rPr>
          <w:lang w:val="en-US"/>
        </w:rPr>
        <w:t>25,26</w:t>
      </w:r>
      <w:r w:rsidR="007F46E7">
        <w:rPr>
          <w:lang w:val="en-US"/>
        </w:rPr>
        <w:t>,</w:t>
      </w:r>
      <w:r w:rsidR="00E3630D">
        <w:rPr>
          <w:lang w:val="en-US"/>
        </w:rPr>
        <w:t>47,</w:t>
      </w:r>
      <w:r w:rsidR="008D1FBE">
        <w:rPr>
          <w:lang w:val="en-US"/>
        </w:rPr>
        <w:t>5</w:t>
      </w:r>
      <w:r w:rsidR="009107FA">
        <w:rPr>
          <w:lang w:val="en-US"/>
        </w:rPr>
        <w:t>2</w:t>
      </w:r>
      <w:commentRangeEnd w:id="51"/>
      <w:r w:rsidR="00392DB2">
        <w:rPr>
          <w:rStyle w:val="CommentReference"/>
        </w:rPr>
        <w:commentReference w:id="51"/>
      </w:r>
      <w:r>
        <w:rPr>
          <w:lang w:val="en-US"/>
        </w:rPr>
        <w:t>].</w:t>
      </w:r>
      <w:r w:rsidRPr="00872213">
        <w:rPr>
          <w:lang w:val="en-US"/>
        </w:rPr>
        <w:t xml:space="preserve"> </w:t>
      </w:r>
      <w:r w:rsidR="00E3630D">
        <w:rPr>
          <w:lang w:val="en-US"/>
        </w:rPr>
        <w:t xml:space="preserve">Detailed information on </w:t>
      </w:r>
      <w:r w:rsidR="00104A5B" w:rsidRPr="00872213">
        <w:rPr>
          <w:lang w:val="en-US"/>
        </w:rPr>
        <w:t>EDXRF</w:t>
      </w:r>
      <w:r w:rsidR="00104A5B">
        <w:rPr>
          <w:lang w:val="en-US"/>
        </w:rPr>
        <w:t xml:space="preserve"> determination of I contents</w:t>
      </w:r>
      <w:r w:rsidR="00104A5B" w:rsidRPr="00872213">
        <w:rPr>
          <w:lang w:val="en-US"/>
        </w:rPr>
        <w:t xml:space="preserve"> with </w:t>
      </w:r>
      <w:r w:rsidR="00104A5B">
        <w:rPr>
          <w:vertAlign w:val="superscript"/>
          <w:lang w:val="en-US"/>
        </w:rPr>
        <w:t>241</w:t>
      </w:r>
      <w:r w:rsidR="00104A5B">
        <w:rPr>
          <w:lang w:val="en-US"/>
        </w:rPr>
        <w:t>Am</w:t>
      </w:r>
      <w:r w:rsidR="00104A5B" w:rsidRPr="00872213">
        <w:rPr>
          <w:lang w:val="en-US"/>
        </w:rPr>
        <w:t xml:space="preserve"> radionuclide</w:t>
      </w:r>
      <w:r w:rsidR="00A55951" w:rsidRPr="00A55951">
        <w:rPr>
          <w:lang w:val="en-US"/>
        </w:rPr>
        <w:t xml:space="preserve"> </w:t>
      </w:r>
      <w:r w:rsidR="00A55951" w:rsidRPr="00872213">
        <w:rPr>
          <w:lang w:val="en-US"/>
        </w:rPr>
        <w:t>source</w:t>
      </w:r>
      <w:r w:rsidR="00104A5B" w:rsidRPr="00872213">
        <w:rPr>
          <w:lang w:val="en-US"/>
        </w:rPr>
        <w:t xml:space="preserve">, </w:t>
      </w:r>
      <w:r w:rsidR="00E3630D">
        <w:rPr>
          <w:lang w:val="en-US"/>
        </w:rPr>
        <w:t xml:space="preserve">including </w:t>
      </w:r>
      <w:r w:rsidR="00104A5B" w:rsidRPr="00872213">
        <w:rPr>
          <w:lang w:val="en-US"/>
        </w:rPr>
        <w:t xml:space="preserve">methods of analysis and the </w:t>
      </w:r>
      <w:r w:rsidR="00104A5B">
        <w:rPr>
          <w:lang w:val="en-US"/>
        </w:rPr>
        <w:t>quality control of results</w:t>
      </w:r>
      <w:r w:rsidR="00104A5B" w:rsidRPr="00F72804">
        <w:rPr>
          <w:lang w:val="en-US"/>
        </w:rPr>
        <w:t xml:space="preserve"> </w:t>
      </w:r>
      <w:r w:rsidR="00104A5B" w:rsidRPr="00872213">
        <w:rPr>
          <w:lang w:val="en-US"/>
        </w:rPr>
        <w:t>were prese</w:t>
      </w:r>
      <w:r w:rsidR="00104A5B">
        <w:rPr>
          <w:lang w:val="en-US"/>
        </w:rPr>
        <w:t>nted in our earlier publication</w:t>
      </w:r>
      <w:r w:rsidR="00104A5B" w:rsidRPr="00872213">
        <w:rPr>
          <w:lang w:val="en-US"/>
        </w:rPr>
        <w:t xml:space="preserve"> concerning the </w:t>
      </w:r>
      <w:r w:rsidR="00E3630D">
        <w:rPr>
          <w:lang w:val="en-US"/>
        </w:rPr>
        <w:t xml:space="preserve">use of </w:t>
      </w:r>
      <w:r w:rsidR="006061BF">
        <w:rPr>
          <w:vertAlign w:val="superscript"/>
          <w:lang w:val="en-US"/>
        </w:rPr>
        <w:t>241</w:t>
      </w:r>
      <w:r w:rsidR="006061BF">
        <w:rPr>
          <w:lang w:val="en-US"/>
        </w:rPr>
        <w:t>Am-</w:t>
      </w:r>
      <w:r w:rsidR="00104A5B" w:rsidRPr="00872213">
        <w:rPr>
          <w:lang w:val="en-US"/>
        </w:rPr>
        <w:t xml:space="preserve">EDXRF analysis </w:t>
      </w:r>
      <w:r w:rsidR="004C7641">
        <w:rPr>
          <w:lang w:val="en-US"/>
        </w:rPr>
        <w:t>in</w:t>
      </w:r>
      <w:r w:rsidR="00104A5B" w:rsidRPr="00872213">
        <w:rPr>
          <w:lang w:val="en-US"/>
        </w:rPr>
        <w:t xml:space="preserve"> human </w:t>
      </w:r>
      <w:r w:rsidR="00104A5B">
        <w:rPr>
          <w:lang w:val="en-US"/>
        </w:rPr>
        <w:t>thyroid</w:t>
      </w:r>
      <w:r w:rsidR="00C32A16">
        <w:rPr>
          <w:lang w:val="en-US"/>
        </w:rPr>
        <w:t xml:space="preserve"> </w:t>
      </w:r>
      <w:r w:rsidR="004C7641">
        <w:rPr>
          <w:lang w:val="en-US"/>
        </w:rPr>
        <w:t>study</w:t>
      </w:r>
      <w:r w:rsidR="00104A5B" w:rsidRPr="00872213">
        <w:rPr>
          <w:lang w:val="en-US"/>
        </w:rPr>
        <w:t xml:space="preserve"> </w:t>
      </w:r>
      <w:commentRangeStart w:id="52"/>
      <w:r w:rsidR="00104A5B">
        <w:rPr>
          <w:lang w:val="en-US"/>
        </w:rPr>
        <w:t>[21]</w:t>
      </w:r>
      <w:commentRangeEnd w:id="52"/>
      <w:r w:rsidR="00392DB2">
        <w:rPr>
          <w:rStyle w:val="CommentReference"/>
        </w:rPr>
        <w:commentReference w:id="52"/>
      </w:r>
      <w:r w:rsidR="00104A5B">
        <w:rPr>
          <w:lang w:val="en-US"/>
        </w:rPr>
        <w:t>.</w:t>
      </w:r>
    </w:p>
    <w:commentRangeEnd w:id="46"/>
    <w:p w:rsidR="002B7550" w:rsidRPr="00872213" w:rsidRDefault="00D27928" w:rsidP="00D9039E">
      <w:pPr>
        <w:jc w:val="both"/>
        <w:rPr>
          <w:lang w:val="en-US"/>
        </w:rPr>
      </w:pPr>
      <w:r>
        <w:rPr>
          <w:rStyle w:val="CommentReference"/>
        </w:rPr>
        <w:commentReference w:id="46"/>
      </w:r>
      <w:commentRangeStart w:id="53"/>
      <w:r w:rsidR="002B7550" w:rsidRPr="00792BFF">
        <w:rPr>
          <w:color w:val="131413"/>
          <w:lang w:val="en-US"/>
        </w:rPr>
        <w:t>All samples</w:t>
      </w:r>
      <w:r w:rsidR="00AF2BE3">
        <w:rPr>
          <w:color w:val="131413"/>
          <w:lang w:val="en-US"/>
        </w:rPr>
        <w:t xml:space="preserve"> for TEs analysis</w:t>
      </w:r>
      <w:r w:rsidR="002B7550" w:rsidRPr="00792BFF">
        <w:rPr>
          <w:color w:val="131413"/>
          <w:lang w:val="en-US"/>
        </w:rPr>
        <w:t xml:space="preserve"> were prepared in duplicate, and mean values of </w:t>
      </w:r>
      <w:r w:rsidR="009E229C">
        <w:rPr>
          <w:color w:val="131413"/>
          <w:lang w:val="en-US"/>
        </w:rPr>
        <w:t>TE</w:t>
      </w:r>
      <w:r w:rsidR="00C32A16">
        <w:rPr>
          <w:color w:val="131413"/>
          <w:lang w:val="en-US"/>
        </w:rPr>
        <w:t>s</w:t>
      </w:r>
      <w:r w:rsidR="002B7550" w:rsidRPr="00792BFF">
        <w:rPr>
          <w:color w:val="131413"/>
          <w:lang w:val="en-US"/>
        </w:rPr>
        <w:t xml:space="preserve"> contents were used in final calculation. </w:t>
      </w:r>
      <w:r w:rsidR="002B7550" w:rsidRPr="00792BFF">
        <w:rPr>
          <w:color w:val="000000"/>
          <w:lang w:val="en-US"/>
        </w:rPr>
        <w:t>Using Microsoft Office Excel</w:t>
      </w:r>
      <w:r w:rsidR="002B7550" w:rsidRPr="002B7550">
        <w:rPr>
          <w:lang w:val="en-US"/>
        </w:rPr>
        <w:t xml:space="preserve"> </w:t>
      </w:r>
      <w:r w:rsidR="002B7550">
        <w:rPr>
          <w:lang w:val="en-US"/>
        </w:rPr>
        <w:t>software</w:t>
      </w:r>
      <w:r w:rsidR="002B7550" w:rsidRPr="00792BFF">
        <w:rPr>
          <w:color w:val="000000"/>
          <w:lang w:val="en-US"/>
        </w:rPr>
        <w:t xml:space="preserve">, </w:t>
      </w:r>
      <w:r w:rsidR="000F1BF8">
        <w:rPr>
          <w:color w:val="000000"/>
          <w:lang w:val="en-US"/>
        </w:rPr>
        <w:t>some basic statistics</w:t>
      </w:r>
      <w:r w:rsidR="002B7550" w:rsidRPr="00792BFF">
        <w:rPr>
          <w:color w:val="000000"/>
          <w:lang w:val="en-US"/>
        </w:rPr>
        <w:t>, including</w:t>
      </w:r>
      <w:r w:rsidR="002B7550" w:rsidRPr="00792BFF">
        <w:rPr>
          <w:lang w:val="en-US"/>
        </w:rPr>
        <w:t>, arithmetic mean, standard deviation</w:t>
      </w:r>
      <w:r w:rsidR="006061BF" w:rsidRPr="006061BF">
        <w:rPr>
          <w:lang w:val="en-US"/>
        </w:rPr>
        <w:t xml:space="preserve"> </w:t>
      </w:r>
      <w:r w:rsidR="006061BF" w:rsidRPr="00792BFF">
        <w:rPr>
          <w:lang w:val="en-US"/>
        </w:rPr>
        <w:t>of mean</w:t>
      </w:r>
      <w:r w:rsidR="00457733">
        <w:rPr>
          <w:lang w:val="en-US"/>
        </w:rPr>
        <w:t xml:space="preserve">, </w:t>
      </w:r>
      <w:r w:rsidR="00457733" w:rsidRPr="00792BFF">
        <w:rPr>
          <w:lang w:val="en-US"/>
        </w:rPr>
        <w:t xml:space="preserve">standard </w:t>
      </w:r>
      <w:r w:rsidR="002B7550" w:rsidRPr="00792BFF">
        <w:rPr>
          <w:lang w:val="en-US"/>
        </w:rPr>
        <w:t>error of mean, minimum and maximum values</w:t>
      </w:r>
      <w:r w:rsidR="000F1BF8">
        <w:rPr>
          <w:lang w:val="en-US"/>
        </w:rPr>
        <w:t xml:space="preserve"> (range)</w:t>
      </w:r>
      <w:r w:rsidR="002B7550" w:rsidRPr="00792BFF">
        <w:rPr>
          <w:lang w:val="en-US"/>
        </w:rPr>
        <w:t xml:space="preserve"> was calculated for </w:t>
      </w:r>
      <w:r w:rsidR="009E229C">
        <w:rPr>
          <w:color w:val="131413"/>
          <w:lang w:val="en-US"/>
        </w:rPr>
        <w:t>TE</w:t>
      </w:r>
      <w:r w:rsidR="00C32A16">
        <w:rPr>
          <w:color w:val="131413"/>
          <w:lang w:val="en-US"/>
        </w:rPr>
        <w:t>s</w:t>
      </w:r>
      <w:r w:rsidR="002B7550" w:rsidRPr="00792BFF">
        <w:rPr>
          <w:lang w:val="en-US"/>
        </w:rPr>
        <w:t xml:space="preserve"> contents</w:t>
      </w:r>
      <w:r w:rsidR="002B7550" w:rsidRPr="00872213">
        <w:rPr>
          <w:lang w:val="en-US"/>
        </w:rPr>
        <w:t xml:space="preserve"> in </w:t>
      </w:r>
      <w:r w:rsidR="00850381">
        <w:rPr>
          <w:lang w:val="en-US"/>
        </w:rPr>
        <w:t>three</w:t>
      </w:r>
      <w:r w:rsidR="00C840A7">
        <w:rPr>
          <w:lang w:val="en-US"/>
        </w:rPr>
        <w:t xml:space="preserve"> groups of</w:t>
      </w:r>
      <w:r w:rsidR="00C32A16">
        <w:rPr>
          <w:lang w:val="en-US"/>
        </w:rPr>
        <w:t xml:space="preserve"> </w:t>
      </w:r>
      <w:r w:rsidR="00850381">
        <w:rPr>
          <w:lang w:val="en-US"/>
        </w:rPr>
        <w:t>thyroid</w:t>
      </w:r>
      <w:r w:rsidR="00457733">
        <w:rPr>
          <w:lang w:val="en-US"/>
        </w:rPr>
        <w:t xml:space="preserve"> </w:t>
      </w:r>
      <w:r w:rsidR="00C840A7">
        <w:rPr>
          <w:lang w:val="en-US"/>
        </w:rPr>
        <w:t xml:space="preserve">tissue </w:t>
      </w:r>
      <w:r w:rsidR="00457733">
        <w:rPr>
          <w:lang w:val="en-US"/>
        </w:rPr>
        <w:t>(</w:t>
      </w:r>
      <w:r w:rsidR="00850381">
        <w:rPr>
          <w:lang w:val="en-US"/>
        </w:rPr>
        <w:t xml:space="preserve">NT, </w:t>
      </w:r>
      <w:r w:rsidR="00C840A7">
        <w:rPr>
          <w:lang w:val="en-US"/>
        </w:rPr>
        <w:t>TBN and TMN</w:t>
      </w:r>
      <w:r w:rsidR="00457733">
        <w:rPr>
          <w:lang w:val="en-US"/>
        </w:rPr>
        <w:t>)</w:t>
      </w:r>
      <w:r w:rsidR="002B7550" w:rsidRPr="00872213">
        <w:rPr>
          <w:lang w:val="en-US"/>
        </w:rPr>
        <w:t>.</w:t>
      </w:r>
      <w:r w:rsidR="002B7550" w:rsidRPr="00792BFF">
        <w:rPr>
          <w:lang w:val="en-US"/>
        </w:rPr>
        <w:t xml:space="preserve"> </w:t>
      </w:r>
      <w:r w:rsidR="002B7550" w:rsidRPr="00792BFF">
        <w:rPr>
          <w:color w:val="000000"/>
          <w:lang w:val="en-US"/>
        </w:rPr>
        <w:t xml:space="preserve">The difference in the results between </w:t>
      </w:r>
      <w:commentRangeEnd w:id="50"/>
      <w:r w:rsidR="00BA548B">
        <w:rPr>
          <w:rStyle w:val="CommentReference"/>
        </w:rPr>
        <w:commentReference w:id="50"/>
      </w:r>
      <w:r w:rsidR="000F1BF8">
        <w:rPr>
          <w:color w:val="000000"/>
          <w:lang w:val="en-US"/>
        </w:rPr>
        <w:t>three</w:t>
      </w:r>
      <w:r w:rsidR="002B7550" w:rsidRPr="00792BFF">
        <w:rPr>
          <w:color w:val="000000"/>
          <w:lang w:val="en-US"/>
        </w:rPr>
        <w:t xml:space="preserve"> groups</w:t>
      </w:r>
      <w:r w:rsidR="00D9039E">
        <w:rPr>
          <w:color w:val="000000"/>
          <w:lang w:val="en-US"/>
        </w:rPr>
        <w:t xml:space="preserve"> of samples</w:t>
      </w:r>
      <w:r w:rsidR="00676F0A">
        <w:rPr>
          <w:color w:val="000000"/>
          <w:lang w:val="en-US"/>
        </w:rPr>
        <w:t xml:space="preserve"> </w:t>
      </w:r>
      <w:r w:rsidR="002B7550" w:rsidRPr="00792BFF">
        <w:rPr>
          <w:color w:val="000000"/>
          <w:lang w:val="en-US"/>
        </w:rPr>
        <w:t xml:space="preserve">was evaluated by the parametric Student’s </w:t>
      </w:r>
      <w:r w:rsidR="002B7550" w:rsidRPr="00792BFF">
        <w:rPr>
          <w:i/>
          <w:iCs/>
          <w:color w:val="000000"/>
          <w:lang w:val="en-US"/>
        </w:rPr>
        <w:t>t</w:t>
      </w:r>
      <w:r w:rsidR="002B7550" w:rsidRPr="00792BFF">
        <w:rPr>
          <w:color w:val="000000"/>
          <w:lang w:val="en-US"/>
        </w:rPr>
        <w:t xml:space="preserve">-test and </w:t>
      </w:r>
      <w:r w:rsidR="002B7550" w:rsidRPr="00792BFF">
        <w:rPr>
          <w:lang w:val="en-US"/>
        </w:rPr>
        <w:t>non-</w:t>
      </w:r>
      <w:r w:rsidR="002B7550" w:rsidRPr="00792BFF">
        <w:rPr>
          <w:color w:val="000000"/>
          <w:lang w:val="en-US"/>
        </w:rPr>
        <w:t>parametric</w:t>
      </w:r>
      <w:r w:rsidR="002B7550" w:rsidRPr="00792BFF">
        <w:rPr>
          <w:lang w:val="en-US"/>
        </w:rPr>
        <w:t xml:space="preserve"> </w:t>
      </w:r>
      <w:r w:rsidR="002B7550" w:rsidRPr="00792BFF">
        <w:rPr>
          <w:bCs/>
          <w:color w:val="000000"/>
          <w:spacing w:val="1"/>
          <w:lang w:val="en-US"/>
        </w:rPr>
        <w:t>Wilcoxon-</w:t>
      </w:r>
      <w:r w:rsidR="002B7550" w:rsidRPr="00792BFF">
        <w:rPr>
          <w:bCs/>
          <w:lang w:val="en-US"/>
        </w:rPr>
        <w:t xml:space="preserve">Mann-Whitney </w:t>
      </w:r>
      <w:r w:rsidR="002B7550" w:rsidRPr="00792BFF">
        <w:rPr>
          <w:bCs/>
          <w:i/>
          <w:lang w:val="en-US"/>
        </w:rPr>
        <w:t>U</w:t>
      </w:r>
      <w:r w:rsidR="002B7550" w:rsidRPr="00792BFF">
        <w:rPr>
          <w:bCs/>
          <w:lang w:val="en-US"/>
        </w:rPr>
        <w:t>-test</w:t>
      </w:r>
      <w:r w:rsidR="002B7550" w:rsidRPr="00792BFF">
        <w:rPr>
          <w:color w:val="000000"/>
          <w:lang w:val="en-US"/>
        </w:rPr>
        <w:t>.</w:t>
      </w:r>
      <w:commentRangeEnd w:id="53"/>
      <w:r>
        <w:rPr>
          <w:rStyle w:val="CommentReference"/>
        </w:rPr>
        <w:commentReference w:id="53"/>
      </w:r>
    </w:p>
    <w:p w:rsidR="006C5B6D" w:rsidRDefault="006C5B6D" w:rsidP="00DA4B51">
      <w:pPr>
        <w:rPr>
          <w:b/>
          <w:bCs/>
          <w:sz w:val="28"/>
          <w:szCs w:val="28"/>
          <w:lang w:val="en-US"/>
        </w:rPr>
      </w:pPr>
    </w:p>
    <w:p w:rsidR="008F1B49" w:rsidRDefault="00694368" w:rsidP="00694368">
      <w:pPr>
        <w:jc w:val="both"/>
        <w:rPr>
          <w:lang w:val="en-US"/>
        </w:rPr>
      </w:pPr>
      <w:commentRangeStart w:id="54"/>
      <w:r w:rsidRPr="00694368">
        <w:rPr>
          <w:b/>
          <w:bCs/>
          <w:highlight w:val="yellow"/>
          <w:lang w:val="en-US"/>
        </w:rPr>
        <w:t>S</w:t>
      </w:r>
      <w:r w:rsidR="00EE1D74" w:rsidRPr="00694368">
        <w:rPr>
          <w:b/>
          <w:bCs/>
          <w:highlight w:val="yellow"/>
          <w:lang w:val="en-US"/>
        </w:rPr>
        <w:t xml:space="preserve">pecificity, </w:t>
      </w:r>
      <w:r w:rsidR="008F1B49" w:rsidRPr="00694368">
        <w:rPr>
          <w:b/>
          <w:bCs/>
          <w:highlight w:val="yellow"/>
          <w:lang w:val="en-US"/>
        </w:rPr>
        <w:t>sensitivity</w:t>
      </w:r>
      <w:r w:rsidR="00EE1D74" w:rsidRPr="00694368">
        <w:rPr>
          <w:b/>
          <w:bCs/>
          <w:highlight w:val="yellow"/>
        </w:rPr>
        <w:t xml:space="preserve"> and </w:t>
      </w:r>
      <w:r w:rsidRPr="00694368">
        <w:rPr>
          <w:b/>
          <w:bCs/>
          <w:highlight w:val="yellow"/>
          <w:lang w:val="en-US"/>
        </w:rPr>
        <w:t>a</w:t>
      </w:r>
      <w:r w:rsidR="00EE1D74" w:rsidRPr="00694368">
        <w:rPr>
          <w:b/>
          <w:bCs/>
          <w:highlight w:val="yellow"/>
        </w:rPr>
        <w:t>ccuracy</w:t>
      </w:r>
      <w:r w:rsidRPr="00694368">
        <w:rPr>
          <w:b/>
          <w:bCs/>
          <w:highlight w:val="yellow"/>
          <w:lang w:val="en-US"/>
        </w:rPr>
        <w:t xml:space="preserve"> analysis</w:t>
      </w:r>
      <w:r>
        <w:rPr>
          <w:lang w:val="en-US"/>
        </w:rPr>
        <w:t>:</w:t>
      </w:r>
      <w:r w:rsidR="00EE1D74" w:rsidRPr="00A60D04">
        <w:t xml:space="preserve"> </w:t>
      </w:r>
      <w:commentRangeEnd w:id="54"/>
      <w:r>
        <w:rPr>
          <w:rStyle w:val="CommentReference"/>
        </w:rPr>
        <w:commentReference w:id="54"/>
      </w:r>
    </w:p>
    <w:p w:rsidR="008F1B49" w:rsidRDefault="008F1B49" w:rsidP="008F1B49">
      <w:pPr>
        <w:jc w:val="both"/>
        <w:rPr>
          <w:lang w:val="en-US"/>
        </w:rPr>
      </w:pPr>
    </w:p>
    <w:p w:rsidR="00D27928" w:rsidRDefault="00D27928" w:rsidP="00DA4B51">
      <w:pPr>
        <w:rPr>
          <w:b/>
          <w:bCs/>
          <w:sz w:val="28"/>
          <w:szCs w:val="28"/>
          <w:lang w:val="en-US"/>
        </w:rPr>
      </w:pPr>
    </w:p>
    <w:p w:rsidR="00DA4B51" w:rsidRDefault="00DA4B51" w:rsidP="00DA4B51">
      <w:pPr>
        <w:rPr>
          <w:b/>
          <w:bCs/>
          <w:caps/>
          <w:lang w:val="en-US"/>
        </w:rPr>
      </w:pPr>
      <w:r w:rsidRPr="00990D8D">
        <w:rPr>
          <w:b/>
          <w:bCs/>
          <w:caps/>
          <w:lang w:val="en-US"/>
        </w:rPr>
        <w:t>Results</w:t>
      </w:r>
    </w:p>
    <w:p w:rsidR="00990D8D" w:rsidRPr="00990D8D" w:rsidRDefault="00990D8D" w:rsidP="00DA4B51">
      <w:pPr>
        <w:rPr>
          <w:b/>
          <w:bCs/>
          <w:caps/>
          <w:lang w:val="en-US"/>
        </w:rPr>
      </w:pPr>
    </w:p>
    <w:p w:rsidR="00DA4B51" w:rsidRDefault="00265E82" w:rsidP="007019F4">
      <w:pPr>
        <w:jc w:val="both"/>
        <w:rPr>
          <w:lang w:val="en-US"/>
        </w:rPr>
      </w:pPr>
      <w:r>
        <w:rPr>
          <w:lang w:val="en-US"/>
        </w:rPr>
        <w:t>Table 1</w:t>
      </w:r>
      <w:r w:rsidR="00DA4B51" w:rsidRPr="00013AF3">
        <w:rPr>
          <w:lang w:val="en-US"/>
        </w:rPr>
        <w:t xml:space="preserve"> </w:t>
      </w:r>
      <w:r w:rsidR="007019F4" w:rsidRPr="009B114C">
        <w:rPr>
          <w:lang w:val="en-US"/>
        </w:rPr>
        <w:t xml:space="preserve">depicts </w:t>
      </w:r>
      <w:r w:rsidR="00DA4B51" w:rsidRPr="00013AF3">
        <w:rPr>
          <w:lang w:val="en-US"/>
        </w:rPr>
        <w:t xml:space="preserve">certain statistical parameters (arithmetic mean, standard deviation, standard error of mean, </w:t>
      </w:r>
      <w:r w:rsidR="000F1BF8">
        <w:rPr>
          <w:lang w:val="en-US"/>
        </w:rPr>
        <w:t>range</w:t>
      </w:r>
      <w:r w:rsidR="00DA4B51" w:rsidRPr="00013AF3">
        <w:rPr>
          <w:lang w:val="en-US"/>
        </w:rPr>
        <w:t xml:space="preserve">) of the </w:t>
      </w:r>
      <w:r w:rsidR="007019F4">
        <w:rPr>
          <w:lang w:val="en-US"/>
        </w:rPr>
        <w:t xml:space="preserve">Br, </w:t>
      </w:r>
      <w:r w:rsidR="00B96704">
        <w:rPr>
          <w:lang w:val="en-US"/>
        </w:rPr>
        <w:t xml:space="preserve">Cu, </w:t>
      </w:r>
      <w:r w:rsidR="00DA4B51" w:rsidRPr="005951CD">
        <w:rPr>
          <w:lang w:val="en-US"/>
        </w:rPr>
        <w:t xml:space="preserve">Fe, </w:t>
      </w:r>
      <w:r w:rsidR="00B44A6E">
        <w:rPr>
          <w:lang w:val="en-US"/>
        </w:rPr>
        <w:t xml:space="preserve">I, </w:t>
      </w:r>
      <w:r w:rsidR="00DA4B51" w:rsidRPr="005951CD">
        <w:rPr>
          <w:lang w:val="en-US"/>
        </w:rPr>
        <w:t xml:space="preserve">Rb, Sr, </w:t>
      </w:r>
      <w:r w:rsidR="00B44A6E">
        <w:rPr>
          <w:lang w:val="en-US"/>
        </w:rPr>
        <w:t xml:space="preserve">and </w:t>
      </w:r>
      <w:r w:rsidR="00DA4B51" w:rsidRPr="005951CD">
        <w:rPr>
          <w:lang w:val="en-US"/>
        </w:rPr>
        <w:t>Zn</w:t>
      </w:r>
      <w:r w:rsidR="00DA4B51">
        <w:rPr>
          <w:lang w:val="en-US"/>
        </w:rPr>
        <w:t xml:space="preserve"> mass fraction</w:t>
      </w:r>
      <w:r w:rsidR="00DA4B51" w:rsidRPr="005951CD">
        <w:rPr>
          <w:lang w:val="en-US"/>
        </w:rPr>
        <w:t xml:space="preserve"> </w:t>
      </w:r>
      <w:r w:rsidR="00DA4B51" w:rsidRPr="00013AF3">
        <w:rPr>
          <w:lang w:val="en-US"/>
        </w:rPr>
        <w:t xml:space="preserve">in </w:t>
      </w:r>
      <w:r w:rsidR="00784925">
        <w:rPr>
          <w:lang w:val="en-US"/>
        </w:rPr>
        <w:t xml:space="preserve">thyroid </w:t>
      </w:r>
      <w:r w:rsidR="00784925" w:rsidRPr="00872213">
        <w:rPr>
          <w:lang w:val="en-US"/>
        </w:rPr>
        <w:t>tissue</w:t>
      </w:r>
      <w:r w:rsidR="00784925">
        <w:rPr>
          <w:lang w:val="en-US"/>
        </w:rPr>
        <w:t xml:space="preserve"> samples</w:t>
      </w:r>
      <w:r w:rsidR="00784925">
        <w:rPr>
          <w:color w:val="000000"/>
          <w:lang w:val="en-US"/>
        </w:rPr>
        <w:t xml:space="preserve"> of </w:t>
      </w:r>
      <w:r w:rsidR="000F1BF8">
        <w:rPr>
          <w:color w:val="000000"/>
          <w:lang w:val="en-US"/>
        </w:rPr>
        <w:t>three</w:t>
      </w:r>
      <w:r w:rsidR="00784925">
        <w:rPr>
          <w:color w:val="000000"/>
          <w:lang w:val="en-US"/>
        </w:rPr>
        <w:t xml:space="preserve"> groups </w:t>
      </w:r>
      <w:r w:rsidR="000F1BF8">
        <w:rPr>
          <w:color w:val="000000"/>
          <w:lang w:val="en-US"/>
        </w:rPr>
        <w:t>– NT,</w:t>
      </w:r>
      <w:r w:rsidR="007019F4">
        <w:rPr>
          <w:color w:val="000000"/>
          <w:lang w:val="en-US"/>
        </w:rPr>
        <w:t xml:space="preserve"> </w:t>
      </w:r>
      <w:r w:rsidR="007019F4">
        <w:rPr>
          <w:lang w:val="en-US"/>
        </w:rPr>
        <w:t>TBN and TMN.</w:t>
      </w:r>
    </w:p>
    <w:p w:rsidR="00990D8D" w:rsidRDefault="00990D8D" w:rsidP="00990D8D">
      <w:pPr>
        <w:spacing w:after="120"/>
        <w:rPr>
          <w:b/>
          <w:bCs/>
          <w:lang w:val="en-US"/>
        </w:rPr>
      </w:pPr>
    </w:p>
    <w:p w:rsidR="00990D8D" w:rsidRPr="0052492C" w:rsidRDefault="00990D8D" w:rsidP="00990D8D">
      <w:pPr>
        <w:spacing w:after="120"/>
        <w:rPr>
          <w:lang w:val="en-US"/>
        </w:rPr>
      </w:pPr>
      <w:r>
        <w:rPr>
          <w:b/>
          <w:bCs/>
          <w:lang w:val="en-US"/>
        </w:rPr>
        <w:t>Table 1</w:t>
      </w:r>
      <w:r w:rsidRPr="0052492C">
        <w:rPr>
          <w:bCs/>
          <w:lang w:val="en-US"/>
        </w:rPr>
        <w:t xml:space="preserve">. </w:t>
      </w:r>
      <w:r>
        <w:rPr>
          <w:lang w:val="en-US"/>
        </w:rPr>
        <w:t>Basic</w:t>
      </w:r>
      <w:r w:rsidRPr="0052492C">
        <w:rPr>
          <w:lang w:val="en-US"/>
        </w:rPr>
        <w:t xml:space="preserve"> statistical parameters of Br, </w:t>
      </w:r>
      <w:r>
        <w:rPr>
          <w:lang w:val="en-US"/>
        </w:rPr>
        <w:t xml:space="preserve">Cu, </w:t>
      </w:r>
      <w:r w:rsidRPr="0052492C">
        <w:rPr>
          <w:lang w:val="en-US"/>
        </w:rPr>
        <w:t xml:space="preserve">Fe, </w:t>
      </w:r>
      <w:r>
        <w:rPr>
          <w:lang w:val="en-US"/>
        </w:rPr>
        <w:t xml:space="preserve">I, </w:t>
      </w:r>
      <w:r w:rsidRPr="0052492C">
        <w:rPr>
          <w:lang w:val="en-US"/>
        </w:rPr>
        <w:t xml:space="preserve">Rb, Sr, and Zn </w:t>
      </w:r>
      <w:r>
        <w:rPr>
          <w:lang w:val="en-US"/>
        </w:rPr>
        <w:t>mass fraction</w:t>
      </w:r>
      <w:r w:rsidRPr="0052492C">
        <w:rPr>
          <w:lang w:val="en-US"/>
        </w:rPr>
        <w:t xml:space="preserve"> (mg/kg, dry mass basis)</w:t>
      </w:r>
      <w:r>
        <w:rPr>
          <w:lang w:val="en-US"/>
        </w:rPr>
        <w:t xml:space="preserve"> </w:t>
      </w:r>
      <w:r w:rsidRPr="0052492C">
        <w:rPr>
          <w:lang w:val="en-US"/>
        </w:rPr>
        <w:t>in normal</w:t>
      </w:r>
      <w:r>
        <w:rPr>
          <w:lang w:val="en-US"/>
        </w:rPr>
        <w:t xml:space="preserve"> thyroid (N) and in thyroid benign (TBN)</w:t>
      </w:r>
      <w:r w:rsidRPr="0052492C">
        <w:rPr>
          <w:lang w:val="en-US"/>
        </w:rPr>
        <w:t xml:space="preserve"> </w:t>
      </w:r>
      <w:r>
        <w:rPr>
          <w:lang w:val="en-US"/>
        </w:rPr>
        <w:t xml:space="preserve">and malignant (TMN) nodules </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1828"/>
        <w:gridCol w:w="1170"/>
        <w:gridCol w:w="1828"/>
        <w:gridCol w:w="1335"/>
        <w:gridCol w:w="1828"/>
        <w:gridCol w:w="1170"/>
      </w:tblGrid>
      <w:tr w:rsidR="00990D8D" w:rsidRPr="0052492C" w:rsidTr="00990D8D">
        <w:trPr>
          <w:trHeight w:val="263"/>
        </w:trPr>
        <w:tc>
          <w:tcPr>
            <w:tcW w:w="473" w:type="dxa"/>
            <w:tcBorders>
              <w:left w:val="nil"/>
              <w:bottom w:val="single" w:sz="4" w:space="0" w:color="auto"/>
              <w:right w:val="nil"/>
            </w:tcBorders>
          </w:tcPr>
          <w:p w:rsidR="00990D8D" w:rsidRDefault="00990D8D" w:rsidP="00990D8D">
            <w:pPr>
              <w:rPr>
                <w:lang w:val="en-US"/>
              </w:rPr>
            </w:pPr>
            <w:r>
              <w:rPr>
                <w:lang w:val="en-US"/>
              </w:rPr>
              <w:t>El</w:t>
            </w:r>
          </w:p>
        </w:tc>
        <w:tc>
          <w:tcPr>
            <w:tcW w:w="2998" w:type="dxa"/>
            <w:gridSpan w:val="2"/>
            <w:tcBorders>
              <w:left w:val="nil"/>
              <w:bottom w:val="single" w:sz="4" w:space="0" w:color="auto"/>
              <w:right w:val="nil"/>
            </w:tcBorders>
          </w:tcPr>
          <w:p w:rsidR="00990D8D" w:rsidRPr="0052492C" w:rsidRDefault="00990D8D" w:rsidP="00990D8D">
            <w:pPr>
              <w:jc w:val="center"/>
              <w:rPr>
                <w:lang w:val="en-US"/>
              </w:rPr>
            </w:pPr>
            <w:r>
              <w:rPr>
                <w:lang w:val="en-US"/>
              </w:rPr>
              <w:t xml:space="preserve">NT, </w:t>
            </w:r>
            <w:r w:rsidRPr="002F4C64">
              <w:rPr>
                <w:lang w:val="en-US"/>
              </w:rPr>
              <w:t>n=105</w:t>
            </w:r>
          </w:p>
        </w:tc>
        <w:tc>
          <w:tcPr>
            <w:tcW w:w="3163" w:type="dxa"/>
            <w:gridSpan w:val="2"/>
            <w:tcBorders>
              <w:left w:val="nil"/>
              <w:bottom w:val="single" w:sz="4" w:space="0" w:color="auto"/>
              <w:right w:val="nil"/>
            </w:tcBorders>
          </w:tcPr>
          <w:p w:rsidR="00990D8D" w:rsidRPr="0052492C" w:rsidRDefault="00990D8D" w:rsidP="00990D8D">
            <w:pPr>
              <w:jc w:val="center"/>
              <w:rPr>
                <w:lang w:val="en-US"/>
              </w:rPr>
            </w:pPr>
            <w:r>
              <w:rPr>
                <w:lang w:val="en-US"/>
              </w:rPr>
              <w:t>TBN, n=79</w:t>
            </w:r>
          </w:p>
        </w:tc>
        <w:tc>
          <w:tcPr>
            <w:tcW w:w="2998" w:type="dxa"/>
            <w:gridSpan w:val="2"/>
            <w:tcBorders>
              <w:left w:val="nil"/>
              <w:bottom w:val="single" w:sz="4" w:space="0" w:color="auto"/>
              <w:right w:val="nil"/>
            </w:tcBorders>
          </w:tcPr>
          <w:p w:rsidR="00990D8D" w:rsidRPr="0052492C" w:rsidRDefault="00990D8D" w:rsidP="00990D8D">
            <w:pPr>
              <w:jc w:val="center"/>
              <w:rPr>
                <w:lang w:val="en-US"/>
              </w:rPr>
            </w:pPr>
            <w:r>
              <w:rPr>
                <w:lang w:val="en-US"/>
              </w:rPr>
              <w:t>TMN, n=41</w:t>
            </w:r>
          </w:p>
        </w:tc>
      </w:tr>
      <w:tr w:rsidR="00990D8D" w:rsidRPr="0052492C" w:rsidTr="00990D8D">
        <w:trPr>
          <w:trHeight w:val="263"/>
        </w:trPr>
        <w:tc>
          <w:tcPr>
            <w:tcW w:w="473" w:type="dxa"/>
            <w:tcBorders>
              <w:left w:val="nil"/>
              <w:bottom w:val="single" w:sz="4" w:space="0" w:color="auto"/>
              <w:right w:val="nil"/>
            </w:tcBorders>
          </w:tcPr>
          <w:p w:rsidR="00990D8D" w:rsidRPr="0052492C" w:rsidRDefault="00990D8D" w:rsidP="00990D8D"/>
        </w:tc>
        <w:tc>
          <w:tcPr>
            <w:tcW w:w="1828" w:type="dxa"/>
            <w:tcBorders>
              <w:left w:val="nil"/>
              <w:bottom w:val="single" w:sz="4" w:space="0" w:color="auto"/>
              <w:right w:val="nil"/>
            </w:tcBorders>
          </w:tcPr>
          <w:p w:rsidR="00990D8D" w:rsidRPr="002A7BFB" w:rsidRDefault="00990D8D" w:rsidP="00990D8D">
            <w:pPr>
              <w:jc w:val="center"/>
              <w:rPr>
                <w:lang w:val="en-US"/>
              </w:rPr>
            </w:pPr>
            <w:r w:rsidRPr="002A7BFB">
              <w:rPr>
                <w:sz w:val="22"/>
                <w:szCs w:val="22"/>
                <w:lang w:val="en-US"/>
              </w:rPr>
              <w:t>Mean±SD(SEM)</w:t>
            </w:r>
          </w:p>
        </w:tc>
        <w:tc>
          <w:tcPr>
            <w:tcW w:w="1170" w:type="dxa"/>
            <w:tcBorders>
              <w:left w:val="nil"/>
              <w:bottom w:val="single" w:sz="4" w:space="0" w:color="auto"/>
              <w:right w:val="nil"/>
            </w:tcBorders>
          </w:tcPr>
          <w:p w:rsidR="00990D8D" w:rsidRPr="002A7BFB" w:rsidRDefault="00990D8D" w:rsidP="00990D8D">
            <w:pPr>
              <w:jc w:val="center"/>
              <w:rPr>
                <w:lang w:val="en-US"/>
              </w:rPr>
            </w:pPr>
            <w:r w:rsidRPr="002A7BFB">
              <w:rPr>
                <w:sz w:val="22"/>
                <w:szCs w:val="22"/>
                <w:lang w:val="en-US"/>
              </w:rPr>
              <w:t>Range</w:t>
            </w:r>
          </w:p>
        </w:tc>
        <w:tc>
          <w:tcPr>
            <w:tcW w:w="1828" w:type="dxa"/>
            <w:tcBorders>
              <w:left w:val="nil"/>
              <w:bottom w:val="single" w:sz="4" w:space="0" w:color="auto"/>
              <w:right w:val="nil"/>
            </w:tcBorders>
          </w:tcPr>
          <w:p w:rsidR="00990D8D" w:rsidRPr="002A7BFB" w:rsidRDefault="00990D8D" w:rsidP="00990D8D">
            <w:pPr>
              <w:jc w:val="center"/>
              <w:rPr>
                <w:lang w:val="en-US"/>
              </w:rPr>
            </w:pPr>
            <w:r w:rsidRPr="002A7BFB">
              <w:rPr>
                <w:sz w:val="22"/>
                <w:szCs w:val="22"/>
                <w:lang w:val="en-US"/>
              </w:rPr>
              <w:t>Mean±SD(SEM)</w:t>
            </w:r>
          </w:p>
        </w:tc>
        <w:tc>
          <w:tcPr>
            <w:tcW w:w="1335" w:type="dxa"/>
            <w:tcBorders>
              <w:left w:val="nil"/>
              <w:bottom w:val="single" w:sz="4" w:space="0" w:color="auto"/>
              <w:right w:val="nil"/>
            </w:tcBorders>
          </w:tcPr>
          <w:p w:rsidR="00990D8D" w:rsidRPr="002A7BFB" w:rsidRDefault="00990D8D" w:rsidP="00990D8D">
            <w:pPr>
              <w:jc w:val="center"/>
              <w:rPr>
                <w:lang w:val="en-US"/>
              </w:rPr>
            </w:pPr>
            <w:r w:rsidRPr="002A7BFB">
              <w:rPr>
                <w:sz w:val="22"/>
                <w:szCs w:val="22"/>
                <w:lang w:val="en-US"/>
              </w:rPr>
              <w:t>Range</w:t>
            </w:r>
          </w:p>
        </w:tc>
        <w:tc>
          <w:tcPr>
            <w:tcW w:w="1828" w:type="dxa"/>
            <w:tcBorders>
              <w:left w:val="nil"/>
              <w:bottom w:val="single" w:sz="4" w:space="0" w:color="auto"/>
              <w:right w:val="nil"/>
            </w:tcBorders>
          </w:tcPr>
          <w:p w:rsidR="00990D8D" w:rsidRPr="002A7BFB" w:rsidRDefault="00990D8D" w:rsidP="00990D8D">
            <w:pPr>
              <w:jc w:val="center"/>
              <w:rPr>
                <w:lang w:val="en-US"/>
              </w:rPr>
            </w:pPr>
            <w:r w:rsidRPr="002A7BFB">
              <w:rPr>
                <w:sz w:val="22"/>
                <w:szCs w:val="22"/>
                <w:lang w:val="en-US"/>
              </w:rPr>
              <w:t>Mean±SD(SEM)</w:t>
            </w:r>
          </w:p>
        </w:tc>
        <w:tc>
          <w:tcPr>
            <w:tcW w:w="1170" w:type="dxa"/>
            <w:tcBorders>
              <w:left w:val="nil"/>
              <w:bottom w:val="single" w:sz="4" w:space="0" w:color="auto"/>
              <w:right w:val="nil"/>
            </w:tcBorders>
          </w:tcPr>
          <w:p w:rsidR="00990D8D" w:rsidRPr="002A7BFB" w:rsidRDefault="00990D8D" w:rsidP="00990D8D">
            <w:pPr>
              <w:jc w:val="center"/>
              <w:rPr>
                <w:lang w:val="en-US"/>
              </w:rPr>
            </w:pPr>
            <w:r w:rsidRPr="002A7BFB">
              <w:rPr>
                <w:sz w:val="22"/>
                <w:szCs w:val="22"/>
                <w:lang w:val="en-US"/>
              </w:rPr>
              <w:t>Range</w:t>
            </w:r>
          </w:p>
        </w:tc>
      </w:tr>
      <w:tr w:rsidR="00990D8D" w:rsidRPr="0052492C" w:rsidTr="00990D8D">
        <w:trPr>
          <w:trHeight w:val="148"/>
        </w:trPr>
        <w:tc>
          <w:tcPr>
            <w:tcW w:w="473" w:type="dxa"/>
            <w:tcBorders>
              <w:left w:val="nil"/>
              <w:bottom w:val="nil"/>
              <w:right w:val="nil"/>
            </w:tcBorders>
          </w:tcPr>
          <w:p w:rsidR="00990D8D" w:rsidRPr="002A7BFB" w:rsidRDefault="00990D8D" w:rsidP="00990D8D">
            <w:pPr>
              <w:rPr>
                <w:lang w:val="en-US"/>
              </w:rPr>
            </w:pPr>
            <w:r w:rsidRPr="002A7BFB">
              <w:rPr>
                <w:sz w:val="22"/>
                <w:szCs w:val="22"/>
                <w:lang w:val="en-US"/>
              </w:rPr>
              <w:t>Br</w:t>
            </w:r>
          </w:p>
        </w:tc>
        <w:tc>
          <w:tcPr>
            <w:tcW w:w="1828" w:type="dxa"/>
            <w:tcBorders>
              <w:left w:val="nil"/>
              <w:bottom w:val="nil"/>
              <w:right w:val="nil"/>
            </w:tcBorders>
            <w:vAlign w:val="bottom"/>
          </w:tcPr>
          <w:p w:rsidR="00990D8D" w:rsidRPr="002A7BFB" w:rsidRDefault="00990D8D" w:rsidP="00990D8D">
            <w:pPr>
              <w:jc w:val="center"/>
              <w:rPr>
                <w:lang w:val="en-US"/>
              </w:rPr>
            </w:pPr>
            <w:r w:rsidRPr="002A7BFB">
              <w:rPr>
                <w:sz w:val="22"/>
                <w:szCs w:val="22"/>
                <w:lang w:val="en-US"/>
              </w:rPr>
              <w:t>13.9±12.0(1.3)</w:t>
            </w:r>
          </w:p>
        </w:tc>
        <w:tc>
          <w:tcPr>
            <w:tcW w:w="1170" w:type="dxa"/>
            <w:tcBorders>
              <w:left w:val="nil"/>
              <w:bottom w:val="nil"/>
              <w:right w:val="nil"/>
            </w:tcBorders>
            <w:vAlign w:val="bottom"/>
          </w:tcPr>
          <w:p w:rsidR="00990D8D" w:rsidRPr="002A7BFB" w:rsidRDefault="00990D8D" w:rsidP="00990D8D">
            <w:pPr>
              <w:jc w:val="center"/>
              <w:rPr>
                <w:lang w:val="en-US"/>
              </w:rPr>
            </w:pPr>
            <w:r w:rsidRPr="002A7BFB">
              <w:rPr>
                <w:sz w:val="22"/>
                <w:szCs w:val="22"/>
                <w:lang w:val="en-US"/>
              </w:rPr>
              <w:t>1.4-54.4</w:t>
            </w:r>
          </w:p>
        </w:tc>
        <w:tc>
          <w:tcPr>
            <w:tcW w:w="1828" w:type="dxa"/>
            <w:tcBorders>
              <w:left w:val="nil"/>
              <w:bottom w:val="nil"/>
              <w:right w:val="nil"/>
            </w:tcBorders>
            <w:vAlign w:val="bottom"/>
          </w:tcPr>
          <w:p w:rsidR="00990D8D" w:rsidRPr="002A7BFB" w:rsidRDefault="00990D8D" w:rsidP="00990D8D">
            <w:pPr>
              <w:jc w:val="center"/>
              <w:rPr>
                <w:lang w:val="en-US"/>
              </w:rPr>
            </w:pPr>
            <w:r w:rsidRPr="002A7BFB">
              <w:rPr>
                <w:sz w:val="22"/>
                <w:szCs w:val="22"/>
                <w:lang w:val="en-US"/>
              </w:rPr>
              <w:t>412±</w:t>
            </w:r>
            <w:r w:rsidRPr="002A7BFB">
              <w:rPr>
                <w:sz w:val="22"/>
                <w:szCs w:val="22"/>
              </w:rPr>
              <w:t>682</w:t>
            </w:r>
            <w:r w:rsidRPr="002A7BFB">
              <w:rPr>
                <w:sz w:val="22"/>
                <w:szCs w:val="22"/>
                <w:lang w:val="en-US"/>
              </w:rPr>
              <w:t>(98)</w:t>
            </w:r>
          </w:p>
        </w:tc>
        <w:tc>
          <w:tcPr>
            <w:tcW w:w="1335" w:type="dxa"/>
            <w:tcBorders>
              <w:left w:val="nil"/>
              <w:bottom w:val="nil"/>
              <w:right w:val="nil"/>
            </w:tcBorders>
            <w:vAlign w:val="bottom"/>
          </w:tcPr>
          <w:p w:rsidR="00990D8D" w:rsidRPr="002A7BFB" w:rsidRDefault="00990D8D" w:rsidP="00990D8D">
            <w:pPr>
              <w:jc w:val="center"/>
              <w:rPr>
                <w:lang w:val="en-US"/>
              </w:rPr>
            </w:pPr>
            <w:r w:rsidRPr="002A7BFB">
              <w:rPr>
                <w:sz w:val="22"/>
                <w:szCs w:val="22"/>
                <w:lang w:val="en-US"/>
              </w:rPr>
              <w:t>3.20-2628</w:t>
            </w:r>
          </w:p>
        </w:tc>
        <w:tc>
          <w:tcPr>
            <w:tcW w:w="1828" w:type="dxa"/>
            <w:tcBorders>
              <w:left w:val="nil"/>
              <w:bottom w:val="nil"/>
              <w:right w:val="nil"/>
            </w:tcBorders>
            <w:vAlign w:val="bottom"/>
          </w:tcPr>
          <w:p w:rsidR="00990D8D" w:rsidRPr="002A7BFB" w:rsidRDefault="00990D8D" w:rsidP="00990D8D">
            <w:pPr>
              <w:jc w:val="center"/>
              <w:rPr>
                <w:lang w:val="en-US"/>
              </w:rPr>
            </w:pPr>
            <w:r w:rsidRPr="002A7BFB">
              <w:rPr>
                <w:sz w:val="22"/>
                <w:szCs w:val="22"/>
                <w:lang w:val="en-US"/>
              </w:rPr>
              <w:t>139±203(36)</w:t>
            </w:r>
          </w:p>
        </w:tc>
        <w:tc>
          <w:tcPr>
            <w:tcW w:w="1170" w:type="dxa"/>
            <w:tcBorders>
              <w:left w:val="nil"/>
              <w:bottom w:val="nil"/>
              <w:right w:val="nil"/>
            </w:tcBorders>
            <w:vAlign w:val="bottom"/>
          </w:tcPr>
          <w:p w:rsidR="00990D8D" w:rsidRPr="002A7BFB" w:rsidRDefault="00990D8D" w:rsidP="00990D8D">
            <w:pPr>
              <w:jc w:val="center"/>
              <w:rPr>
                <w:lang w:val="en-US"/>
              </w:rPr>
            </w:pPr>
            <w:r w:rsidRPr="002A7BFB">
              <w:rPr>
                <w:sz w:val="22"/>
                <w:szCs w:val="22"/>
                <w:lang w:val="en-US"/>
              </w:rPr>
              <w:t>6.2-802</w:t>
            </w:r>
          </w:p>
        </w:tc>
      </w:tr>
      <w:tr w:rsidR="00990D8D" w:rsidRPr="0052492C" w:rsidTr="00990D8D">
        <w:trPr>
          <w:trHeight w:val="229"/>
        </w:trPr>
        <w:tc>
          <w:tcPr>
            <w:tcW w:w="473" w:type="dxa"/>
            <w:tcBorders>
              <w:top w:val="nil"/>
              <w:left w:val="nil"/>
              <w:bottom w:val="nil"/>
              <w:right w:val="nil"/>
            </w:tcBorders>
          </w:tcPr>
          <w:p w:rsidR="00990D8D" w:rsidRPr="002A7BFB" w:rsidRDefault="00990D8D" w:rsidP="00990D8D">
            <w:pPr>
              <w:rPr>
                <w:lang w:val="en-US"/>
              </w:rPr>
            </w:pPr>
            <w:r w:rsidRPr="002A7BFB">
              <w:rPr>
                <w:sz w:val="22"/>
                <w:szCs w:val="22"/>
                <w:lang w:val="en-US"/>
              </w:rPr>
              <w:t>Cu</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4.23±1.52(0.18)</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0.50-7.50</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10.2±9.2(1.7)</w:t>
            </w:r>
          </w:p>
        </w:tc>
        <w:tc>
          <w:tcPr>
            <w:tcW w:w="1335"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2.90-35.2</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14.5±9.4(2.6)</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4.00-32.6</w:t>
            </w:r>
          </w:p>
        </w:tc>
      </w:tr>
      <w:tr w:rsidR="00990D8D" w:rsidRPr="0052492C" w:rsidTr="00990D8D">
        <w:trPr>
          <w:trHeight w:val="229"/>
        </w:trPr>
        <w:tc>
          <w:tcPr>
            <w:tcW w:w="473" w:type="dxa"/>
            <w:tcBorders>
              <w:top w:val="nil"/>
              <w:left w:val="nil"/>
              <w:bottom w:val="nil"/>
              <w:right w:val="nil"/>
            </w:tcBorders>
          </w:tcPr>
          <w:p w:rsidR="00990D8D" w:rsidRPr="002A7BFB" w:rsidRDefault="00990D8D" w:rsidP="00990D8D">
            <w:pPr>
              <w:rPr>
                <w:lang w:val="en-US"/>
              </w:rPr>
            </w:pPr>
            <w:r w:rsidRPr="002A7BFB">
              <w:rPr>
                <w:sz w:val="22"/>
                <w:szCs w:val="22"/>
                <w:lang w:val="en-US"/>
              </w:rPr>
              <w:t>Fe</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222±102(11)</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47.1-512</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345±416(49)</w:t>
            </w:r>
          </w:p>
        </w:tc>
        <w:tc>
          <w:tcPr>
            <w:tcW w:w="1335"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52,0-2563</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238±184(30)</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54-893</w:t>
            </w:r>
          </w:p>
        </w:tc>
      </w:tr>
      <w:tr w:rsidR="00990D8D" w:rsidRPr="0052492C" w:rsidTr="00990D8D">
        <w:trPr>
          <w:trHeight w:val="131"/>
        </w:trPr>
        <w:tc>
          <w:tcPr>
            <w:tcW w:w="473" w:type="dxa"/>
            <w:tcBorders>
              <w:top w:val="nil"/>
              <w:left w:val="nil"/>
              <w:bottom w:val="nil"/>
              <w:right w:val="nil"/>
            </w:tcBorders>
          </w:tcPr>
          <w:p w:rsidR="00990D8D" w:rsidRPr="002A7BFB" w:rsidRDefault="00990D8D" w:rsidP="00990D8D">
            <w:pPr>
              <w:rPr>
                <w:lang w:val="en-US"/>
              </w:rPr>
            </w:pPr>
            <w:r w:rsidRPr="002A7BFB">
              <w:rPr>
                <w:sz w:val="22"/>
                <w:szCs w:val="22"/>
                <w:lang w:val="en-US"/>
              </w:rPr>
              <w:t>I</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1618±1041(108)</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110-5150</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1447±3313(373)</w:t>
            </w:r>
          </w:p>
        </w:tc>
        <w:tc>
          <w:tcPr>
            <w:tcW w:w="1335"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47.0-28000</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71.6±72.5(11.6)</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2.00-341</w:t>
            </w:r>
          </w:p>
        </w:tc>
      </w:tr>
      <w:tr w:rsidR="00990D8D" w:rsidRPr="0052492C" w:rsidTr="00990D8D">
        <w:trPr>
          <w:trHeight w:val="131"/>
        </w:trPr>
        <w:tc>
          <w:tcPr>
            <w:tcW w:w="473" w:type="dxa"/>
            <w:tcBorders>
              <w:top w:val="nil"/>
              <w:left w:val="nil"/>
              <w:bottom w:val="nil"/>
              <w:right w:val="nil"/>
            </w:tcBorders>
          </w:tcPr>
          <w:p w:rsidR="00990D8D" w:rsidRPr="002A7BFB" w:rsidRDefault="00990D8D" w:rsidP="00990D8D">
            <w:pPr>
              <w:rPr>
                <w:lang w:val="en-US"/>
              </w:rPr>
            </w:pPr>
            <w:r w:rsidRPr="002A7BFB">
              <w:rPr>
                <w:sz w:val="22"/>
                <w:szCs w:val="22"/>
                <w:lang w:val="en-US"/>
              </w:rPr>
              <w:t>Rb</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9.03±6.17(0.66)</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1.80-42.9</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8.77±4.49(0.53)</w:t>
            </w:r>
          </w:p>
        </w:tc>
        <w:tc>
          <w:tcPr>
            <w:tcW w:w="1335"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1.00-20.3</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12.4±5.00(0.79)</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4.80-27.4</w:t>
            </w:r>
          </w:p>
        </w:tc>
      </w:tr>
      <w:tr w:rsidR="00990D8D" w:rsidRPr="0052492C" w:rsidTr="00990D8D">
        <w:trPr>
          <w:trHeight w:val="197"/>
        </w:trPr>
        <w:tc>
          <w:tcPr>
            <w:tcW w:w="473" w:type="dxa"/>
            <w:tcBorders>
              <w:top w:val="nil"/>
              <w:left w:val="nil"/>
              <w:bottom w:val="nil"/>
              <w:right w:val="nil"/>
            </w:tcBorders>
          </w:tcPr>
          <w:p w:rsidR="00990D8D" w:rsidRPr="002A7BFB" w:rsidRDefault="00990D8D" w:rsidP="00990D8D">
            <w:pPr>
              <w:rPr>
                <w:lang w:val="en-US"/>
              </w:rPr>
            </w:pPr>
            <w:r w:rsidRPr="002A7BFB">
              <w:rPr>
                <w:sz w:val="22"/>
                <w:szCs w:val="22"/>
                <w:lang w:val="en-US"/>
              </w:rPr>
              <w:t>Sr</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4.55±3.22(0.37)</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0.10-13.7</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4.48±6.84(0.88)</w:t>
            </w:r>
          </w:p>
        </w:tc>
        <w:tc>
          <w:tcPr>
            <w:tcW w:w="1335"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0.42-32.0</w:t>
            </w:r>
          </w:p>
        </w:tc>
        <w:tc>
          <w:tcPr>
            <w:tcW w:w="1828"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6.25±7.83(1.63)</w:t>
            </w:r>
          </w:p>
        </w:tc>
        <w:tc>
          <w:tcPr>
            <w:tcW w:w="1170" w:type="dxa"/>
            <w:tcBorders>
              <w:top w:val="nil"/>
              <w:left w:val="nil"/>
              <w:bottom w:val="nil"/>
              <w:right w:val="nil"/>
            </w:tcBorders>
            <w:vAlign w:val="bottom"/>
          </w:tcPr>
          <w:p w:rsidR="00990D8D" w:rsidRPr="002A7BFB" w:rsidRDefault="00990D8D" w:rsidP="00990D8D">
            <w:pPr>
              <w:jc w:val="center"/>
              <w:rPr>
                <w:lang w:val="en-US"/>
              </w:rPr>
            </w:pPr>
            <w:r w:rsidRPr="002A7BFB">
              <w:rPr>
                <w:sz w:val="22"/>
                <w:szCs w:val="22"/>
                <w:lang w:val="en-US"/>
              </w:rPr>
              <w:t>0.93-30.8</w:t>
            </w:r>
          </w:p>
        </w:tc>
      </w:tr>
      <w:tr w:rsidR="00990D8D" w:rsidRPr="0052492C" w:rsidTr="00990D8D">
        <w:trPr>
          <w:trHeight w:val="197"/>
        </w:trPr>
        <w:tc>
          <w:tcPr>
            <w:tcW w:w="473" w:type="dxa"/>
            <w:tcBorders>
              <w:top w:val="nil"/>
              <w:left w:val="nil"/>
              <w:bottom w:val="single" w:sz="4" w:space="0" w:color="auto"/>
              <w:right w:val="nil"/>
            </w:tcBorders>
          </w:tcPr>
          <w:p w:rsidR="00990D8D" w:rsidRPr="002A7BFB" w:rsidRDefault="00990D8D" w:rsidP="00990D8D">
            <w:pPr>
              <w:rPr>
                <w:lang w:val="en-US"/>
              </w:rPr>
            </w:pPr>
            <w:r w:rsidRPr="002A7BFB">
              <w:rPr>
                <w:sz w:val="22"/>
                <w:szCs w:val="22"/>
                <w:lang w:val="en-US"/>
              </w:rPr>
              <w:t>Zn</w:t>
            </w:r>
          </w:p>
        </w:tc>
        <w:tc>
          <w:tcPr>
            <w:tcW w:w="1828" w:type="dxa"/>
            <w:tcBorders>
              <w:top w:val="nil"/>
              <w:left w:val="nil"/>
              <w:bottom w:val="single" w:sz="4" w:space="0" w:color="auto"/>
              <w:right w:val="nil"/>
            </w:tcBorders>
            <w:vAlign w:val="bottom"/>
          </w:tcPr>
          <w:p w:rsidR="00990D8D" w:rsidRPr="002A7BFB" w:rsidRDefault="00990D8D" w:rsidP="00990D8D">
            <w:pPr>
              <w:jc w:val="center"/>
              <w:rPr>
                <w:lang w:val="en-US"/>
              </w:rPr>
            </w:pPr>
            <w:r w:rsidRPr="002A7BFB">
              <w:rPr>
                <w:sz w:val="22"/>
                <w:szCs w:val="22"/>
                <w:lang w:val="en-US"/>
              </w:rPr>
              <w:t>112±44.0(4.7)</w:t>
            </w:r>
          </w:p>
        </w:tc>
        <w:tc>
          <w:tcPr>
            <w:tcW w:w="1170" w:type="dxa"/>
            <w:tcBorders>
              <w:top w:val="nil"/>
              <w:left w:val="nil"/>
              <w:bottom w:val="single" w:sz="4" w:space="0" w:color="auto"/>
              <w:right w:val="nil"/>
            </w:tcBorders>
            <w:vAlign w:val="bottom"/>
          </w:tcPr>
          <w:p w:rsidR="00990D8D" w:rsidRPr="002A7BFB" w:rsidRDefault="00990D8D" w:rsidP="00990D8D">
            <w:pPr>
              <w:jc w:val="center"/>
              <w:rPr>
                <w:lang w:val="en-US"/>
              </w:rPr>
            </w:pPr>
            <w:r w:rsidRPr="002A7BFB">
              <w:rPr>
                <w:sz w:val="22"/>
                <w:szCs w:val="22"/>
                <w:lang w:val="en-US"/>
              </w:rPr>
              <w:t>6.10-221</w:t>
            </w:r>
          </w:p>
        </w:tc>
        <w:tc>
          <w:tcPr>
            <w:tcW w:w="1828" w:type="dxa"/>
            <w:tcBorders>
              <w:top w:val="nil"/>
              <w:left w:val="nil"/>
              <w:bottom w:val="single" w:sz="4" w:space="0" w:color="auto"/>
              <w:right w:val="nil"/>
            </w:tcBorders>
            <w:vAlign w:val="bottom"/>
          </w:tcPr>
          <w:p w:rsidR="00990D8D" w:rsidRPr="002A7BFB" w:rsidRDefault="00990D8D" w:rsidP="00990D8D">
            <w:pPr>
              <w:jc w:val="center"/>
              <w:rPr>
                <w:lang w:val="en-US"/>
              </w:rPr>
            </w:pPr>
            <w:r w:rsidRPr="002A7BFB">
              <w:rPr>
                <w:sz w:val="22"/>
                <w:szCs w:val="22"/>
                <w:lang w:val="en-US"/>
              </w:rPr>
              <w:t>112.9±51.4(6.1)</w:t>
            </w:r>
          </w:p>
        </w:tc>
        <w:tc>
          <w:tcPr>
            <w:tcW w:w="1335" w:type="dxa"/>
            <w:tcBorders>
              <w:top w:val="nil"/>
              <w:left w:val="nil"/>
              <w:bottom w:val="single" w:sz="4" w:space="0" w:color="auto"/>
              <w:right w:val="nil"/>
            </w:tcBorders>
            <w:vAlign w:val="bottom"/>
          </w:tcPr>
          <w:p w:rsidR="00990D8D" w:rsidRPr="002A7BFB" w:rsidRDefault="00990D8D" w:rsidP="00990D8D">
            <w:pPr>
              <w:jc w:val="center"/>
              <w:rPr>
                <w:lang w:val="en-US"/>
              </w:rPr>
            </w:pPr>
            <w:r w:rsidRPr="002A7BFB">
              <w:rPr>
                <w:sz w:val="22"/>
                <w:szCs w:val="22"/>
                <w:lang w:val="en-US"/>
              </w:rPr>
              <w:t>22.0-270</w:t>
            </w:r>
          </w:p>
        </w:tc>
        <w:tc>
          <w:tcPr>
            <w:tcW w:w="1828" w:type="dxa"/>
            <w:tcBorders>
              <w:top w:val="nil"/>
              <w:left w:val="nil"/>
              <w:bottom w:val="single" w:sz="4" w:space="0" w:color="auto"/>
              <w:right w:val="nil"/>
            </w:tcBorders>
            <w:vAlign w:val="bottom"/>
          </w:tcPr>
          <w:p w:rsidR="00990D8D" w:rsidRPr="002A7BFB" w:rsidRDefault="00990D8D" w:rsidP="00990D8D">
            <w:pPr>
              <w:jc w:val="center"/>
              <w:rPr>
                <w:lang w:val="en-US"/>
              </w:rPr>
            </w:pPr>
            <w:r w:rsidRPr="002A7BFB">
              <w:rPr>
                <w:sz w:val="22"/>
                <w:szCs w:val="22"/>
                <w:lang w:val="en-US"/>
              </w:rPr>
              <w:t>84.3±57.4(9.2)</w:t>
            </w:r>
          </w:p>
        </w:tc>
        <w:tc>
          <w:tcPr>
            <w:tcW w:w="1170" w:type="dxa"/>
            <w:tcBorders>
              <w:top w:val="nil"/>
              <w:left w:val="nil"/>
              <w:bottom w:val="single" w:sz="4" w:space="0" w:color="auto"/>
              <w:right w:val="nil"/>
            </w:tcBorders>
            <w:vAlign w:val="bottom"/>
          </w:tcPr>
          <w:p w:rsidR="00990D8D" w:rsidRPr="002A7BFB" w:rsidRDefault="00990D8D" w:rsidP="00990D8D">
            <w:pPr>
              <w:jc w:val="center"/>
              <w:rPr>
                <w:lang w:val="en-US"/>
              </w:rPr>
            </w:pPr>
            <w:r w:rsidRPr="002A7BFB">
              <w:rPr>
                <w:sz w:val="22"/>
                <w:szCs w:val="22"/>
                <w:lang w:val="en-US"/>
              </w:rPr>
              <w:t>36.7-277</w:t>
            </w:r>
          </w:p>
        </w:tc>
      </w:tr>
    </w:tbl>
    <w:p w:rsidR="00990D8D" w:rsidRDefault="00990D8D" w:rsidP="00990D8D">
      <w:pPr>
        <w:rPr>
          <w:b/>
          <w:bCs/>
          <w:lang w:val="en-US"/>
        </w:rPr>
      </w:pPr>
      <w:r>
        <w:rPr>
          <w:lang w:val="en-US"/>
        </w:rPr>
        <w:t xml:space="preserve">El – element, </w:t>
      </w:r>
      <w:r w:rsidRPr="0052492C">
        <w:rPr>
          <w:lang w:val="en-US"/>
        </w:rPr>
        <w:t xml:space="preserve">M – arithmetic mean, SD – standard deviation, SEM – standard error of mean, </w:t>
      </w:r>
      <w:r>
        <w:rPr>
          <w:lang w:val="en-US"/>
        </w:rPr>
        <w:t>Range – min and max values</w:t>
      </w:r>
    </w:p>
    <w:p w:rsidR="00990D8D" w:rsidRDefault="00990D8D" w:rsidP="007019F4">
      <w:pPr>
        <w:jc w:val="both"/>
        <w:rPr>
          <w:lang w:val="en-US"/>
        </w:rPr>
      </w:pPr>
    </w:p>
    <w:p w:rsidR="00284F5D" w:rsidRDefault="00A36E5D" w:rsidP="007019F4">
      <w:pPr>
        <w:jc w:val="both"/>
        <w:rPr>
          <w:lang w:val="en-US"/>
        </w:rPr>
      </w:pPr>
      <w:commentRangeStart w:id="55"/>
      <w:r w:rsidRPr="00C670EB">
        <w:rPr>
          <w:lang w:val="en-US"/>
        </w:rPr>
        <w:t xml:space="preserve">The ratios of means and the </w:t>
      </w:r>
      <w:r>
        <w:rPr>
          <w:lang w:val="en-US"/>
        </w:rPr>
        <w:t>comparison of</w:t>
      </w:r>
      <w:r w:rsidRPr="00C670EB">
        <w:rPr>
          <w:lang w:val="en-US"/>
        </w:rPr>
        <w:t xml:space="preserve"> mean values of </w:t>
      </w:r>
      <w:r w:rsidR="007019F4">
        <w:rPr>
          <w:lang w:val="en-US"/>
        </w:rPr>
        <w:t xml:space="preserve">Br, </w:t>
      </w:r>
      <w:r>
        <w:rPr>
          <w:lang w:val="en-US"/>
        </w:rPr>
        <w:t xml:space="preserve">Cu, </w:t>
      </w:r>
      <w:r w:rsidRPr="005951CD">
        <w:rPr>
          <w:lang w:val="en-US"/>
        </w:rPr>
        <w:t xml:space="preserve">Fe, </w:t>
      </w:r>
      <w:r>
        <w:rPr>
          <w:lang w:val="en-US"/>
        </w:rPr>
        <w:t xml:space="preserve">I, </w:t>
      </w:r>
      <w:r w:rsidRPr="005951CD">
        <w:rPr>
          <w:lang w:val="en-US"/>
        </w:rPr>
        <w:t xml:space="preserve">Rb, Sr, </w:t>
      </w:r>
      <w:r>
        <w:rPr>
          <w:lang w:val="en-US"/>
        </w:rPr>
        <w:t xml:space="preserve">and </w:t>
      </w:r>
      <w:r w:rsidRPr="005951CD">
        <w:rPr>
          <w:lang w:val="en-US"/>
        </w:rPr>
        <w:t>Zn</w:t>
      </w:r>
      <w:r>
        <w:rPr>
          <w:lang w:val="en-US"/>
        </w:rPr>
        <w:t xml:space="preserve"> </w:t>
      </w:r>
      <w:r w:rsidRPr="00C670EB">
        <w:rPr>
          <w:lang w:val="en-US"/>
        </w:rPr>
        <w:t xml:space="preserve">mass fractions in </w:t>
      </w:r>
      <w:r>
        <w:rPr>
          <w:lang w:val="en-US"/>
        </w:rPr>
        <w:t xml:space="preserve">pair of sample groups such as </w:t>
      </w:r>
      <w:r w:rsidR="00A07FE9">
        <w:rPr>
          <w:lang w:val="en-US"/>
        </w:rPr>
        <w:t xml:space="preserve">NT and </w:t>
      </w:r>
      <w:r w:rsidR="007019F4">
        <w:rPr>
          <w:lang w:val="en-US"/>
        </w:rPr>
        <w:t>TBN</w:t>
      </w:r>
      <w:r w:rsidR="00A07FE9">
        <w:rPr>
          <w:lang w:val="en-US"/>
        </w:rPr>
        <w:t>, NT</w:t>
      </w:r>
      <w:r w:rsidR="007019F4">
        <w:rPr>
          <w:lang w:val="en-US"/>
        </w:rPr>
        <w:t xml:space="preserve"> and TMN</w:t>
      </w:r>
      <w:r w:rsidR="00A07FE9">
        <w:rPr>
          <w:lang w:val="en-US"/>
        </w:rPr>
        <w:t>, and also TBN and TMN</w:t>
      </w:r>
      <w:r w:rsidR="007019F4">
        <w:rPr>
          <w:lang w:val="en-US"/>
        </w:rPr>
        <w:t xml:space="preserve"> </w:t>
      </w:r>
      <w:r>
        <w:rPr>
          <w:lang w:val="en-US"/>
        </w:rPr>
        <w:t>is</w:t>
      </w:r>
      <w:r w:rsidRPr="00C670EB">
        <w:rPr>
          <w:lang w:val="en-US"/>
        </w:rPr>
        <w:t xml:space="preserve"> presented in Table</w:t>
      </w:r>
      <w:r>
        <w:rPr>
          <w:lang w:val="en-US"/>
        </w:rPr>
        <w:t xml:space="preserve"> </w:t>
      </w:r>
      <w:r w:rsidR="007019F4">
        <w:rPr>
          <w:lang w:val="en-US"/>
        </w:rPr>
        <w:t>2</w:t>
      </w:r>
      <w:r w:rsidRPr="00C670EB">
        <w:rPr>
          <w:lang w:val="en-US"/>
        </w:rPr>
        <w:t>.</w:t>
      </w:r>
    </w:p>
    <w:p w:rsidR="00A07FE9" w:rsidRDefault="005E260B" w:rsidP="007019F4">
      <w:pPr>
        <w:jc w:val="both"/>
        <w:rPr>
          <w:lang w:val="en-US"/>
        </w:rPr>
      </w:pPr>
      <w:r>
        <w:rPr>
          <w:lang w:val="en-US"/>
        </w:rPr>
        <w:t>Fig</w:t>
      </w:r>
      <w:r w:rsidR="00A07FE9" w:rsidRPr="00751DAB">
        <w:rPr>
          <w:lang w:val="en-US"/>
        </w:rPr>
        <w:t xml:space="preserve">. 1 </w:t>
      </w:r>
      <w:r w:rsidR="00A07FE9" w:rsidRPr="00A64C43">
        <w:rPr>
          <w:lang w:val="en-US"/>
        </w:rPr>
        <w:t>depicts individual data sets</w:t>
      </w:r>
      <w:r w:rsidR="00A07FE9" w:rsidRPr="00751DAB">
        <w:rPr>
          <w:lang w:val="en-US"/>
        </w:rPr>
        <w:t xml:space="preserve"> for </w:t>
      </w:r>
      <w:r w:rsidR="00A07FE9">
        <w:rPr>
          <w:lang w:val="en-US"/>
        </w:rPr>
        <w:t xml:space="preserve">Br, I, Rb, </w:t>
      </w:r>
      <w:r w:rsidR="00A07FE9" w:rsidRPr="00E57241">
        <w:rPr>
          <w:lang w:val="en-US"/>
        </w:rPr>
        <w:t>and Zn</w:t>
      </w:r>
      <w:r w:rsidR="00A07FE9" w:rsidRPr="00751DAB">
        <w:rPr>
          <w:lang w:val="en-US"/>
        </w:rPr>
        <w:t xml:space="preserve"> mass fraction in all samples </w:t>
      </w:r>
      <w:r w:rsidR="00A07FE9">
        <w:rPr>
          <w:lang w:val="en-US"/>
        </w:rPr>
        <w:t>of NT</w:t>
      </w:r>
      <w:r w:rsidR="00A07FE9" w:rsidRPr="008A091F">
        <w:rPr>
          <w:lang w:val="en-US"/>
        </w:rPr>
        <w:t xml:space="preserve">, </w:t>
      </w:r>
      <w:r w:rsidR="00A07FE9">
        <w:rPr>
          <w:lang w:val="en-US"/>
        </w:rPr>
        <w:t>TBN,</w:t>
      </w:r>
      <w:r w:rsidR="00A07FE9" w:rsidRPr="00841A04">
        <w:rPr>
          <w:lang w:val="en-US"/>
        </w:rPr>
        <w:t xml:space="preserve"> </w:t>
      </w:r>
      <w:r w:rsidR="00A07FE9" w:rsidRPr="008A091F">
        <w:rPr>
          <w:lang w:val="en-US"/>
        </w:rPr>
        <w:t xml:space="preserve">and </w:t>
      </w:r>
      <w:r w:rsidR="00A07FE9">
        <w:rPr>
          <w:lang w:val="en-US"/>
        </w:rPr>
        <w:t>TMN</w:t>
      </w:r>
      <w:r w:rsidR="00A07FE9" w:rsidRPr="008A091F">
        <w:rPr>
          <w:lang w:val="en-US"/>
        </w:rPr>
        <w:t xml:space="preserve"> </w:t>
      </w:r>
      <w:r w:rsidR="00EE46D3">
        <w:rPr>
          <w:lang w:val="en-US"/>
        </w:rPr>
        <w:t xml:space="preserve">group. </w:t>
      </w:r>
    </w:p>
    <w:commentRangeEnd w:id="55"/>
    <w:p w:rsidR="00EE46D3" w:rsidRDefault="00BA548B" w:rsidP="007019F4">
      <w:pPr>
        <w:jc w:val="both"/>
        <w:rPr>
          <w:lang w:val="en-US"/>
        </w:rPr>
      </w:pPr>
      <w:r>
        <w:rPr>
          <w:rStyle w:val="CommentReference"/>
        </w:rPr>
        <w:commentReference w:id="55"/>
      </w:r>
      <w:r w:rsidR="00EE46D3" w:rsidRPr="00C723AC">
        <w:rPr>
          <w:lang w:val="en-US"/>
        </w:rPr>
        <w:t>Parameters of the sensitivity, specificity and accuracy (M</w:t>
      </w:r>
      <w:r w:rsidR="00EE46D3" w:rsidRPr="00C723AC">
        <w:rPr>
          <w:bCs/>
          <w:lang w:val="fr-FR"/>
        </w:rPr>
        <w:t>±</w:t>
      </w:r>
      <w:r w:rsidR="00EE46D3" w:rsidRPr="00C723AC">
        <w:rPr>
          <w:lang w:val="en-US"/>
        </w:rPr>
        <w:t xml:space="preserve">95% confidence interval) of </w:t>
      </w:r>
      <w:r w:rsidR="00EE46D3">
        <w:rPr>
          <w:lang w:val="en-US"/>
        </w:rPr>
        <w:t xml:space="preserve">using </w:t>
      </w:r>
      <w:r w:rsidR="00EE46D3" w:rsidRPr="00C723AC">
        <w:rPr>
          <w:lang w:val="en-US"/>
        </w:rPr>
        <w:t xml:space="preserve">I mass fraction for the diagnosis of </w:t>
      </w:r>
      <w:r w:rsidR="00EE46D3">
        <w:rPr>
          <w:lang w:val="en-US"/>
        </w:rPr>
        <w:t xml:space="preserve">thyroid malignancy are presented in Table </w:t>
      </w:r>
      <w:r w:rsidR="00C03201">
        <w:rPr>
          <w:lang w:val="en-US"/>
        </w:rPr>
        <w:t>3</w:t>
      </w:r>
      <w:r w:rsidR="00EE46D3">
        <w:rPr>
          <w:lang w:val="en-US"/>
        </w:rPr>
        <w:t>.</w:t>
      </w:r>
      <w:r w:rsidR="00EE46D3" w:rsidRPr="00C723AC">
        <w:rPr>
          <w:lang w:val="en-US"/>
        </w:rPr>
        <w:t xml:space="preserve"> </w:t>
      </w:r>
      <w:r w:rsidR="00EE46D3">
        <w:rPr>
          <w:lang w:val="en-US"/>
        </w:rPr>
        <w:t>An</w:t>
      </w:r>
      <w:r w:rsidR="00EE46D3" w:rsidRPr="00C723AC">
        <w:rPr>
          <w:lang w:val="en-US"/>
        </w:rPr>
        <w:t xml:space="preserve"> estimation </w:t>
      </w:r>
      <w:r w:rsidR="00EE46D3">
        <w:rPr>
          <w:lang w:val="en-US"/>
        </w:rPr>
        <w:t>was</w:t>
      </w:r>
      <w:r w:rsidR="00EE46D3" w:rsidRPr="00C723AC">
        <w:rPr>
          <w:lang w:val="en-US"/>
        </w:rPr>
        <w:t xml:space="preserve"> made </w:t>
      </w:r>
      <w:r w:rsidR="00EE46D3">
        <w:rPr>
          <w:lang w:val="en-US"/>
        </w:rPr>
        <w:t>from</w:t>
      </w:r>
      <w:r w:rsidR="00EE46D3" w:rsidRPr="00C723AC">
        <w:rPr>
          <w:lang w:val="en-US"/>
        </w:rPr>
        <w:t xml:space="preserve"> </w:t>
      </w:r>
      <w:r w:rsidR="00EE46D3">
        <w:rPr>
          <w:lang w:val="en-US"/>
        </w:rPr>
        <w:t xml:space="preserve">comparison individual values in TMN group with </w:t>
      </w:r>
      <w:r w:rsidR="00EE46D3" w:rsidRPr="00C723AC">
        <w:rPr>
          <w:lang w:val="en-US"/>
        </w:rPr>
        <w:t xml:space="preserve"> </w:t>
      </w:r>
      <w:r w:rsidR="00EE46D3">
        <w:rPr>
          <w:lang w:val="en-US"/>
        </w:rPr>
        <w:t>those in N</w:t>
      </w:r>
      <w:r w:rsidR="00D53A12">
        <w:rPr>
          <w:lang w:val="en-US"/>
        </w:rPr>
        <w:t>T</w:t>
      </w:r>
      <w:r w:rsidR="00EE46D3" w:rsidRPr="00C723AC">
        <w:rPr>
          <w:lang w:val="en-US"/>
        </w:rPr>
        <w:t xml:space="preserve"> and </w:t>
      </w:r>
      <w:r w:rsidR="00EE46D3">
        <w:rPr>
          <w:lang w:val="en-US"/>
        </w:rPr>
        <w:t xml:space="preserve">TBN groups combined, if </w:t>
      </w:r>
      <w:r w:rsidR="009E027C">
        <w:rPr>
          <w:lang w:val="en-US"/>
        </w:rPr>
        <w:t xml:space="preserve">value of I mass fraction equals </w:t>
      </w:r>
      <w:r w:rsidR="009E027C" w:rsidRPr="009E027C">
        <w:rPr>
          <w:lang w:val="en-US"/>
        </w:rPr>
        <w:t xml:space="preserve">145 </w:t>
      </w:r>
      <w:r w:rsidR="009E027C" w:rsidRPr="00C723AC">
        <w:rPr>
          <w:lang w:val="en-US"/>
        </w:rPr>
        <w:t>mg/kg dry tissue</w:t>
      </w:r>
      <w:r w:rsidR="009E027C">
        <w:rPr>
          <w:lang w:val="en-US"/>
        </w:rPr>
        <w:t xml:space="preserve"> was chosen as upper limit (cut off) for thyroid malignancy. </w:t>
      </w:r>
    </w:p>
    <w:p w:rsidR="00990D8D" w:rsidRDefault="00990D8D" w:rsidP="00990D8D">
      <w:pPr>
        <w:spacing w:after="120"/>
        <w:rPr>
          <w:b/>
          <w:bCs/>
          <w:lang w:val="en-US"/>
        </w:rPr>
      </w:pPr>
    </w:p>
    <w:p w:rsidR="00990D8D" w:rsidRPr="00B22943" w:rsidRDefault="00990D8D" w:rsidP="00990D8D">
      <w:pPr>
        <w:spacing w:after="120"/>
        <w:rPr>
          <w:lang w:val="en-US"/>
        </w:rPr>
      </w:pPr>
      <w:r>
        <w:rPr>
          <w:b/>
          <w:bCs/>
          <w:lang w:val="en-US"/>
        </w:rPr>
        <w:t>Table 2</w:t>
      </w:r>
      <w:r w:rsidRPr="00B22943">
        <w:rPr>
          <w:b/>
          <w:bCs/>
          <w:lang w:val="en-US"/>
        </w:rPr>
        <w:t>.</w:t>
      </w:r>
      <w:r w:rsidRPr="00B22943">
        <w:rPr>
          <w:bCs/>
          <w:lang w:val="en-US"/>
        </w:rPr>
        <w:t xml:space="preserve"> </w:t>
      </w:r>
      <w:r w:rsidRPr="00B22943">
        <w:rPr>
          <w:lang w:val="en-US"/>
        </w:rPr>
        <w:t>Ratio of means and the difference between mean values of</w:t>
      </w:r>
      <w:r>
        <w:rPr>
          <w:lang w:val="en-US"/>
        </w:rPr>
        <w:t xml:space="preserve"> </w:t>
      </w:r>
      <w:r w:rsidRPr="0052492C">
        <w:rPr>
          <w:lang w:val="en-US"/>
        </w:rPr>
        <w:t xml:space="preserve">Br, </w:t>
      </w:r>
      <w:r>
        <w:rPr>
          <w:lang w:val="en-US"/>
        </w:rPr>
        <w:t xml:space="preserve">Cu, </w:t>
      </w:r>
      <w:r w:rsidRPr="0052492C">
        <w:rPr>
          <w:lang w:val="en-US"/>
        </w:rPr>
        <w:t xml:space="preserve">Fe, </w:t>
      </w:r>
      <w:r>
        <w:rPr>
          <w:lang w:val="en-US"/>
        </w:rPr>
        <w:t xml:space="preserve">I, </w:t>
      </w:r>
      <w:r w:rsidRPr="0052492C">
        <w:rPr>
          <w:lang w:val="en-US"/>
        </w:rPr>
        <w:t xml:space="preserve">Rb, Sr, and Zn </w:t>
      </w:r>
      <w:r>
        <w:rPr>
          <w:lang w:val="en-US"/>
        </w:rPr>
        <w:t>mass fraction</w:t>
      </w:r>
      <w:r w:rsidRPr="0052492C">
        <w:rPr>
          <w:lang w:val="en-US"/>
        </w:rPr>
        <w:t xml:space="preserve"> </w:t>
      </w:r>
      <w:r>
        <w:rPr>
          <w:lang w:val="en-US"/>
        </w:rPr>
        <w:t>(</w:t>
      </w:r>
      <w:r w:rsidRPr="0052492C">
        <w:rPr>
          <w:lang w:val="en-US"/>
        </w:rPr>
        <w:t>mg/kg, dry mass basis</w:t>
      </w:r>
      <w:r>
        <w:rPr>
          <w:lang w:val="en-US"/>
        </w:rPr>
        <w:t xml:space="preserve">) </w:t>
      </w:r>
      <w:r w:rsidRPr="0052492C">
        <w:rPr>
          <w:lang w:val="en-US"/>
        </w:rPr>
        <w:t>in normal</w:t>
      </w:r>
      <w:r>
        <w:rPr>
          <w:lang w:val="en-US"/>
        </w:rPr>
        <w:t xml:space="preserve"> thyroid (NT) and in thyroid benign (TBN)</w:t>
      </w:r>
      <w:r w:rsidRPr="0052492C">
        <w:rPr>
          <w:lang w:val="en-US"/>
        </w:rPr>
        <w:t xml:space="preserve"> </w:t>
      </w:r>
      <w:r>
        <w:rPr>
          <w:lang w:val="en-US"/>
        </w:rPr>
        <w:t xml:space="preserve">and malignant (TMN) nodules </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1133"/>
        <w:gridCol w:w="986"/>
        <w:gridCol w:w="776"/>
        <w:gridCol w:w="1060"/>
        <w:gridCol w:w="1133"/>
        <w:gridCol w:w="772"/>
        <w:gridCol w:w="1319"/>
        <w:gridCol w:w="996"/>
        <w:gridCol w:w="772"/>
      </w:tblGrid>
      <w:tr w:rsidR="00990D8D" w:rsidRPr="00B22943" w:rsidTr="00990D8D">
        <w:trPr>
          <w:trHeight w:val="263"/>
        </w:trPr>
        <w:tc>
          <w:tcPr>
            <w:tcW w:w="606" w:type="dxa"/>
            <w:vMerge w:val="restart"/>
            <w:tcBorders>
              <w:left w:val="nil"/>
              <w:right w:val="nil"/>
            </w:tcBorders>
          </w:tcPr>
          <w:p w:rsidR="00990D8D" w:rsidRPr="00B22943" w:rsidRDefault="00990D8D" w:rsidP="00990D8D">
            <w:pPr>
              <w:rPr>
                <w:lang w:val="en-GB"/>
              </w:rPr>
            </w:pPr>
            <w:r>
              <w:rPr>
                <w:lang w:val="en-US"/>
              </w:rPr>
              <w:t>El</w:t>
            </w:r>
          </w:p>
        </w:tc>
        <w:tc>
          <w:tcPr>
            <w:tcW w:w="2895" w:type="dxa"/>
            <w:gridSpan w:val="3"/>
            <w:tcBorders>
              <w:left w:val="nil"/>
              <w:right w:val="nil"/>
            </w:tcBorders>
          </w:tcPr>
          <w:p w:rsidR="00990D8D" w:rsidRPr="00B22943" w:rsidRDefault="00990D8D" w:rsidP="00990D8D">
            <w:pPr>
              <w:jc w:val="center"/>
              <w:rPr>
                <w:i/>
                <w:lang w:val="en-GB"/>
              </w:rPr>
            </w:pPr>
            <w:r>
              <w:rPr>
                <w:lang w:val="en-US"/>
              </w:rPr>
              <w:t>TBN</w:t>
            </w:r>
            <w:r w:rsidRPr="00B22943">
              <w:rPr>
                <w:lang w:val="en-US"/>
              </w:rPr>
              <w:t xml:space="preserve"> and N</w:t>
            </w:r>
            <w:r>
              <w:rPr>
                <w:lang w:val="en-US"/>
              </w:rPr>
              <w:t>T</w:t>
            </w:r>
          </w:p>
        </w:tc>
        <w:tc>
          <w:tcPr>
            <w:tcW w:w="2965" w:type="dxa"/>
            <w:gridSpan w:val="3"/>
            <w:tcBorders>
              <w:left w:val="nil"/>
              <w:right w:val="nil"/>
            </w:tcBorders>
          </w:tcPr>
          <w:p w:rsidR="00990D8D" w:rsidRPr="00B22943" w:rsidRDefault="00990D8D" w:rsidP="00990D8D">
            <w:pPr>
              <w:jc w:val="center"/>
              <w:rPr>
                <w:i/>
                <w:lang w:val="en-GB"/>
              </w:rPr>
            </w:pPr>
            <w:r>
              <w:rPr>
                <w:lang w:val="en-US"/>
              </w:rPr>
              <w:t xml:space="preserve">TMN </w:t>
            </w:r>
            <w:r w:rsidRPr="00B22943">
              <w:rPr>
                <w:lang w:val="en-US"/>
              </w:rPr>
              <w:t>and N</w:t>
            </w:r>
            <w:r>
              <w:rPr>
                <w:lang w:val="en-US"/>
              </w:rPr>
              <w:t>T</w:t>
            </w:r>
          </w:p>
        </w:tc>
        <w:tc>
          <w:tcPr>
            <w:tcW w:w="3087" w:type="dxa"/>
            <w:gridSpan w:val="3"/>
            <w:tcBorders>
              <w:left w:val="nil"/>
              <w:right w:val="nil"/>
            </w:tcBorders>
          </w:tcPr>
          <w:p w:rsidR="00990D8D" w:rsidRPr="00B22943" w:rsidRDefault="00990D8D" w:rsidP="00990D8D">
            <w:pPr>
              <w:jc w:val="center"/>
              <w:rPr>
                <w:i/>
                <w:lang w:val="en-GB"/>
              </w:rPr>
            </w:pPr>
            <w:r>
              <w:rPr>
                <w:lang w:val="en-US"/>
              </w:rPr>
              <w:t>TMN</w:t>
            </w:r>
            <w:r w:rsidRPr="00B22943">
              <w:rPr>
                <w:lang w:val="en-US"/>
              </w:rPr>
              <w:t xml:space="preserve"> and </w:t>
            </w:r>
            <w:r>
              <w:rPr>
                <w:lang w:val="en-US"/>
              </w:rPr>
              <w:t>TBN</w:t>
            </w:r>
          </w:p>
        </w:tc>
      </w:tr>
      <w:tr w:rsidR="00990D8D" w:rsidRPr="00B22943" w:rsidTr="00990D8D">
        <w:trPr>
          <w:trHeight w:val="263"/>
        </w:trPr>
        <w:tc>
          <w:tcPr>
            <w:tcW w:w="606" w:type="dxa"/>
            <w:vMerge/>
            <w:tcBorders>
              <w:left w:val="nil"/>
              <w:right w:val="nil"/>
            </w:tcBorders>
          </w:tcPr>
          <w:p w:rsidR="00990D8D" w:rsidRPr="00B22943" w:rsidRDefault="00990D8D" w:rsidP="00990D8D">
            <w:pPr>
              <w:rPr>
                <w:lang w:val="fr-FR"/>
              </w:rPr>
            </w:pPr>
          </w:p>
        </w:tc>
        <w:tc>
          <w:tcPr>
            <w:tcW w:w="1133" w:type="dxa"/>
            <w:tcBorders>
              <w:left w:val="nil"/>
              <w:right w:val="nil"/>
            </w:tcBorders>
          </w:tcPr>
          <w:p w:rsidR="00990D8D" w:rsidRPr="00241A13" w:rsidRDefault="00990D8D" w:rsidP="00990D8D">
            <w:pPr>
              <w:jc w:val="center"/>
              <w:rPr>
                <w:lang w:val="fr-FR"/>
              </w:rPr>
            </w:pPr>
            <w:r w:rsidRPr="00241A13">
              <w:rPr>
                <w:sz w:val="22"/>
                <w:szCs w:val="22"/>
                <w:lang w:val="fr-FR"/>
              </w:rPr>
              <w:t>Ratio</w:t>
            </w:r>
          </w:p>
          <w:p w:rsidR="00990D8D" w:rsidRPr="00241A13" w:rsidRDefault="00990D8D" w:rsidP="00990D8D">
            <w:pPr>
              <w:jc w:val="center"/>
              <w:rPr>
                <w:lang w:val="en-US"/>
              </w:rPr>
            </w:pPr>
            <w:r w:rsidRPr="00241A13">
              <w:rPr>
                <w:sz w:val="22"/>
                <w:szCs w:val="22"/>
                <w:lang w:val="en-US"/>
              </w:rPr>
              <w:t>TBN /N</w:t>
            </w:r>
            <w:r>
              <w:rPr>
                <w:sz w:val="22"/>
                <w:szCs w:val="22"/>
                <w:lang w:val="en-US"/>
              </w:rPr>
              <w:t>T</w:t>
            </w:r>
            <w:r w:rsidRPr="00241A13">
              <w:rPr>
                <w:sz w:val="22"/>
                <w:szCs w:val="22"/>
                <w:lang w:val="en-US"/>
              </w:rPr>
              <w:t xml:space="preserve">  </w:t>
            </w:r>
          </w:p>
        </w:tc>
        <w:tc>
          <w:tcPr>
            <w:tcW w:w="986" w:type="dxa"/>
            <w:tcBorders>
              <w:left w:val="nil"/>
              <w:right w:val="nil"/>
            </w:tcBorders>
          </w:tcPr>
          <w:p w:rsidR="00990D8D" w:rsidRPr="00241A13" w:rsidRDefault="00990D8D" w:rsidP="00990D8D">
            <w:pPr>
              <w:jc w:val="center"/>
              <w:rPr>
                <w:iCs/>
                <w:lang w:val="en-US"/>
              </w:rPr>
            </w:pPr>
            <w:r w:rsidRPr="00241A13">
              <w:rPr>
                <w:i/>
                <w:sz w:val="22"/>
                <w:szCs w:val="22"/>
                <w:lang w:val="en-GB"/>
              </w:rPr>
              <w:t>p</w:t>
            </w:r>
            <w:r w:rsidRPr="00241A13">
              <w:rPr>
                <w:iCs/>
                <w:sz w:val="22"/>
                <w:szCs w:val="22"/>
                <w:lang w:val="en-US"/>
              </w:rPr>
              <w:t xml:space="preserve"> </w:t>
            </w:r>
          </w:p>
          <w:p w:rsidR="00990D8D" w:rsidRPr="00241A13" w:rsidRDefault="00990D8D" w:rsidP="00990D8D">
            <w:pPr>
              <w:jc w:val="center"/>
              <w:rPr>
                <w:lang w:val="en-US"/>
              </w:rPr>
            </w:pPr>
            <w:r w:rsidRPr="00241A13">
              <w:rPr>
                <w:iCs/>
                <w:sz w:val="22"/>
                <w:szCs w:val="22"/>
                <w:lang w:val="en-US"/>
              </w:rPr>
              <w:t>t</w:t>
            </w:r>
            <w:r w:rsidRPr="00241A13">
              <w:rPr>
                <w:sz w:val="22"/>
                <w:szCs w:val="22"/>
                <w:lang w:val="en-US"/>
              </w:rPr>
              <w:t>-test</w:t>
            </w:r>
          </w:p>
        </w:tc>
        <w:tc>
          <w:tcPr>
            <w:tcW w:w="776" w:type="dxa"/>
            <w:tcBorders>
              <w:left w:val="nil"/>
              <w:right w:val="nil"/>
            </w:tcBorders>
          </w:tcPr>
          <w:p w:rsidR="00990D8D" w:rsidRPr="00241A13" w:rsidRDefault="00990D8D" w:rsidP="00990D8D">
            <w:pPr>
              <w:jc w:val="center"/>
              <w:rPr>
                <w:iCs/>
                <w:lang w:val="en-US"/>
              </w:rPr>
            </w:pPr>
            <w:r w:rsidRPr="00241A13">
              <w:rPr>
                <w:i/>
                <w:sz w:val="22"/>
                <w:szCs w:val="22"/>
                <w:lang w:val="en-GB"/>
              </w:rPr>
              <w:t>p</w:t>
            </w:r>
            <w:r w:rsidRPr="00241A13">
              <w:rPr>
                <w:iCs/>
                <w:sz w:val="22"/>
                <w:szCs w:val="22"/>
                <w:lang w:val="en-US"/>
              </w:rPr>
              <w:t xml:space="preserve"> </w:t>
            </w:r>
          </w:p>
          <w:p w:rsidR="00990D8D" w:rsidRPr="00241A13" w:rsidRDefault="00990D8D" w:rsidP="00990D8D">
            <w:pPr>
              <w:jc w:val="center"/>
              <w:rPr>
                <w:i/>
                <w:lang w:val="en-GB"/>
              </w:rPr>
            </w:pPr>
            <w:r w:rsidRPr="00241A13">
              <w:rPr>
                <w:iCs/>
                <w:sz w:val="22"/>
                <w:szCs w:val="22"/>
                <w:lang w:val="en-US"/>
              </w:rPr>
              <w:t>U</w:t>
            </w:r>
            <w:r w:rsidRPr="00241A13">
              <w:rPr>
                <w:sz w:val="22"/>
                <w:szCs w:val="22"/>
                <w:lang w:val="en-US"/>
              </w:rPr>
              <w:t>-test</w:t>
            </w:r>
          </w:p>
        </w:tc>
        <w:tc>
          <w:tcPr>
            <w:tcW w:w="1060" w:type="dxa"/>
            <w:tcBorders>
              <w:left w:val="nil"/>
              <w:right w:val="nil"/>
            </w:tcBorders>
          </w:tcPr>
          <w:p w:rsidR="00990D8D" w:rsidRPr="00241A13" w:rsidRDefault="00990D8D" w:rsidP="00990D8D">
            <w:pPr>
              <w:jc w:val="center"/>
              <w:rPr>
                <w:lang w:val="fr-FR"/>
              </w:rPr>
            </w:pPr>
            <w:r w:rsidRPr="00241A13">
              <w:rPr>
                <w:sz w:val="22"/>
                <w:szCs w:val="22"/>
                <w:lang w:val="fr-FR"/>
              </w:rPr>
              <w:t>Ratio</w:t>
            </w:r>
          </w:p>
          <w:p w:rsidR="00990D8D" w:rsidRPr="00241A13" w:rsidRDefault="00990D8D" w:rsidP="00990D8D">
            <w:pPr>
              <w:jc w:val="center"/>
              <w:rPr>
                <w:lang w:val="en-US"/>
              </w:rPr>
            </w:pPr>
            <w:r w:rsidRPr="00241A13">
              <w:rPr>
                <w:sz w:val="22"/>
                <w:szCs w:val="22"/>
                <w:lang w:val="en-US"/>
              </w:rPr>
              <w:t>TMN</w:t>
            </w:r>
            <w:r w:rsidRPr="00241A13">
              <w:rPr>
                <w:sz w:val="22"/>
                <w:szCs w:val="22"/>
                <w:lang w:val="fr-FR"/>
              </w:rPr>
              <w:t>/N</w:t>
            </w:r>
            <w:r>
              <w:rPr>
                <w:sz w:val="22"/>
                <w:szCs w:val="22"/>
                <w:lang w:val="fr-FR"/>
              </w:rPr>
              <w:t>T</w:t>
            </w:r>
          </w:p>
        </w:tc>
        <w:tc>
          <w:tcPr>
            <w:tcW w:w="1133" w:type="dxa"/>
            <w:tcBorders>
              <w:left w:val="nil"/>
              <w:right w:val="nil"/>
            </w:tcBorders>
          </w:tcPr>
          <w:p w:rsidR="00990D8D" w:rsidRPr="00241A13" w:rsidRDefault="00990D8D" w:rsidP="00990D8D">
            <w:pPr>
              <w:jc w:val="center"/>
              <w:rPr>
                <w:iCs/>
                <w:lang w:val="en-US"/>
              </w:rPr>
            </w:pPr>
            <w:r w:rsidRPr="00241A13">
              <w:rPr>
                <w:i/>
                <w:sz w:val="22"/>
                <w:szCs w:val="22"/>
                <w:lang w:val="en-GB"/>
              </w:rPr>
              <w:t>p</w:t>
            </w:r>
            <w:r w:rsidRPr="00241A13">
              <w:rPr>
                <w:iCs/>
                <w:sz w:val="22"/>
                <w:szCs w:val="22"/>
                <w:lang w:val="en-US"/>
              </w:rPr>
              <w:t xml:space="preserve"> </w:t>
            </w:r>
          </w:p>
          <w:p w:rsidR="00990D8D" w:rsidRPr="00241A13" w:rsidRDefault="00990D8D" w:rsidP="00990D8D">
            <w:pPr>
              <w:jc w:val="center"/>
              <w:rPr>
                <w:lang w:val="en-US"/>
              </w:rPr>
            </w:pPr>
            <w:r w:rsidRPr="00241A13">
              <w:rPr>
                <w:iCs/>
                <w:sz w:val="22"/>
                <w:szCs w:val="22"/>
                <w:lang w:val="en-US"/>
              </w:rPr>
              <w:t>t</w:t>
            </w:r>
            <w:r w:rsidRPr="00241A13">
              <w:rPr>
                <w:sz w:val="22"/>
                <w:szCs w:val="22"/>
                <w:lang w:val="en-US"/>
              </w:rPr>
              <w:t>-test</w:t>
            </w:r>
          </w:p>
        </w:tc>
        <w:tc>
          <w:tcPr>
            <w:tcW w:w="772" w:type="dxa"/>
            <w:tcBorders>
              <w:left w:val="nil"/>
              <w:right w:val="nil"/>
            </w:tcBorders>
          </w:tcPr>
          <w:p w:rsidR="00990D8D" w:rsidRPr="00241A13" w:rsidRDefault="00990D8D" w:rsidP="00990D8D">
            <w:pPr>
              <w:jc w:val="center"/>
              <w:rPr>
                <w:iCs/>
                <w:lang w:val="en-US"/>
              </w:rPr>
            </w:pPr>
            <w:r w:rsidRPr="00241A13">
              <w:rPr>
                <w:i/>
                <w:sz w:val="22"/>
                <w:szCs w:val="22"/>
                <w:lang w:val="en-GB"/>
              </w:rPr>
              <w:t>p</w:t>
            </w:r>
            <w:r w:rsidRPr="00241A13">
              <w:rPr>
                <w:iCs/>
                <w:sz w:val="22"/>
                <w:szCs w:val="22"/>
                <w:lang w:val="en-US"/>
              </w:rPr>
              <w:t xml:space="preserve"> </w:t>
            </w:r>
          </w:p>
          <w:p w:rsidR="00990D8D" w:rsidRPr="00241A13" w:rsidRDefault="00990D8D" w:rsidP="00990D8D">
            <w:pPr>
              <w:jc w:val="center"/>
              <w:rPr>
                <w:lang w:val="en-US"/>
              </w:rPr>
            </w:pPr>
            <w:r w:rsidRPr="00241A13">
              <w:rPr>
                <w:iCs/>
                <w:sz w:val="22"/>
                <w:szCs w:val="22"/>
                <w:lang w:val="en-US"/>
              </w:rPr>
              <w:t>U</w:t>
            </w:r>
            <w:r w:rsidRPr="00241A13">
              <w:rPr>
                <w:sz w:val="22"/>
                <w:szCs w:val="22"/>
                <w:lang w:val="en-US"/>
              </w:rPr>
              <w:t>-test</w:t>
            </w:r>
          </w:p>
        </w:tc>
        <w:tc>
          <w:tcPr>
            <w:tcW w:w="1319" w:type="dxa"/>
            <w:tcBorders>
              <w:left w:val="nil"/>
              <w:right w:val="nil"/>
            </w:tcBorders>
          </w:tcPr>
          <w:p w:rsidR="00990D8D" w:rsidRPr="00241A13" w:rsidRDefault="00990D8D" w:rsidP="00990D8D">
            <w:pPr>
              <w:jc w:val="center"/>
              <w:rPr>
                <w:lang w:val="fr-FR"/>
              </w:rPr>
            </w:pPr>
            <w:r w:rsidRPr="00241A13">
              <w:rPr>
                <w:sz w:val="22"/>
                <w:szCs w:val="22"/>
                <w:lang w:val="fr-FR"/>
              </w:rPr>
              <w:t>Ratio</w:t>
            </w:r>
          </w:p>
          <w:p w:rsidR="00990D8D" w:rsidRPr="00241A13" w:rsidRDefault="00990D8D" w:rsidP="00990D8D">
            <w:pPr>
              <w:jc w:val="center"/>
              <w:rPr>
                <w:lang w:val="en-US"/>
              </w:rPr>
            </w:pPr>
            <w:r w:rsidRPr="00241A13">
              <w:rPr>
                <w:sz w:val="22"/>
                <w:szCs w:val="22"/>
                <w:lang w:val="en-US"/>
              </w:rPr>
              <w:t>TMN</w:t>
            </w:r>
            <w:r w:rsidRPr="00241A13">
              <w:rPr>
                <w:sz w:val="22"/>
                <w:szCs w:val="22"/>
                <w:lang w:val="fr-FR"/>
              </w:rPr>
              <w:t>/</w:t>
            </w:r>
            <w:r w:rsidRPr="00241A13">
              <w:rPr>
                <w:sz w:val="22"/>
                <w:szCs w:val="22"/>
                <w:lang w:val="en-US"/>
              </w:rPr>
              <w:t xml:space="preserve"> TBN</w:t>
            </w:r>
          </w:p>
        </w:tc>
        <w:tc>
          <w:tcPr>
            <w:tcW w:w="996" w:type="dxa"/>
            <w:tcBorders>
              <w:left w:val="nil"/>
              <w:right w:val="nil"/>
            </w:tcBorders>
          </w:tcPr>
          <w:p w:rsidR="00990D8D" w:rsidRPr="00241A13" w:rsidRDefault="00990D8D" w:rsidP="00990D8D">
            <w:pPr>
              <w:jc w:val="center"/>
              <w:rPr>
                <w:iCs/>
                <w:lang w:val="en-US"/>
              </w:rPr>
            </w:pPr>
            <w:r w:rsidRPr="00241A13">
              <w:rPr>
                <w:i/>
                <w:sz w:val="22"/>
                <w:szCs w:val="22"/>
                <w:lang w:val="en-GB"/>
              </w:rPr>
              <w:t>p</w:t>
            </w:r>
            <w:r w:rsidRPr="00241A13">
              <w:rPr>
                <w:iCs/>
                <w:sz w:val="22"/>
                <w:szCs w:val="22"/>
                <w:lang w:val="en-US"/>
              </w:rPr>
              <w:t xml:space="preserve"> </w:t>
            </w:r>
          </w:p>
          <w:p w:rsidR="00990D8D" w:rsidRPr="00241A13" w:rsidRDefault="00990D8D" w:rsidP="00990D8D">
            <w:pPr>
              <w:jc w:val="center"/>
              <w:rPr>
                <w:lang w:val="en-US"/>
              </w:rPr>
            </w:pPr>
            <w:r w:rsidRPr="00241A13">
              <w:rPr>
                <w:iCs/>
                <w:sz w:val="22"/>
                <w:szCs w:val="22"/>
                <w:lang w:val="en-US"/>
              </w:rPr>
              <w:t>t</w:t>
            </w:r>
            <w:r w:rsidRPr="00241A13">
              <w:rPr>
                <w:sz w:val="22"/>
                <w:szCs w:val="22"/>
                <w:lang w:val="en-US"/>
              </w:rPr>
              <w:t>-test</w:t>
            </w:r>
          </w:p>
        </w:tc>
        <w:tc>
          <w:tcPr>
            <w:tcW w:w="772" w:type="dxa"/>
            <w:tcBorders>
              <w:left w:val="nil"/>
              <w:right w:val="nil"/>
            </w:tcBorders>
          </w:tcPr>
          <w:p w:rsidR="00990D8D" w:rsidRPr="00241A13" w:rsidRDefault="00990D8D" w:rsidP="00990D8D">
            <w:pPr>
              <w:jc w:val="center"/>
              <w:rPr>
                <w:iCs/>
                <w:lang w:val="en-US"/>
              </w:rPr>
            </w:pPr>
            <w:r w:rsidRPr="00241A13">
              <w:rPr>
                <w:i/>
                <w:sz w:val="22"/>
                <w:szCs w:val="22"/>
                <w:lang w:val="en-GB"/>
              </w:rPr>
              <w:t>p</w:t>
            </w:r>
            <w:r w:rsidRPr="00241A13">
              <w:rPr>
                <w:iCs/>
                <w:sz w:val="22"/>
                <w:szCs w:val="22"/>
                <w:lang w:val="en-US"/>
              </w:rPr>
              <w:t xml:space="preserve"> </w:t>
            </w:r>
          </w:p>
          <w:p w:rsidR="00990D8D" w:rsidRPr="00241A13" w:rsidRDefault="00990D8D" w:rsidP="00990D8D">
            <w:pPr>
              <w:jc w:val="center"/>
              <w:rPr>
                <w:lang w:val="en-US"/>
              </w:rPr>
            </w:pPr>
            <w:r w:rsidRPr="00241A13">
              <w:rPr>
                <w:iCs/>
                <w:sz w:val="22"/>
                <w:szCs w:val="22"/>
                <w:lang w:val="en-US"/>
              </w:rPr>
              <w:t>U</w:t>
            </w:r>
            <w:r w:rsidRPr="00241A13">
              <w:rPr>
                <w:sz w:val="22"/>
                <w:szCs w:val="22"/>
                <w:lang w:val="en-US"/>
              </w:rPr>
              <w:t>-test</w:t>
            </w:r>
          </w:p>
        </w:tc>
      </w:tr>
      <w:tr w:rsidR="00990D8D" w:rsidRPr="00B22943" w:rsidTr="00990D8D">
        <w:trPr>
          <w:trHeight w:val="148"/>
        </w:trPr>
        <w:tc>
          <w:tcPr>
            <w:tcW w:w="606" w:type="dxa"/>
            <w:tcBorders>
              <w:left w:val="nil"/>
              <w:bottom w:val="nil"/>
              <w:right w:val="nil"/>
            </w:tcBorders>
          </w:tcPr>
          <w:p w:rsidR="00990D8D" w:rsidRPr="00D10782" w:rsidRDefault="00990D8D" w:rsidP="00990D8D">
            <w:pPr>
              <w:rPr>
                <w:lang w:val="en-US"/>
              </w:rPr>
            </w:pPr>
            <w:r w:rsidRPr="00D10782">
              <w:rPr>
                <w:lang w:val="en-US"/>
              </w:rPr>
              <w:t>Br</w:t>
            </w:r>
          </w:p>
        </w:tc>
        <w:tc>
          <w:tcPr>
            <w:tcW w:w="1133" w:type="dxa"/>
            <w:tcBorders>
              <w:left w:val="nil"/>
              <w:bottom w:val="nil"/>
              <w:right w:val="nil"/>
            </w:tcBorders>
            <w:vAlign w:val="bottom"/>
          </w:tcPr>
          <w:p w:rsidR="00990D8D" w:rsidRPr="00D10782" w:rsidRDefault="00990D8D" w:rsidP="00990D8D">
            <w:pPr>
              <w:jc w:val="center"/>
              <w:rPr>
                <w:lang w:val="en-US"/>
              </w:rPr>
            </w:pPr>
            <w:r>
              <w:rPr>
                <w:lang w:val="en-US"/>
              </w:rPr>
              <w:t>29.6</w:t>
            </w:r>
          </w:p>
        </w:tc>
        <w:tc>
          <w:tcPr>
            <w:tcW w:w="986" w:type="dxa"/>
            <w:tcBorders>
              <w:left w:val="nil"/>
              <w:bottom w:val="nil"/>
              <w:right w:val="nil"/>
            </w:tcBorders>
            <w:vAlign w:val="bottom"/>
          </w:tcPr>
          <w:p w:rsidR="00990D8D" w:rsidRPr="008B2EDF" w:rsidRDefault="00990D8D" w:rsidP="00990D8D">
            <w:pPr>
              <w:jc w:val="center"/>
              <w:rPr>
                <w:b/>
                <w:lang w:val="en-US"/>
              </w:rPr>
            </w:pPr>
            <w:r>
              <w:rPr>
                <w:b/>
                <w:lang w:val="en-US"/>
              </w:rPr>
              <w:t>0.</w:t>
            </w:r>
            <w:r w:rsidRPr="008B2EDF">
              <w:rPr>
                <w:b/>
                <w:lang w:val="en-US"/>
              </w:rPr>
              <w:t>0002</w:t>
            </w:r>
          </w:p>
        </w:tc>
        <w:tc>
          <w:tcPr>
            <w:tcW w:w="776" w:type="dxa"/>
            <w:tcBorders>
              <w:left w:val="nil"/>
              <w:bottom w:val="nil"/>
              <w:right w:val="nil"/>
            </w:tcBorders>
            <w:vAlign w:val="bottom"/>
          </w:tcPr>
          <w:p w:rsidR="00990D8D" w:rsidRPr="008B2EDF" w:rsidRDefault="00990D8D" w:rsidP="00990D8D">
            <w:pPr>
              <w:jc w:val="center"/>
              <w:rPr>
                <w:b/>
                <w:lang w:val="en-US"/>
              </w:rPr>
            </w:pPr>
            <w:r>
              <w:rPr>
                <w:b/>
                <w:lang w:val="en-US"/>
              </w:rPr>
              <w:t>≤0.</w:t>
            </w:r>
            <w:r w:rsidRPr="008B2EDF">
              <w:rPr>
                <w:b/>
                <w:lang w:val="en-US"/>
              </w:rPr>
              <w:t>01</w:t>
            </w:r>
          </w:p>
        </w:tc>
        <w:tc>
          <w:tcPr>
            <w:tcW w:w="1060" w:type="dxa"/>
            <w:tcBorders>
              <w:left w:val="nil"/>
              <w:bottom w:val="nil"/>
              <w:right w:val="nil"/>
            </w:tcBorders>
            <w:vAlign w:val="bottom"/>
          </w:tcPr>
          <w:p w:rsidR="00990D8D" w:rsidRPr="008A5193" w:rsidRDefault="00990D8D" w:rsidP="00990D8D">
            <w:pPr>
              <w:jc w:val="center"/>
              <w:rPr>
                <w:lang w:val="en-US"/>
              </w:rPr>
            </w:pPr>
            <w:r>
              <w:rPr>
                <w:lang w:val="en-US"/>
              </w:rPr>
              <w:t>10.0</w:t>
            </w:r>
          </w:p>
        </w:tc>
        <w:tc>
          <w:tcPr>
            <w:tcW w:w="1133" w:type="dxa"/>
            <w:tcBorders>
              <w:left w:val="nil"/>
              <w:bottom w:val="nil"/>
              <w:right w:val="nil"/>
            </w:tcBorders>
            <w:vAlign w:val="bottom"/>
          </w:tcPr>
          <w:p w:rsidR="00990D8D" w:rsidRPr="008B2EDF" w:rsidRDefault="00990D8D" w:rsidP="00990D8D">
            <w:pPr>
              <w:jc w:val="center"/>
              <w:rPr>
                <w:b/>
                <w:lang w:val="en-US"/>
              </w:rPr>
            </w:pPr>
            <w:r>
              <w:rPr>
                <w:b/>
                <w:lang w:val="en-US"/>
              </w:rPr>
              <w:t>0.</w:t>
            </w:r>
            <w:r w:rsidRPr="008B2EDF">
              <w:rPr>
                <w:b/>
                <w:lang w:val="en-US"/>
              </w:rPr>
              <w:t>0015</w:t>
            </w:r>
          </w:p>
        </w:tc>
        <w:tc>
          <w:tcPr>
            <w:tcW w:w="772" w:type="dxa"/>
            <w:tcBorders>
              <w:left w:val="nil"/>
              <w:bottom w:val="nil"/>
              <w:right w:val="nil"/>
            </w:tcBorders>
            <w:vAlign w:val="bottom"/>
          </w:tcPr>
          <w:p w:rsidR="00990D8D" w:rsidRPr="008A5193" w:rsidRDefault="00990D8D" w:rsidP="00990D8D">
            <w:pPr>
              <w:jc w:val="center"/>
              <w:rPr>
                <w:lang w:val="en-US"/>
              </w:rPr>
            </w:pPr>
            <w:r>
              <w:rPr>
                <w:b/>
                <w:lang w:val="en-US"/>
              </w:rPr>
              <w:t>≤0.</w:t>
            </w:r>
            <w:r w:rsidRPr="008B2EDF">
              <w:rPr>
                <w:b/>
                <w:lang w:val="en-US"/>
              </w:rPr>
              <w:t>01</w:t>
            </w:r>
          </w:p>
        </w:tc>
        <w:tc>
          <w:tcPr>
            <w:tcW w:w="1319" w:type="dxa"/>
            <w:tcBorders>
              <w:left w:val="nil"/>
              <w:bottom w:val="nil"/>
              <w:right w:val="nil"/>
            </w:tcBorders>
            <w:vAlign w:val="bottom"/>
          </w:tcPr>
          <w:p w:rsidR="00990D8D" w:rsidRPr="00F01C41" w:rsidRDefault="00990D8D" w:rsidP="00990D8D">
            <w:pPr>
              <w:jc w:val="center"/>
              <w:rPr>
                <w:lang w:val="en-US"/>
              </w:rPr>
            </w:pPr>
            <w:r>
              <w:rPr>
                <w:lang w:val="en-US"/>
              </w:rPr>
              <w:t>0.34</w:t>
            </w:r>
          </w:p>
        </w:tc>
        <w:tc>
          <w:tcPr>
            <w:tcW w:w="996" w:type="dxa"/>
            <w:tcBorders>
              <w:left w:val="nil"/>
              <w:bottom w:val="nil"/>
              <w:right w:val="nil"/>
            </w:tcBorders>
            <w:vAlign w:val="bottom"/>
          </w:tcPr>
          <w:p w:rsidR="00990D8D" w:rsidRPr="00CF4D21" w:rsidRDefault="00990D8D" w:rsidP="00990D8D">
            <w:pPr>
              <w:jc w:val="center"/>
              <w:rPr>
                <w:b/>
                <w:lang w:val="en-US"/>
              </w:rPr>
            </w:pPr>
            <w:r w:rsidRPr="00CF4D21">
              <w:rPr>
                <w:b/>
                <w:lang w:val="en-US"/>
              </w:rPr>
              <w:t>0.</w:t>
            </w:r>
            <w:r>
              <w:rPr>
                <w:b/>
                <w:lang w:val="en-US"/>
              </w:rPr>
              <w:t>017</w:t>
            </w:r>
          </w:p>
        </w:tc>
        <w:tc>
          <w:tcPr>
            <w:tcW w:w="772" w:type="dxa"/>
            <w:tcBorders>
              <w:left w:val="nil"/>
              <w:bottom w:val="nil"/>
              <w:right w:val="nil"/>
            </w:tcBorders>
          </w:tcPr>
          <w:p w:rsidR="00990D8D" w:rsidRDefault="00990D8D" w:rsidP="00990D8D">
            <w:pPr>
              <w:jc w:val="center"/>
            </w:pPr>
            <w:r w:rsidRPr="004C22F7">
              <w:rPr>
                <w:b/>
                <w:lang w:val="en-US"/>
              </w:rPr>
              <w:t>≤0.01</w:t>
            </w:r>
          </w:p>
        </w:tc>
      </w:tr>
      <w:tr w:rsidR="00990D8D" w:rsidRPr="00B22943" w:rsidTr="00990D8D">
        <w:trPr>
          <w:trHeight w:val="229"/>
        </w:trPr>
        <w:tc>
          <w:tcPr>
            <w:tcW w:w="606" w:type="dxa"/>
            <w:tcBorders>
              <w:top w:val="nil"/>
              <w:left w:val="nil"/>
              <w:bottom w:val="nil"/>
              <w:right w:val="nil"/>
            </w:tcBorders>
          </w:tcPr>
          <w:p w:rsidR="00990D8D" w:rsidRPr="00D10782" w:rsidRDefault="00990D8D" w:rsidP="00990D8D">
            <w:pPr>
              <w:rPr>
                <w:lang w:val="en-US"/>
              </w:rPr>
            </w:pPr>
            <w:r w:rsidRPr="00D10782">
              <w:rPr>
                <w:lang w:val="en-US"/>
              </w:rPr>
              <w:t>Cu</w:t>
            </w:r>
          </w:p>
        </w:tc>
        <w:tc>
          <w:tcPr>
            <w:tcW w:w="1133" w:type="dxa"/>
            <w:tcBorders>
              <w:top w:val="nil"/>
              <w:left w:val="nil"/>
              <w:bottom w:val="nil"/>
              <w:right w:val="nil"/>
            </w:tcBorders>
            <w:vAlign w:val="bottom"/>
          </w:tcPr>
          <w:p w:rsidR="00990D8D" w:rsidRPr="00D10782" w:rsidRDefault="00990D8D" w:rsidP="00990D8D">
            <w:pPr>
              <w:jc w:val="center"/>
              <w:rPr>
                <w:lang w:val="en-US"/>
              </w:rPr>
            </w:pPr>
            <w:r>
              <w:rPr>
                <w:lang w:val="en-US"/>
              </w:rPr>
              <w:t>6.67</w:t>
            </w:r>
          </w:p>
        </w:tc>
        <w:tc>
          <w:tcPr>
            <w:tcW w:w="986" w:type="dxa"/>
            <w:tcBorders>
              <w:top w:val="nil"/>
              <w:left w:val="nil"/>
              <w:bottom w:val="nil"/>
              <w:right w:val="nil"/>
            </w:tcBorders>
            <w:vAlign w:val="bottom"/>
          </w:tcPr>
          <w:p w:rsidR="00990D8D" w:rsidRPr="00902F3A" w:rsidRDefault="00990D8D" w:rsidP="00990D8D">
            <w:pPr>
              <w:jc w:val="center"/>
              <w:rPr>
                <w:b/>
                <w:lang w:val="en-US"/>
              </w:rPr>
            </w:pPr>
            <w:r w:rsidRPr="00902F3A">
              <w:rPr>
                <w:b/>
                <w:lang w:val="en-US"/>
              </w:rPr>
              <w:t>0.0018</w:t>
            </w:r>
          </w:p>
        </w:tc>
        <w:tc>
          <w:tcPr>
            <w:tcW w:w="776" w:type="dxa"/>
            <w:tcBorders>
              <w:top w:val="nil"/>
              <w:left w:val="nil"/>
              <w:bottom w:val="nil"/>
              <w:right w:val="nil"/>
            </w:tcBorders>
            <w:vAlign w:val="bottom"/>
          </w:tcPr>
          <w:p w:rsidR="00990D8D" w:rsidRPr="008B2EDF" w:rsidRDefault="00990D8D" w:rsidP="00990D8D">
            <w:pPr>
              <w:jc w:val="center"/>
              <w:rPr>
                <w:b/>
                <w:lang w:val="en-US"/>
              </w:rPr>
            </w:pPr>
            <w:r>
              <w:rPr>
                <w:b/>
                <w:lang w:val="en-US"/>
              </w:rPr>
              <w:t>≤0.01</w:t>
            </w:r>
          </w:p>
        </w:tc>
        <w:tc>
          <w:tcPr>
            <w:tcW w:w="1060" w:type="dxa"/>
            <w:tcBorders>
              <w:top w:val="nil"/>
              <w:left w:val="nil"/>
              <w:bottom w:val="nil"/>
              <w:right w:val="nil"/>
            </w:tcBorders>
            <w:vAlign w:val="bottom"/>
          </w:tcPr>
          <w:p w:rsidR="00990D8D" w:rsidRPr="008A5193" w:rsidRDefault="00990D8D" w:rsidP="00990D8D">
            <w:pPr>
              <w:jc w:val="center"/>
              <w:rPr>
                <w:lang w:val="en-US"/>
              </w:rPr>
            </w:pPr>
            <w:r>
              <w:rPr>
                <w:lang w:val="en-US"/>
              </w:rPr>
              <w:t>3.43</w:t>
            </w:r>
          </w:p>
        </w:tc>
        <w:tc>
          <w:tcPr>
            <w:tcW w:w="1133" w:type="dxa"/>
            <w:tcBorders>
              <w:top w:val="nil"/>
              <w:left w:val="nil"/>
              <w:bottom w:val="nil"/>
              <w:right w:val="nil"/>
            </w:tcBorders>
            <w:vAlign w:val="bottom"/>
          </w:tcPr>
          <w:p w:rsidR="00990D8D" w:rsidRPr="007C1C48" w:rsidRDefault="00990D8D" w:rsidP="00990D8D">
            <w:pPr>
              <w:jc w:val="center"/>
              <w:rPr>
                <w:b/>
                <w:lang w:val="en-US"/>
              </w:rPr>
            </w:pPr>
            <w:r w:rsidRPr="007C1C48">
              <w:rPr>
                <w:b/>
                <w:lang w:val="en-US"/>
              </w:rPr>
              <w:t>0.0019</w:t>
            </w:r>
          </w:p>
        </w:tc>
        <w:tc>
          <w:tcPr>
            <w:tcW w:w="772" w:type="dxa"/>
            <w:tcBorders>
              <w:top w:val="nil"/>
              <w:left w:val="nil"/>
              <w:bottom w:val="nil"/>
              <w:right w:val="nil"/>
            </w:tcBorders>
            <w:vAlign w:val="bottom"/>
          </w:tcPr>
          <w:p w:rsidR="00990D8D" w:rsidRPr="008A5193" w:rsidRDefault="00990D8D" w:rsidP="00990D8D">
            <w:pPr>
              <w:jc w:val="center"/>
              <w:rPr>
                <w:lang w:val="en-US"/>
              </w:rPr>
            </w:pPr>
            <w:r>
              <w:rPr>
                <w:b/>
                <w:lang w:val="en-US"/>
              </w:rPr>
              <w:t>≤0.</w:t>
            </w:r>
            <w:r w:rsidRPr="008B2EDF">
              <w:rPr>
                <w:b/>
                <w:lang w:val="en-US"/>
              </w:rPr>
              <w:t>01</w:t>
            </w:r>
          </w:p>
        </w:tc>
        <w:tc>
          <w:tcPr>
            <w:tcW w:w="1319" w:type="dxa"/>
            <w:tcBorders>
              <w:top w:val="nil"/>
              <w:left w:val="nil"/>
              <w:bottom w:val="nil"/>
              <w:right w:val="nil"/>
            </w:tcBorders>
            <w:vAlign w:val="bottom"/>
          </w:tcPr>
          <w:p w:rsidR="00990D8D" w:rsidRPr="00F01C41" w:rsidRDefault="00990D8D" w:rsidP="00990D8D">
            <w:pPr>
              <w:jc w:val="center"/>
              <w:rPr>
                <w:lang w:val="en-US"/>
              </w:rPr>
            </w:pPr>
            <w:r>
              <w:rPr>
                <w:lang w:val="en-US"/>
              </w:rPr>
              <w:t>1.42</w:t>
            </w:r>
          </w:p>
        </w:tc>
        <w:tc>
          <w:tcPr>
            <w:tcW w:w="996" w:type="dxa"/>
            <w:tcBorders>
              <w:top w:val="nil"/>
              <w:left w:val="nil"/>
              <w:bottom w:val="nil"/>
              <w:right w:val="nil"/>
            </w:tcBorders>
          </w:tcPr>
          <w:p w:rsidR="00990D8D" w:rsidRPr="00593FCD" w:rsidRDefault="00990D8D" w:rsidP="00990D8D">
            <w:pPr>
              <w:jc w:val="center"/>
            </w:pPr>
            <w:r w:rsidRPr="00593FCD">
              <w:rPr>
                <w:lang w:val="en-US"/>
              </w:rPr>
              <w:t>0.176</w:t>
            </w:r>
          </w:p>
        </w:tc>
        <w:tc>
          <w:tcPr>
            <w:tcW w:w="772" w:type="dxa"/>
            <w:tcBorders>
              <w:top w:val="nil"/>
              <w:left w:val="nil"/>
              <w:bottom w:val="nil"/>
              <w:right w:val="nil"/>
            </w:tcBorders>
          </w:tcPr>
          <w:p w:rsidR="00990D8D" w:rsidRPr="00593FCD" w:rsidRDefault="00990D8D" w:rsidP="00990D8D">
            <w:pPr>
              <w:jc w:val="center"/>
            </w:pPr>
            <w:r>
              <w:rPr>
                <w:lang w:val="en-US"/>
              </w:rPr>
              <w:t>&gt;0.05</w:t>
            </w:r>
          </w:p>
        </w:tc>
      </w:tr>
      <w:tr w:rsidR="00990D8D" w:rsidRPr="00B22943" w:rsidTr="00990D8D">
        <w:trPr>
          <w:trHeight w:val="229"/>
        </w:trPr>
        <w:tc>
          <w:tcPr>
            <w:tcW w:w="606" w:type="dxa"/>
            <w:tcBorders>
              <w:top w:val="nil"/>
              <w:left w:val="nil"/>
              <w:bottom w:val="nil"/>
              <w:right w:val="nil"/>
            </w:tcBorders>
          </w:tcPr>
          <w:p w:rsidR="00990D8D" w:rsidRPr="00D10782" w:rsidRDefault="00990D8D" w:rsidP="00990D8D">
            <w:pPr>
              <w:rPr>
                <w:lang w:val="en-US"/>
              </w:rPr>
            </w:pPr>
            <w:r w:rsidRPr="00D10782">
              <w:rPr>
                <w:lang w:val="en-US"/>
              </w:rPr>
              <w:t>Fe</w:t>
            </w:r>
          </w:p>
        </w:tc>
        <w:tc>
          <w:tcPr>
            <w:tcW w:w="1133" w:type="dxa"/>
            <w:tcBorders>
              <w:top w:val="nil"/>
              <w:left w:val="nil"/>
              <w:bottom w:val="nil"/>
              <w:right w:val="nil"/>
            </w:tcBorders>
            <w:vAlign w:val="bottom"/>
          </w:tcPr>
          <w:p w:rsidR="00990D8D" w:rsidRPr="00D10782" w:rsidRDefault="00990D8D" w:rsidP="00990D8D">
            <w:pPr>
              <w:jc w:val="center"/>
              <w:rPr>
                <w:lang w:val="en-US"/>
              </w:rPr>
            </w:pPr>
            <w:r>
              <w:rPr>
                <w:lang w:val="en-US"/>
              </w:rPr>
              <w:t>1.55</w:t>
            </w:r>
          </w:p>
        </w:tc>
        <w:tc>
          <w:tcPr>
            <w:tcW w:w="986" w:type="dxa"/>
            <w:tcBorders>
              <w:top w:val="nil"/>
              <w:left w:val="nil"/>
              <w:bottom w:val="nil"/>
              <w:right w:val="nil"/>
            </w:tcBorders>
            <w:vAlign w:val="bottom"/>
          </w:tcPr>
          <w:p w:rsidR="00990D8D" w:rsidRPr="008B2EDF" w:rsidRDefault="00990D8D" w:rsidP="00990D8D">
            <w:pPr>
              <w:jc w:val="center"/>
              <w:rPr>
                <w:b/>
                <w:lang w:val="en-US"/>
              </w:rPr>
            </w:pPr>
            <w:r>
              <w:rPr>
                <w:b/>
                <w:lang w:val="en-US"/>
              </w:rPr>
              <w:t>0.</w:t>
            </w:r>
            <w:r w:rsidRPr="008B2EDF">
              <w:rPr>
                <w:b/>
                <w:lang w:val="en-US"/>
              </w:rPr>
              <w:t>018</w:t>
            </w:r>
          </w:p>
        </w:tc>
        <w:tc>
          <w:tcPr>
            <w:tcW w:w="776" w:type="dxa"/>
            <w:tcBorders>
              <w:top w:val="nil"/>
              <w:left w:val="nil"/>
              <w:bottom w:val="nil"/>
              <w:right w:val="nil"/>
            </w:tcBorders>
            <w:vAlign w:val="bottom"/>
          </w:tcPr>
          <w:p w:rsidR="00990D8D" w:rsidRPr="008A5193" w:rsidRDefault="00990D8D" w:rsidP="00990D8D">
            <w:pPr>
              <w:jc w:val="center"/>
              <w:rPr>
                <w:lang w:val="en-US"/>
              </w:rPr>
            </w:pPr>
            <w:r>
              <w:rPr>
                <w:b/>
                <w:lang w:val="en-US"/>
              </w:rPr>
              <w:t>≤0.</w:t>
            </w:r>
            <w:r w:rsidRPr="008B2EDF">
              <w:rPr>
                <w:b/>
                <w:lang w:val="en-US"/>
              </w:rPr>
              <w:t>01</w:t>
            </w:r>
          </w:p>
        </w:tc>
        <w:tc>
          <w:tcPr>
            <w:tcW w:w="1060" w:type="dxa"/>
            <w:tcBorders>
              <w:top w:val="nil"/>
              <w:left w:val="nil"/>
              <w:bottom w:val="nil"/>
              <w:right w:val="nil"/>
            </w:tcBorders>
            <w:vAlign w:val="bottom"/>
          </w:tcPr>
          <w:p w:rsidR="00990D8D" w:rsidRPr="008A5193" w:rsidRDefault="00990D8D" w:rsidP="00990D8D">
            <w:pPr>
              <w:jc w:val="center"/>
              <w:rPr>
                <w:lang w:val="en-US"/>
              </w:rPr>
            </w:pPr>
            <w:r>
              <w:rPr>
                <w:lang w:val="en-US"/>
              </w:rPr>
              <w:t>1.07</w:t>
            </w:r>
          </w:p>
        </w:tc>
        <w:tc>
          <w:tcPr>
            <w:tcW w:w="1133" w:type="dxa"/>
            <w:tcBorders>
              <w:top w:val="nil"/>
              <w:left w:val="nil"/>
              <w:bottom w:val="nil"/>
              <w:right w:val="nil"/>
            </w:tcBorders>
            <w:vAlign w:val="bottom"/>
          </w:tcPr>
          <w:p w:rsidR="00990D8D" w:rsidRPr="008A5193" w:rsidRDefault="00990D8D" w:rsidP="00990D8D">
            <w:pPr>
              <w:jc w:val="center"/>
              <w:rPr>
                <w:lang w:val="en-US"/>
              </w:rPr>
            </w:pPr>
            <w:r>
              <w:rPr>
                <w:lang w:val="en-US"/>
              </w:rPr>
              <w:t>0.610</w:t>
            </w:r>
          </w:p>
        </w:tc>
        <w:tc>
          <w:tcPr>
            <w:tcW w:w="772" w:type="dxa"/>
            <w:tcBorders>
              <w:top w:val="nil"/>
              <w:left w:val="nil"/>
              <w:bottom w:val="nil"/>
              <w:right w:val="nil"/>
            </w:tcBorders>
            <w:vAlign w:val="bottom"/>
          </w:tcPr>
          <w:p w:rsidR="00990D8D" w:rsidRPr="008A5193" w:rsidRDefault="00990D8D" w:rsidP="00990D8D">
            <w:pPr>
              <w:jc w:val="center"/>
              <w:rPr>
                <w:lang w:val="en-US"/>
              </w:rPr>
            </w:pPr>
            <w:r>
              <w:rPr>
                <w:lang w:val="en-US"/>
              </w:rPr>
              <w:t>&gt;0.05</w:t>
            </w:r>
          </w:p>
        </w:tc>
        <w:tc>
          <w:tcPr>
            <w:tcW w:w="1319" w:type="dxa"/>
            <w:tcBorders>
              <w:top w:val="nil"/>
              <w:left w:val="nil"/>
              <w:bottom w:val="nil"/>
              <w:right w:val="nil"/>
            </w:tcBorders>
            <w:vAlign w:val="bottom"/>
          </w:tcPr>
          <w:p w:rsidR="00990D8D" w:rsidRPr="00F01C41" w:rsidRDefault="00990D8D" w:rsidP="00990D8D">
            <w:pPr>
              <w:jc w:val="center"/>
              <w:rPr>
                <w:lang w:val="en-US"/>
              </w:rPr>
            </w:pPr>
            <w:r>
              <w:rPr>
                <w:lang w:val="en-US"/>
              </w:rPr>
              <w:t>0.69</w:t>
            </w:r>
          </w:p>
        </w:tc>
        <w:tc>
          <w:tcPr>
            <w:tcW w:w="996" w:type="dxa"/>
            <w:tcBorders>
              <w:top w:val="nil"/>
              <w:left w:val="nil"/>
              <w:bottom w:val="nil"/>
              <w:right w:val="nil"/>
            </w:tcBorders>
            <w:vAlign w:val="bottom"/>
          </w:tcPr>
          <w:p w:rsidR="00990D8D" w:rsidRPr="00593FCD" w:rsidRDefault="00990D8D" w:rsidP="00990D8D">
            <w:pPr>
              <w:jc w:val="center"/>
              <w:rPr>
                <w:lang w:val="en-US"/>
              </w:rPr>
            </w:pPr>
            <w:r w:rsidRPr="00593FCD">
              <w:rPr>
                <w:lang w:val="en-US"/>
              </w:rPr>
              <w:t>0.069</w:t>
            </w:r>
          </w:p>
        </w:tc>
        <w:tc>
          <w:tcPr>
            <w:tcW w:w="772" w:type="dxa"/>
            <w:tcBorders>
              <w:top w:val="nil"/>
              <w:left w:val="nil"/>
              <w:bottom w:val="nil"/>
              <w:right w:val="nil"/>
            </w:tcBorders>
          </w:tcPr>
          <w:p w:rsidR="00990D8D" w:rsidRDefault="00990D8D" w:rsidP="00990D8D">
            <w:pPr>
              <w:jc w:val="center"/>
            </w:pPr>
            <w:r>
              <w:rPr>
                <w:lang w:val="en-US"/>
              </w:rPr>
              <w:t>&gt;0.05</w:t>
            </w:r>
          </w:p>
        </w:tc>
      </w:tr>
      <w:tr w:rsidR="00990D8D" w:rsidRPr="00B22943" w:rsidTr="00990D8D">
        <w:trPr>
          <w:trHeight w:val="131"/>
        </w:trPr>
        <w:tc>
          <w:tcPr>
            <w:tcW w:w="606" w:type="dxa"/>
            <w:tcBorders>
              <w:top w:val="nil"/>
              <w:left w:val="nil"/>
              <w:bottom w:val="nil"/>
              <w:right w:val="nil"/>
            </w:tcBorders>
          </w:tcPr>
          <w:p w:rsidR="00990D8D" w:rsidRPr="00D10782" w:rsidRDefault="00990D8D" w:rsidP="00990D8D">
            <w:pPr>
              <w:rPr>
                <w:lang w:val="en-US"/>
              </w:rPr>
            </w:pPr>
            <w:r>
              <w:rPr>
                <w:lang w:val="en-US"/>
              </w:rPr>
              <w:t>I</w:t>
            </w:r>
          </w:p>
        </w:tc>
        <w:tc>
          <w:tcPr>
            <w:tcW w:w="1133" w:type="dxa"/>
            <w:tcBorders>
              <w:top w:val="nil"/>
              <w:left w:val="nil"/>
              <w:bottom w:val="nil"/>
              <w:right w:val="nil"/>
            </w:tcBorders>
          </w:tcPr>
          <w:p w:rsidR="00990D8D" w:rsidRDefault="00990D8D" w:rsidP="00990D8D">
            <w:pPr>
              <w:jc w:val="center"/>
              <w:rPr>
                <w:lang w:val="en-US"/>
              </w:rPr>
            </w:pPr>
            <w:r>
              <w:rPr>
                <w:lang w:val="en-US"/>
              </w:rPr>
              <w:t>0.89</w:t>
            </w:r>
          </w:p>
        </w:tc>
        <w:tc>
          <w:tcPr>
            <w:tcW w:w="986" w:type="dxa"/>
            <w:tcBorders>
              <w:top w:val="nil"/>
              <w:left w:val="nil"/>
              <w:bottom w:val="nil"/>
              <w:right w:val="nil"/>
            </w:tcBorders>
            <w:vAlign w:val="bottom"/>
          </w:tcPr>
          <w:p w:rsidR="00990D8D" w:rsidRDefault="00990D8D" w:rsidP="00990D8D">
            <w:pPr>
              <w:jc w:val="center"/>
              <w:rPr>
                <w:lang w:val="en-US"/>
              </w:rPr>
            </w:pPr>
            <w:r>
              <w:rPr>
                <w:lang w:val="en-US"/>
              </w:rPr>
              <w:t>0.661</w:t>
            </w:r>
          </w:p>
        </w:tc>
        <w:tc>
          <w:tcPr>
            <w:tcW w:w="776" w:type="dxa"/>
            <w:tcBorders>
              <w:top w:val="nil"/>
              <w:left w:val="nil"/>
              <w:bottom w:val="nil"/>
              <w:right w:val="nil"/>
            </w:tcBorders>
            <w:vAlign w:val="bottom"/>
          </w:tcPr>
          <w:p w:rsidR="00990D8D" w:rsidRDefault="00990D8D" w:rsidP="00990D8D">
            <w:pPr>
              <w:jc w:val="center"/>
              <w:rPr>
                <w:lang w:val="en-US"/>
              </w:rPr>
            </w:pPr>
            <w:r>
              <w:rPr>
                <w:lang w:val="en-US"/>
              </w:rPr>
              <w:t>&gt;0.05</w:t>
            </w:r>
          </w:p>
        </w:tc>
        <w:tc>
          <w:tcPr>
            <w:tcW w:w="1060" w:type="dxa"/>
            <w:tcBorders>
              <w:top w:val="nil"/>
              <w:left w:val="nil"/>
              <w:bottom w:val="nil"/>
              <w:right w:val="nil"/>
            </w:tcBorders>
            <w:vAlign w:val="bottom"/>
          </w:tcPr>
          <w:p w:rsidR="00990D8D" w:rsidRDefault="00990D8D" w:rsidP="00990D8D">
            <w:pPr>
              <w:jc w:val="center"/>
              <w:rPr>
                <w:lang w:val="en-US"/>
              </w:rPr>
            </w:pPr>
            <w:r>
              <w:rPr>
                <w:lang w:val="en-US"/>
              </w:rPr>
              <w:t>0.044</w:t>
            </w:r>
          </w:p>
        </w:tc>
        <w:tc>
          <w:tcPr>
            <w:tcW w:w="1133" w:type="dxa"/>
            <w:tcBorders>
              <w:top w:val="nil"/>
              <w:left w:val="nil"/>
              <w:bottom w:val="nil"/>
              <w:right w:val="nil"/>
            </w:tcBorders>
            <w:vAlign w:val="bottom"/>
          </w:tcPr>
          <w:p w:rsidR="00990D8D" w:rsidRDefault="00990D8D" w:rsidP="00990D8D">
            <w:pPr>
              <w:jc w:val="center"/>
              <w:rPr>
                <w:b/>
                <w:lang w:val="en-US"/>
              </w:rPr>
            </w:pPr>
            <w:r>
              <w:rPr>
                <w:b/>
                <w:lang w:val="en-US"/>
              </w:rPr>
              <w:t>&lt;0.0001</w:t>
            </w:r>
          </w:p>
        </w:tc>
        <w:tc>
          <w:tcPr>
            <w:tcW w:w="772" w:type="dxa"/>
            <w:tcBorders>
              <w:top w:val="nil"/>
              <w:left w:val="nil"/>
              <w:bottom w:val="nil"/>
              <w:right w:val="nil"/>
            </w:tcBorders>
            <w:vAlign w:val="bottom"/>
          </w:tcPr>
          <w:p w:rsidR="00990D8D" w:rsidRDefault="00990D8D" w:rsidP="00990D8D">
            <w:pPr>
              <w:jc w:val="center"/>
              <w:rPr>
                <w:b/>
                <w:lang w:val="en-US"/>
              </w:rPr>
            </w:pPr>
            <w:r>
              <w:rPr>
                <w:b/>
                <w:lang w:val="en-US"/>
              </w:rPr>
              <w:t>≤0.</w:t>
            </w:r>
            <w:r w:rsidRPr="008B2EDF">
              <w:rPr>
                <w:b/>
                <w:lang w:val="en-US"/>
              </w:rPr>
              <w:t>01</w:t>
            </w:r>
          </w:p>
        </w:tc>
        <w:tc>
          <w:tcPr>
            <w:tcW w:w="1319" w:type="dxa"/>
            <w:tcBorders>
              <w:top w:val="nil"/>
              <w:left w:val="nil"/>
              <w:bottom w:val="nil"/>
              <w:right w:val="nil"/>
            </w:tcBorders>
            <w:vAlign w:val="bottom"/>
          </w:tcPr>
          <w:p w:rsidR="00990D8D" w:rsidRDefault="00990D8D" w:rsidP="00990D8D">
            <w:pPr>
              <w:jc w:val="center"/>
              <w:rPr>
                <w:lang w:val="en-US"/>
              </w:rPr>
            </w:pPr>
            <w:r>
              <w:rPr>
                <w:lang w:val="en-US"/>
              </w:rPr>
              <w:t>0.049</w:t>
            </w:r>
          </w:p>
        </w:tc>
        <w:tc>
          <w:tcPr>
            <w:tcW w:w="996" w:type="dxa"/>
            <w:tcBorders>
              <w:top w:val="nil"/>
              <w:left w:val="nil"/>
              <w:bottom w:val="nil"/>
              <w:right w:val="nil"/>
            </w:tcBorders>
            <w:vAlign w:val="bottom"/>
          </w:tcPr>
          <w:p w:rsidR="00990D8D" w:rsidRDefault="00990D8D" w:rsidP="00990D8D">
            <w:pPr>
              <w:jc w:val="center"/>
              <w:rPr>
                <w:b/>
                <w:lang w:val="en-US"/>
              </w:rPr>
            </w:pPr>
            <w:r>
              <w:rPr>
                <w:b/>
                <w:lang w:val="en-US"/>
              </w:rPr>
              <w:t>0.0004</w:t>
            </w:r>
          </w:p>
        </w:tc>
        <w:tc>
          <w:tcPr>
            <w:tcW w:w="772" w:type="dxa"/>
            <w:tcBorders>
              <w:top w:val="nil"/>
              <w:left w:val="nil"/>
              <w:bottom w:val="nil"/>
              <w:right w:val="nil"/>
            </w:tcBorders>
          </w:tcPr>
          <w:p w:rsidR="00990D8D" w:rsidRPr="004C22F7" w:rsidRDefault="00990D8D" w:rsidP="00990D8D">
            <w:pPr>
              <w:jc w:val="center"/>
              <w:rPr>
                <w:b/>
                <w:lang w:val="en-US"/>
              </w:rPr>
            </w:pPr>
            <w:r w:rsidRPr="004C22F7">
              <w:rPr>
                <w:b/>
                <w:lang w:val="en-US"/>
              </w:rPr>
              <w:t>≤0.01</w:t>
            </w:r>
          </w:p>
        </w:tc>
      </w:tr>
      <w:tr w:rsidR="00990D8D" w:rsidRPr="00B22943" w:rsidTr="00990D8D">
        <w:trPr>
          <w:trHeight w:val="131"/>
        </w:trPr>
        <w:tc>
          <w:tcPr>
            <w:tcW w:w="606" w:type="dxa"/>
            <w:tcBorders>
              <w:top w:val="nil"/>
              <w:left w:val="nil"/>
              <w:bottom w:val="nil"/>
              <w:right w:val="nil"/>
            </w:tcBorders>
          </w:tcPr>
          <w:p w:rsidR="00990D8D" w:rsidRPr="00D10782" w:rsidRDefault="00990D8D" w:rsidP="00990D8D">
            <w:pPr>
              <w:rPr>
                <w:lang w:val="en-US"/>
              </w:rPr>
            </w:pPr>
            <w:r w:rsidRPr="00D10782">
              <w:rPr>
                <w:lang w:val="en-US"/>
              </w:rPr>
              <w:t>Rb</w:t>
            </w:r>
          </w:p>
        </w:tc>
        <w:tc>
          <w:tcPr>
            <w:tcW w:w="1133" w:type="dxa"/>
            <w:tcBorders>
              <w:top w:val="nil"/>
              <w:left w:val="nil"/>
              <w:bottom w:val="nil"/>
              <w:right w:val="nil"/>
            </w:tcBorders>
          </w:tcPr>
          <w:p w:rsidR="00990D8D" w:rsidRPr="00D10782" w:rsidRDefault="00990D8D" w:rsidP="00990D8D">
            <w:pPr>
              <w:jc w:val="center"/>
              <w:rPr>
                <w:lang w:val="en-US"/>
              </w:rPr>
            </w:pPr>
            <w:r>
              <w:rPr>
                <w:lang w:val="en-US"/>
              </w:rPr>
              <w:t>0.97</w:t>
            </w:r>
          </w:p>
        </w:tc>
        <w:tc>
          <w:tcPr>
            <w:tcW w:w="986" w:type="dxa"/>
            <w:tcBorders>
              <w:top w:val="nil"/>
              <w:left w:val="nil"/>
              <w:bottom w:val="nil"/>
              <w:right w:val="nil"/>
            </w:tcBorders>
            <w:vAlign w:val="bottom"/>
          </w:tcPr>
          <w:p w:rsidR="00990D8D" w:rsidRPr="008A5193" w:rsidRDefault="00990D8D" w:rsidP="00990D8D">
            <w:pPr>
              <w:jc w:val="center"/>
              <w:rPr>
                <w:lang w:val="en-US"/>
              </w:rPr>
            </w:pPr>
            <w:r>
              <w:rPr>
                <w:lang w:val="en-US"/>
              </w:rPr>
              <w:t>0.757</w:t>
            </w:r>
          </w:p>
        </w:tc>
        <w:tc>
          <w:tcPr>
            <w:tcW w:w="776" w:type="dxa"/>
            <w:tcBorders>
              <w:top w:val="nil"/>
              <w:left w:val="nil"/>
              <w:bottom w:val="nil"/>
              <w:right w:val="nil"/>
            </w:tcBorders>
            <w:vAlign w:val="bottom"/>
          </w:tcPr>
          <w:p w:rsidR="00990D8D" w:rsidRPr="008A5193" w:rsidRDefault="00990D8D" w:rsidP="00990D8D">
            <w:pPr>
              <w:jc w:val="center"/>
              <w:rPr>
                <w:lang w:val="en-US"/>
              </w:rPr>
            </w:pPr>
            <w:r>
              <w:rPr>
                <w:lang w:val="en-US"/>
              </w:rPr>
              <w:t>&gt;0.05</w:t>
            </w:r>
          </w:p>
        </w:tc>
        <w:tc>
          <w:tcPr>
            <w:tcW w:w="1060" w:type="dxa"/>
            <w:tcBorders>
              <w:top w:val="nil"/>
              <w:left w:val="nil"/>
              <w:bottom w:val="nil"/>
              <w:right w:val="nil"/>
            </w:tcBorders>
            <w:vAlign w:val="bottom"/>
          </w:tcPr>
          <w:p w:rsidR="00990D8D" w:rsidRPr="008A5193" w:rsidRDefault="00990D8D" w:rsidP="00990D8D">
            <w:pPr>
              <w:jc w:val="center"/>
              <w:rPr>
                <w:lang w:val="en-US"/>
              </w:rPr>
            </w:pPr>
            <w:r>
              <w:rPr>
                <w:lang w:val="en-US"/>
              </w:rPr>
              <w:t>1.37</w:t>
            </w:r>
          </w:p>
        </w:tc>
        <w:tc>
          <w:tcPr>
            <w:tcW w:w="1133" w:type="dxa"/>
            <w:tcBorders>
              <w:top w:val="nil"/>
              <w:left w:val="nil"/>
              <w:bottom w:val="nil"/>
              <w:right w:val="nil"/>
            </w:tcBorders>
            <w:vAlign w:val="bottom"/>
          </w:tcPr>
          <w:p w:rsidR="00990D8D" w:rsidRPr="008B2EDF" w:rsidRDefault="00990D8D" w:rsidP="00990D8D">
            <w:pPr>
              <w:jc w:val="center"/>
              <w:rPr>
                <w:b/>
                <w:lang w:val="en-US"/>
              </w:rPr>
            </w:pPr>
            <w:r>
              <w:rPr>
                <w:b/>
                <w:lang w:val="en-US"/>
              </w:rPr>
              <w:t>0.</w:t>
            </w:r>
            <w:r w:rsidRPr="008B2EDF">
              <w:rPr>
                <w:b/>
                <w:lang w:val="en-US"/>
              </w:rPr>
              <w:t>0013</w:t>
            </w:r>
          </w:p>
        </w:tc>
        <w:tc>
          <w:tcPr>
            <w:tcW w:w="772" w:type="dxa"/>
            <w:tcBorders>
              <w:top w:val="nil"/>
              <w:left w:val="nil"/>
              <w:bottom w:val="nil"/>
              <w:right w:val="nil"/>
            </w:tcBorders>
            <w:vAlign w:val="bottom"/>
          </w:tcPr>
          <w:p w:rsidR="00990D8D" w:rsidRPr="008A5193" w:rsidRDefault="00990D8D" w:rsidP="00990D8D">
            <w:pPr>
              <w:jc w:val="center"/>
              <w:rPr>
                <w:lang w:val="en-US"/>
              </w:rPr>
            </w:pPr>
            <w:r>
              <w:rPr>
                <w:b/>
                <w:lang w:val="en-US"/>
              </w:rPr>
              <w:t>≤0.</w:t>
            </w:r>
            <w:r w:rsidRPr="008B2EDF">
              <w:rPr>
                <w:b/>
                <w:lang w:val="en-US"/>
              </w:rPr>
              <w:t>01</w:t>
            </w:r>
          </w:p>
        </w:tc>
        <w:tc>
          <w:tcPr>
            <w:tcW w:w="1319" w:type="dxa"/>
            <w:tcBorders>
              <w:top w:val="nil"/>
              <w:left w:val="nil"/>
              <w:bottom w:val="nil"/>
              <w:right w:val="nil"/>
            </w:tcBorders>
            <w:vAlign w:val="bottom"/>
          </w:tcPr>
          <w:p w:rsidR="00990D8D" w:rsidRPr="00F01C41" w:rsidRDefault="00990D8D" w:rsidP="00990D8D">
            <w:pPr>
              <w:jc w:val="center"/>
              <w:rPr>
                <w:lang w:val="en-US"/>
              </w:rPr>
            </w:pPr>
            <w:r>
              <w:rPr>
                <w:lang w:val="en-US"/>
              </w:rPr>
              <w:t>1.41</w:t>
            </w:r>
          </w:p>
        </w:tc>
        <w:tc>
          <w:tcPr>
            <w:tcW w:w="996" w:type="dxa"/>
            <w:tcBorders>
              <w:top w:val="nil"/>
              <w:left w:val="nil"/>
              <w:bottom w:val="nil"/>
              <w:right w:val="nil"/>
            </w:tcBorders>
            <w:vAlign w:val="bottom"/>
          </w:tcPr>
          <w:p w:rsidR="00990D8D" w:rsidRPr="00034C2C" w:rsidRDefault="00990D8D" w:rsidP="00990D8D">
            <w:pPr>
              <w:jc w:val="center"/>
              <w:rPr>
                <w:b/>
                <w:lang w:val="en-US"/>
              </w:rPr>
            </w:pPr>
            <w:r>
              <w:rPr>
                <w:b/>
                <w:lang w:val="en-US"/>
              </w:rPr>
              <w:t>0.0002</w:t>
            </w:r>
          </w:p>
        </w:tc>
        <w:tc>
          <w:tcPr>
            <w:tcW w:w="772" w:type="dxa"/>
            <w:tcBorders>
              <w:top w:val="nil"/>
              <w:left w:val="nil"/>
              <w:bottom w:val="nil"/>
              <w:right w:val="nil"/>
            </w:tcBorders>
          </w:tcPr>
          <w:p w:rsidR="00990D8D" w:rsidRDefault="00990D8D" w:rsidP="00990D8D">
            <w:pPr>
              <w:jc w:val="center"/>
            </w:pPr>
            <w:r w:rsidRPr="004C22F7">
              <w:rPr>
                <w:b/>
                <w:lang w:val="en-US"/>
              </w:rPr>
              <w:t>≤0.01</w:t>
            </w:r>
          </w:p>
        </w:tc>
      </w:tr>
      <w:tr w:rsidR="00990D8D" w:rsidRPr="00B22943" w:rsidTr="00990D8D">
        <w:trPr>
          <w:trHeight w:val="197"/>
        </w:trPr>
        <w:tc>
          <w:tcPr>
            <w:tcW w:w="606" w:type="dxa"/>
            <w:tcBorders>
              <w:top w:val="nil"/>
              <w:left w:val="nil"/>
              <w:bottom w:val="nil"/>
              <w:right w:val="nil"/>
            </w:tcBorders>
          </w:tcPr>
          <w:p w:rsidR="00990D8D" w:rsidRPr="00D10782" w:rsidRDefault="00990D8D" w:rsidP="00990D8D">
            <w:pPr>
              <w:rPr>
                <w:lang w:val="en-US"/>
              </w:rPr>
            </w:pPr>
            <w:r w:rsidRPr="00D10782">
              <w:rPr>
                <w:lang w:val="en-US"/>
              </w:rPr>
              <w:t>Sr</w:t>
            </w:r>
          </w:p>
        </w:tc>
        <w:tc>
          <w:tcPr>
            <w:tcW w:w="1133" w:type="dxa"/>
            <w:tcBorders>
              <w:top w:val="nil"/>
              <w:left w:val="nil"/>
              <w:bottom w:val="nil"/>
              <w:right w:val="nil"/>
            </w:tcBorders>
            <w:vAlign w:val="bottom"/>
          </w:tcPr>
          <w:p w:rsidR="00990D8D" w:rsidRPr="00D10782" w:rsidRDefault="00990D8D" w:rsidP="00990D8D">
            <w:pPr>
              <w:jc w:val="center"/>
              <w:rPr>
                <w:lang w:val="en-US"/>
              </w:rPr>
            </w:pPr>
            <w:r>
              <w:rPr>
                <w:lang w:val="en-US"/>
              </w:rPr>
              <w:t>0.98</w:t>
            </w:r>
          </w:p>
        </w:tc>
        <w:tc>
          <w:tcPr>
            <w:tcW w:w="986" w:type="dxa"/>
            <w:tcBorders>
              <w:top w:val="nil"/>
              <w:left w:val="nil"/>
              <w:bottom w:val="nil"/>
              <w:right w:val="nil"/>
            </w:tcBorders>
            <w:vAlign w:val="bottom"/>
          </w:tcPr>
          <w:p w:rsidR="00990D8D" w:rsidRPr="008A5193" w:rsidRDefault="00990D8D" w:rsidP="00990D8D">
            <w:pPr>
              <w:jc w:val="center"/>
              <w:rPr>
                <w:lang w:val="en-US"/>
              </w:rPr>
            </w:pPr>
            <w:r>
              <w:rPr>
                <w:lang w:val="en-US"/>
              </w:rPr>
              <w:t>0.948</w:t>
            </w:r>
          </w:p>
        </w:tc>
        <w:tc>
          <w:tcPr>
            <w:tcW w:w="776" w:type="dxa"/>
            <w:tcBorders>
              <w:top w:val="nil"/>
              <w:left w:val="nil"/>
              <w:bottom w:val="nil"/>
              <w:right w:val="nil"/>
            </w:tcBorders>
            <w:vAlign w:val="bottom"/>
          </w:tcPr>
          <w:p w:rsidR="00990D8D" w:rsidRPr="008A5193" w:rsidRDefault="00990D8D" w:rsidP="00990D8D">
            <w:pPr>
              <w:jc w:val="center"/>
              <w:rPr>
                <w:lang w:val="en-US"/>
              </w:rPr>
            </w:pPr>
            <w:r>
              <w:rPr>
                <w:lang w:val="en-US"/>
              </w:rPr>
              <w:t>&gt;0.05</w:t>
            </w:r>
          </w:p>
        </w:tc>
        <w:tc>
          <w:tcPr>
            <w:tcW w:w="1060" w:type="dxa"/>
            <w:tcBorders>
              <w:top w:val="nil"/>
              <w:left w:val="nil"/>
              <w:bottom w:val="nil"/>
              <w:right w:val="nil"/>
            </w:tcBorders>
            <w:vAlign w:val="bottom"/>
          </w:tcPr>
          <w:p w:rsidR="00990D8D" w:rsidRPr="008A5193" w:rsidRDefault="00990D8D" w:rsidP="00990D8D">
            <w:pPr>
              <w:jc w:val="center"/>
              <w:rPr>
                <w:lang w:val="en-US"/>
              </w:rPr>
            </w:pPr>
            <w:r>
              <w:rPr>
                <w:lang w:val="en-US"/>
              </w:rPr>
              <w:t>1.37</w:t>
            </w:r>
          </w:p>
        </w:tc>
        <w:tc>
          <w:tcPr>
            <w:tcW w:w="1133" w:type="dxa"/>
            <w:tcBorders>
              <w:top w:val="nil"/>
              <w:left w:val="nil"/>
              <w:bottom w:val="nil"/>
              <w:right w:val="nil"/>
            </w:tcBorders>
            <w:vAlign w:val="bottom"/>
          </w:tcPr>
          <w:p w:rsidR="00990D8D" w:rsidRPr="008A5193" w:rsidRDefault="00990D8D" w:rsidP="00990D8D">
            <w:pPr>
              <w:jc w:val="center"/>
              <w:rPr>
                <w:lang w:val="en-US"/>
              </w:rPr>
            </w:pPr>
            <w:r>
              <w:rPr>
                <w:lang w:val="en-US"/>
              </w:rPr>
              <w:t>0.319</w:t>
            </w:r>
          </w:p>
        </w:tc>
        <w:tc>
          <w:tcPr>
            <w:tcW w:w="772" w:type="dxa"/>
            <w:tcBorders>
              <w:top w:val="nil"/>
              <w:left w:val="nil"/>
              <w:bottom w:val="nil"/>
              <w:right w:val="nil"/>
            </w:tcBorders>
            <w:vAlign w:val="bottom"/>
          </w:tcPr>
          <w:p w:rsidR="00990D8D" w:rsidRPr="008A5193" w:rsidRDefault="00990D8D" w:rsidP="00990D8D">
            <w:pPr>
              <w:jc w:val="center"/>
              <w:rPr>
                <w:lang w:val="en-US"/>
              </w:rPr>
            </w:pPr>
            <w:r>
              <w:rPr>
                <w:lang w:val="en-US"/>
              </w:rPr>
              <w:t>&gt;0.05</w:t>
            </w:r>
          </w:p>
        </w:tc>
        <w:tc>
          <w:tcPr>
            <w:tcW w:w="1319" w:type="dxa"/>
            <w:tcBorders>
              <w:top w:val="nil"/>
              <w:left w:val="nil"/>
              <w:bottom w:val="nil"/>
              <w:right w:val="nil"/>
            </w:tcBorders>
            <w:vAlign w:val="bottom"/>
          </w:tcPr>
          <w:p w:rsidR="00990D8D" w:rsidRPr="00F01C41" w:rsidRDefault="00990D8D" w:rsidP="00990D8D">
            <w:pPr>
              <w:jc w:val="center"/>
              <w:rPr>
                <w:lang w:val="en-US"/>
              </w:rPr>
            </w:pPr>
            <w:r>
              <w:rPr>
                <w:lang w:val="en-US"/>
              </w:rPr>
              <w:t>1.40</w:t>
            </w:r>
          </w:p>
        </w:tc>
        <w:tc>
          <w:tcPr>
            <w:tcW w:w="996" w:type="dxa"/>
            <w:tcBorders>
              <w:top w:val="nil"/>
              <w:left w:val="nil"/>
              <w:bottom w:val="nil"/>
              <w:right w:val="nil"/>
            </w:tcBorders>
            <w:vAlign w:val="bottom"/>
          </w:tcPr>
          <w:p w:rsidR="00990D8D" w:rsidRPr="00593FCD" w:rsidRDefault="00990D8D" w:rsidP="00990D8D">
            <w:pPr>
              <w:jc w:val="center"/>
              <w:rPr>
                <w:lang w:val="en-US"/>
              </w:rPr>
            </w:pPr>
            <w:r w:rsidRPr="00593FCD">
              <w:rPr>
                <w:lang w:val="en-US"/>
              </w:rPr>
              <w:t>0.348</w:t>
            </w:r>
          </w:p>
        </w:tc>
        <w:tc>
          <w:tcPr>
            <w:tcW w:w="772" w:type="dxa"/>
            <w:tcBorders>
              <w:top w:val="nil"/>
              <w:left w:val="nil"/>
              <w:bottom w:val="nil"/>
              <w:right w:val="nil"/>
            </w:tcBorders>
          </w:tcPr>
          <w:p w:rsidR="00990D8D" w:rsidRDefault="00990D8D" w:rsidP="00990D8D">
            <w:pPr>
              <w:jc w:val="center"/>
            </w:pPr>
            <w:r>
              <w:rPr>
                <w:lang w:val="en-US"/>
              </w:rPr>
              <w:t>&gt;0.05</w:t>
            </w:r>
          </w:p>
        </w:tc>
      </w:tr>
      <w:tr w:rsidR="00990D8D" w:rsidRPr="00B22943" w:rsidTr="00990D8D">
        <w:trPr>
          <w:trHeight w:val="197"/>
        </w:trPr>
        <w:tc>
          <w:tcPr>
            <w:tcW w:w="606" w:type="dxa"/>
            <w:tcBorders>
              <w:top w:val="nil"/>
              <w:left w:val="nil"/>
              <w:bottom w:val="single" w:sz="4" w:space="0" w:color="auto"/>
              <w:right w:val="nil"/>
            </w:tcBorders>
          </w:tcPr>
          <w:p w:rsidR="00990D8D" w:rsidRPr="00D10782" w:rsidRDefault="00990D8D" w:rsidP="00990D8D">
            <w:pPr>
              <w:rPr>
                <w:lang w:val="en-US"/>
              </w:rPr>
            </w:pPr>
            <w:r w:rsidRPr="00D10782">
              <w:rPr>
                <w:lang w:val="en-US"/>
              </w:rPr>
              <w:t>Zn</w:t>
            </w:r>
          </w:p>
        </w:tc>
        <w:tc>
          <w:tcPr>
            <w:tcW w:w="1133" w:type="dxa"/>
            <w:tcBorders>
              <w:top w:val="nil"/>
              <w:left w:val="nil"/>
              <w:bottom w:val="single" w:sz="4" w:space="0" w:color="auto"/>
              <w:right w:val="nil"/>
            </w:tcBorders>
            <w:vAlign w:val="bottom"/>
          </w:tcPr>
          <w:p w:rsidR="00990D8D" w:rsidRPr="00D10782" w:rsidRDefault="00990D8D" w:rsidP="00990D8D">
            <w:pPr>
              <w:jc w:val="center"/>
              <w:rPr>
                <w:lang w:val="en-US"/>
              </w:rPr>
            </w:pPr>
            <w:r>
              <w:rPr>
                <w:lang w:val="en-US"/>
              </w:rPr>
              <w:t>1.00</w:t>
            </w:r>
          </w:p>
        </w:tc>
        <w:tc>
          <w:tcPr>
            <w:tcW w:w="986" w:type="dxa"/>
            <w:tcBorders>
              <w:top w:val="nil"/>
              <w:left w:val="nil"/>
              <w:bottom w:val="single" w:sz="4" w:space="0" w:color="auto"/>
              <w:right w:val="nil"/>
            </w:tcBorders>
            <w:vAlign w:val="bottom"/>
          </w:tcPr>
          <w:p w:rsidR="00990D8D" w:rsidRPr="008A5193" w:rsidRDefault="00990D8D" w:rsidP="00990D8D">
            <w:pPr>
              <w:jc w:val="center"/>
              <w:rPr>
                <w:lang w:val="en-US"/>
              </w:rPr>
            </w:pPr>
            <w:r>
              <w:rPr>
                <w:lang w:val="en-US"/>
              </w:rPr>
              <w:t>0.944</w:t>
            </w:r>
          </w:p>
        </w:tc>
        <w:tc>
          <w:tcPr>
            <w:tcW w:w="776" w:type="dxa"/>
            <w:tcBorders>
              <w:top w:val="nil"/>
              <w:left w:val="nil"/>
              <w:bottom w:val="single" w:sz="4" w:space="0" w:color="auto"/>
              <w:right w:val="nil"/>
            </w:tcBorders>
            <w:vAlign w:val="bottom"/>
          </w:tcPr>
          <w:p w:rsidR="00990D8D" w:rsidRPr="008A5193" w:rsidRDefault="00990D8D" w:rsidP="00990D8D">
            <w:pPr>
              <w:jc w:val="center"/>
              <w:rPr>
                <w:lang w:val="en-US"/>
              </w:rPr>
            </w:pPr>
            <w:r>
              <w:rPr>
                <w:lang w:val="en-US"/>
              </w:rPr>
              <w:t>&gt;0.05</w:t>
            </w:r>
          </w:p>
        </w:tc>
        <w:tc>
          <w:tcPr>
            <w:tcW w:w="1060" w:type="dxa"/>
            <w:tcBorders>
              <w:top w:val="nil"/>
              <w:left w:val="nil"/>
              <w:bottom w:val="single" w:sz="4" w:space="0" w:color="auto"/>
              <w:right w:val="nil"/>
            </w:tcBorders>
            <w:vAlign w:val="bottom"/>
          </w:tcPr>
          <w:p w:rsidR="00990D8D" w:rsidRPr="008A5193" w:rsidRDefault="00990D8D" w:rsidP="00990D8D">
            <w:pPr>
              <w:jc w:val="center"/>
              <w:rPr>
                <w:lang w:val="en-US"/>
              </w:rPr>
            </w:pPr>
            <w:r>
              <w:rPr>
                <w:lang w:val="en-US"/>
              </w:rPr>
              <w:t>0.75</w:t>
            </w:r>
          </w:p>
        </w:tc>
        <w:tc>
          <w:tcPr>
            <w:tcW w:w="1133" w:type="dxa"/>
            <w:tcBorders>
              <w:top w:val="nil"/>
              <w:left w:val="nil"/>
              <w:bottom w:val="single" w:sz="4" w:space="0" w:color="auto"/>
              <w:right w:val="nil"/>
            </w:tcBorders>
            <w:vAlign w:val="bottom"/>
          </w:tcPr>
          <w:p w:rsidR="00990D8D" w:rsidRPr="008B2EDF" w:rsidRDefault="00990D8D" w:rsidP="00990D8D">
            <w:pPr>
              <w:jc w:val="center"/>
              <w:rPr>
                <w:b/>
                <w:lang w:val="en-US"/>
              </w:rPr>
            </w:pPr>
            <w:r>
              <w:rPr>
                <w:b/>
                <w:lang w:val="en-US"/>
              </w:rPr>
              <w:t>0.</w:t>
            </w:r>
            <w:r w:rsidRPr="008B2EDF">
              <w:rPr>
                <w:b/>
                <w:lang w:val="en-US"/>
              </w:rPr>
              <w:t>0086</w:t>
            </w:r>
          </w:p>
        </w:tc>
        <w:tc>
          <w:tcPr>
            <w:tcW w:w="772" w:type="dxa"/>
            <w:tcBorders>
              <w:top w:val="nil"/>
              <w:left w:val="nil"/>
              <w:bottom w:val="single" w:sz="4" w:space="0" w:color="auto"/>
              <w:right w:val="nil"/>
            </w:tcBorders>
            <w:vAlign w:val="bottom"/>
          </w:tcPr>
          <w:p w:rsidR="00990D8D" w:rsidRPr="008A5193" w:rsidRDefault="00990D8D" w:rsidP="00990D8D">
            <w:pPr>
              <w:jc w:val="center"/>
              <w:rPr>
                <w:lang w:val="en-US"/>
              </w:rPr>
            </w:pPr>
            <w:r>
              <w:rPr>
                <w:b/>
                <w:lang w:val="en-US"/>
              </w:rPr>
              <w:t>≤0.</w:t>
            </w:r>
            <w:r w:rsidRPr="008B2EDF">
              <w:rPr>
                <w:b/>
                <w:lang w:val="en-US"/>
              </w:rPr>
              <w:t>01</w:t>
            </w:r>
          </w:p>
        </w:tc>
        <w:tc>
          <w:tcPr>
            <w:tcW w:w="1319" w:type="dxa"/>
            <w:tcBorders>
              <w:top w:val="nil"/>
              <w:left w:val="nil"/>
              <w:bottom w:val="single" w:sz="4" w:space="0" w:color="auto"/>
              <w:right w:val="nil"/>
            </w:tcBorders>
            <w:vAlign w:val="bottom"/>
          </w:tcPr>
          <w:p w:rsidR="00990D8D" w:rsidRPr="00F01C41" w:rsidRDefault="00990D8D" w:rsidP="00990D8D">
            <w:pPr>
              <w:jc w:val="center"/>
              <w:rPr>
                <w:lang w:val="en-US"/>
              </w:rPr>
            </w:pPr>
            <w:r>
              <w:rPr>
                <w:lang w:val="en-US"/>
              </w:rPr>
              <w:t>0.75</w:t>
            </w:r>
          </w:p>
        </w:tc>
        <w:tc>
          <w:tcPr>
            <w:tcW w:w="996" w:type="dxa"/>
            <w:tcBorders>
              <w:top w:val="nil"/>
              <w:left w:val="nil"/>
              <w:bottom w:val="single" w:sz="4" w:space="0" w:color="auto"/>
              <w:right w:val="nil"/>
            </w:tcBorders>
            <w:vAlign w:val="bottom"/>
          </w:tcPr>
          <w:p w:rsidR="00990D8D" w:rsidRPr="00CF4D21" w:rsidRDefault="00990D8D" w:rsidP="00990D8D">
            <w:pPr>
              <w:jc w:val="center"/>
              <w:rPr>
                <w:b/>
                <w:lang w:val="en-US"/>
              </w:rPr>
            </w:pPr>
            <w:r w:rsidRPr="00CF4D21">
              <w:rPr>
                <w:b/>
                <w:lang w:val="en-US"/>
              </w:rPr>
              <w:t>0.</w:t>
            </w:r>
            <w:r>
              <w:rPr>
                <w:b/>
                <w:lang w:val="en-US"/>
              </w:rPr>
              <w:t>012</w:t>
            </w:r>
          </w:p>
        </w:tc>
        <w:tc>
          <w:tcPr>
            <w:tcW w:w="772" w:type="dxa"/>
            <w:tcBorders>
              <w:top w:val="nil"/>
              <w:left w:val="nil"/>
              <w:bottom w:val="single" w:sz="4" w:space="0" w:color="auto"/>
              <w:right w:val="nil"/>
            </w:tcBorders>
          </w:tcPr>
          <w:p w:rsidR="00990D8D" w:rsidRDefault="00990D8D" w:rsidP="00990D8D">
            <w:pPr>
              <w:jc w:val="center"/>
            </w:pPr>
            <w:r w:rsidRPr="004C22F7">
              <w:rPr>
                <w:b/>
                <w:lang w:val="en-US"/>
              </w:rPr>
              <w:t>≤0.01</w:t>
            </w:r>
          </w:p>
        </w:tc>
      </w:tr>
    </w:tbl>
    <w:p w:rsidR="00990D8D" w:rsidRDefault="00990D8D" w:rsidP="00990D8D">
      <w:pPr>
        <w:rPr>
          <w:b/>
          <w:lang w:val="en-US"/>
        </w:rPr>
      </w:pPr>
      <w:r>
        <w:rPr>
          <w:lang w:val="en-US"/>
        </w:rPr>
        <w:t>El – element,</w:t>
      </w:r>
      <w:r w:rsidRPr="00B22943">
        <w:rPr>
          <w:i/>
          <w:iCs/>
          <w:lang w:val="en-US"/>
        </w:rPr>
        <w:t xml:space="preserve"> t</w:t>
      </w:r>
      <w:r w:rsidRPr="00B22943">
        <w:rPr>
          <w:lang w:val="en-US"/>
        </w:rPr>
        <w:t xml:space="preserve">-test - Student’s </w:t>
      </w:r>
      <w:r w:rsidRPr="00B22943">
        <w:rPr>
          <w:i/>
          <w:iCs/>
          <w:lang w:val="en-US"/>
        </w:rPr>
        <w:t>t</w:t>
      </w:r>
      <w:r w:rsidRPr="00B22943">
        <w:rPr>
          <w:lang w:val="en-US"/>
        </w:rPr>
        <w:t xml:space="preserve">-test, </w:t>
      </w:r>
      <w:r w:rsidRPr="00B22943">
        <w:rPr>
          <w:iCs/>
          <w:lang w:val="en-US"/>
        </w:rPr>
        <w:t>U</w:t>
      </w:r>
      <w:r w:rsidRPr="00B22943">
        <w:rPr>
          <w:lang w:val="en-US"/>
        </w:rPr>
        <w:t xml:space="preserve">-test - </w:t>
      </w:r>
      <w:r w:rsidRPr="00B22943">
        <w:rPr>
          <w:bCs/>
          <w:color w:val="000000"/>
          <w:spacing w:val="1"/>
          <w:lang w:val="en-US"/>
        </w:rPr>
        <w:t>Wilcoxon-</w:t>
      </w:r>
      <w:r w:rsidRPr="00B22943">
        <w:rPr>
          <w:bCs/>
          <w:lang w:val="en-US"/>
        </w:rPr>
        <w:t xml:space="preserve">Mann-Whitney </w:t>
      </w:r>
      <w:r w:rsidRPr="00B22943">
        <w:rPr>
          <w:bCs/>
          <w:i/>
          <w:lang w:val="en-US"/>
        </w:rPr>
        <w:t>U</w:t>
      </w:r>
      <w:r w:rsidRPr="00B22943">
        <w:rPr>
          <w:bCs/>
          <w:lang w:val="en-US"/>
        </w:rPr>
        <w:t xml:space="preserve">-test,  </w:t>
      </w:r>
      <w:commentRangeStart w:id="56"/>
      <w:r w:rsidRPr="00B22943">
        <w:rPr>
          <w:b/>
          <w:i/>
          <w:color w:val="000000"/>
          <w:sz w:val="22"/>
          <w:szCs w:val="22"/>
          <w:lang w:val="en-US"/>
        </w:rPr>
        <w:t>Bold</w:t>
      </w:r>
      <w:r w:rsidRPr="00B22943">
        <w:rPr>
          <w:color w:val="000000"/>
          <w:sz w:val="22"/>
          <w:szCs w:val="22"/>
          <w:lang w:val="en-US"/>
        </w:rPr>
        <w:t xml:space="preserve"> significant </w:t>
      </w:r>
      <w:r w:rsidRPr="00B22943">
        <w:rPr>
          <w:sz w:val="22"/>
          <w:szCs w:val="22"/>
          <w:lang w:val="en-US"/>
        </w:rPr>
        <w:t>differences</w:t>
      </w:r>
      <w:r>
        <w:rPr>
          <w:b/>
          <w:lang w:val="en-US"/>
        </w:rPr>
        <w:t xml:space="preserve"> </w:t>
      </w:r>
      <w:commentRangeEnd w:id="56"/>
      <w:r w:rsidR="00392DB2">
        <w:rPr>
          <w:rStyle w:val="CommentReference"/>
        </w:rPr>
        <w:commentReference w:id="56"/>
      </w:r>
    </w:p>
    <w:p w:rsidR="00156B1D" w:rsidRDefault="00156B1D" w:rsidP="00990D8D">
      <w:pPr>
        <w:rPr>
          <w:b/>
          <w:lang w:val="en-US"/>
        </w:rPr>
      </w:pPr>
    </w:p>
    <w:p w:rsidR="00990D8D" w:rsidRPr="00394EA9" w:rsidRDefault="00990D8D" w:rsidP="00990D8D">
      <w:pPr>
        <w:rPr>
          <w:lang w:val="en-US"/>
        </w:rPr>
      </w:pPr>
    </w:p>
    <w:p w:rsidR="00990D8D" w:rsidRDefault="00B35097" w:rsidP="00990D8D">
      <w:pPr>
        <w:rPr>
          <w:lang w:val="en-US"/>
        </w:rPr>
      </w:pPr>
      <w:r w:rsidRPr="00B35097">
        <w:rPr>
          <w:noProof/>
        </w:rPr>
        <w:pict>
          <v:shapetype id="_x0000_t202" coordsize="21600,21600" o:spt="202" path="m,l,21600r21600,l21600,xe">
            <v:stroke joinstyle="miter"/>
            <v:path gradientshapeok="t" o:connecttype="rect"/>
          </v:shapetype>
          <v:shape id="Поле 3" o:spid="_x0000_s1026" type="#_x0000_t202" style="position:absolute;margin-left:355.85pt;margin-top:307.95pt;width:12.7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" stroked="f">
            <v:textbox>
              <w:txbxContent>
                <w:p w:rsidR="00660ECC" w:rsidRDefault="00660ECC" w:rsidP="00990D8D"/>
              </w:txbxContent>
            </v:textbox>
          </v:shape>
        </w:pict>
      </w:r>
      <w:r w:rsidRPr="00B35097">
        <w:rPr>
          <w:noProof/>
        </w:rPr>
        <w:pict>
          <v:shape id="Поле 8" o:spid="_x0000_s1027" type="#_x0000_t202" style="position:absolute;margin-left:206.6pt;margin-top:307.95pt;width:13.5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" stroked="f">
            <v:textbox>
              <w:txbxContent>
                <w:p w:rsidR="00660ECC" w:rsidRDefault="00660ECC" w:rsidP="00990D8D"/>
              </w:txbxContent>
            </v:textbox>
          </v:shape>
        </w:pict>
      </w:r>
      <w:r w:rsidRPr="00B35097">
        <w:rPr>
          <w:noProof/>
        </w:rPr>
        <w:pict>
          <v:shape id="Поле 9" o:spid="_x0000_s1028" type="#_x0000_t202" style="position:absolute;margin-left:70.1pt;margin-top:307.9pt;width:9pt;height:1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" stroked="f">
            <v:textbox>
              <w:txbxContent>
                <w:p w:rsidR="00660ECC" w:rsidRDefault="00660ECC" w:rsidP="00990D8D"/>
              </w:txbxContent>
            </v:textbox>
          </v:shape>
        </w:pict>
      </w:r>
      <w:r w:rsidR="00990D8D" w:rsidRPr="00007F05">
        <w:rPr>
          <w:noProof/>
          <w:lang w:val="en-US"/>
        </w:rPr>
        <w:t xml:space="preserve"> </w:t>
      </w:r>
      <w:r w:rsidR="00990D8D" w:rsidRPr="00394EA9">
        <w:rPr>
          <w:lang w:val="en-US"/>
        </w:rPr>
        <w:t xml:space="preserve"> </w:t>
      </w:r>
      <w:r w:rsidR="00990D8D">
        <w:rPr>
          <w:noProof/>
          <w:lang w:val="en-US" w:eastAsia="en-US"/>
        </w:rPr>
        <w:drawing>
          <wp:inline distT="0" distB="0" distL="0" distR="0">
            <wp:extent cx="1981200" cy="3594100"/>
            <wp:effectExtent l="0" t="0" r="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90D8D" w:rsidRPr="00394EA9">
        <w:rPr>
          <w:lang w:val="en-US"/>
        </w:rPr>
        <w:t xml:space="preserve"> </w:t>
      </w:r>
      <w:r w:rsidR="00990D8D">
        <w:rPr>
          <w:noProof/>
          <w:lang w:val="en-US" w:eastAsia="en-US"/>
        </w:rPr>
        <w:drawing>
          <wp:inline distT="0" distB="0" distL="0" distR="0">
            <wp:extent cx="1828800" cy="3600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90D8D" w:rsidRPr="00394EA9">
        <w:rPr>
          <w:lang w:val="en-US"/>
        </w:rPr>
        <w:t xml:space="preserve"> </w:t>
      </w:r>
      <w:r w:rsidR="00990D8D">
        <w:rPr>
          <w:noProof/>
          <w:lang w:val="en-US" w:eastAsia="en-US"/>
        </w:rPr>
        <w:drawing>
          <wp:inline distT="0" distB="0" distL="0" distR="0">
            <wp:extent cx="1733550" cy="36004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0D8D" w:rsidRDefault="00990D8D" w:rsidP="00990D8D">
      <w:pPr>
        <w:rPr>
          <w:lang w:val="en-US"/>
        </w:rPr>
      </w:pPr>
    </w:p>
    <w:p w:rsidR="00990D8D" w:rsidRPr="0004288A" w:rsidRDefault="00990D8D" w:rsidP="00990D8D">
      <w:pPr>
        <w:rPr>
          <w:lang w:val="en-US"/>
        </w:rPr>
      </w:pPr>
      <w:r w:rsidRPr="00AD5871">
        <w:rPr>
          <w:b/>
          <w:lang w:val="en-US"/>
        </w:rPr>
        <w:t>Fig.1</w:t>
      </w:r>
      <w:r w:rsidRPr="00AD5871">
        <w:rPr>
          <w:lang w:val="en-US"/>
        </w:rPr>
        <w:t xml:space="preserve">. Individual data sets for </w:t>
      </w:r>
      <w:r>
        <w:rPr>
          <w:lang w:val="en-US"/>
        </w:rPr>
        <w:t xml:space="preserve"> </w:t>
      </w:r>
      <w:r w:rsidRPr="00AD5871">
        <w:rPr>
          <w:lang w:val="en-US"/>
        </w:rPr>
        <w:t>I</w:t>
      </w:r>
      <w:r>
        <w:rPr>
          <w:lang w:val="en-US"/>
        </w:rPr>
        <w:t>, Rb, and Zn</w:t>
      </w:r>
      <w:r w:rsidRPr="00AD5871">
        <w:rPr>
          <w:lang w:val="en-US"/>
        </w:rPr>
        <w:t xml:space="preserve"> mass fractions in samples of normal</w:t>
      </w:r>
      <w:r>
        <w:rPr>
          <w:lang w:val="en-US"/>
        </w:rPr>
        <w:t xml:space="preserve"> thyroid</w:t>
      </w:r>
      <w:r w:rsidRPr="00AD5871">
        <w:rPr>
          <w:lang w:val="en-US"/>
        </w:rPr>
        <w:t xml:space="preserve"> (1), </w:t>
      </w:r>
      <w:r>
        <w:rPr>
          <w:lang w:val="en-US"/>
        </w:rPr>
        <w:t>thyroid benign nodules</w:t>
      </w:r>
      <w:r w:rsidRPr="00AD5871">
        <w:rPr>
          <w:rFonts w:eastAsiaTheme="minorHAnsi"/>
          <w:lang w:val="en-US" w:eastAsia="en-US"/>
        </w:rPr>
        <w:t xml:space="preserve">  (2)</w:t>
      </w:r>
      <w:r w:rsidRPr="00AD5871">
        <w:rPr>
          <w:rFonts w:eastAsiaTheme="minorHAnsi"/>
          <w:sz w:val="19"/>
          <w:szCs w:val="19"/>
          <w:lang w:val="en-US" w:eastAsia="en-US"/>
        </w:rPr>
        <w:t xml:space="preserve"> </w:t>
      </w:r>
      <w:r w:rsidRPr="00AD5871">
        <w:rPr>
          <w:lang w:val="en-US"/>
        </w:rPr>
        <w:t xml:space="preserve">and </w:t>
      </w:r>
      <w:r>
        <w:rPr>
          <w:lang w:val="en-US"/>
        </w:rPr>
        <w:t>thyroid malignant nodules (3)</w:t>
      </w:r>
      <w:r w:rsidRPr="00AD5871">
        <w:rPr>
          <w:lang w:val="en-US"/>
        </w:rPr>
        <w:t>.</w:t>
      </w:r>
    </w:p>
    <w:p w:rsidR="00990D8D" w:rsidRPr="00C723AC" w:rsidRDefault="00990D8D" w:rsidP="00990D8D">
      <w:pPr>
        <w:spacing w:after="120"/>
        <w:rPr>
          <w:lang w:val="en-US"/>
        </w:rPr>
      </w:pPr>
      <w:commentRangeStart w:id="57"/>
      <w:r>
        <w:rPr>
          <w:b/>
          <w:lang w:val="en-US"/>
        </w:rPr>
        <w:t>Table 3</w:t>
      </w:r>
      <w:r w:rsidRPr="00C723AC">
        <w:rPr>
          <w:lang w:val="en-US"/>
        </w:rPr>
        <w:t>. Parameters of the sensitivity, specificity and accuracy (M</w:t>
      </w:r>
      <w:r w:rsidRPr="00C723AC">
        <w:rPr>
          <w:bCs/>
          <w:lang w:val="fr-FR"/>
        </w:rPr>
        <w:t>±</w:t>
      </w:r>
      <w:r w:rsidRPr="00C723AC">
        <w:rPr>
          <w:lang w:val="en-US"/>
        </w:rPr>
        <w:t xml:space="preserve">95% confidence interval) of I mass fraction for the diagnosis of </w:t>
      </w:r>
      <w:r>
        <w:rPr>
          <w:lang w:val="en-US"/>
        </w:rPr>
        <w:t>TMN</w:t>
      </w:r>
      <w:r w:rsidRPr="00C723AC">
        <w:rPr>
          <w:lang w:val="en-US"/>
        </w:rPr>
        <w:t xml:space="preserve"> (an estimation is made for “</w:t>
      </w:r>
      <w:r>
        <w:rPr>
          <w:lang w:val="en-US"/>
        </w:rPr>
        <w:t>TMN</w:t>
      </w:r>
      <w:r w:rsidRPr="00C723AC">
        <w:rPr>
          <w:lang w:val="en-US"/>
        </w:rPr>
        <w:t xml:space="preserve"> or </w:t>
      </w:r>
      <w:r>
        <w:rPr>
          <w:lang w:val="en-US"/>
        </w:rPr>
        <w:t>NT</w:t>
      </w:r>
      <w:r w:rsidRPr="00C723AC">
        <w:rPr>
          <w:lang w:val="en-US"/>
        </w:rPr>
        <w:t xml:space="preserve"> and </w:t>
      </w:r>
      <w:r>
        <w:rPr>
          <w:lang w:val="en-US"/>
        </w:rPr>
        <w:t>TBN</w:t>
      </w:r>
      <w:r w:rsidRPr="00C723AC">
        <w:rPr>
          <w:lang w:val="en-US"/>
        </w:rPr>
        <w:t>”)</w:t>
      </w:r>
      <w:commentRangeEnd w:id="57"/>
      <w:r w:rsidR="00392DB2">
        <w:rPr>
          <w:rStyle w:val="CommentReference"/>
        </w:rPr>
        <w:commentReference w:id="57"/>
      </w:r>
    </w:p>
    <w:tbl>
      <w:tblPr>
        <w:tblW w:w="7926" w:type="dxa"/>
        <w:tblLook w:val="0000"/>
      </w:tblPr>
      <w:tblGrid>
        <w:gridCol w:w="1136"/>
        <w:gridCol w:w="2588"/>
        <w:gridCol w:w="1412"/>
        <w:gridCol w:w="1425"/>
        <w:gridCol w:w="1365"/>
      </w:tblGrid>
      <w:tr w:rsidR="00990D8D" w:rsidRPr="00C723AC" w:rsidTr="00990D8D">
        <w:trPr>
          <w:trHeight w:val="255"/>
        </w:trPr>
        <w:tc>
          <w:tcPr>
            <w:tcW w:w="1136" w:type="dxa"/>
            <w:tcBorders>
              <w:top w:val="single" w:sz="4" w:space="0" w:color="auto"/>
              <w:left w:val="nil"/>
              <w:bottom w:val="single" w:sz="4" w:space="0" w:color="auto"/>
              <w:right w:val="nil"/>
            </w:tcBorders>
          </w:tcPr>
          <w:p w:rsidR="00990D8D" w:rsidRPr="00C723AC" w:rsidRDefault="00990D8D" w:rsidP="00990D8D">
            <w:r>
              <w:rPr>
                <w:lang w:val="en-GB"/>
              </w:rPr>
              <w:t>Element</w:t>
            </w:r>
          </w:p>
        </w:tc>
        <w:tc>
          <w:tcPr>
            <w:tcW w:w="2588" w:type="dxa"/>
            <w:tcBorders>
              <w:top w:val="single" w:sz="4" w:space="0" w:color="auto"/>
              <w:left w:val="nil"/>
              <w:bottom w:val="single" w:sz="4" w:space="0" w:color="auto"/>
              <w:right w:val="nil"/>
            </w:tcBorders>
            <w:noWrap/>
            <w:vAlign w:val="bottom"/>
          </w:tcPr>
          <w:p w:rsidR="00990D8D" w:rsidRPr="00C723AC" w:rsidRDefault="00990D8D" w:rsidP="00990D8D">
            <w:pPr>
              <w:jc w:val="center"/>
              <w:rPr>
                <w:bCs/>
                <w:lang w:val="en-US"/>
              </w:rPr>
            </w:pPr>
            <w:r w:rsidRPr="00C723AC">
              <w:rPr>
                <w:bCs/>
                <w:lang w:val="en-US"/>
              </w:rPr>
              <w:t xml:space="preserve">Upper limit for </w:t>
            </w:r>
            <w:r>
              <w:rPr>
                <w:bCs/>
                <w:lang w:val="en-US"/>
              </w:rPr>
              <w:t>TMN</w:t>
            </w:r>
          </w:p>
          <w:p w:rsidR="00990D8D" w:rsidRPr="00C723AC" w:rsidRDefault="00990D8D" w:rsidP="00990D8D">
            <w:pPr>
              <w:jc w:val="center"/>
              <w:rPr>
                <w:bCs/>
                <w:lang w:val="en-US"/>
              </w:rPr>
            </w:pPr>
            <w:r>
              <w:rPr>
                <w:bCs/>
                <w:lang w:val="en-US"/>
              </w:rPr>
              <w:t>(</w:t>
            </w:r>
            <w:r w:rsidRPr="00241A13">
              <w:rPr>
                <w:bCs/>
                <w:lang w:val="en-US"/>
              </w:rPr>
              <w:t>cut off</w:t>
            </w:r>
            <w:r>
              <w:rPr>
                <w:bCs/>
                <w:lang w:val="en-US"/>
              </w:rPr>
              <w:t>)</w:t>
            </w:r>
          </w:p>
        </w:tc>
        <w:tc>
          <w:tcPr>
            <w:tcW w:w="1412" w:type="dxa"/>
            <w:tcBorders>
              <w:top w:val="single" w:sz="4" w:space="0" w:color="auto"/>
              <w:left w:val="nil"/>
              <w:bottom w:val="single" w:sz="4" w:space="0" w:color="auto"/>
              <w:right w:val="nil"/>
            </w:tcBorders>
            <w:noWrap/>
            <w:vAlign w:val="bottom"/>
          </w:tcPr>
          <w:p w:rsidR="00990D8D" w:rsidRPr="00C723AC" w:rsidRDefault="00990D8D" w:rsidP="00990D8D">
            <w:pPr>
              <w:jc w:val="center"/>
              <w:rPr>
                <w:lang w:val="en-US"/>
              </w:rPr>
            </w:pPr>
            <w:r w:rsidRPr="00C723AC">
              <w:rPr>
                <w:lang w:val="en-US"/>
              </w:rPr>
              <w:t xml:space="preserve">Sensitivity </w:t>
            </w:r>
          </w:p>
          <w:p w:rsidR="00990D8D" w:rsidRPr="00C723AC" w:rsidRDefault="00990D8D" w:rsidP="00990D8D">
            <w:pPr>
              <w:jc w:val="center"/>
              <w:rPr>
                <w:bCs/>
                <w:lang w:val="en-US"/>
              </w:rPr>
            </w:pPr>
            <w:r w:rsidRPr="00C723AC">
              <w:rPr>
                <w:bCs/>
                <w:lang w:val="en-US"/>
              </w:rPr>
              <w:t>%</w:t>
            </w:r>
          </w:p>
        </w:tc>
        <w:tc>
          <w:tcPr>
            <w:tcW w:w="1425" w:type="dxa"/>
            <w:tcBorders>
              <w:top w:val="single" w:sz="4" w:space="0" w:color="auto"/>
              <w:left w:val="nil"/>
              <w:bottom w:val="single" w:sz="4" w:space="0" w:color="auto"/>
              <w:right w:val="nil"/>
            </w:tcBorders>
            <w:noWrap/>
            <w:vAlign w:val="bottom"/>
          </w:tcPr>
          <w:p w:rsidR="00990D8D" w:rsidRPr="00C723AC" w:rsidRDefault="00990D8D" w:rsidP="00990D8D">
            <w:pPr>
              <w:jc w:val="center"/>
              <w:rPr>
                <w:lang w:val="en-US"/>
              </w:rPr>
            </w:pPr>
            <w:r w:rsidRPr="00C723AC">
              <w:rPr>
                <w:lang w:val="en-US"/>
              </w:rPr>
              <w:t xml:space="preserve">Specificity </w:t>
            </w:r>
          </w:p>
          <w:p w:rsidR="00990D8D" w:rsidRPr="00C723AC" w:rsidRDefault="00990D8D" w:rsidP="00990D8D">
            <w:pPr>
              <w:jc w:val="center"/>
              <w:rPr>
                <w:lang w:val="en-US"/>
              </w:rPr>
            </w:pPr>
            <w:r w:rsidRPr="00C723AC">
              <w:rPr>
                <w:lang w:val="en-US"/>
              </w:rPr>
              <w:t>%</w:t>
            </w:r>
          </w:p>
        </w:tc>
        <w:tc>
          <w:tcPr>
            <w:tcW w:w="1365" w:type="dxa"/>
            <w:tcBorders>
              <w:top w:val="single" w:sz="4" w:space="0" w:color="auto"/>
              <w:left w:val="nil"/>
              <w:bottom w:val="single" w:sz="4" w:space="0" w:color="auto"/>
              <w:right w:val="nil"/>
            </w:tcBorders>
            <w:noWrap/>
            <w:vAlign w:val="bottom"/>
          </w:tcPr>
          <w:p w:rsidR="00990D8D" w:rsidRPr="00C723AC" w:rsidRDefault="00990D8D" w:rsidP="00990D8D">
            <w:pPr>
              <w:jc w:val="center"/>
              <w:rPr>
                <w:lang w:val="en-US"/>
              </w:rPr>
            </w:pPr>
            <w:r w:rsidRPr="00C723AC">
              <w:rPr>
                <w:lang w:val="en-US"/>
              </w:rPr>
              <w:t xml:space="preserve">Accuracy  </w:t>
            </w:r>
          </w:p>
          <w:p w:rsidR="00990D8D" w:rsidRPr="00C723AC" w:rsidRDefault="00990D8D" w:rsidP="00990D8D">
            <w:pPr>
              <w:jc w:val="center"/>
              <w:rPr>
                <w:lang w:val="en-US"/>
              </w:rPr>
            </w:pPr>
            <w:r w:rsidRPr="00C723AC">
              <w:rPr>
                <w:lang w:val="en-US"/>
              </w:rPr>
              <w:t>%</w:t>
            </w:r>
          </w:p>
        </w:tc>
      </w:tr>
      <w:tr w:rsidR="00990D8D" w:rsidRPr="00C723AC" w:rsidTr="00990D8D">
        <w:trPr>
          <w:trHeight w:val="255"/>
        </w:trPr>
        <w:tc>
          <w:tcPr>
            <w:tcW w:w="1136" w:type="dxa"/>
            <w:tcBorders>
              <w:top w:val="single" w:sz="4" w:space="0" w:color="auto"/>
              <w:left w:val="nil"/>
              <w:bottom w:val="nil"/>
              <w:right w:val="nil"/>
            </w:tcBorders>
          </w:tcPr>
          <w:p w:rsidR="00990D8D" w:rsidRPr="00C723AC" w:rsidRDefault="00990D8D" w:rsidP="00990D8D">
            <w:pPr>
              <w:rPr>
                <w:lang w:val="fr-FR"/>
              </w:rPr>
            </w:pPr>
            <w:r w:rsidRPr="00C723AC">
              <w:rPr>
                <w:lang w:val="en-US"/>
              </w:rPr>
              <w:t>I</w:t>
            </w:r>
          </w:p>
        </w:tc>
        <w:tc>
          <w:tcPr>
            <w:tcW w:w="2588" w:type="dxa"/>
            <w:tcBorders>
              <w:top w:val="single" w:sz="4" w:space="0" w:color="auto"/>
              <w:left w:val="nil"/>
              <w:bottom w:val="nil"/>
              <w:right w:val="nil"/>
            </w:tcBorders>
            <w:noWrap/>
            <w:vAlign w:val="bottom"/>
          </w:tcPr>
          <w:p w:rsidR="00990D8D" w:rsidRPr="00C723AC" w:rsidRDefault="00990D8D" w:rsidP="00990D8D">
            <w:pPr>
              <w:jc w:val="center"/>
              <w:rPr>
                <w:lang w:val="en-US"/>
              </w:rPr>
            </w:pPr>
            <w:r w:rsidRPr="00C723AC">
              <w:t xml:space="preserve">145 </w:t>
            </w:r>
            <w:r w:rsidRPr="00C723AC">
              <w:rPr>
                <w:lang w:val="en-US"/>
              </w:rPr>
              <w:t>mg/kg dry tissue</w:t>
            </w:r>
          </w:p>
        </w:tc>
        <w:tc>
          <w:tcPr>
            <w:tcW w:w="1412" w:type="dxa"/>
            <w:tcBorders>
              <w:top w:val="single" w:sz="4" w:space="0" w:color="auto"/>
              <w:left w:val="nil"/>
              <w:bottom w:val="nil"/>
              <w:right w:val="nil"/>
            </w:tcBorders>
            <w:noWrap/>
          </w:tcPr>
          <w:p w:rsidR="00990D8D" w:rsidRPr="00C723AC" w:rsidRDefault="00990D8D" w:rsidP="00990D8D">
            <w:pPr>
              <w:jc w:val="center"/>
            </w:pPr>
            <w:r w:rsidRPr="00C723AC">
              <w:rPr>
                <w:bCs/>
              </w:rPr>
              <w:t>87</w:t>
            </w:r>
            <w:r w:rsidRPr="00C723AC">
              <w:rPr>
                <w:bCs/>
                <w:lang w:val="fr-FR"/>
              </w:rPr>
              <w:t>±</w:t>
            </w:r>
            <w:r w:rsidRPr="00C723AC">
              <w:rPr>
                <w:bCs/>
              </w:rPr>
              <w:t>5</w:t>
            </w:r>
          </w:p>
        </w:tc>
        <w:tc>
          <w:tcPr>
            <w:tcW w:w="1425" w:type="dxa"/>
            <w:tcBorders>
              <w:top w:val="single" w:sz="4" w:space="0" w:color="auto"/>
              <w:left w:val="nil"/>
              <w:bottom w:val="nil"/>
              <w:right w:val="nil"/>
            </w:tcBorders>
            <w:noWrap/>
          </w:tcPr>
          <w:p w:rsidR="00990D8D" w:rsidRPr="00C723AC" w:rsidRDefault="00990D8D" w:rsidP="00990D8D">
            <w:pPr>
              <w:jc w:val="center"/>
            </w:pPr>
            <w:r w:rsidRPr="00C723AC">
              <w:rPr>
                <w:bCs/>
              </w:rPr>
              <w:t>96</w:t>
            </w:r>
            <w:r w:rsidRPr="00C723AC">
              <w:rPr>
                <w:bCs/>
                <w:lang w:val="fr-FR"/>
              </w:rPr>
              <w:t>±</w:t>
            </w:r>
            <w:r w:rsidRPr="00C723AC">
              <w:rPr>
                <w:bCs/>
              </w:rPr>
              <w:t>2</w:t>
            </w:r>
          </w:p>
        </w:tc>
        <w:tc>
          <w:tcPr>
            <w:tcW w:w="1365" w:type="dxa"/>
            <w:tcBorders>
              <w:top w:val="single" w:sz="4" w:space="0" w:color="auto"/>
              <w:left w:val="nil"/>
              <w:bottom w:val="nil"/>
              <w:right w:val="nil"/>
            </w:tcBorders>
            <w:noWrap/>
          </w:tcPr>
          <w:p w:rsidR="00990D8D" w:rsidRPr="00C723AC" w:rsidRDefault="00990D8D" w:rsidP="00990D8D">
            <w:pPr>
              <w:jc w:val="center"/>
            </w:pPr>
            <w:r w:rsidRPr="00C723AC">
              <w:rPr>
                <w:bCs/>
                <w:lang w:val="fr-FR"/>
              </w:rPr>
              <w:t>9</w:t>
            </w:r>
            <w:r w:rsidRPr="00C723AC">
              <w:rPr>
                <w:bCs/>
              </w:rPr>
              <w:t>4</w:t>
            </w:r>
            <w:r w:rsidRPr="00C723AC">
              <w:rPr>
                <w:bCs/>
                <w:lang w:val="fr-FR"/>
              </w:rPr>
              <w:t>±</w:t>
            </w:r>
            <w:r w:rsidRPr="00C723AC">
              <w:rPr>
                <w:bCs/>
              </w:rPr>
              <w:t>2</w:t>
            </w:r>
          </w:p>
        </w:tc>
      </w:tr>
    </w:tbl>
    <w:p w:rsidR="00990D8D" w:rsidRDefault="00990D8D" w:rsidP="00990D8D">
      <w:pPr>
        <w:spacing w:after="120"/>
        <w:rPr>
          <w:b/>
          <w:lang w:val="en-US"/>
        </w:rPr>
      </w:pPr>
      <w:r w:rsidRPr="00873CF2">
        <w:rPr>
          <w:lang w:val="en-US"/>
        </w:rPr>
        <w:t>NT</w:t>
      </w:r>
      <w:r>
        <w:rPr>
          <w:b/>
          <w:lang w:val="en-US"/>
        </w:rPr>
        <w:t xml:space="preserve"> - </w:t>
      </w:r>
      <w:r w:rsidRPr="0052492C">
        <w:rPr>
          <w:lang w:val="en-US"/>
        </w:rPr>
        <w:t>normal</w:t>
      </w:r>
      <w:r>
        <w:rPr>
          <w:lang w:val="en-US"/>
        </w:rPr>
        <w:t xml:space="preserve"> thyroid, TBN - thyroid benign nodules, TMN- thyroid malignant nodules</w:t>
      </w:r>
    </w:p>
    <w:p w:rsidR="00990D8D" w:rsidRDefault="00990D8D" w:rsidP="004E3F6D">
      <w:pPr>
        <w:jc w:val="both"/>
        <w:rPr>
          <w:lang w:val="en-US"/>
        </w:rPr>
      </w:pPr>
    </w:p>
    <w:p w:rsidR="004E3F6D" w:rsidRDefault="005E260B" w:rsidP="004E3F6D">
      <w:pPr>
        <w:jc w:val="both"/>
        <w:rPr>
          <w:lang w:val="en-US"/>
        </w:rPr>
      </w:pPr>
      <w:r w:rsidRPr="00FD231B">
        <w:rPr>
          <w:lang w:val="en-US"/>
        </w:rPr>
        <w:t xml:space="preserve">The comparison of </w:t>
      </w:r>
      <w:commentRangeStart w:id="58"/>
      <w:r w:rsidRPr="00FD231B">
        <w:rPr>
          <w:lang w:val="en-US"/>
        </w:rPr>
        <w:t>our</w:t>
      </w:r>
      <w:commentRangeEnd w:id="58"/>
      <w:r w:rsidR="00BA548B">
        <w:rPr>
          <w:rStyle w:val="CommentReference"/>
        </w:rPr>
        <w:commentReference w:id="58"/>
      </w:r>
      <w:r w:rsidRPr="00FD231B">
        <w:rPr>
          <w:lang w:val="en-US"/>
        </w:rPr>
        <w:t xml:space="preserve"> results with published data</w:t>
      </w:r>
      <w:r>
        <w:rPr>
          <w:lang w:val="en-US"/>
        </w:rPr>
        <w:t xml:space="preserve"> (from 1990 year)</w:t>
      </w:r>
      <w:r w:rsidRPr="00FD231B">
        <w:rPr>
          <w:lang w:val="en-US"/>
        </w:rPr>
        <w:t xml:space="preserve"> for </w:t>
      </w:r>
      <w:r>
        <w:rPr>
          <w:lang w:val="en-US"/>
        </w:rPr>
        <w:t>I</w:t>
      </w:r>
      <w:r w:rsidRPr="00FD231B">
        <w:rPr>
          <w:color w:val="131413"/>
          <w:lang w:val="en-US"/>
        </w:rPr>
        <w:t xml:space="preserve"> </w:t>
      </w:r>
      <w:r w:rsidRPr="00FD231B">
        <w:rPr>
          <w:lang w:val="en-US"/>
        </w:rPr>
        <w:t xml:space="preserve">mass fraction in </w:t>
      </w:r>
      <w:r>
        <w:rPr>
          <w:lang w:val="en-US"/>
        </w:rPr>
        <w:t xml:space="preserve">NT </w:t>
      </w:r>
      <w:commentRangeStart w:id="59"/>
      <w:r>
        <w:rPr>
          <w:lang w:val="en-US"/>
        </w:rPr>
        <w:t>[</w:t>
      </w:r>
      <w:r w:rsidR="004E3F6D">
        <w:rPr>
          <w:lang w:val="en-US"/>
        </w:rPr>
        <w:t>27,28,31-34,37,53-72</w:t>
      </w:r>
      <w:r>
        <w:rPr>
          <w:lang w:val="en-US"/>
        </w:rPr>
        <w:t xml:space="preserve">], </w:t>
      </w:r>
      <w:commentRangeEnd w:id="59"/>
      <w:r w:rsidR="00392DB2">
        <w:rPr>
          <w:rStyle w:val="CommentReference"/>
        </w:rPr>
        <w:commentReference w:id="59"/>
      </w:r>
      <w:r w:rsidRPr="004E3F6D">
        <w:rPr>
          <w:lang w:val="en-US"/>
        </w:rPr>
        <w:t>TBN [</w:t>
      </w:r>
      <w:commentRangeStart w:id="60"/>
      <w:r w:rsidR="004E3F6D" w:rsidRPr="004E3F6D">
        <w:rPr>
          <w:lang w:val="en-US"/>
        </w:rPr>
        <w:t>54,56,57,62,63,67-80</w:t>
      </w:r>
      <w:r w:rsidRPr="004E3F6D">
        <w:rPr>
          <w:lang w:val="en-US"/>
        </w:rPr>
        <w:t>],</w:t>
      </w:r>
      <w:r>
        <w:rPr>
          <w:lang w:val="en-US"/>
        </w:rPr>
        <w:t xml:space="preserve"> </w:t>
      </w:r>
      <w:commentRangeEnd w:id="60"/>
      <w:r w:rsidR="00392DB2">
        <w:rPr>
          <w:rStyle w:val="CommentReference"/>
        </w:rPr>
        <w:commentReference w:id="60"/>
      </w:r>
      <w:r>
        <w:rPr>
          <w:lang w:val="en-US"/>
        </w:rPr>
        <w:t>and TMN [</w:t>
      </w:r>
      <w:commentRangeStart w:id="61"/>
      <w:r w:rsidR="004E3F6D" w:rsidRPr="007C74C5">
        <w:rPr>
          <w:color w:val="000000"/>
          <w:lang w:val="en-US"/>
        </w:rPr>
        <w:t>54,56,57,,60, 64-66,73,74,81-8</w:t>
      </w:r>
      <w:r w:rsidR="004E3F6D">
        <w:rPr>
          <w:color w:val="000000"/>
          <w:lang w:val="en-US"/>
        </w:rPr>
        <w:t>5</w:t>
      </w:r>
      <w:commentRangeEnd w:id="61"/>
      <w:r w:rsidR="00392DB2">
        <w:rPr>
          <w:rStyle w:val="CommentReference"/>
        </w:rPr>
        <w:commentReference w:id="61"/>
      </w:r>
      <w:r>
        <w:rPr>
          <w:lang w:val="en-US"/>
        </w:rPr>
        <w:t>]</w:t>
      </w:r>
      <w:r w:rsidRPr="00FD231B">
        <w:rPr>
          <w:lang w:val="en-US"/>
        </w:rPr>
        <w:t xml:space="preserve"> </w:t>
      </w:r>
      <w:r>
        <w:rPr>
          <w:lang w:val="en-US"/>
        </w:rPr>
        <w:t xml:space="preserve">is shown in Tables </w:t>
      </w:r>
      <w:r w:rsidR="00C03201">
        <w:rPr>
          <w:lang w:val="en-US"/>
        </w:rPr>
        <w:t>4</w:t>
      </w:r>
      <w:r>
        <w:rPr>
          <w:lang w:val="en-US"/>
        </w:rPr>
        <w:t xml:space="preserve">, </w:t>
      </w:r>
      <w:r w:rsidR="00C03201">
        <w:rPr>
          <w:lang w:val="en-US"/>
        </w:rPr>
        <w:t>5</w:t>
      </w:r>
      <w:r>
        <w:rPr>
          <w:lang w:val="en-US"/>
        </w:rPr>
        <w:t xml:space="preserve">, and </w:t>
      </w:r>
      <w:r w:rsidR="00C03201">
        <w:rPr>
          <w:lang w:val="en-US"/>
        </w:rPr>
        <w:t>6</w:t>
      </w:r>
      <w:r>
        <w:rPr>
          <w:lang w:val="en-US"/>
        </w:rPr>
        <w:t>, respectively.</w:t>
      </w:r>
      <w:r w:rsidR="004E3F6D">
        <w:rPr>
          <w:lang w:val="en-US"/>
        </w:rPr>
        <w:t xml:space="preserve"> </w:t>
      </w:r>
      <w:r w:rsidR="004E3F6D" w:rsidRPr="009A5CA0">
        <w:rPr>
          <w:lang w:val="en-US"/>
        </w:rPr>
        <w:t xml:space="preserve">A number of values for </w:t>
      </w:r>
      <w:r w:rsidR="004E3F6D">
        <w:rPr>
          <w:lang w:val="en-US"/>
        </w:rPr>
        <w:t>TEs</w:t>
      </w:r>
      <w:r w:rsidR="004E3F6D" w:rsidRPr="009A5CA0">
        <w:rPr>
          <w:lang w:val="en-US"/>
        </w:rPr>
        <w:t xml:space="preserve"> mass fractions were not expressed </w:t>
      </w:r>
      <w:commentRangeStart w:id="62"/>
      <w:r w:rsidR="004E3F6D" w:rsidRPr="009A5CA0">
        <w:rPr>
          <w:lang w:val="en-US"/>
        </w:rPr>
        <w:t xml:space="preserve">on a dry mass basis by the authors of the cited references. However, we calculated these values using published </w:t>
      </w:r>
      <w:commentRangeEnd w:id="62"/>
      <w:r w:rsidR="00BA548B">
        <w:rPr>
          <w:rStyle w:val="CommentReference"/>
        </w:rPr>
        <w:commentReference w:id="62"/>
      </w:r>
      <w:r w:rsidR="004E3F6D" w:rsidRPr="009A5CA0">
        <w:rPr>
          <w:lang w:val="en-US"/>
        </w:rPr>
        <w:t xml:space="preserve">data for water (75%) </w:t>
      </w:r>
      <w:commentRangeStart w:id="63"/>
      <w:r w:rsidR="004E3F6D" w:rsidRPr="009A5CA0">
        <w:rPr>
          <w:lang w:val="en-US"/>
        </w:rPr>
        <w:t>[</w:t>
      </w:r>
      <w:r w:rsidR="004E3F6D">
        <w:rPr>
          <w:lang w:val="en-US"/>
        </w:rPr>
        <w:t>86</w:t>
      </w:r>
      <w:r w:rsidR="004E3F6D" w:rsidRPr="009A5CA0">
        <w:rPr>
          <w:lang w:val="en-US"/>
        </w:rPr>
        <w:t xml:space="preserve">] </w:t>
      </w:r>
      <w:commentRangeEnd w:id="63"/>
      <w:r w:rsidR="00392DB2">
        <w:rPr>
          <w:rStyle w:val="CommentReference"/>
        </w:rPr>
        <w:commentReference w:id="63"/>
      </w:r>
      <w:r w:rsidR="004E3F6D" w:rsidRPr="009A5CA0">
        <w:rPr>
          <w:lang w:val="en-US"/>
        </w:rPr>
        <w:t xml:space="preserve">and ash (4.16% on dry mass basis) </w:t>
      </w:r>
      <w:commentRangeStart w:id="64"/>
      <w:r w:rsidR="004E3F6D" w:rsidRPr="009A5CA0">
        <w:rPr>
          <w:lang w:val="en-US"/>
        </w:rPr>
        <w:t>[</w:t>
      </w:r>
      <w:r w:rsidR="004E3F6D">
        <w:rPr>
          <w:lang w:val="en-US"/>
        </w:rPr>
        <w:t>87</w:t>
      </w:r>
      <w:r w:rsidR="004E3F6D" w:rsidRPr="009A5CA0">
        <w:rPr>
          <w:lang w:val="en-US"/>
        </w:rPr>
        <w:t xml:space="preserve">] </w:t>
      </w:r>
      <w:commentRangeEnd w:id="64"/>
      <w:r w:rsidR="00392DB2">
        <w:rPr>
          <w:rStyle w:val="CommentReference"/>
        </w:rPr>
        <w:commentReference w:id="64"/>
      </w:r>
      <w:r w:rsidR="004E3F6D" w:rsidRPr="00577E42">
        <w:rPr>
          <w:lang w:val="en-US"/>
        </w:rPr>
        <w:t xml:space="preserve">contents in thyroid of adults. </w:t>
      </w:r>
    </w:p>
    <w:p w:rsidR="00990D8D" w:rsidRDefault="00990D8D" w:rsidP="004E3F6D">
      <w:pPr>
        <w:jc w:val="both"/>
        <w:rPr>
          <w:lang w:val="en-US"/>
        </w:rPr>
      </w:pPr>
    </w:p>
    <w:p w:rsidR="006C2BA0" w:rsidRDefault="006C2BA0" w:rsidP="00990D8D">
      <w:pPr>
        <w:spacing w:after="120"/>
        <w:rPr>
          <w:b/>
          <w:lang w:val="en-US"/>
        </w:rPr>
      </w:pPr>
    </w:p>
    <w:p w:rsidR="00990D8D" w:rsidRPr="00975152" w:rsidRDefault="00990D8D" w:rsidP="00990D8D">
      <w:pPr>
        <w:spacing w:after="120"/>
        <w:rPr>
          <w:lang w:val="en-US"/>
        </w:rPr>
      </w:pPr>
      <w:r>
        <w:rPr>
          <w:b/>
          <w:lang w:val="en-US"/>
        </w:rPr>
        <w:t>Table 4</w:t>
      </w:r>
      <w:r w:rsidRPr="004D26EE">
        <w:rPr>
          <w:b/>
          <w:lang w:val="en-US"/>
        </w:rPr>
        <w:t>.</w:t>
      </w:r>
      <w:r w:rsidRPr="00975152">
        <w:rPr>
          <w:lang w:val="en-US"/>
        </w:rPr>
        <w:t xml:space="preserve"> Reference data of </w:t>
      </w:r>
      <w:r>
        <w:rPr>
          <w:lang w:val="en-US"/>
        </w:rPr>
        <w:t>I</w:t>
      </w:r>
      <w:r w:rsidRPr="00975152">
        <w:rPr>
          <w:lang w:val="en-US"/>
        </w:rPr>
        <w:t xml:space="preserve"> mass fractions  in “normal” human </w:t>
      </w:r>
      <w:r>
        <w:rPr>
          <w:lang w:val="en-US"/>
        </w:rPr>
        <w:t>thyroid</w:t>
      </w:r>
      <w:r w:rsidRPr="00975152">
        <w:rPr>
          <w:lang w:val="en-US"/>
        </w:rPr>
        <w:t xml:space="preserve"> </w:t>
      </w:r>
      <w:r>
        <w:rPr>
          <w:lang w:val="en-US"/>
        </w:rPr>
        <w:t>published from 1990 year</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1489"/>
        <w:gridCol w:w="616"/>
        <w:gridCol w:w="1257"/>
        <w:gridCol w:w="1322"/>
        <w:gridCol w:w="1229"/>
        <w:gridCol w:w="1208"/>
      </w:tblGrid>
      <w:tr w:rsidR="00990D8D" w:rsidRPr="00990D8D" w:rsidTr="007C665C">
        <w:trPr>
          <w:cantSplit/>
          <w:trHeight w:val="164"/>
        </w:trPr>
        <w:tc>
          <w:tcPr>
            <w:tcW w:w="2538" w:type="dxa"/>
            <w:vMerge w:val="restart"/>
            <w:tcBorders>
              <w:left w:val="nil"/>
              <w:right w:val="nil"/>
            </w:tcBorders>
          </w:tcPr>
          <w:p w:rsidR="00990D8D" w:rsidRPr="00103727" w:rsidRDefault="00990D8D" w:rsidP="00990D8D">
            <w:r w:rsidRPr="00103727">
              <w:rPr>
                <w:sz w:val="22"/>
              </w:rPr>
              <w:t>Reference</w:t>
            </w:r>
          </w:p>
        </w:tc>
        <w:tc>
          <w:tcPr>
            <w:tcW w:w="1489" w:type="dxa"/>
            <w:vMerge w:val="restart"/>
            <w:tcBorders>
              <w:left w:val="nil"/>
              <w:right w:val="nil"/>
            </w:tcBorders>
          </w:tcPr>
          <w:p w:rsidR="00990D8D" w:rsidRPr="00103727" w:rsidRDefault="00990D8D" w:rsidP="00990D8D">
            <w:pPr>
              <w:jc w:val="center"/>
            </w:pPr>
            <w:r w:rsidRPr="00103727">
              <w:rPr>
                <w:sz w:val="22"/>
              </w:rPr>
              <w:t>Method</w:t>
            </w:r>
          </w:p>
        </w:tc>
        <w:tc>
          <w:tcPr>
            <w:tcW w:w="616" w:type="dxa"/>
            <w:vMerge w:val="restart"/>
            <w:tcBorders>
              <w:left w:val="nil"/>
              <w:right w:val="nil"/>
            </w:tcBorders>
          </w:tcPr>
          <w:p w:rsidR="00990D8D" w:rsidRPr="00103727" w:rsidRDefault="00990D8D" w:rsidP="00990D8D">
            <w:pPr>
              <w:jc w:val="center"/>
            </w:pPr>
            <w:r w:rsidRPr="00103727">
              <w:rPr>
                <w:sz w:val="22"/>
              </w:rPr>
              <w:t>n</w:t>
            </w:r>
          </w:p>
        </w:tc>
        <w:tc>
          <w:tcPr>
            <w:tcW w:w="1257" w:type="dxa"/>
            <w:vMerge w:val="restart"/>
            <w:tcBorders>
              <w:left w:val="nil"/>
              <w:right w:val="nil"/>
            </w:tcBorders>
          </w:tcPr>
          <w:p w:rsidR="00990D8D" w:rsidRPr="00103727" w:rsidRDefault="00990D8D" w:rsidP="00990D8D">
            <w:pPr>
              <w:jc w:val="center"/>
            </w:pPr>
            <w:r w:rsidRPr="00103727">
              <w:rPr>
                <w:sz w:val="22"/>
              </w:rPr>
              <w:t>Age, years</w:t>
            </w:r>
          </w:p>
          <w:p w:rsidR="00990D8D" w:rsidRPr="00103727" w:rsidRDefault="00990D8D" w:rsidP="00990D8D">
            <w:pPr>
              <w:jc w:val="center"/>
            </w:pPr>
            <w:r w:rsidRPr="00103727">
              <w:rPr>
                <w:sz w:val="22"/>
              </w:rPr>
              <w:t>M(Range)</w:t>
            </w:r>
          </w:p>
        </w:tc>
        <w:tc>
          <w:tcPr>
            <w:tcW w:w="1322" w:type="dxa"/>
            <w:vMerge w:val="restart"/>
            <w:tcBorders>
              <w:left w:val="nil"/>
              <w:right w:val="nil"/>
            </w:tcBorders>
          </w:tcPr>
          <w:p w:rsidR="00990D8D" w:rsidRPr="00103727" w:rsidRDefault="00990D8D" w:rsidP="00990D8D">
            <w:pPr>
              <w:jc w:val="center"/>
              <w:rPr>
                <w:lang w:val="de-DE"/>
              </w:rPr>
            </w:pPr>
            <w:r w:rsidRPr="00103727">
              <w:rPr>
                <w:sz w:val="22"/>
                <w:lang w:val="de-DE"/>
              </w:rPr>
              <w:t>Sample</w:t>
            </w:r>
          </w:p>
          <w:p w:rsidR="00990D8D" w:rsidRPr="00103727" w:rsidRDefault="00990D8D" w:rsidP="00990D8D">
            <w:pPr>
              <w:jc w:val="center"/>
            </w:pPr>
            <w:r w:rsidRPr="00103727">
              <w:rPr>
                <w:sz w:val="22"/>
                <w:lang w:val="de-DE"/>
              </w:rPr>
              <w:t>preparation</w:t>
            </w:r>
          </w:p>
        </w:tc>
        <w:tc>
          <w:tcPr>
            <w:tcW w:w="2437" w:type="dxa"/>
            <w:gridSpan w:val="2"/>
            <w:tcBorders>
              <w:left w:val="nil"/>
              <w:right w:val="nil"/>
            </w:tcBorders>
          </w:tcPr>
          <w:p w:rsidR="00990D8D" w:rsidRPr="004D26EE" w:rsidRDefault="00990D8D" w:rsidP="00990D8D">
            <w:pPr>
              <w:jc w:val="center"/>
              <w:rPr>
                <w:lang w:val="en-US"/>
              </w:rPr>
            </w:pPr>
            <w:r>
              <w:rPr>
                <w:lang w:val="en-US"/>
              </w:rPr>
              <w:t xml:space="preserve">I, </w:t>
            </w:r>
            <w:r w:rsidRPr="00975152">
              <w:rPr>
                <w:lang w:val="en-US"/>
              </w:rPr>
              <w:t xml:space="preserve">mg/kg </w:t>
            </w:r>
            <w:r>
              <w:rPr>
                <w:lang w:val="en-US"/>
              </w:rPr>
              <w:t>dry</w:t>
            </w:r>
            <w:r w:rsidRPr="00975152">
              <w:rPr>
                <w:lang w:val="en-US"/>
              </w:rPr>
              <w:t xml:space="preserve"> tissue</w:t>
            </w:r>
          </w:p>
        </w:tc>
      </w:tr>
      <w:tr w:rsidR="00990D8D" w:rsidRPr="00103727" w:rsidTr="007C665C">
        <w:trPr>
          <w:cantSplit/>
          <w:trHeight w:val="300"/>
        </w:trPr>
        <w:tc>
          <w:tcPr>
            <w:tcW w:w="2538" w:type="dxa"/>
            <w:vMerge/>
            <w:tcBorders>
              <w:left w:val="nil"/>
              <w:bottom w:val="single" w:sz="4" w:space="0" w:color="auto"/>
              <w:right w:val="nil"/>
            </w:tcBorders>
          </w:tcPr>
          <w:p w:rsidR="00990D8D" w:rsidRPr="004D26EE" w:rsidRDefault="00990D8D" w:rsidP="00990D8D">
            <w:pPr>
              <w:rPr>
                <w:lang w:val="en-US"/>
              </w:rPr>
            </w:pPr>
          </w:p>
        </w:tc>
        <w:tc>
          <w:tcPr>
            <w:tcW w:w="1489" w:type="dxa"/>
            <w:vMerge/>
            <w:tcBorders>
              <w:left w:val="nil"/>
              <w:bottom w:val="single" w:sz="4" w:space="0" w:color="auto"/>
              <w:right w:val="nil"/>
            </w:tcBorders>
          </w:tcPr>
          <w:p w:rsidR="00990D8D" w:rsidRPr="004D26EE" w:rsidRDefault="00990D8D" w:rsidP="00990D8D">
            <w:pPr>
              <w:jc w:val="center"/>
              <w:rPr>
                <w:lang w:val="en-US"/>
              </w:rPr>
            </w:pPr>
          </w:p>
        </w:tc>
        <w:tc>
          <w:tcPr>
            <w:tcW w:w="616" w:type="dxa"/>
            <w:vMerge/>
            <w:tcBorders>
              <w:left w:val="nil"/>
              <w:bottom w:val="single" w:sz="4" w:space="0" w:color="auto"/>
              <w:right w:val="nil"/>
            </w:tcBorders>
          </w:tcPr>
          <w:p w:rsidR="00990D8D" w:rsidRPr="004D26EE" w:rsidRDefault="00990D8D" w:rsidP="00990D8D">
            <w:pPr>
              <w:jc w:val="center"/>
              <w:rPr>
                <w:lang w:val="en-US"/>
              </w:rPr>
            </w:pPr>
          </w:p>
        </w:tc>
        <w:tc>
          <w:tcPr>
            <w:tcW w:w="1257" w:type="dxa"/>
            <w:vMerge/>
            <w:tcBorders>
              <w:left w:val="nil"/>
              <w:bottom w:val="single" w:sz="4" w:space="0" w:color="auto"/>
              <w:right w:val="nil"/>
            </w:tcBorders>
          </w:tcPr>
          <w:p w:rsidR="00990D8D" w:rsidRPr="004D26EE" w:rsidRDefault="00990D8D" w:rsidP="00990D8D">
            <w:pPr>
              <w:jc w:val="center"/>
              <w:rPr>
                <w:lang w:val="en-US"/>
              </w:rPr>
            </w:pPr>
          </w:p>
        </w:tc>
        <w:tc>
          <w:tcPr>
            <w:tcW w:w="1322" w:type="dxa"/>
            <w:vMerge/>
            <w:tcBorders>
              <w:left w:val="nil"/>
              <w:bottom w:val="single" w:sz="4" w:space="0" w:color="auto"/>
              <w:right w:val="nil"/>
            </w:tcBorders>
          </w:tcPr>
          <w:p w:rsidR="00990D8D" w:rsidRPr="004D26EE" w:rsidRDefault="00990D8D" w:rsidP="00990D8D">
            <w:pPr>
              <w:jc w:val="center"/>
              <w:rPr>
                <w:lang w:val="en-US"/>
              </w:rPr>
            </w:pPr>
          </w:p>
        </w:tc>
        <w:tc>
          <w:tcPr>
            <w:tcW w:w="1229" w:type="dxa"/>
            <w:tcBorders>
              <w:left w:val="nil"/>
              <w:bottom w:val="single" w:sz="4" w:space="0" w:color="auto"/>
              <w:right w:val="nil"/>
            </w:tcBorders>
          </w:tcPr>
          <w:p w:rsidR="00990D8D" w:rsidRPr="00103727" w:rsidRDefault="00990D8D" w:rsidP="00990D8D">
            <w:pPr>
              <w:jc w:val="center"/>
            </w:pPr>
            <w:r w:rsidRPr="00103727">
              <w:rPr>
                <w:sz w:val="22"/>
              </w:rPr>
              <w:t>M</w:t>
            </w:r>
            <w:r w:rsidRPr="00103727">
              <w:rPr>
                <w:sz w:val="22"/>
              </w:rPr>
              <w:sym w:font="Symbol" w:char="F0B1"/>
            </w:r>
            <w:r w:rsidRPr="00103727">
              <w:rPr>
                <w:sz w:val="22"/>
              </w:rPr>
              <w:t>SD</w:t>
            </w:r>
          </w:p>
        </w:tc>
        <w:tc>
          <w:tcPr>
            <w:tcW w:w="1208" w:type="dxa"/>
            <w:tcBorders>
              <w:left w:val="nil"/>
              <w:bottom w:val="single" w:sz="4" w:space="0" w:color="auto"/>
              <w:right w:val="nil"/>
            </w:tcBorders>
          </w:tcPr>
          <w:p w:rsidR="00990D8D" w:rsidRPr="00103727" w:rsidRDefault="00990D8D" w:rsidP="00990D8D">
            <w:pPr>
              <w:jc w:val="center"/>
            </w:pPr>
            <w:r w:rsidRPr="00103727">
              <w:rPr>
                <w:sz w:val="22"/>
              </w:rPr>
              <w:t>Range</w:t>
            </w:r>
          </w:p>
        </w:tc>
      </w:tr>
      <w:tr w:rsidR="00990D8D" w:rsidRPr="002A7A74" w:rsidTr="007C665C">
        <w:trPr>
          <w:trHeight w:val="96"/>
        </w:trPr>
        <w:tc>
          <w:tcPr>
            <w:tcW w:w="2538" w:type="dxa"/>
            <w:tcBorders>
              <w:top w:val="nil"/>
              <w:left w:val="nil"/>
              <w:bottom w:val="nil"/>
              <w:right w:val="nil"/>
            </w:tcBorders>
          </w:tcPr>
          <w:p w:rsidR="00990D8D" w:rsidRPr="00721728" w:rsidRDefault="00990D8D" w:rsidP="00990D8D">
            <w:pPr>
              <w:rPr>
                <w:sz w:val="20"/>
                <w:szCs w:val="20"/>
                <w:lang w:val="fr-FR"/>
              </w:rPr>
            </w:pPr>
            <w:r>
              <w:rPr>
                <w:sz w:val="20"/>
                <w:szCs w:val="20"/>
                <w:lang w:val="fr-FR"/>
              </w:rPr>
              <w:t xml:space="preserve">Handl </w:t>
            </w:r>
            <w:commentRangeStart w:id="65"/>
            <w:r>
              <w:rPr>
                <w:sz w:val="20"/>
                <w:szCs w:val="20"/>
                <w:lang w:val="fr-FR"/>
              </w:rPr>
              <w:t xml:space="preserve">et al. </w:t>
            </w:r>
            <w:commentRangeEnd w:id="65"/>
            <w:r w:rsidR="006C2BA0">
              <w:rPr>
                <w:rStyle w:val="CommentReference"/>
              </w:rPr>
              <w:commentReference w:id="65"/>
            </w:r>
            <w:r>
              <w:rPr>
                <w:sz w:val="20"/>
                <w:szCs w:val="20"/>
                <w:lang w:val="fr-FR"/>
              </w:rPr>
              <w:t xml:space="preserve">1990 </w:t>
            </w:r>
            <w:commentRangeStart w:id="66"/>
            <w:r>
              <w:rPr>
                <w:sz w:val="20"/>
                <w:szCs w:val="20"/>
                <w:lang w:val="fr-FR"/>
              </w:rPr>
              <w:t>[53]</w:t>
            </w:r>
            <w:commentRangeEnd w:id="66"/>
            <w:r w:rsidR="007163D7">
              <w:rPr>
                <w:rStyle w:val="CommentReference"/>
              </w:rPr>
              <w:commentReference w:id="66"/>
            </w:r>
          </w:p>
        </w:tc>
        <w:tc>
          <w:tcPr>
            <w:tcW w:w="1489" w:type="dxa"/>
            <w:tcBorders>
              <w:top w:val="nil"/>
              <w:left w:val="nil"/>
              <w:bottom w:val="nil"/>
              <w:right w:val="nil"/>
            </w:tcBorders>
          </w:tcPr>
          <w:p w:rsidR="00990D8D" w:rsidRPr="00721728" w:rsidRDefault="00990D8D" w:rsidP="00990D8D">
            <w:pPr>
              <w:jc w:val="center"/>
              <w:rPr>
                <w:sz w:val="20"/>
                <w:lang w:val="de-DE"/>
              </w:rPr>
            </w:pPr>
            <w:r w:rsidRPr="00721728">
              <w:rPr>
                <w:sz w:val="20"/>
                <w:lang w:val="en-US"/>
              </w:rPr>
              <w:t>Chem</w:t>
            </w:r>
          </w:p>
        </w:tc>
        <w:tc>
          <w:tcPr>
            <w:tcW w:w="616" w:type="dxa"/>
            <w:tcBorders>
              <w:top w:val="nil"/>
              <w:left w:val="nil"/>
              <w:bottom w:val="nil"/>
              <w:right w:val="nil"/>
            </w:tcBorders>
          </w:tcPr>
          <w:p w:rsidR="00990D8D" w:rsidRPr="00721728" w:rsidRDefault="00990D8D" w:rsidP="00990D8D">
            <w:pPr>
              <w:jc w:val="center"/>
              <w:rPr>
                <w:sz w:val="20"/>
                <w:lang w:val="fr-FR"/>
              </w:rPr>
            </w:pPr>
            <w:r>
              <w:rPr>
                <w:sz w:val="20"/>
                <w:lang w:val="fr-FR"/>
              </w:rPr>
              <w:t>39</w:t>
            </w:r>
          </w:p>
        </w:tc>
        <w:tc>
          <w:tcPr>
            <w:tcW w:w="1257" w:type="dxa"/>
            <w:tcBorders>
              <w:top w:val="nil"/>
              <w:left w:val="nil"/>
              <w:bottom w:val="nil"/>
              <w:right w:val="nil"/>
            </w:tcBorders>
          </w:tcPr>
          <w:p w:rsidR="00990D8D" w:rsidRPr="00721728" w:rsidRDefault="00990D8D" w:rsidP="00990D8D">
            <w:pPr>
              <w:jc w:val="center"/>
              <w:rPr>
                <w:sz w:val="20"/>
                <w:lang w:val="fr-FR"/>
              </w:rPr>
            </w:pPr>
            <w:r>
              <w:rPr>
                <w:sz w:val="20"/>
                <w:lang w:val="fr-FR"/>
              </w:rPr>
              <w:t>21-86</w:t>
            </w:r>
          </w:p>
        </w:tc>
        <w:tc>
          <w:tcPr>
            <w:tcW w:w="1322" w:type="dxa"/>
            <w:tcBorders>
              <w:top w:val="nil"/>
              <w:left w:val="nil"/>
              <w:bottom w:val="nil"/>
              <w:right w:val="nil"/>
            </w:tcBorders>
          </w:tcPr>
          <w:p w:rsidR="00990D8D" w:rsidRPr="00721728" w:rsidRDefault="00990D8D" w:rsidP="00990D8D">
            <w:pPr>
              <w:jc w:val="center"/>
              <w:rPr>
                <w:sz w:val="20"/>
                <w:lang w:val="en-US"/>
              </w:rPr>
            </w:pPr>
            <w:r>
              <w:rPr>
                <w:sz w:val="20"/>
                <w:lang w:val="en-US"/>
              </w:rPr>
              <w:t>-</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sz w:val="20"/>
                <w:szCs w:val="20"/>
                <w:lang w:val="pt-BR"/>
              </w:rPr>
              <w:t>1</w:t>
            </w:r>
            <w:r>
              <w:rPr>
                <w:sz w:val="20"/>
                <w:szCs w:val="20"/>
                <w:lang w:val="pt-BR"/>
              </w:rPr>
              <w:t>276±664</w:t>
            </w:r>
          </w:p>
        </w:tc>
        <w:tc>
          <w:tcPr>
            <w:tcW w:w="1208" w:type="dxa"/>
            <w:tcBorders>
              <w:top w:val="nil"/>
              <w:left w:val="nil"/>
              <w:bottom w:val="nil"/>
              <w:right w:val="nil"/>
            </w:tcBorders>
          </w:tcPr>
          <w:p w:rsidR="00990D8D" w:rsidRPr="008A1F30" w:rsidRDefault="00990D8D" w:rsidP="00990D8D">
            <w:pPr>
              <w:jc w:val="center"/>
              <w:rPr>
                <w:sz w:val="20"/>
                <w:lang w:val="en-US"/>
              </w:rPr>
            </w:pPr>
            <w:r w:rsidRPr="008A1F30">
              <w:rPr>
                <w:sz w:val="20"/>
                <w:lang w:val="en-US"/>
              </w:rPr>
              <w:t>-</w:t>
            </w:r>
          </w:p>
        </w:tc>
      </w:tr>
      <w:tr w:rsidR="00990D8D" w:rsidRPr="002A7A74" w:rsidTr="007C665C">
        <w:trPr>
          <w:trHeight w:val="96"/>
        </w:trPr>
        <w:tc>
          <w:tcPr>
            <w:tcW w:w="2538" w:type="dxa"/>
            <w:tcBorders>
              <w:top w:val="nil"/>
              <w:left w:val="nil"/>
              <w:bottom w:val="nil"/>
              <w:right w:val="nil"/>
            </w:tcBorders>
          </w:tcPr>
          <w:p w:rsidR="00990D8D" w:rsidRPr="00BF732A" w:rsidRDefault="007C665C" w:rsidP="00990D8D">
            <w:pPr>
              <w:rPr>
                <w:sz w:val="20"/>
                <w:szCs w:val="20"/>
                <w:shd w:val="clear" w:color="auto" w:fill="FFFFFF"/>
                <w:lang w:val="en-US"/>
              </w:rPr>
            </w:pPr>
            <w:r>
              <w:rPr>
                <w:sz w:val="20"/>
                <w:szCs w:val="20"/>
                <w:shd w:val="clear" w:color="auto" w:fill="FFFFFF"/>
                <w:lang w:val="en-US"/>
              </w:rPr>
              <w:t>Aeschimann et al.</w:t>
            </w:r>
            <w:r w:rsidR="00990D8D">
              <w:rPr>
                <w:sz w:val="20"/>
                <w:szCs w:val="20"/>
                <w:shd w:val="clear" w:color="auto" w:fill="FFFFFF"/>
                <w:lang w:val="en-US"/>
              </w:rPr>
              <w:t>1994 [54]</w:t>
            </w:r>
          </w:p>
        </w:tc>
        <w:tc>
          <w:tcPr>
            <w:tcW w:w="1489" w:type="dxa"/>
            <w:tcBorders>
              <w:top w:val="nil"/>
              <w:left w:val="nil"/>
              <w:bottom w:val="nil"/>
              <w:right w:val="nil"/>
            </w:tcBorders>
          </w:tcPr>
          <w:p w:rsidR="00990D8D" w:rsidRDefault="00990D8D" w:rsidP="00990D8D">
            <w:pPr>
              <w:jc w:val="center"/>
              <w:rPr>
                <w:sz w:val="20"/>
                <w:lang w:val="en-US"/>
              </w:rPr>
            </w:pPr>
            <w:r w:rsidRPr="00721728">
              <w:rPr>
                <w:sz w:val="20"/>
                <w:lang w:val="en-US"/>
              </w:rPr>
              <w:t>Chem</w:t>
            </w:r>
          </w:p>
        </w:tc>
        <w:tc>
          <w:tcPr>
            <w:tcW w:w="616" w:type="dxa"/>
            <w:tcBorders>
              <w:top w:val="nil"/>
              <w:left w:val="nil"/>
              <w:bottom w:val="nil"/>
              <w:right w:val="nil"/>
            </w:tcBorders>
          </w:tcPr>
          <w:p w:rsidR="00990D8D" w:rsidRDefault="00990D8D" w:rsidP="00990D8D">
            <w:pPr>
              <w:jc w:val="center"/>
              <w:rPr>
                <w:sz w:val="20"/>
                <w:lang w:val="en-US"/>
              </w:rPr>
            </w:pPr>
            <w:r>
              <w:rPr>
                <w:sz w:val="20"/>
                <w:lang w:val="en-US"/>
              </w:rPr>
              <w:t>1</w:t>
            </w:r>
          </w:p>
        </w:tc>
        <w:tc>
          <w:tcPr>
            <w:tcW w:w="1257" w:type="dxa"/>
            <w:tcBorders>
              <w:top w:val="nil"/>
              <w:left w:val="nil"/>
              <w:bottom w:val="nil"/>
              <w:right w:val="nil"/>
            </w:tcBorders>
          </w:tcPr>
          <w:p w:rsidR="00990D8D" w:rsidRDefault="00990D8D" w:rsidP="00990D8D">
            <w:pPr>
              <w:jc w:val="center"/>
              <w:rPr>
                <w:sz w:val="20"/>
                <w:lang w:val="en-US"/>
              </w:rPr>
            </w:pPr>
            <w:r>
              <w:rPr>
                <w:sz w:val="20"/>
                <w:lang w:val="en-US"/>
              </w:rPr>
              <w:t>-</w:t>
            </w:r>
          </w:p>
        </w:tc>
        <w:tc>
          <w:tcPr>
            <w:tcW w:w="1322" w:type="dxa"/>
            <w:tcBorders>
              <w:top w:val="nil"/>
              <w:left w:val="nil"/>
              <w:bottom w:val="nil"/>
              <w:right w:val="nil"/>
            </w:tcBorders>
          </w:tcPr>
          <w:p w:rsidR="00990D8D" w:rsidRDefault="00990D8D" w:rsidP="00990D8D">
            <w:pPr>
              <w:jc w:val="center"/>
              <w:rPr>
                <w:sz w:val="20"/>
                <w:lang w:val="en-US"/>
              </w:rPr>
            </w:pPr>
            <w:r>
              <w:rPr>
                <w:sz w:val="20"/>
                <w:szCs w:val="20"/>
                <w:lang w:val="en-US"/>
              </w:rPr>
              <w:t>AD</w:t>
            </w:r>
          </w:p>
        </w:tc>
        <w:tc>
          <w:tcPr>
            <w:tcW w:w="1229" w:type="dxa"/>
            <w:tcBorders>
              <w:top w:val="nil"/>
              <w:left w:val="nil"/>
              <w:bottom w:val="nil"/>
              <w:right w:val="nil"/>
            </w:tcBorders>
          </w:tcPr>
          <w:p w:rsidR="00990D8D" w:rsidRPr="008A1F30" w:rsidRDefault="00990D8D" w:rsidP="00990D8D">
            <w:pPr>
              <w:jc w:val="center"/>
              <w:rPr>
                <w:rStyle w:val="apple-converted-space"/>
                <w:sz w:val="20"/>
                <w:szCs w:val="20"/>
                <w:lang w:val="en-US"/>
              </w:rPr>
            </w:pPr>
            <w:r w:rsidRPr="008A1F30">
              <w:rPr>
                <w:rStyle w:val="apple-converted-space"/>
                <w:sz w:val="20"/>
                <w:szCs w:val="20"/>
                <w:lang w:val="en-US"/>
              </w:rPr>
              <w:t>2</w:t>
            </w:r>
            <w:r>
              <w:rPr>
                <w:rStyle w:val="apple-converted-space"/>
                <w:sz w:val="20"/>
                <w:szCs w:val="20"/>
                <w:lang w:val="en-US"/>
              </w:rPr>
              <w:t>028</w:t>
            </w:r>
          </w:p>
        </w:tc>
        <w:tc>
          <w:tcPr>
            <w:tcW w:w="1208" w:type="dxa"/>
            <w:tcBorders>
              <w:top w:val="nil"/>
              <w:left w:val="nil"/>
              <w:bottom w:val="nil"/>
              <w:right w:val="nil"/>
            </w:tcBorders>
          </w:tcPr>
          <w:p w:rsidR="00990D8D" w:rsidRPr="008A1F30" w:rsidRDefault="00990D8D" w:rsidP="00990D8D">
            <w:pPr>
              <w:jc w:val="center"/>
              <w:rPr>
                <w:sz w:val="20"/>
                <w:lang w:val="en-US"/>
              </w:rPr>
            </w:pPr>
            <w:r w:rsidRPr="008A1F30">
              <w:rPr>
                <w:sz w:val="20"/>
                <w:lang w:val="en-US"/>
              </w:rPr>
              <w:t>-</w:t>
            </w:r>
          </w:p>
        </w:tc>
      </w:tr>
      <w:tr w:rsidR="00990D8D" w:rsidRPr="002A7A74" w:rsidTr="007C665C">
        <w:trPr>
          <w:trHeight w:val="96"/>
        </w:trPr>
        <w:tc>
          <w:tcPr>
            <w:tcW w:w="2538" w:type="dxa"/>
            <w:tcBorders>
              <w:top w:val="nil"/>
              <w:left w:val="nil"/>
              <w:bottom w:val="nil"/>
              <w:right w:val="nil"/>
            </w:tcBorders>
          </w:tcPr>
          <w:p w:rsidR="00990D8D" w:rsidRPr="00BF732A" w:rsidRDefault="00990D8D" w:rsidP="00990D8D">
            <w:pPr>
              <w:rPr>
                <w:sz w:val="20"/>
                <w:szCs w:val="20"/>
                <w:lang w:val="en-US"/>
              </w:rPr>
            </w:pPr>
            <w:r w:rsidRPr="00BF732A">
              <w:rPr>
                <w:sz w:val="20"/>
                <w:szCs w:val="20"/>
                <w:shd w:val="clear" w:color="auto" w:fill="FFFFFF"/>
                <w:lang w:val="en-US"/>
              </w:rPr>
              <w:t>Boulyga et al</w:t>
            </w:r>
            <w:r>
              <w:rPr>
                <w:sz w:val="20"/>
                <w:szCs w:val="20"/>
                <w:shd w:val="clear" w:color="auto" w:fill="FFFFFF"/>
                <w:lang w:val="en-US"/>
              </w:rPr>
              <w:t>.</w:t>
            </w:r>
            <w:r w:rsidRPr="00BF732A">
              <w:rPr>
                <w:sz w:val="20"/>
                <w:szCs w:val="20"/>
                <w:shd w:val="clear" w:color="auto" w:fill="FFFFFF"/>
                <w:lang w:val="en-US"/>
              </w:rPr>
              <w:t xml:space="preserve"> 1997</w:t>
            </w:r>
            <w:r>
              <w:rPr>
                <w:sz w:val="20"/>
                <w:szCs w:val="20"/>
                <w:shd w:val="clear" w:color="auto" w:fill="FFFFFF"/>
                <w:lang w:val="en-US"/>
              </w:rPr>
              <w:t xml:space="preserve"> [55]</w:t>
            </w:r>
          </w:p>
        </w:tc>
        <w:tc>
          <w:tcPr>
            <w:tcW w:w="1489" w:type="dxa"/>
            <w:tcBorders>
              <w:top w:val="nil"/>
              <w:left w:val="nil"/>
              <w:bottom w:val="nil"/>
              <w:right w:val="nil"/>
            </w:tcBorders>
          </w:tcPr>
          <w:p w:rsidR="00990D8D" w:rsidRPr="00797BF1" w:rsidRDefault="00990D8D" w:rsidP="00990D8D">
            <w:pPr>
              <w:jc w:val="center"/>
              <w:rPr>
                <w:sz w:val="20"/>
                <w:lang w:val="en-US"/>
              </w:rPr>
            </w:pPr>
            <w:r>
              <w:rPr>
                <w:sz w:val="20"/>
                <w:lang w:val="en-US"/>
              </w:rPr>
              <w:t>NAA</w:t>
            </w:r>
          </w:p>
        </w:tc>
        <w:tc>
          <w:tcPr>
            <w:tcW w:w="616" w:type="dxa"/>
            <w:tcBorders>
              <w:top w:val="nil"/>
              <w:left w:val="nil"/>
              <w:bottom w:val="nil"/>
              <w:right w:val="nil"/>
            </w:tcBorders>
          </w:tcPr>
          <w:p w:rsidR="00990D8D" w:rsidRPr="00797BF1" w:rsidRDefault="00990D8D" w:rsidP="00990D8D">
            <w:pPr>
              <w:jc w:val="center"/>
              <w:rPr>
                <w:sz w:val="20"/>
                <w:lang w:val="en-US"/>
              </w:rPr>
            </w:pPr>
            <w:r>
              <w:rPr>
                <w:sz w:val="20"/>
                <w:lang w:val="en-US"/>
              </w:rPr>
              <w:t>29</w:t>
            </w:r>
          </w:p>
        </w:tc>
        <w:tc>
          <w:tcPr>
            <w:tcW w:w="1257" w:type="dxa"/>
            <w:tcBorders>
              <w:top w:val="nil"/>
              <w:left w:val="nil"/>
              <w:bottom w:val="nil"/>
              <w:right w:val="nil"/>
            </w:tcBorders>
          </w:tcPr>
          <w:p w:rsidR="00990D8D" w:rsidRPr="00797BF1" w:rsidRDefault="00990D8D" w:rsidP="00990D8D">
            <w:pPr>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990D8D">
            <w:pPr>
              <w:jc w:val="center"/>
              <w:rPr>
                <w:sz w:val="20"/>
                <w:lang w:val="en-US"/>
              </w:rPr>
            </w:pPr>
            <w:r>
              <w:rPr>
                <w:sz w:val="20"/>
                <w:lang w:val="en-US"/>
              </w:rPr>
              <w:t>D, A</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rStyle w:val="apple-converted-space"/>
                <w:sz w:val="20"/>
                <w:szCs w:val="20"/>
                <w:lang w:val="en-US"/>
              </w:rPr>
              <w:t>1778±381</w:t>
            </w:r>
          </w:p>
        </w:tc>
        <w:tc>
          <w:tcPr>
            <w:tcW w:w="1208" w:type="dxa"/>
            <w:tcBorders>
              <w:top w:val="nil"/>
              <w:left w:val="nil"/>
              <w:bottom w:val="nil"/>
              <w:right w:val="nil"/>
            </w:tcBorders>
          </w:tcPr>
          <w:p w:rsidR="00990D8D" w:rsidRPr="008A1F30" w:rsidRDefault="00990D8D" w:rsidP="00990D8D">
            <w:pPr>
              <w:jc w:val="center"/>
              <w:rPr>
                <w:sz w:val="20"/>
                <w:lang w:val="en-US"/>
              </w:rPr>
            </w:pPr>
            <w:r w:rsidRPr="008A1F30">
              <w:rPr>
                <w:sz w:val="20"/>
                <w:lang w:val="en-US"/>
              </w:rPr>
              <w:t>-</w:t>
            </w:r>
          </w:p>
        </w:tc>
      </w:tr>
      <w:tr w:rsidR="00990D8D" w:rsidRPr="002A7A74" w:rsidTr="007C665C">
        <w:trPr>
          <w:trHeight w:val="96"/>
        </w:trPr>
        <w:tc>
          <w:tcPr>
            <w:tcW w:w="2538" w:type="dxa"/>
            <w:tcBorders>
              <w:top w:val="nil"/>
              <w:left w:val="nil"/>
              <w:bottom w:val="nil"/>
              <w:right w:val="nil"/>
            </w:tcBorders>
          </w:tcPr>
          <w:p w:rsidR="00990D8D" w:rsidRPr="00DD6A3F" w:rsidRDefault="00990D8D" w:rsidP="00990D8D">
            <w:pPr>
              <w:rPr>
                <w:sz w:val="20"/>
                <w:szCs w:val="20"/>
                <w:lang w:val="en-US"/>
              </w:rPr>
            </w:pPr>
          </w:p>
        </w:tc>
        <w:tc>
          <w:tcPr>
            <w:tcW w:w="1489" w:type="dxa"/>
            <w:tcBorders>
              <w:top w:val="nil"/>
              <w:left w:val="nil"/>
              <w:bottom w:val="nil"/>
              <w:right w:val="nil"/>
            </w:tcBorders>
          </w:tcPr>
          <w:p w:rsidR="00990D8D" w:rsidRPr="00797BF1" w:rsidRDefault="00990D8D" w:rsidP="00990D8D">
            <w:pPr>
              <w:jc w:val="center"/>
              <w:rPr>
                <w:sz w:val="20"/>
                <w:lang w:val="en-US"/>
              </w:rPr>
            </w:pPr>
            <w:r>
              <w:rPr>
                <w:sz w:val="20"/>
                <w:lang w:val="en-US"/>
              </w:rPr>
              <w:t>NAA</w:t>
            </w:r>
          </w:p>
        </w:tc>
        <w:tc>
          <w:tcPr>
            <w:tcW w:w="616" w:type="dxa"/>
            <w:tcBorders>
              <w:top w:val="nil"/>
              <w:left w:val="nil"/>
              <w:bottom w:val="nil"/>
              <w:right w:val="nil"/>
            </w:tcBorders>
          </w:tcPr>
          <w:p w:rsidR="00990D8D" w:rsidRPr="00797BF1" w:rsidRDefault="00990D8D" w:rsidP="00990D8D">
            <w:pPr>
              <w:jc w:val="center"/>
              <w:rPr>
                <w:sz w:val="20"/>
                <w:lang w:val="en-US"/>
              </w:rPr>
            </w:pPr>
            <w:r>
              <w:rPr>
                <w:sz w:val="20"/>
                <w:lang w:val="en-US"/>
              </w:rPr>
              <w:t>10</w:t>
            </w:r>
          </w:p>
        </w:tc>
        <w:tc>
          <w:tcPr>
            <w:tcW w:w="1257" w:type="dxa"/>
            <w:tcBorders>
              <w:top w:val="nil"/>
              <w:left w:val="nil"/>
              <w:bottom w:val="nil"/>
              <w:right w:val="nil"/>
            </w:tcBorders>
          </w:tcPr>
          <w:p w:rsidR="00990D8D" w:rsidRPr="00797BF1" w:rsidRDefault="00990D8D" w:rsidP="00990D8D">
            <w:pPr>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990D8D">
            <w:pPr>
              <w:jc w:val="center"/>
              <w:rPr>
                <w:sz w:val="20"/>
                <w:lang w:val="en-US"/>
              </w:rPr>
            </w:pPr>
            <w:r>
              <w:rPr>
                <w:sz w:val="20"/>
                <w:lang w:val="en-US"/>
              </w:rPr>
              <w:t>D, A</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rStyle w:val="apple-converted-space"/>
                <w:sz w:val="20"/>
                <w:szCs w:val="20"/>
                <w:lang w:val="en-US"/>
              </w:rPr>
              <w:t>1905±635</w:t>
            </w:r>
          </w:p>
        </w:tc>
        <w:tc>
          <w:tcPr>
            <w:tcW w:w="1208" w:type="dxa"/>
            <w:tcBorders>
              <w:top w:val="nil"/>
              <w:left w:val="nil"/>
              <w:bottom w:val="nil"/>
              <w:right w:val="nil"/>
            </w:tcBorders>
          </w:tcPr>
          <w:p w:rsidR="00990D8D" w:rsidRPr="008A1F30" w:rsidRDefault="00990D8D" w:rsidP="00990D8D">
            <w:pPr>
              <w:jc w:val="center"/>
              <w:rPr>
                <w:sz w:val="20"/>
                <w:lang w:val="en-US"/>
              </w:rPr>
            </w:pPr>
            <w:r w:rsidRPr="008A1F30">
              <w:rPr>
                <w:sz w:val="20"/>
                <w:lang w:val="en-US"/>
              </w:rPr>
              <w:t>-</w:t>
            </w:r>
          </w:p>
        </w:tc>
      </w:tr>
      <w:tr w:rsidR="00990D8D" w:rsidRPr="002A7A74" w:rsidTr="007C665C">
        <w:trPr>
          <w:trHeight w:val="50"/>
        </w:trPr>
        <w:tc>
          <w:tcPr>
            <w:tcW w:w="2538" w:type="dxa"/>
            <w:tcBorders>
              <w:top w:val="nil"/>
              <w:left w:val="nil"/>
              <w:bottom w:val="nil"/>
              <w:right w:val="nil"/>
            </w:tcBorders>
          </w:tcPr>
          <w:p w:rsidR="00990D8D" w:rsidRPr="00DD6A3F" w:rsidRDefault="00990D8D" w:rsidP="00990D8D">
            <w:pPr>
              <w:rPr>
                <w:sz w:val="20"/>
                <w:szCs w:val="20"/>
                <w:lang w:val="en-US"/>
              </w:rPr>
            </w:pPr>
            <w:r w:rsidRPr="00DD6A3F">
              <w:rPr>
                <w:sz w:val="20"/>
                <w:szCs w:val="20"/>
                <w:shd w:val="clear" w:color="auto" w:fill="FFFFFF"/>
                <w:lang w:val="en-US"/>
              </w:rPr>
              <w:t>Boulyga et al</w:t>
            </w:r>
            <w:r>
              <w:rPr>
                <w:sz w:val="20"/>
                <w:szCs w:val="20"/>
                <w:shd w:val="clear" w:color="auto" w:fill="FFFFFF"/>
                <w:lang w:val="en-US"/>
              </w:rPr>
              <w:t>.</w:t>
            </w:r>
            <w:r w:rsidRPr="00DD6A3F">
              <w:rPr>
                <w:sz w:val="20"/>
                <w:szCs w:val="20"/>
                <w:shd w:val="clear" w:color="auto" w:fill="FFFFFF"/>
                <w:lang w:val="en-US"/>
              </w:rPr>
              <w:t xml:space="preserve"> 199</w:t>
            </w:r>
            <w:r>
              <w:rPr>
                <w:sz w:val="20"/>
                <w:szCs w:val="20"/>
                <w:shd w:val="clear" w:color="auto" w:fill="FFFFFF"/>
                <w:lang w:val="en-US"/>
              </w:rPr>
              <w:t>9 [56]</w:t>
            </w:r>
          </w:p>
        </w:tc>
        <w:tc>
          <w:tcPr>
            <w:tcW w:w="1489" w:type="dxa"/>
            <w:tcBorders>
              <w:top w:val="nil"/>
              <w:left w:val="nil"/>
              <w:bottom w:val="nil"/>
              <w:right w:val="nil"/>
            </w:tcBorders>
          </w:tcPr>
          <w:p w:rsidR="00990D8D" w:rsidRPr="00797BF1" w:rsidRDefault="00990D8D" w:rsidP="00990D8D">
            <w:pPr>
              <w:jc w:val="center"/>
              <w:rPr>
                <w:sz w:val="20"/>
                <w:lang w:val="en-US"/>
              </w:rPr>
            </w:pPr>
            <w:r>
              <w:rPr>
                <w:sz w:val="20"/>
                <w:lang w:val="en-US"/>
              </w:rPr>
              <w:t>NAA</w:t>
            </w:r>
          </w:p>
        </w:tc>
        <w:tc>
          <w:tcPr>
            <w:tcW w:w="616" w:type="dxa"/>
            <w:tcBorders>
              <w:top w:val="nil"/>
              <w:left w:val="nil"/>
              <w:bottom w:val="nil"/>
              <w:right w:val="nil"/>
            </w:tcBorders>
          </w:tcPr>
          <w:p w:rsidR="00990D8D" w:rsidRPr="00797BF1" w:rsidRDefault="00990D8D" w:rsidP="00990D8D">
            <w:pPr>
              <w:jc w:val="center"/>
              <w:rPr>
                <w:sz w:val="20"/>
                <w:lang w:val="en-US"/>
              </w:rPr>
            </w:pPr>
            <w:r>
              <w:rPr>
                <w:sz w:val="20"/>
                <w:lang w:val="en-US"/>
              </w:rPr>
              <w:t>12</w:t>
            </w:r>
          </w:p>
        </w:tc>
        <w:tc>
          <w:tcPr>
            <w:tcW w:w="1257" w:type="dxa"/>
            <w:tcBorders>
              <w:top w:val="nil"/>
              <w:left w:val="nil"/>
              <w:bottom w:val="nil"/>
              <w:right w:val="nil"/>
            </w:tcBorders>
          </w:tcPr>
          <w:p w:rsidR="00990D8D" w:rsidRPr="00797BF1" w:rsidRDefault="00990D8D" w:rsidP="00990D8D">
            <w:pPr>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990D8D">
            <w:pPr>
              <w:jc w:val="center"/>
              <w:rPr>
                <w:sz w:val="20"/>
                <w:lang w:val="en-US"/>
              </w:rPr>
            </w:pPr>
            <w:r>
              <w:rPr>
                <w:sz w:val="20"/>
                <w:lang w:val="en-US"/>
              </w:rPr>
              <w:t>D, A</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Pr>
                <w:sz w:val="20"/>
                <w:lang w:val="en-US"/>
              </w:rPr>
              <w:t>-</w:t>
            </w:r>
          </w:p>
        </w:tc>
        <w:tc>
          <w:tcPr>
            <w:tcW w:w="1208" w:type="dxa"/>
            <w:tcBorders>
              <w:top w:val="nil"/>
              <w:left w:val="nil"/>
              <w:bottom w:val="nil"/>
              <w:right w:val="nil"/>
            </w:tcBorders>
          </w:tcPr>
          <w:p w:rsidR="00990D8D" w:rsidRPr="008A1F30" w:rsidRDefault="00990D8D" w:rsidP="00990D8D">
            <w:pPr>
              <w:jc w:val="center"/>
              <w:rPr>
                <w:sz w:val="20"/>
                <w:lang w:val="en-US"/>
              </w:rPr>
            </w:pPr>
            <w:r w:rsidRPr="008A1F30">
              <w:rPr>
                <w:sz w:val="20"/>
                <w:lang w:val="en-US"/>
              </w:rPr>
              <w:t>800-2950</w:t>
            </w:r>
          </w:p>
        </w:tc>
      </w:tr>
      <w:tr w:rsidR="00990D8D" w:rsidRPr="002A7A74" w:rsidTr="007C665C">
        <w:trPr>
          <w:trHeight w:val="236"/>
        </w:trPr>
        <w:tc>
          <w:tcPr>
            <w:tcW w:w="2538" w:type="dxa"/>
            <w:tcBorders>
              <w:top w:val="nil"/>
              <w:left w:val="nil"/>
              <w:bottom w:val="nil"/>
              <w:right w:val="nil"/>
            </w:tcBorders>
          </w:tcPr>
          <w:p w:rsidR="00990D8D" w:rsidRPr="00E74BC4" w:rsidRDefault="00990D8D" w:rsidP="00990D8D">
            <w:pPr>
              <w:rPr>
                <w:sz w:val="20"/>
                <w:szCs w:val="20"/>
                <w:lang w:val="en-US"/>
              </w:rPr>
            </w:pPr>
            <w:r w:rsidRPr="00E74BC4">
              <w:rPr>
                <w:sz w:val="20"/>
                <w:szCs w:val="20"/>
                <w:lang w:val="en-US"/>
              </w:rPr>
              <w:t>Reddy</w:t>
            </w:r>
            <w:r w:rsidRPr="002A7A74">
              <w:rPr>
                <w:sz w:val="20"/>
                <w:szCs w:val="20"/>
                <w:lang w:val="en-US"/>
              </w:rPr>
              <w:t xml:space="preserve"> </w:t>
            </w:r>
            <w:r w:rsidRPr="00E74BC4">
              <w:rPr>
                <w:sz w:val="20"/>
                <w:szCs w:val="20"/>
                <w:lang w:val="en-US"/>
              </w:rPr>
              <w:t>et</w:t>
            </w:r>
            <w:r w:rsidRPr="002A7A74">
              <w:rPr>
                <w:sz w:val="20"/>
                <w:szCs w:val="20"/>
                <w:lang w:val="en-US"/>
              </w:rPr>
              <w:t xml:space="preserve"> </w:t>
            </w:r>
            <w:r w:rsidRPr="00E74BC4">
              <w:rPr>
                <w:sz w:val="20"/>
                <w:szCs w:val="20"/>
                <w:lang w:val="en-US"/>
              </w:rPr>
              <w:t>al</w:t>
            </w:r>
            <w:r>
              <w:rPr>
                <w:sz w:val="20"/>
                <w:szCs w:val="20"/>
                <w:lang w:val="en-US"/>
              </w:rPr>
              <w:t>.</w:t>
            </w:r>
            <w:r w:rsidRPr="002A7A74">
              <w:rPr>
                <w:sz w:val="20"/>
                <w:szCs w:val="20"/>
                <w:lang w:val="en-US"/>
              </w:rPr>
              <w:t xml:space="preserve"> 2002</w:t>
            </w:r>
            <w:r>
              <w:rPr>
                <w:sz w:val="20"/>
                <w:szCs w:val="20"/>
                <w:lang w:val="en-US"/>
              </w:rPr>
              <w:t xml:space="preserve"> [57]</w:t>
            </w:r>
          </w:p>
        </w:tc>
        <w:tc>
          <w:tcPr>
            <w:tcW w:w="1489" w:type="dxa"/>
            <w:tcBorders>
              <w:top w:val="nil"/>
              <w:left w:val="nil"/>
              <w:bottom w:val="nil"/>
              <w:right w:val="nil"/>
            </w:tcBorders>
          </w:tcPr>
          <w:p w:rsidR="00990D8D" w:rsidRPr="00797BF1" w:rsidRDefault="00990D8D" w:rsidP="00990D8D">
            <w:pPr>
              <w:jc w:val="center"/>
              <w:rPr>
                <w:sz w:val="20"/>
                <w:lang w:val="en-US"/>
              </w:rPr>
            </w:pPr>
            <w:r>
              <w:rPr>
                <w:sz w:val="20"/>
                <w:lang w:val="en-US"/>
              </w:rPr>
              <w:t>PIXE</w:t>
            </w:r>
          </w:p>
        </w:tc>
        <w:tc>
          <w:tcPr>
            <w:tcW w:w="616" w:type="dxa"/>
            <w:tcBorders>
              <w:top w:val="nil"/>
              <w:left w:val="nil"/>
              <w:bottom w:val="nil"/>
              <w:right w:val="nil"/>
            </w:tcBorders>
          </w:tcPr>
          <w:p w:rsidR="00990D8D" w:rsidRPr="00797BF1" w:rsidRDefault="00990D8D" w:rsidP="00990D8D">
            <w:pPr>
              <w:jc w:val="center"/>
              <w:rPr>
                <w:sz w:val="20"/>
                <w:lang w:val="en-US"/>
              </w:rPr>
            </w:pPr>
            <w:r>
              <w:rPr>
                <w:sz w:val="20"/>
                <w:lang w:val="en-US"/>
              </w:rPr>
              <w:t>4</w:t>
            </w:r>
          </w:p>
        </w:tc>
        <w:tc>
          <w:tcPr>
            <w:tcW w:w="1257" w:type="dxa"/>
            <w:tcBorders>
              <w:top w:val="nil"/>
              <w:left w:val="nil"/>
              <w:bottom w:val="nil"/>
              <w:right w:val="nil"/>
            </w:tcBorders>
          </w:tcPr>
          <w:p w:rsidR="00990D8D" w:rsidRPr="00797BF1" w:rsidRDefault="00990D8D" w:rsidP="00990D8D">
            <w:pPr>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990D8D">
            <w:pPr>
              <w:jc w:val="center"/>
              <w:rPr>
                <w:sz w:val="20"/>
                <w:lang w:val="en-US"/>
              </w:rPr>
            </w:pPr>
            <w:r>
              <w:rPr>
                <w:sz w:val="20"/>
                <w:lang w:val="en-US"/>
              </w:rPr>
              <w:t>D, Press</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sz w:val="20"/>
                <w:szCs w:val="20"/>
                <w:lang w:val="pt-BR"/>
              </w:rPr>
              <w:t>9</w:t>
            </w:r>
            <w:r>
              <w:rPr>
                <w:sz w:val="20"/>
                <w:szCs w:val="20"/>
                <w:lang w:val="pt-BR"/>
              </w:rPr>
              <w:t>16±88</w:t>
            </w:r>
          </w:p>
        </w:tc>
        <w:tc>
          <w:tcPr>
            <w:tcW w:w="1208" w:type="dxa"/>
            <w:tcBorders>
              <w:top w:val="nil"/>
              <w:left w:val="nil"/>
              <w:bottom w:val="nil"/>
              <w:right w:val="nil"/>
            </w:tcBorders>
          </w:tcPr>
          <w:p w:rsidR="00990D8D" w:rsidRPr="008A1F30" w:rsidRDefault="00990D8D" w:rsidP="00990D8D">
            <w:pPr>
              <w:jc w:val="center"/>
              <w:rPr>
                <w:sz w:val="20"/>
                <w:lang w:val="en-US"/>
              </w:rPr>
            </w:pPr>
            <w:r>
              <w:rPr>
                <w:sz w:val="20"/>
                <w:szCs w:val="20"/>
                <w:lang w:val="pt-BR"/>
              </w:rPr>
              <w:t>-</w:t>
            </w:r>
          </w:p>
        </w:tc>
      </w:tr>
      <w:tr w:rsidR="00990D8D" w:rsidRPr="002A7A74" w:rsidTr="007C665C">
        <w:trPr>
          <w:trHeight w:val="236"/>
        </w:trPr>
        <w:tc>
          <w:tcPr>
            <w:tcW w:w="2538" w:type="dxa"/>
            <w:tcBorders>
              <w:top w:val="nil"/>
              <w:left w:val="nil"/>
              <w:bottom w:val="nil"/>
              <w:right w:val="nil"/>
            </w:tcBorders>
          </w:tcPr>
          <w:p w:rsidR="00990D8D" w:rsidRPr="00CA4F61" w:rsidRDefault="00990D8D" w:rsidP="00990D8D">
            <w:pPr>
              <w:rPr>
                <w:sz w:val="20"/>
                <w:szCs w:val="20"/>
                <w:lang w:val="en-US"/>
              </w:rPr>
            </w:pPr>
            <w:r>
              <w:rPr>
                <w:sz w:val="20"/>
                <w:szCs w:val="20"/>
                <w:lang w:val="en-US"/>
              </w:rPr>
              <w:t>Wang et al. 2002 [58]</w:t>
            </w:r>
          </w:p>
        </w:tc>
        <w:tc>
          <w:tcPr>
            <w:tcW w:w="1489" w:type="dxa"/>
            <w:tcBorders>
              <w:top w:val="nil"/>
              <w:left w:val="nil"/>
              <w:bottom w:val="nil"/>
              <w:right w:val="nil"/>
            </w:tcBorders>
          </w:tcPr>
          <w:p w:rsidR="00990D8D" w:rsidRDefault="00990D8D" w:rsidP="00990D8D">
            <w:pPr>
              <w:jc w:val="center"/>
              <w:rPr>
                <w:sz w:val="20"/>
                <w:szCs w:val="20"/>
                <w:lang w:val="en-US"/>
              </w:rPr>
            </w:pPr>
            <w:r>
              <w:rPr>
                <w:sz w:val="20"/>
                <w:szCs w:val="20"/>
                <w:lang w:val="en-US"/>
              </w:rPr>
              <w:t>-</w:t>
            </w:r>
          </w:p>
        </w:tc>
        <w:tc>
          <w:tcPr>
            <w:tcW w:w="616" w:type="dxa"/>
            <w:tcBorders>
              <w:top w:val="nil"/>
              <w:left w:val="nil"/>
              <w:bottom w:val="nil"/>
              <w:right w:val="nil"/>
            </w:tcBorders>
          </w:tcPr>
          <w:p w:rsidR="00990D8D" w:rsidRDefault="00990D8D" w:rsidP="00990D8D">
            <w:pPr>
              <w:jc w:val="center"/>
              <w:rPr>
                <w:sz w:val="20"/>
                <w:szCs w:val="20"/>
                <w:lang w:val="en-US"/>
              </w:rPr>
            </w:pPr>
            <w:r>
              <w:rPr>
                <w:sz w:val="20"/>
                <w:lang w:val="en-US"/>
              </w:rPr>
              <w:t>21</w:t>
            </w:r>
          </w:p>
        </w:tc>
        <w:tc>
          <w:tcPr>
            <w:tcW w:w="1257" w:type="dxa"/>
            <w:tcBorders>
              <w:top w:val="nil"/>
              <w:left w:val="nil"/>
              <w:bottom w:val="nil"/>
              <w:right w:val="nil"/>
            </w:tcBorders>
          </w:tcPr>
          <w:p w:rsidR="00990D8D" w:rsidRPr="002A7A74" w:rsidRDefault="00990D8D" w:rsidP="00990D8D">
            <w:pPr>
              <w:jc w:val="center"/>
              <w:rPr>
                <w:sz w:val="20"/>
                <w:szCs w:val="20"/>
                <w:lang w:val="en-US"/>
              </w:rPr>
            </w:pPr>
            <w:r w:rsidRPr="002A7A74">
              <w:rPr>
                <w:sz w:val="20"/>
                <w:lang w:val="en-US"/>
              </w:rPr>
              <w:t>Adul</w:t>
            </w:r>
            <w:r>
              <w:rPr>
                <w:sz w:val="20"/>
                <w:lang w:val="en-US"/>
              </w:rPr>
              <w:t>t</w:t>
            </w:r>
          </w:p>
        </w:tc>
        <w:tc>
          <w:tcPr>
            <w:tcW w:w="1322" w:type="dxa"/>
            <w:tcBorders>
              <w:top w:val="nil"/>
              <w:left w:val="nil"/>
              <w:bottom w:val="nil"/>
              <w:right w:val="nil"/>
            </w:tcBorders>
          </w:tcPr>
          <w:p w:rsidR="00990D8D" w:rsidRDefault="00990D8D" w:rsidP="00990D8D">
            <w:pPr>
              <w:jc w:val="center"/>
              <w:rPr>
                <w:sz w:val="20"/>
                <w:szCs w:val="20"/>
                <w:lang w:val="en-US"/>
              </w:rPr>
            </w:pPr>
            <w:r>
              <w:rPr>
                <w:sz w:val="20"/>
                <w:szCs w:val="20"/>
                <w:lang w:val="en-US"/>
              </w:rPr>
              <w:t>-</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sz w:val="20"/>
                <w:szCs w:val="20"/>
                <w:lang w:val="pt-BR"/>
              </w:rPr>
              <w:t>2</w:t>
            </w:r>
            <w:r>
              <w:rPr>
                <w:sz w:val="20"/>
                <w:szCs w:val="20"/>
                <w:lang w:val="pt-BR"/>
              </w:rPr>
              <w:t>712±800</w:t>
            </w:r>
          </w:p>
        </w:tc>
        <w:tc>
          <w:tcPr>
            <w:tcW w:w="1208" w:type="dxa"/>
            <w:tcBorders>
              <w:top w:val="nil"/>
              <w:left w:val="nil"/>
              <w:bottom w:val="nil"/>
              <w:right w:val="nil"/>
            </w:tcBorders>
          </w:tcPr>
          <w:p w:rsidR="00990D8D" w:rsidRPr="008A1F30" w:rsidRDefault="00990D8D" w:rsidP="00990D8D">
            <w:pPr>
              <w:jc w:val="center"/>
              <w:rPr>
                <w:sz w:val="20"/>
                <w:szCs w:val="20"/>
                <w:lang w:val="en-US"/>
              </w:rPr>
            </w:pPr>
            <w:r>
              <w:rPr>
                <w:sz w:val="20"/>
                <w:szCs w:val="20"/>
                <w:lang w:val="en-US"/>
              </w:rPr>
              <w:t>-</w:t>
            </w:r>
          </w:p>
        </w:tc>
      </w:tr>
      <w:tr w:rsidR="00990D8D" w:rsidRPr="002A7A74" w:rsidTr="007C665C">
        <w:trPr>
          <w:trHeight w:val="236"/>
        </w:trPr>
        <w:tc>
          <w:tcPr>
            <w:tcW w:w="2538" w:type="dxa"/>
            <w:tcBorders>
              <w:top w:val="nil"/>
              <w:left w:val="nil"/>
              <w:bottom w:val="nil"/>
              <w:right w:val="nil"/>
            </w:tcBorders>
          </w:tcPr>
          <w:p w:rsidR="00990D8D" w:rsidRPr="00FA4F56" w:rsidRDefault="00990D8D" w:rsidP="00990D8D">
            <w:pPr>
              <w:rPr>
                <w:rFonts w:eastAsia="GulliverRM"/>
                <w:sz w:val="20"/>
                <w:szCs w:val="20"/>
                <w:lang w:val="en-US"/>
              </w:rPr>
            </w:pPr>
            <w:r w:rsidRPr="00FA4F56">
              <w:rPr>
                <w:sz w:val="20"/>
                <w:szCs w:val="20"/>
                <w:lang w:val="en-US"/>
              </w:rPr>
              <w:t>Murillo et al</w:t>
            </w:r>
            <w:r>
              <w:rPr>
                <w:sz w:val="20"/>
                <w:szCs w:val="20"/>
                <w:lang w:val="en-US"/>
              </w:rPr>
              <w:t>.</w:t>
            </w:r>
            <w:r w:rsidRPr="00FA4F56">
              <w:rPr>
                <w:sz w:val="20"/>
                <w:szCs w:val="20"/>
                <w:lang w:val="en-US"/>
              </w:rPr>
              <w:t xml:space="preserve"> 2005</w:t>
            </w:r>
            <w:r>
              <w:rPr>
                <w:sz w:val="20"/>
                <w:szCs w:val="20"/>
                <w:lang w:val="en-US"/>
              </w:rPr>
              <w:t xml:space="preserve"> [59]</w:t>
            </w:r>
          </w:p>
        </w:tc>
        <w:tc>
          <w:tcPr>
            <w:tcW w:w="1489" w:type="dxa"/>
            <w:tcBorders>
              <w:top w:val="nil"/>
              <w:left w:val="nil"/>
              <w:bottom w:val="nil"/>
              <w:right w:val="nil"/>
            </w:tcBorders>
          </w:tcPr>
          <w:p w:rsidR="00990D8D" w:rsidRPr="00FA4F56" w:rsidRDefault="00990D8D" w:rsidP="00990D8D">
            <w:pPr>
              <w:jc w:val="center"/>
              <w:rPr>
                <w:sz w:val="20"/>
                <w:szCs w:val="20"/>
                <w:lang w:val="en-US"/>
              </w:rPr>
            </w:pPr>
            <w:r>
              <w:rPr>
                <w:sz w:val="20"/>
                <w:szCs w:val="20"/>
                <w:lang w:val="en-US"/>
              </w:rPr>
              <w:t>Color</w:t>
            </w:r>
          </w:p>
        </w:tc>
        <w:tc>
          <w:tcPr>
            <w:tcW w:w="616" w:type="dxa"/>
            <w:tcBorders>
              <w:top w:val="nil"/>
              <w:left w:val="nil"/>
              <w:bottom w:val="nil"/>
              <w:right w:val="nil"/>
            </w:tcBorders>
          </w:tcPr>
          <w:p w:rsidR="00990D8D" w:rsidRPr="00276021" w:rsidRDefault="00990D8D" w:rsidP="00990D8D">
            <w:pPr>
              <w:jc w:val="center"/>
              <w:rPr>
                <w:sz w:val="20"/>
                <w:szCs w:val="20"/>
                <w:lang w:val="en-US"/>
              </w:rPr>
            </w:pPr>
            <w:r>
              <w:rPr>
                <w:sz w:val="20"/>
                <w:szCs w:val="20"/>
                <w:lang w:val="en-US"/>
              </w:rPr>
              <w:t>5</w:t>
            </w:r>
          </w:p>
        </w:tc>
        <w:tc>
          <w:tcPr>
            <w:tcW w:w="1257" w:type="dxa"/>
            <w:tcBorders>
              <w:top w:val="nil"/>
              <w:left w:val="nil"/>
              <w:bottom w:val="nil"/>
              <w:right w:val="nil"/>
            </w:tcBorders>
          </w:tcPr>
          <w:p w:rsidR="00990D8D" w:rsidRPr="00276021" w:rsidRDefault="00990D8D" w:rsidP="00990D8D">
            <w:pPr>
              <w:jc w:val="center"/>
              <w:rPr>
                <w:sz w:val="20"/>
                <w:szCs w:val="20"/>
                <w:lang w:val="en-US"/>
              </w:rPr>
            </w:pPr>
            <w:r>
              <w:rPr>
                <w:sz w:val="20"/>
                <w:szCs w:val="20"/>
                <w:lang w:val="en-US"/>
              </w:rPr>
              <w:t>30-43</w:t>
            </w:r>
          </w:p>
        </w:tc>
        <w:tc>
          <w:tcPr>
            <w:tcW w:w="1322" w:type="dxa"/>
            <w:tcBorders>
              <w:top w:val="nil"/>
              <w:left w:val="nil"/>
              <w:bottom w:val="nil"/>
              <w:right w:val="nil"/>
            </w:tcBorders>
          </w:tcPr>
          <w:p w:rsidR="00990D8D" w:rsidRPr="00276021" w:rsidRDefault="00990D8D" w:rsidP="00990D8D">
            <w:pPr>
              <w:jc w:val="center"/>
              <w:rPr>
                <w:sz w:val="20"/>
                <w:szCs w:val="20"/>
                <w:lang w:val="en-US"/>
              </w:rPr>
            </w:pPr>
            <w:r>
              <w:rPr>
                <w:sz w:val="20"/>
                <w:szCs w:val="20"/>
                <w:lang w:val="en-US"/>
              </w:rPr>
              <w:t>AD</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Pr>
                <w:sz w:val="20"/>
                <w:szCs w:val="20"/>
                <w:lang w:val="en-US"/>
              </w:rPr>
              <w:t>948-3356</w:t>
            </w:r>
          </w:p>
        </w:tc>
        <w:tc>
          <w:tcPr>
            <w:tcW w:w="1208" w:type="dxa"/>
            <w:tcBorders>
              <w:top w:val="nil"/>
              <w:left w:val="nil"/>
              <w:bottom w:val="nil"/>
              <w:right w:val="nil"/>
            </w:tcBorders>
          </w:tcPr>
          <w:p w:rsidR="00990D8D" w:rsidRPr="008A1F30" w:rsidRDefault="00990D8D" w:rsidP="00990D8D">
            <w:pPr>
              <w:jc w:val="center"/>
              <w:rPr>
                <w:sz w:val="20"/>
                <w:szCs w:val="20"/>
                <w:lang w:val="en-US"/>
              </w:rPr>
            </w:pPr>
            <w:r>
              <w:rPr>
                <w:sz w:val="20"/>
                <w:szCs w:val="20"/>
                <w:lang w:val="en-US"/>
              </w:rPr>
              <w:t>948</w:t>
            </w:r>
            <w:r w:rsidRPr="008A1F30">
              <w:rPr>
                <w:sz w:val="20"/>
                <w:szCs w:val="20"/>
                <w:lang w:val="en-US"/>
              </w:rPr>
              <w:t>-</w:t>
            </w:r>
            <w:r>
              <w:rPr>
                <w:sz w:val="20"/>
                <w:szCs w:val="20"/>
                <w:lang w:val="en-US"/>
              </w:rPr>
              <w:t>3356</w:t>
            </w:r>
          </w:p>
        </w:tc>
      </w:tr>
      <w:tr w:rsidR="00990D8D" w:rsidRPr="00103727" w:rsidTr="007C665C">
        <w:trPr>
          <w:trHeight w:val="236"/>
        </w:trPr>
        <w:tc>
          <w:tcPr>
            <w:tcW w:w="2538" w:type="dxa"/>
            <w:tcBorders>
              <w:top w:val="nil"/>
              <w:left w:val="nil"/>
              <w:bottom w:val="nil"/>
              <w:right w:val="nil"/>
            </w:tcBorders>
          </w:tcPr>
          <w:p w:rsidR="00990D8D" w:rsidRPr="004E724C" w:rsidRDefault="00990D8D" w:rsidP="00990D8D">
            <w:pPr>
              <w:rPr>
                <w:rFonts w:eastAsia="Arial Unicode MS"/>
                <w:sz w:val="20"/>
                <w:szCs w:val="20"/>
                <w:lang w:val="en-US"/>
              </w:rPr>
            </w:pPr>
            <w:r w:rsidRPr="004E724C">
              <w:rPr>
                <w:sz w:val="20"/>
                <w:szCs w:val="20"/>
                <w:lang w:val="en-US"/>
              </w:rPr>
              <w:t>Hansson et al</w:t>
            </w:r>
            <w:r>
              <w:rPr>
                <w:sz w:val="20"/>
                <w:szCs w:val="20"/>
                <w:lang w:val="en-US"/>
              </w:rPr>
              <w:t>.</w:t>
            </w:r>
            <w:r w:rsidRPr="004E724C">
              <w:rPr>
                <w:sz w:val="20"/>
                <w:szCs w:val="20"/>
                <w:lang w:val="en-US"/>
              </w:rPr>
              <w:t xml:space="preserve"> 2008</w:t>
            </w:r>
            <w:r>
              <w:rPr>
                <w:sz w:val="20"/>
                <w:szCs w:val="20"/>
                <w:lang w:val="en-US"/>
              </w:rPr>
              <w:t xml:space="preserve"> [60]</w:t>
            </w:r>
          </w:p>
        </w:tc>
        <w:tc>
          <w:tcPr>
            <w:tcW w:w="1489" w:type="dxa"/>
            <w:tcBorders>
              <w:top w:val="nil"/>
              <w:left w:val="nil"/>
              <w:bottom w:val="nil"/>
              <w:right w:val="nil"/>
            </w:tcBorders>
          </w:tcPr>
          <w:p w:rsidR="00990D8D" w:rsidRDefault="00990D8D" w:rsidP="00990D8D">
            <w:pPr>
              <w:jc w:val="center"/>
              <w:rPr>
                <w:sz w:val="20"/>
                <w:szCs w:val="20"/>
                <w:lang w:val="en-US"/>
              </w:rPr>
            </w:pPr>
            <w:r>
              <w:rPr>
                <w:sz w:val="20"/>
                <w:szCs w:val="20"/>
                <w:lang w:val="en-US"/>
              </w:rPr>
              <w:t>EDXRF</w:t>
            </w:r>
          </w:p>
        </w:tc>
        <w:tc>
          <w:tcPr>
            <w:tcW w:w="616" w:type="dxa"/>
            <w:tcBorders>
              <w:top w:val="nil"/>
              <w:left w:val="nil"/>
              <w:bottom w:val="nil"/>
              <w:right w:val="nil"/>
            </w:tcBorders>
          </w:tcPr>
          <w:p w:rsidR="00990D8D" w:rsidRDefault="00990D8D" w:rsidP="00990D8D">
            <w:pPr>
              <w:jc w:val="center"/>
              <w:rPr>
                <w:sz w:val="20"/>
                <w:szCs w:val="20"/>
                <w:lang w:val="en-US"/>
              </w:rPr>
            </w:pPr>
            <w:r>
              <w:rPr>
                <w:sz w:val="20"/>
                <w:lang w:val="en-US"/>
              </w:rPr>
              <w:t>10</w:t>
            </w:r>
          </w:p>
        </w:tc>
        <w:tc>
          <w:tcPr>
            <w:tcW w:w="1257" w:type="dxa"/>
            <w:tcBorders>
              <w:top w:val="nil"/>
              <w:left w:val="nil"/>
              <w:bottom w:val="nil"/>
              <w:right w:val="nil"/>
            </w:tcBorders>
          </w:tcPr>
          <w:p w:rsidR="00990D8D" w:rsidRDefault="00990D8D" w:rsidP="00990D8D">
            <w:pPr>
              <w:jc w:val="center"/>
              <w:rPr>
                <w:sz w:val="20"/>
                <w:szCs w:val="20"/>
                <w:lang w:val="en-US"/>
              </w:rPr>
            </w:pPr>
            <w:r>
              <w:rPr>
                <w:sz w:val="20"/>
                <w:szCs w:val="20"/>
                <w:lang w:val="en-US"/>
              </w:rPr>
              <w:t>57-80</w:t>
            </w:r>
          </w:p>
        </w:tc>
        <w:tc>
          <w:tcPr>
            <w:tcW w:w="1322" w:type="dxa"/>
            <w:tcBorders>
              <w:top w:val="nil"/>
              <w:left w:val="nil"/>
              <w:bottom w:val="nil"/>
              <w:right w:val="nil"/>
            </w:tcBorders>
          </w:tcPr>
          <w:p w:rsidR="00990D8D" w:rsidRDefault="00990D8D" w:rsidP="00990D8D">
            <w:pPr>
              <w:jc w:val="center"/>
              <w:rPr>
                <w:sz w:val="20"/>
                <w:szCs w:val="20"/>
                <w:lang w:val="en-US"/>
              </w:rPr>
            </w:pPr>
            <w:r w:rsidRPr="002A7A74">
              <w:rPr>
                <w:sz w:val="20"/>
                <w:lang w:val="en-US"/>
              </w:rPr>
              <w:t>Intact</w:t>
            </w:r>
          </w:p>
        </w:tc>
        <w:tc>
          <w:tcPr>
            <w:tcW w:w="1229" w:type="dxa"/>
            <w:tcBorders>
              <w:top w:val="nil"/>
              <w:left w:val="nil"/>
              <w:bottom w:val="nil"/>
              <w:right w:val="nil"/>
            </w:tcBorders>
          </w:tcPr>
          <w:p w:rsidR="00990D8D" w:rsidRPr="008A1F30" w:rsidRDefault="00990D8D" w:rsidP="00990D8D">
            <w:pPr>
              <w:jc w:val="center"/>
              <w:rPr>
                <w:color w:val="000000"/>
                <w:sz w:val="20"/>
                <w:szCs w:val="20"/>
                <w:lang w:val="en-US"/>
              </w:rPr>
            </w:pPr>
            <w:r w:rsidRPr="008A1F30">
              <w:rPr>
                <w:color w:val="000000"/>
                <w:sz w:val="20"/>
                <w:szCs w:val="20"/>
                <w:lang w:val="en-US"/>
              </w:rPr>
              <w:t>2</w:t>
            </w:r>
            <w:r>
              <w:rPr>
                <w:color w:val="000000"/>
                <w:sz w:val="20"/>
                <w:szCs w:val="20"/>
                <w:lang w:val="en-US"/>
              </w:rPr>
              <w:t>400</w:t>
            </w:r>
          </w:p>
        </w:tc>
        <w:tc>
          <w:tcPr>
            <w:tcW w:w="1208" w:type="dxa"/>
            <w:tcBorders>
              <w:top w:val="nil"/>
              <w:left w:val="nil"/>
              <w:bottom w:val="nil"/>
              <w:right w:val="nil"/>
            </w:tcBorders>
          </w:tcPr>
          <w:p w:rsidR="00990D8D" w:rsidRPr="008A1F30" w:rsidRDefault="00990D8D" w:rsidP="00990D8D">
            <w:pPr>
              <w:jc w:val="center"/>
              <w:rPr>
                <w:color w:val="000000"/>
                <w:sz w:val="20"/>
                <w:szCs w:val="20"/>
                <w:lang w:val="en-US"/>
              </w:rPr>
            </w:pPr>
            <w:r>
              <w:rPr>
                <w:color w:val="000000"/>
                <w:sz w:val="20"/>
                <w:szCs w:val="20"/>
                <w:lang w:val="en-US"/>
              </w:rPr>
              <w:t>1200</w:t>
            </w:r>
            <w:r w:rsidRPr="008A1F30">
              <w:rPr>
                <w:color w:val="000000"/>
                <w:sz w:val="20"/>
                <w:szCs w:val="20"/>
                <w:lang w:val="en-US"/>
              </w:rPr>
              <w:t>-</w:t>
            </w:r>
            <w:r>
              <w:rPr>
                <w:color w:val="000000"/>
                <w:sz w:val="20"/>
                <w:szCs w:val="20"/>
                <w:lang w:val="en-US"/>
              </w:rPr>
              <w:t>4800</w:t>
            </w:r>
          </w:p>
        </w:tc>
      </w:tr>
      <w:tr w:rsidR="00990D8D" w:rsidRPr="00C97825" w:rsidTr="007C665C">
        <w:trPr>
          <w:trHeight w:val="236"/>
        </w:trPr>
        <w:tc>
          <w:tcPr>
            <w:tcW w:w="2538" w:type="dxa"/>
            <w:tcBorders>
              <w:top w:val="nil"/>
              <w:left w:val="nil"/>
              <w:bottom w:val="nil"/>
              <w:right w:val="nil"/>
            </w:tcBorders>
          </w:tcPr>
          <w:p w:rsidR="00990D8D" w:rsidRPr="00524CC6" w:rsidRDefault="00990D8D" w:rsidP="00990D8D">
            <w:pPr>
              <w:rPr>
                <w:rFonts w:eastAsia="GulliverRM"/>
                <w:sz w:val="20"/>
                <w:szCs w:val="20"/>
                <w:lang w:val="en-US"/>
              </w:rPr>
            </w:pPr>
            <w:r w:rsidRPr="00524CC6">
              <w:rPr>
                <w:rFonts w:eastAsia="Arial Unicode MS"/>
                <w:sz w:val="20"/>
                <w:szCs w:val="20"/>
                <w:lang w:val="en-US"/>
              </w:rPr>
              <w:t>Zabala et al</w:t>
            </w:r>
            <w:r>
              <w:rPr>
                <w:rFonts w:eastAsia="Arial Unicode MS"/>
                <w:sz w:val="20"/>
                <w:szCs w:val="20"/>
                <w:lang w:val="en-US"/>
              </w:rPr>
              <w:t>.</w:t>
            </w:r>
            <w:r w:rsidRPr="00524CC6">
              <w:rPr>
                <w:rFonts w:eastAsia="Arial Unicode MS"/>
                <w:sz w:val="20"/>
                <w:szCs w:val="20"/>
                <w:lang w:val="en-US"/>
              </w:rPr>
              <w:t xml:space="preserve"> 2009</w:t>
            </w:r>
            <w:r>
              <w:rPr>
                <w:rFonts w:eastAsia="Arial Unicode MS"/>
                <w:sz w:val="20"/>
                <w:szCs w:val="20"/>
                <w:lang w:val="en-US"/>
              </w:rPr>
              <w:t xml:space="preserve"> [61]</w:t>
            </w:r>
          </w:p>
        </w:tc>
        <w:tc>
          <w:tcPr>
            <w:tcW w:w="1489" w:type="dxa"/>
            <w:tcBorders>
              <w:top w:val="nil"/>
              <w:left w:val="nil"/>
              <w:bottom w:val="nil"/>
              <w:right w:val="nil"/>
            </w:tcBorders>
          </w:tcPr>
          <w:p w:rsidR="00990D8D" w:rsidRPr="00276021" w:rsidRDefault="00AD3962" w:rsidP="00990D8D">
            <w:pPr>
              <w:jc w:val="center"/>
              <w:rPr>
                <w:sz w:val="20"/>
                <w:szCs w:val="20"/>
                <w:lang w:val="en-US"/>
              </w:rPr>
            </w:pPr>
            <w:r>
              <w:rPr>
                <w:sz w:val="20"/>
                <w:szCs w:val="20"/>
                <w:lang w:val="en-US"/>
              </w:rPr>
              <w:t>SFI</w:t>
            </w:r>
          </w:p>
        </w:tc>
        <w:tc>
          <w:tcPr>
            <w:tcW w:w="616" w:type="dxa"/>
            <w:tcBorders>
              <w:top w:val="nil"/>
              <w:left w:val="nil"/>
              <w:bottom w:val="nil"/>
              <w:right w:val="nil"/>
            </w:tcBorders>
          </w:tcPr>
          <w:p w:rsidR="00990D8D" w:rsidRPr="00276021" w:rsidRDefault="00990D8D" w:rsidP="00990D8D">
            <w:pPr>
              <w:jc w:val="center"/>
              <w:rPr>
                <w:sz w:val="20"/>
                <w:szCs w:val="20"/>
                <w:lang w:val="en-US"/>
              </w:rPr>
            </w:pPr>
            <w:r>
              <w:rPr>
                <w:sz w:val="20"/>
                <w:szCs w:val="20"/>
                <w:lang w:val="en-US"/>
              </w:rPr>
              <w:t>50</w:t>
            </w:r>
          </w:p>
        </w:tc>
        <w:tc>
          <w:tcPr>
            <w:tcW w:w="1257" w:type="dxa"/>
            <w:tcBorders>
              <w:top w:val="nil"/>
              <w:left w:val="nil"/>
              <w:bottom w:val="nil"/>
              <w:right w:val="nil"/>
            </w:tcBorders>
          </w:tcPr>
          <w:p w:rsidR="00990D8D" w:rsidRPr="00276021" w:rsidRDefault="00990D8D" w:rsidP="00990D8D">
            <w:pPr>
              <w:jc w:val="center"/>
              <w:rPr>
                <w:sz w:val="20"/>
                <w:szCs w:val="20"/>
                <w:lang w:val="en-US"/>
              </w:rPr>
            </w:pPr>
            <w:r>
              <w:rPr>
                <w:sz w:val="20"/>
                <w:szCs w:val="20"/>
                <w:lang w:val="en-US"/>
              </w:rPr>
              <w:t>17-60</w:t>
            </w:r>
          </w:p>
        </w:tc>
        <w:tc>
          <w:tcPr>
            <w:tcW w:w="1322" w:type="dxa"/>
            <w:tcBorders>
              <w:top w:val="nil"/>
              <w:left w:val="nil"/>
              <w:bottom w:val="nil"/>
              <w:right w:val="nil"/>
            </w:tcBorders>
          </w:tcPr>
          <w:p w:rsidR="00990D8D" w:rsidRPr="00276021" w:rsidRDefault="00990D8D" w:rsidP="00990D8D">
            <w:pPr>
              <w:jc w:val="center"/>
              <w:rPr>
                <w:sz w:val="20"/>
                <w:szCs w:val="20"/>
                <w:lang w:val="en-US"/>
              </w:rPr>
            </w:pPr>
            <w:r>
              <w:rPr>
                <w:sz w:val="20"/>
                <w:szCs w:val="20"/>
                <w:lang w:val="en-US"/>
              </w:rPr>
              <w:t>AD</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color w:val="000000"/>
                <w:sz w:val="20"/>
                <w:szCs w:val="20"/>
                <w:lang w:val="en-US"/>
              </w:rPr>
              <w:t>5</w:t>
            </w:r>
            <w:r>
              <w:rPr>
                <w:color w:val="000000"/>
                <w:sz w:val="20"/>
                <w:szCs w:val="20"/>
                <w:lang w:val="en-US"/>
              </w:rPr>
              <w:t>772±2708</w:t>
            </w:r>
          </w:p>
        </w:tc>
        <w:tc>
          <w:tcPr>
            <w:tcW w:w="1208" w:type="dxa"/>
            <w:tcBorders>
              <w:top w:val="nil"/>
              <w:left w:val="nil"/>
              <w:bottom w:val="nil"/>
              <w:right w:val="nil"/>
            </w:tcBorders>
          </w:tcPr>
          <w:p w:rsidR="00990D8D" w:rsidRPr="008A1F30" w:rsidRDefault="00990D8D" w:rsidP="00990D8D">
            <w:pPr>
              <w:jc w:val="center"/>
              <w:rPr>
                <w:sz w:val="20"/>
                <w:szCs w:val="20"/>
                <w:lang w:val="en-US"/>
              </w:rPr>
            </w:pPr>
            <w:r>
              <w:rPr>
                <w:color w:val="000000"/>
                <w:sz w:val="20"/>
                <w:szCs w:val="20"/>
                <w:lang w:val="en-US"/>
              </w:rPr>
              <w:t>1676-13720</w:t>
            </w:r>
          </w:p>
        </w:tc>
      </w:tr>
      <w:tr w:rsidR="00990D8D" w:rsidRPr="00C97825" w:rsidTr="007C665C">
        <w:trPr>
          <w:trHeight w:val="236"/>
        </w:trPr>
        <w:tc>
          <w:tcPr>
            <w:tcW w:w="2538" w:type="dxa"/>
            <w:tcBorders>
              <w:top w:val="nil"/>
              <w:left w:val="nil"/>
              <w:bottom w:val="nil"/>
              <w:right w:val="nil"/>
            </w:tcBorders>
          </w:tcPr>
          <w:p w:rsidR="00990D8D" w:rsidRPr="00274D19" w:rsidRDefault="00990D8D" w:rsidP="00990D8D">
            <w:pPr>
              <w:rPr>
                <w:sz w:val="20"/>
                <w:szCs w:val="20"/>
                <w:lang w:val="en-US"/>
              </w:rPr>
            </w:pPr>
            <w:r w:rsidRPr="00274D19">
              <w:rPr>
                <w:sz w:val="20"/>
                <w:szCs w:val="20"/>
                <w:lang w:val="en-US"/>
              </w:rPr>
              <w:t>Zhu et al</w:t>
            </w:r>
            <w:r>
              <w:rPr>
                <w:sz w:val="20"/>
                <w:szCs w:val="20"/>
                <w:lang w:val="en-US"/>
              </w:rPr>
              <w:t>.</w:t>
            </w:r>
            <w:r w:rsidRPr="00274D19">
              <w:rPr>
                <w:sz w:val="20"/>
                <w:szCs w:val="20"/>
                <w:lang w:val="en-US"/>
              </w:rPr>
              <w:t xml:space="preserve"> 2010</w:t>
            </w:r>
            <w:r>
              <w:rPr>
                <w:sz w:val="20"/>
                <w:szCs w:val="20"/>
                <w:lang w:val="en-US"/>
              </w:rPr>
              <w:t xml:space="preserve"> [62]</w:t>
            </w:r>
          </w:p>
        </w:tc>
        <w:tc>
          <w:tcPr>
            <w:tcW w:w="1489" w:type="dxa"/>
            <w:tcBorders>
              <w:top w:val="nil"/>
              <w:left w:val="nil"/>
              <w:bottom w:val="nil"/>
              <w:right w:val="nil"/>
            </w:tcBorders>
          </w:tcPr>
          <w:p w:rsidR="00990D8D" w:rsidRPr="00797BF1" w:rsidRDefault="00990D8D" w:rsidP="00990D8D">
            <w:pPr>
              <w:jc w:val="center"/>
              <w:rPr>
                <w:sz w:val="20"/>
                <w:lang w:val="en-US"/>
              </w:rPr>
            </w:pPr>
            <w:r>
              <w:rPr>
                <w:sz w:val="20"/>
                <w:szCs w:val="20"/>
                <w:lang w:val="en-US"/>
              </w:rPr>
              <w:t>ICPMS</w:t>
            </w:r>
          </w:p>
        </w:tc>
        <w:tc>
          <w:tcPr>
            <w:tcW w:w="616" w:type="dxa"/>
            <w:tcBorders>
              <w:top w:val="nil"/>
              <w:left w:val="nil"/>
              <w:bottom w:val="nil"/>
              <w:right w:val="nil"/>
            </w:tcBorders>
          </w:tcPr>
          <w:p w:rsidR="00990D8D" w:rsidRPr="00797BF1" w:rsidRDefault="00990D8D" w:rsidP="00990D8D">
            <w:pPr>
              <w:jc w:val="center"/>
              <w:rPr>
                <w:sz w:val="20"/>
                <w:lang w:val="en-US"/>
              </w:rPr>
            </w:pPr>
            <w:r>
              <w:rPr>
                <w:sz w:val="20"/>
                <w:lang w:val="en-US"/>
              </w:rPr>
              <w:t>50</w:t>
            </w:r>
          </w:p>
        </w:tc>
        <w:tc>
          <w:tcPr>
            <w:tcW w:w="1257" w:type="dxa"/>
            <w:tcBorders>
              <w:top w:val="nil"/>
              <w:left w:val="nil"/>
              <w:bottom w:val="nil"/>
              <w:right w:val="nil"/>
            </w:tcBorders>
          </w:tcPr>
          <w:p w:rsidR="00990D8D" w:rsidRPr="00797BF1" w:rsidRDefault="00990D8D" w:rsidP="00990D8D">
            <w:pPr>
              <w:jc w:val="center"/>
              <w:rPr>
                <w:sz w:val="20"/>
                <w:lang w:val="en-US"/>
              </w:rPr>
            </w:pPr>
            <w:r>
              <w:rPr>
                <w:sz w:val="20"/>
                <w:lang w:val="en-US"/>
              </w:rPr>
              <w:t>20-60</w:t>
            </w:r>
          </w:p>
        </w:tc>
        <w:tc>
          <w:tcPr>
            <w:tcW w:w="1322" w:type="dxa"/>
            <w:tcBorders>
              <w:top w:val="nil"/>
              <w:left w:val="nil"/>
              <w:bottom w:val="nil"/>
              <w:right w:val="nil"/>
            </w:tcBorders>
          </w:tcPr>
          <w:p w:rsidR="00990D8D" w:rsidRPr="00797BF1" w:rsidRDefault="00990D8D" w:rsidP="00990D8D">
            <w:pPr>
              <w:jc w:val="center"/>
              <w:rPr>
                <w:sz w:val="20"/>
                <w:lang w:val="en-US"/>
              </w:rPr>
            </w:pPr>
            <w:r>
              <w:rPr>
                <w:sz w:val="20"/>
                <w:lang w:val="en-US"/>
              </w:rPr>
              <w:t>AD</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sz w:val="20"/>
                <w:szCs w:val="20"/>
                <w:lang w:val="en-US"/>
              </w:rPr>
              <w:t>2</w:t>
            </w:r>
            <w:r>
              <w:rPr>
                <w:sz w:val="20"/>
                <w:szCs w:val="20"/>
                <w:lang w:val="en-US"/>
              </w:rPr>
              <w:t>648</w:t>
            </w:r>
          </w:p>
        </w:tc>
        <w:tc>
          <w:tcPr>
            <w:tcW w:w="1208" w:type="dxa"/>
            <w:tcBorders>
              <w:top w:val="nil"/>
              <w:left w:val="nil"/>
              <w:bottom w:val="nil"/>
              <w:right w:val="nil"/>
            </w:tcBorders>
          </w:tcPr>
          <w:p w:rsidR="00990D8D" w:rsidRPr="008A1F30" w:rsidRDefault="00990D8D" w:rsidP="00990D8D">
            <w:pPr>
              <w:jc w:val="center"/>
              <w:rPr>
                <w:sz w:val="20"/>
                <w:lang w:val="en-US"/>
              </w:rPr>
            </w:pPr>
            <w:r>
              <w:rPr>
                <w:rFonts w:eastAsia="Times-Bold"/>
                <w:sz w:val="20"/>
                <w:szCs w:val="20"/>
                <w:lang w:val="en-US"/>
              </w:rPr>
              <w:t>964</w:t>
            </w:r>
            <w:r w:rsidRPr="008A1F30">
              <w:rPr>
                <w:rFonts w:eastAsia="Times-Bold"/>
                <w:sz w:val="20"/>
                <w:szCs w:val="20"/>
                <w:lang w:val="en-US"/>
              </w:rPr>
              <w:t>-</w:t>
            </w:r>
            <w:r>
              <w:rPr>
                <w:rFonts w:eastAsia="Times-Bold"/>
                <w:sz w:val="20"/>
                <w:szCs w:val="20"/>
                <w:lang w:val="en-US"/>
              </w:rPr>
              <w:t>4760</w:t>
            </w:r>
          </w:p>
        </w:tc>
      </w:tr>
      <w:tr w:rsidR="00990D8D" w:rsidRPr="00103727" w:rsidTr="007C665C">
        <w:trPr>
          <w:trHeight w:val="236"/>
        </w:trPr>
        <w:tc>
          <w:tcPr>
            <w:tcW w:w="2538" w:type="dxa"/>
            <w:tcBorders>
              <w:top w:val="nil"/>
              <w:left w:val="nil"/>
              <w:bottom w:val="nil"/>
              <w:right w:val="nil"/>
            </w:tcBorders>
          </w:tcPr>
          <w:p w:rsidR="00990D8D" w:rsidRPr="00C97825" w:rsidRDefault="00990D8D" w:rsidP="00990D8D">
            <w:pPr>
              <w:rPr>
                <w:sz w:val="20"/>
                <w:szCs w:val="20"/>
                <w:lang w:val="en-US"/>
              </w:rPr>
            </w:pPr>
            <w:r w:rsidRPr="00276021">
              <w:rPr>
                <w:rFonts w:eastAsia="GulliverRM"/>
                <w:sz w:val="20"/>
                <w:szCs w:val="20"/>
                <w:lang w:val="en-US"/>
              </w:rPr>
              <w:t>Błazewicz et al</w:t>
            </w:r>
            <w:r>
              <w:rPr>
                <w:rFonts w:eastAsia="GulliverRM"/>
                <w:sz w:val="20"/>
                <w:szCs w:val="20"/>
                <w:lang w:val="en-US"/>
              </w:rPr>
              <w:t>.</w:t>
            </w:r>
            <w:r w:rsidRPr="00276021">
              <w:rPr>
                <w:rFonts w:eastAsia="GulliverRM"/>
                <w:sz w:val="20"/>
                <w:szCs w:val="20"/>
                <w:lang w:val="en-US"/>
              </w:rPr>
              <w:t xml:space="preserve"> 2011</w:t>
            </w:r>
            <w:r>
              <w:rPr>
                <w:rFonts w:eastAsia="GulliverRM"/>
                <w:sz w:val="20"/>
                <w:szCs w:val="20"/>
                <w:lang w:val="en-US"/>
              </w:rPr>
              <w:t xml:space="preserve"> [63]</w:t>
            </w:r>
          </w:p>
        </w:tc>
        <w:tc>
          <w:tcPr>
            <w:tcW w:w="1489" w:type="dxa"/>
            <w:tcBorders>
              <w:top w:val="nil"/>
              <w:left w:val="nil"/>
              <w:bottom w:val="nil"/>
              <w:right w:val="nil"/>
            </w:tcBorders>
          </w:tcPr>
          <w:p w:rsidR="00990D8D" w:rsidRPr="00276021" w:rsidRDefault="00990D8D" w:rsidP="00990D8D">
            <w:pPr>
              <w:jc w:val="center"/>
              <w:rPr>
                <w:sz w:val="20"/>
                <w:szCs w:val="20"/>
                <w:lang w:val="en-US"/>
              </w:rPr>
            </w:pPr>
            <w:r w:rsidRPr="00276021">
              <w:rPr>
                <w:sz w:val="20"/>
                <w:szCs w:val="20"/>
                <w:lang w:val="en-US"/>
              </w:rPr>
              <w:t>IC</w:t>
            </w:r>
          </w:p>
        </w:tc>
        <w:tc>
          <w:tcPr>
            <w:tcW w:w="616" w:type="dxa"/>
            <w:tcBorders>
              <w:top w:val="nil"/>
              <w:left w:val="nil"/>
              <w:bottom w:val="nil"/>
              <w:right w:val="nil"/>
            </w:tcBorders>
          </w:tcPr>
          <w:p w:rsidR="00990D8D" w:rsidRPr="00276021" w:rsidRDefault="00990D8D" w:rsidP="00990D8D">
            <w:pPr>
              <w:jc w:val="center"/>
              <w:rPr>
                <w:sz w:val="20"/>
                <w:szCs w:val="20"/>
                <w:lang w:val="en-US"/>
              </w:rPr>
            </w:pPr>
            <w:r>
              <w:rPr>
                <w:sz w:val="20"/>
                <w:szCs w:val="20"/>
                <w:lang w:val="en-US"/>
              </w:rPr>
              <w:t>50</w:t>
            </w:r>
          </w:p>
        </w:tc>
        <w:tc>
          <w:tcPr>
            <w:tcW w:w="1257" w:type="dxa"/>
            <w:tcBorders>
              <w:top w:val="nil"/>
              <w:left w:val="nil"/>
              <w:bottom w:val="nil"/>
              <w:right w:val="nil"/>
            </w:tcBorders>
          </w:tcPr>
          <w:p w:rsidR="00990D8D" w:rsidRPr="00276021" w:rsidRDefault="00990D8D" w:rsidP="00990D8D">
            <w:pPr>
              <w:jc w:val="center"/>
              <w:rPr>
                <w:sz w:val="20"/>
                <w:szCs w:val="20"/>
                <w:lang w:val="en-US"/>
              </w:rPr>
            </w:pPr>
            <w:r w:rsidRPr="00276021">
              <w:rPr>
                <w:sz w:val="20"/>
                <w:szCs w:val="20"/>
                <w:lang w:val="en-US"/>
              </w:rPr>
              <w:t>M=25</w:t>
            </w:r>
          </w:p>
        </w:tc>
        <w:tc>
          <w:tcPr>
            <w:tcW w:w="1322" w:type="dxa"/>
            <w:tcBorders>
              <w:top w:val="nil"/>
              <w:left w:val="nil"/>
              <w:bottom w:val="nil"/>
              <w:right w:val="nil"/>
            </w:tcBorders>
          </w:tcPr>
          <w:p w:rsidR="00990D8D" w:rsidRPr="00276021" w:rsidRDefault="00990D8D" w:rsidP="00990D8D">
            <w:pPr>
              <w:jc w:val="center"/>
              <w:rPr>
                <w:sz w:val="20"/>
                <w:szCs w:val="20"/>
                <w:lang w:val="en-US"/>
              </w:rPr>
            </w:pPr>
            <w:r w:rsidRPr="00276021">
              <w:rPr>
                <w:sz w:val="20"/>
                <w:szCs w:val="20"/>
                <w:lang w:val="en-US"/>
              </w:rPr>
              <w:t>Fix</w:t>
            </w:r>
            <w:r>
              <w:rPr>
                <w:sz w:val="20"/>
                <w:szCs w:val="20"/>
                <w:lang w:val="en-US"/>
              </w:rPr>
              <w:t>ed</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sz w:val="20"/>
                <w:szCs w:val="20"/>
                <w:lang w:val="en-US"/>
              </w:rPr>
              <w:t>601±192</w:t>
            </w:r>
          </w:p>
        </w:tc>
        <w:tc>
          <w:tcPr>
            <w:tcW w:w="1208" w:type="dxa"/>
            <w:tcBorders>
              <w:top w:val="nil"/>
              <w:left w:val="nil"/>
              <w:bottom w:val="nil"/>
              <w:right w:val="nil"/>
            </w:tcBorders>
          </w:tcPr>
          <w:p w:rsidR="00990D8D" w:rsidRPr="008A1F30" w:rsidRDefault="00990D8D" w:rsidP="00990D8D">
            <w:pPr>
              <w:jc w:val="center"/>
              <w:rPr>
                <w:sz w:val="20"/>
                <w:szCs w:val="20"/>
                <w:lang w:val="en-US"/>
              </w:rPr>
            </w:pPr>
            <w:r>
              <w:rPr>
                <w:sz w:val="20"/>
                <w:szCs w:val="20"/>
                <w:lang w:val="en-US"/>
              </w:rPr>
              <w:t>624</w:t>
            </w:r>
            <w:r w:rsidRPr="008A1F30">
              <w:rPr>
                <w:sz w:val="20"/>
                <w:szCs w:val="20"/>
                <w:lang w:val="en-US"/>
              </w:rPr>
              <w:t>-</w:t>
            </w:r>
            <w:r>
              <w:rPr>
                <w:sz w:val="20"/>
                <w:szCs w:val="20"/>
                <w:lang w:val="en-US"/>
              </w:rPr>
              <w:t>4020</w:t>
            </w:r>
          </w:p>
        </w:tc>
      </w:tr>
      <w:tr w:rsidR="00990D8D" w:rsidRPr="00103727" w:rsidTr="007C665C">
        <w:trPr>
          <w:trHeight w:val="236"/>
        </w:trPr>
        <w:tc>
          <w:tcPr>
            <w:tcW w:w="2538" w:type="dxa"/>
            <w:tcBorders>
              <w:top w:val="nil"/>
              <w:left w:val="nil"/>
              <w:bottom w:val="nil"/>
              <w:right w:val="nil"/>
            </w:tcBorders>
          </w:tcPr>
          <w:p w:rsidR="00990D8D" w:rsidRPr="00276021" w:rsidRDefault="00990D8D" w:rsidP="00990D8D">
            <w:pPr>
              <w:rPr>
                <w:sz w:val="20"/>
                <w:szCs w:val="20"/>
                <w:lang w:val="en-US"/>
              </w:rPr>
            </w:pPr>
          </w:p>
        </w:tc>
        <w:tc>
          <w:tcPr>
            <w:tcW w:w="1489" w:type="dxa"/>
            <w:tcBorders>
              <w:top w:val="nil"/>
              <w:left w:val="nil"/>
              <w:bottom w:val="nil"/>
              <w:right w:val="nil"/>
            </w:tcBorders>
          </w:tcPr>
          <w:p w:rsidR="00990D8D" w:rsidRPr="00276021" w:rsidRDefault="00990D8D" w:rsidP="00990D8D">
            <w:pPr>
              <w:jc w:val="center"/>
              <w:rPr>
                <w:sz w:val="20"/>
                <w:szCs w:val="20"/>
                <w:lang w:val="en-US"/>
              </w:rPr>
            </w:pPr>
          </w:p>
        </w:tc>
        <w:tc>
          <w:tcPr>
            <w:tcW w:w="616" w:type="dxa"/>
            <w:tcBorders>
              <w:top w:val="nil"/>
              <w:left w:val="nil"/>
              <w:bottom w:val="nil"/>
              <w:right w:val="nil"/>
            </w:tcBorders>
          </w:tcPr>
          <w:p w:rsidR="00990D8D" w:rsidRPr="00276021" w:rsidRDefault="00990D8D" w:rsidP="00990D8D">
            <w:pPr>
              <w:jc w:val="center"/>
              <w:rPr>
                <w:sz w:val="20"/>
                <w:szCs w:val="20"/>
                <w:lang w:val="en-US"/>
              </w:rPr>
            </w:pPr>
          </w:p>
        </w:tc>
        <w:tc>
          <w:tcPr>
            <w:tcW w:w="1257" w:type="dxa"/>
            <w:tcBorders>
              <w:top w:val="nil"/>
              <w:left w:val="nil"/>
              <w:bottom w:val="nil"/>
              <w:right w:val="nil"/>
            </w:tcBorders>
          </w:tcPr>
          <w:p w:rsidR="00990D8D" w:rsidRPr="00276021" w:rsidRDefault="00990D8D" w:rsidP="00990D8D">
            <w:pPr>
              <w:jc w:val="center"/>
              <w:rPr>
                <w:sz w:val="20"/>
                <w:szCs w:val="20"/>
                <w:lang w:val="en-US"/>
              </w:rPr>
            </w:pPr>
          </w:p>
        </w:tc>
        <w:tc>
          <w:tcPr>
            <w:tcW w:w="1322" w:type="dxa"/>
            <w:tcBorders>
              <w:top w:val="nil"/>
              <w:left w:val="nil"/>
              <w:bottom w:val="nil"/>
              <w:right w:val="nil"/>
            </w:tcBorders>
          </w:tcPr>
          <w:p w:rsidR="00990D8D" w:rsidRPr="00276021" w:rsidRDefault="00990D8D" w:rsidP="00990D8D">
            <w:pPr>
              <w:jc w:val="center"/>
              <w:rPr>
                <w:sz w:val="20"/>
                <w:szCs w:val="20"/>
                <w:lang w:val="en-US"/>
              </w:rPr>
            </w:pPr>
            <w:r w:rsidRPr="00276021">
              <w:rPr>
                <w:sz w:val="20"/>
                <w:szCs w:val="20"/>
                <w:lang w:val="en-US"/>
              </w:rPr>
              <w:t>Frozen</w:t>
            </w:r>
          </w:p>
        </w:tc>
        <w:tc>
          <w:tcPr>
            <w:tcW w:w="1229" w:type="dxa"/>
            <w:tcBorders>
              <w:top w:val="nil"/>
              <w:left w:val="nil"/>
              <w:bottom w:val="nil"/>
              <w:right w:val="nil"/>
            </w:tcBorders>
          </w:tcPr>
          <w:p w:rsidR="00990D8D" w:rsidRPr="008A1F30" w:rsidRDefault="00990D8D" w:rsidP="00990D8D">
            <w:pPr>
              <w:jc w:val="center"/>
              <w:rPr>
                <w:sz w:val="20"/>
                <w:szCs w:val="20"/>
                <w:lang w:val="en-US"/>
              </w:rPr>
            </w:pPr>
            <w:r w:rsidRPr="008A1F30">
              <w:rPr>
                <w:sz w:val="20"/>
                <w:szCs w:val="20"/>
                <w:lang w:val="en-US"/>
              </w:rPr>
              <w:t>623±187</w:t>
            </w:r>
          </w:p>
        </w:tc>
        <w:tc>
          <w:tcPr>
            <w:tcW w:w="1208" w:type="dxa"/>
            <w:tcBorders>
              <w:top w:val="nil"/>
              <w:left w:val="nil"/>
              <w:bottom w:val="nil"/>
              <w:right w:val="nil"/>
            </w:tcBorders>
          </w:tcPr>
          <w:p w:rsidR="00990D8D" w:rsidRPr="008A1F30" w:rsidRDefault="00990D8D" w:rsidP="00990D8D">
            <w:pPr>
              <w:jc w:val="center"/>
              <w:rPr>
                <w:sz w:val="20"/>
                <w:szCs w:val="20"/>
                <w:lang w:val="en-US"/>
              </w:rPr>
            </w:pPr>
            <w:r>
              <w:rPr>
                <w:sz w:val="20"/>
                <w:szCs w:val="20"/>
                <w:lang w:val="en-US"/>
              </w:rPr>
              <w:t>840 -4</w:t>
            </w:r>
            <w:r w:rsidRPr="008A1F30">
              <w:rPr>
                <w:sz w:val="20"/>
                <w:szCs w:val="20"/>
                <w:lang w:val="en-US"/>
              </w:rPr>
              <w:t>000</w:t>
            </w:r>
          </w:p>
        </w:tc>
      </w:tr>
      <w:tr w:rsidR="00990D8D" w:rsidRPr="00103727" w:rsidTr="007C665C">
        <w:trPr>
          <w:trHeight w:val="236"/>
        </w:trPr>
        <w:tc>
          <w:tcPr>
            <w:tcW w:w="2538" w:type="dxa"/>
            <w:tcBorders>
              <w:top w:val="nil"/>
              <w:left w:val="nil"/>
              <w:bottom w:val="nil"/>
              <w:right w:val="nil"/>
            </w:tcBorders>
          </w:tcPr>
          <w:p w:rsidR="00990D8D" w:rsidRPr="001D317F" w:rsidRDefault="00990D8D" w:rsidP="007C665C">
            <w:pPr>
              <w:rPr>
                <w:sz w:val="20"/>
                <w:lang w:val="en-US"/>
              </w:rPr>
            </w:pPr>
            <w:r w:rsidRPr="001D317F">
              <w:rPr>
                <w:sz w:val="20"/>
                <w:lang w:val="en-US"/>
              </w:rPr>
              <w:t>Zaichick et al. 201</w:t>
            </w:r>
            <w:r>
              <w:rPr>
                <w:sz w:val="20"/>
                <w:lang w:val="en-US"/>
              </w:rPr>
              <w:t>7a</w:t>
            </w:r>
            <w:r w:rsidRPr="001D317F">
              <w:rPr>
                <w:sz w:val="20"/>
                <w:lang w:val="en-US"/>
              </w:rPr>
              <w:t>[</w:t>
            </w:r>
            <w:r>
              <w:rPr>
                <w:sz w:val="20"/>
                <w:lang w:val="en-US"/>
              </w:rPr>
              <w:t>27</w:t>
            </w:r>
            <w:r w:rsidRPr="001D317F">
              <w:rPr>
                <w:sz w:val="20"/>
                <w:lang w:val="en-US"/>
              </w:rPr>
              <w:t>]</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72</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220-4205</w:t>
            </w:r>
          </w:p>
        </w:tc>
      </w:tr>
      <w:tr w:rsidR="00990D8D" w:rsidRPr="00103727" w:rsidTr="007C665C">
        <w:trPr>
          <w:trHeight w:val="236"/>
        </w:trPr>
        <w:tc>
          <w:tcPr>
            <w:tcW w:w="2538" w:type="dxa"/>
            <w:tcBorders>
              <w:top w:val="nil"/>
              <w:left w:val="nil"/>
              <w:bottom w:val="nil"/>
              <w:right w:val="nil"/>
            </w:tcBorders>
          </w:tcPr>
          <w:p w:rsidR="00990D8D" w:rsidRPr="001D317F" w:rsidRDefault="00990D8D" w:rsidP="007C665C">
            <w:pPr>
              <w:rPr>
                <w:sz w:val="20"/>
                <w:lang w:val="en-US"/>
              </w:rPr>
            </w:pPr>
            <w:r w:rsidRPr="001D317F">
              <w:rPr>
                <w:sz w:val="20"/>
                <w:lang w:val="en-US"/>
              </w:rPr>
              <w:t>Zaichick et al. 201</w:t>
            </w:r>
            <w:r>
              <w:rPr>
                <w:sz w:val="20"/>
                <w:lang w:val="en-US"/>
              </w:rPr>
              <w:t>7b</w:t>
            </w:r>
            <w:r w:rsidRPr="001D317F">
              <w:rPr>
                <w:sz w:val="20"/>
                <w:lang w:val="en-US"/>
              </w:rPr>
              <w:t>[</w:t>
            </w:r>
            <w:r>
              <w:rPr>
                <w:sz w:val="20"/>
                <w:lang w:val="en-US"/>
              </w:rPr>
              <w:t>28</w:t>
            </w:r>
            <w:r w:rsidRPr="001D317F">
              <w:rPr>
                <w:sz w:val="20"/>
                <w:lang w:val="en-US"/>
              </w:rPr>
              <w:t>]</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33</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3.5-87</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990D8D">
            <w:pPr>
              <w:rPr>
                <w:sz w:val="20"/>
              </w:rPr>
            </w:pPr>
            <w:r w:rsidRPr="002F1CC6">
              <w:rPr>
                <w:sz w:val="20"/>
              </w:rPr>
              <w:t>Zaichick et al. 201</w:t>
            </w:r>
            <w:r>
              <w:rPr>
                <w:sz w:val="20"/>
                <w:lang w:val="en-US"/>
              </w:rPr>
              <w:t xml:space="preserve">8a </w:t>
            </w:r>
            <w:r w:rsidRPr="002F1CC6">
              <w:rPr>
                <w:sz w:val="20"/>
              </w:rPr>
              <w:t>[</w:t>
            </w:r>
            <w:r>
              <w:rPr>
                <w:sz w:val="20"/>
                <w:lang w:val="en-US"/>
              </w:rPr>
              <w:t>31</w:t>
            </w:r>
            <w:r w:rsidRPr="002F1CC6">
              <w:rPr>
                <w:sz w:val="20"/>
              </w:rPr>
              <w:t>]</w:t>
            </w:r>
          </w:p>
        </w:tc>
        <w:tc>
          <w:tcPr>
            <w:tcW w:w="1489" w:type="dxa"/>
            <w:tcBorders>
              <w:top w:val="nil"/>
              <w:left w:val="nil"/>
              <w:bottom w:val="nil"/>
              <w:right w:val="nil"/>
            </w:tcBorders>
          </w:tcPr>
          <w:p w:rsidR="00990D8D" w:rsidRPr="002F1CC6" w:rsidRDefault="003E0CCA" w:rsidP="00990D8D">
            <w:pPr>
              <w:jc w:val="center"/>
              <w:rPr>
                <w:sz w:val="20"/>
              </w:rPr>
            </w:pPr>
            <w:r>
              <w:rPr>
                <w:sz w:val="20"/>
                <w:lang w:val="en-US"/>
              </w:rPr>
              <w:t>ED</w:t>
            </w:r>
            <w:r w:rsidR="00990D8D">
              <w:rPr>
                <w:sz w:val="20"/>
                <w:lang w:val="en-US"/>
              </w:rPr>
              <w:t>XRF,NAA</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72</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220-4205</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990D8D">
            <w:pPr>
              <w:rPr>
                <w:sz w:val="20"/>
              </w:rPr>
            </w:pPr>
            <w:r w:rsidRPr="002F1CC6">
              <w:rPr>
                <w:sz w:val="20"/>
              </w:rPr>
              <w:t>Zaichick et al. 201</w:t>
            </w:r>
            <w:r>
              <w:rPr>
                <w:sz w:val="20"/>
              </w:rPr>
              <w:t>8</w:t>
            </w:r>
            <w:r>
              <w:rPr>
                <w:sz w:val="20"/>
                <w:lang w:val="en-US"/>
              </w:rPr>
              <w:t>b</w:t>
            </w:r>
            <w:r w:rsidRPr="002F1CC6">
              <w:rPr>
                <w:sz w:val="20"/>
              </w:rPr>
              <w:t>[</w:t>
            </w:r>
            <w:r>
              <w:rPr>
                <w:sz w:val="20"/>
                <w:lang w:val="en-US"/>
              </w:rPr>
              <w:t>32</w:t>
            </w:r>
            <w:r w:rsidRPr="002F1CC6">
              <w:rPr>
                <w:sz w:val="20"/>
              </w:rPr>
              <w:t>]</w:t>
            </w:r>
          </w:p>
        </w:tc>
        <w:tc>
          <w:tcPr>
            <w:tcW w:w="1489" w:type="dxa"/>
            <w:tcBorders>
              <w:top w:val="nil"/>
              <w:left w:val="nil"/>
              <w:bottom w:val="nil"/>
              <w:right w:val="nil"/>
            </w:tcBorders>
          </w:tcPr>
          <w:p w:rsidR="00990D8D" w:rsidRPr="002F1CC6" w:rsidRDefault="003E0CCA" w:rsidP="00990D8D">
            <w:pPr>
              <w:jc w:val="center"/>
              <w:rPr>
                <w:sz w:val="20"/>
              </w:rPr>
            </w:pPr>
            <w:r>
              <w:rPr>
                <w:sz w:val="20"/>
                <w:lang w:val="en-US"/>
              </w:rPr>
              <w:t>ED</w:t>
            </w:r>
            <w:r w:rsidR="00990D8D">
              <w:rPr>
                <w:sz w:val="20"/>
                <w:lang w:val="en-US"/>
              </w:rPr>
              <w:t>XRF,NAA</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33</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3.5-87</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990D8D">
            <w:pPr>
              <w:rPr>
                <w:sz w:val="20"/>
              </w:rPr>
            </w:pPr>
            <w:r w:rsidRPr="002F1CC6">
              <w:rPr>
                <w:sz w:val="20"/>
              </w:rPr>
              <w:t>Zaichick et al. 201</w:t>
            </w:r>
            <w:r>
              <w:rPr>
                <w:sz w:val="20"/>
              </w:rPr>
              <w:t>8</w:t>
            </w:r>
            <w:r>
              <w:rPr>
                <w:sz w:val="20"/>
                <w:lang w:val="en-US"/>
              </w:rPr>
              <w:t>c</w:t>
            </w:r>
            <w:r w:rsidRPr="002F1CC6">
              <w:rPr>
                <w:sz w:val="20"/>
              </w:rPr>
              <w:t>[</w:t>
            </w:r>
            <w:r>
              <w:rPr>
                <w:sz w:val="20"/>
                <w:lang w:val="en-US"/>
              </w:rPr>
              <w:t>33</w:t>
            </w:r>
            <w:r w:rsidRPr="002F1CC6">
              <w:rPr>
                <w:sz w:val="20"/>
              </w:rPr>
              <w:t>]</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NAA,ICPAES</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33</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3.5-87</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990D8D">
            <w:pPr>
              <w:rPr>
                <w:sz w:val="20"/>
              </w:rPr>
            </w:pPr>
            <w:r w:rsidRPr="002F1CC6">
              <w:rPr>
                <w:sz w:val="20"/>
              </w:rPr>
              <w:t>Zaichick et al. 201</w:t>
            </w:r>
            <w:r>
              <w:rPr>
                <w:sz w:val="20"/>
                <w:lang w:val="en-US"/>
              </w:rPr>
              <w:t xml:space="preserve">8d </w:t>
            </w:r>
            <w:r w:rsidRPr="002F1CC6">
              <w:rPr>
                <w:sz w:val="20"/>
              </w:rPr>
              <w:t>[</w:t>
            </w:r>
            <w:r>
              <w:rPr>
                <w:sz w:val="20"/>
                <w:lang w:val="en-US"/>
              </w:rPr>
              <w:t>34</w:t>
            </w:r>
            <w:r w:rsidRPr="002F1CC6">
              <w:rPr>
                <w:sz w:val="20"/>
              </w:rPr>
              <w:t>]</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NAA,ICPAES</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72</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220-4205</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990D8D">
            <w:pPr>
              <w:rPr>
                <w:sz w:val="20"/>
              </w:rPr>
            </w:pPr>
            <w:r w:rsidRPr="002F1CC6">
              <w:rPr>
                <w:sz w:val="20"/>
              </w:rPr>
              <w:t>Zaichick et al. 201</w:t>
            </w:r>
            <w:r>
              <w:rPr>
                <w:sz w:val="20"/>
                <w:lang w:val="en-US"/>
              </w:rPr>
              <w:t>8e</w:t>
            </w:r>
            <w:r w:rsidRPr="002F1CC6">
              <w:rPr>
                <w:sz w:val="20"/>
              </w:rPr>
              <w:t>[</w:t>
            </w:r>
            <w:r>
              <w:rPr>
                <w:sz w:val="20"/>
                <w:lang w:val="en-US"/>
              </w:rPr>
              <w:t>37</w:t>
            </w:r>
            <w:r w:rsidRPr="002F1CC6">
              <w:rPr>
                <w:sz w:val="20"/>
              </w:rPr>
              <w:t>]</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7C665C">
            <w:pPr>
              <w:rPr>
                <w:sz w:val="20"/>
                <w:lang w:val="en-US"/>
              </w:rPr>
            </w:pPr>
            <w:r w:rsidRPr="009A6D17">
              <w:rPr>
                <w:sz w:val="20"/>
                <w:lang w:val="en-US"/>
              </w:rPr>
              <w:t>Zaichick et al. 201</w:t>
            </w:r>
            <w:r>
              <w:rPr>
                <w:sz w:val="20"/>
                <w:lang w:val="en-US"/>
              </w:rPr>
              <w:t>8f</w:t>
            </w:r>
            <w:r w:rsidRPr="009A6D17">
              <w:rPr>
                <w:sz w:val="20"/>
                <w:lang w:val="en-US"/>
              </w:rPr>
              <w:t>[</w:t>
            </w:r>
            <w:r>
              <w:rPr>
                <w:sz w:val="20"/>
                <w:lang w:val="en-US"/>
              </w:rPr>
              <w:t>64</w:t>
            </w:r>
            <w:r w:rsidRPr="009A6D17">
              <w:rPr>
                <w:sz w:val="20"/>
                <w:lang w:val="en-US"/>
              </w:rPr>
              <w:t>]</w:t>
            </w:r>
            <w:r>
              <w:rPr>
                <w:sz w:val="20"/>
                <w:lang w:val="en-US"/>
              </w:rPr>
              <w:t xml:space="preserve"> </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2F1CC6" w:rsidRDefault="00990D8D" w:rsidP="00990D8D">
            <w:pPr>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A87558" w:rsidRDefault="00990D8D" w:rsidP="007C665C">
            <w:pPr>
              <w:rPr>
                <w:sz w:val="20"/>
                <w:lang w:val="en-US"/>
              </w:rPr>
            </w:pPr>
            <w:r w:rsidRPr="00A87558">
              <w:rPr>
                <w:sz w:val="20"/>
                <w:lang w:val="en-US"/>
              </w:rPr>
              <w:t>Zaichick et al. 201</w:t>
            </w:r>
            <w:r>
              <w:rPr>
                <w:sz w:val="20"/>
                <w:lang w:val="en-US"/>
              </w:rPr>
              <w:t>8g</w:t>
            </w:r>
            <w:r w:rsidRPr="00A87558">
              <w:rPr>
                <w:sz w:val="20"/>
                <w:lang w:val="en-US"/>
              </w:rPr>
              <w:t>[</w:t>
            </w:r>
            <w:r>
              <w:rPr>
                <w:sz w:val="20"/>
                <w:lang w:val="en-US"/>
              </w:rPr>
              <w:t>65</w:t>
            </w:r>
            <w:r w:rsidRPr="00A87558">
              <w:rPr>
                <w:sz w:val="20"/>
                <w:lang w:val="en-US"/>
              </w:rPr>
              <w:t>]</w:t>
            </w:r>
            <w:r>
              <w:rPr>
                <w:sz w:val="20"/>
                <w:lang w:val="en-US"/>
              </w:rPr>
              <w:t xml:space="preserve"> </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A56CA1" w:rsidRDefault="00990D8D" w:rsidP="00990D8D">
            <w:pPr>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A87558" w:rsidRDefault="00990D8D" w:rsidP="007C665C">
            <w:pPr>
              <w:rPr>
                <w:sz w:val="20"/>
                <w:lang w:val="en-US"/>
              </w:rPr>
            </w:pPr>
            <w:r w:rsidRPr="00A87558">
              <w:rPr>
                <w:sz w:val="20"/>
                <w:lang w:val="en-US"/>
              </w:rPr>
              <w:t>Zaichick et al. 201</w:t>
            </w:r>
            <w:r>
              <w:rPr>
                <w:sz w:val="20"/>
                <w:lang w:val="en-US"/>
              </w:rPr>
              <w:t>8h</w:t>
            </w:r>
            <w:r w:rsidRPr="00A87558">
              <w:rPr>
                <w:sz w:val="20"/>
                <w:lang w:val="en-US"/>
              </w:rPr>
              <w:t>[</w:t>
            </w:r>
            <w:r>
              <w:rPr>
                <w:sz w:val="20"/>
                <w:lang w:val="en-US"/>
              </w:rPr>
              <w:t>66</w:t>
            </w:r>
            <w:r w:rsidRPr="00A87558">
              <w:rPr>
                <w:sz w:val="20"/>
                <w:lang w:val="en-US"/>
              </w:rPr>
              <w:t>]</w:t>
            </w:r>
            <w:r>
              <w:rPr>
                <w:sz w:val="20"/>
                <w:lang w:val="en-US"/>
              </w:rPr>
              <w:t xml:space="preserve"> </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2F1CC6" w:rsidRDefault="00990D8D" w:rsidP="00990D8D">
            <w:pPr>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7C665C">
            <w:pPr>
              <w:rPr>
                <w:sz w:val="20"/>
                <w:lang w:val="en-US"/>
              </w:rPr>
            </w:pPr>
            <w:r w:rsidRPr="009A6D17">
              <w:rPr>
                <w:sz w:val="20"/>
                <w:lang w:val="en-US"/>
              </w:rPr>
              <w:t>Zaichick 20</w:t>
            </w:r>
            <w:r>
              <w:rPr>
                <w:sz w:val="20"/>
              </w:rPr>
              <w:t>21</w:t>
            </w:r>
            <w:r>
              <w:rPr>
                <w:sz w:val="20"/>
                <w:lang w:val="en-US"/>
              </w:rPr>
              <w:t>a</w:t>
            </w:r>
            <w:r w:rsidRPr="009A6D17">
              <w:rPr>
                <w:sz w:val="20"/>
                <w:lang w:val="en-US"/>
              </w:rPr>
              <w:t>[</w:t>
            </w:r>
            <w:r>
              <w:rPr>
                <w:sz w:val="20"/>
                <w:lang w:val="en-US"/>
              </w:rPr>
              <w:t>67</w:t>
            </w:r>
            <w:r w:rsidRPr="009A6D17">
              <w:rPr>
                <w:sz w:val="20"/>
                <w:lang w:val="en-US"/>
              </w:rPr>
              <w:t>]</w:t>
            </w:r>
            <w:r>
              <w:rPr>
                <w:sz w:val="20"/>
                <w:lang w:val="en-US"/>
              </w:rPr>
              <w:t xml:space="preserve"> </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990D8D">
            <w:pPr>
              <w:jc w:val="center"/>
              <w:rPr>
                <w:sz w:val="20"/>
              </w:rPr>
            </w:pPr>
            <w:r>
              <w:rPr>
                <w:sz w:val="20"/>
                <w:szCs w:val="20"/>
              </w:rPr>
              <w:t>2-87</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34646D" w:rsidRDefault="00990D8D" w:rsidP="007C665C">
            <w:pPr>
              <w:rPr>
                <w:sz w:val="20"/>
                <w:lang w:val="en-US"/>
              </w:rPr>
            </w:pPr>
            <w:r w:rsidRPr="009A6D17">
              <w:rPr>
                <w:sz w:val="20"/>
                <w:lang w:val="en-US"/>
              </w:rPr>
              <w:t>Zaichick 20</w:t>
            </w:r>
            <w:r>
              <w:rPr>
                <w:sz w:val="20"/>
              </w:rPr>
              <w:t>21</w:t>
            </w:r>
            <w:r>
              <w:rPr>
                <w:sz w:val="20"/>
                <w:lang w:val="en-US"/>
              </w:rPr>
              <w:t>b</w:t>
            </w:r>
            <w:r w:rsidRPr="009A6D17">
              <w:rPr>
                <w:sz w:val="20"/>
                <w:lang w:val="en-US"/>
              </w:rPr>
              <w:t>[</w:t>
            </w:r>
            <w:r>
              <w:rPr>
                <w:sz w:val="20"/>
                <w:lang w:val="en-US"/>
              </w:rPr>
              <w:t>68</w:t>
            </w:r>
            <w:r w:rsidRPr="009A6D17">
              <w:rPr>
                <w:sz w:val="20"/>
                <w:lang w:val="en-US"/>
              </w:rPr>
              <w:t>]</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990D8D">
            <w:pPr>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7C665C">
            <w:pPr>
              <w:rPr>
                <w:sz w:val="20"/>
                <w:lang w:val="en-US"/>
              </w:rPr>
            </w:pPr>
            <w:r w:rsidRPr="009A6D17">
              <w:rPr>
                <w:sz w:val="20"/>
                <w:lang w:val="en-US"/>
              </w:rPr>
              <w:t>Zaichick 20</w:t>
            </w:r>
            <w:r>
              <w:rPr>
                <w:sz w:val="20"/>
              </w:rPr>
              <w:t>21</w:t>
            </w:r>
            <w:r>
              <w:rPr>
                <w:sz w:val="20"/>
                <w:lang w:val="en-US"/>
              </w:rPr>
              <w:t>c</w:t>
            </w:r>
            <w:r w:rsidRPr="009A6D17">
              <w:rPr>
                <w:sz w:val="20"/>
                <w:lang w:val="en-US"/>
              </w:rPr>
              <w:t>[</w:t>
            </w:r>
            <w:r>
              <w:rPr>
                <w:sz w:val="20"/>
                <w:lang w:val="en-US"/>
              </w:rPr>
              <w:t>69</w:t>
            </w:r>
            <w:r w:rsidRPr="009A6D17">
              <w:rPr>
                <w:sz w:val="20"/>
                <w:lang w:val="en-US"/>
              </w:rPr>
              <w:t>]</w:t>
            </w:r>
            <w:r>
              <w:rPr>
                <w:sz w:val="20"/>
                <w:lang w:val="en-US"/>
              </w:rPr>
              <w:t xml:space="preserve"> </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990D8D">
            <w:pPr>
              <w:jc w:val="center"/>
              <w:rPr>
                <w:sz w:val="20"/>
              </w:rPr>
            </w:pPr>
            <w:r>
              <w:rPr>
                <w:sz w:val="20"/>
                <w:szCs w:val="20"/>
              </w:rPr>
              <w:t>2-87</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C10D37" w:rsidRDefault="00990D8D" w:rsidP="007C665C">
            <w:pPr>
              <w:rPr>
                <w:sz w:val="20"/>
              </w:rPr>
            </w:pPr>
            <w:r w:rsidRPr="009A6D17">
              <w:rPr>
                <w:sz w:val="20"/>
                <w:lang w:val="en-US"/>
              </w:rPr>
              <w:t>Zaichick 20</w:t>
            </w:r>
            <w:r>
              <w:rPr>
                <w:sz w:val="20"/>
              </w:rPr>
              <w:t>21</w:t>
            </w:r>
            <w:r>
              <w:rPr>
                <w:sz w:val="20"/>
                <w:lang w:val="en-US"/>
              </w:rPr>
              <w:t>b</w:t>
            </w:r>
            <w:r w:rsidRPr="009A6D17">
              <w:rPr>
                <w:sz w:val="20"/>
                <w:lang w:val="en-US"/>
              </w:rPr>
              <w:t>[</w:t>
            </w:r>
            <w:r>
              <w:rPr>
                <w:sz w:val="20"/>
                <w:lang w:val="en-US"/>
              </w:rPr>
              <w:t>70</w:t>
            </w:r>
            <w:r w:rsidRPr="009A6D17">
              <w:rPr>
                <w:sz w:val="20"/>
                <w:lang w:val="en-US"/>
              </w:rPr>
              <w:t>]</w:t>
            </w:r>
            <w:r>
              <w:rPr>
                <w:sz w:val="20"/>
              </w:rPr>
              <w:t xml:space="preserve"> </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990D8D">
            <w:pPr>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7C665C">
            <w:pPr>
              <w:rPr>
                <w:sz w:val="20"/>
                <w:lang w:val="en-US"/>
              </w:rPr>
            </w:pPr>
            <w:r w:rsidRPr="009A6D17">
              <w:rPr>
                <w:sz w:val="20"/>
                <w:lang w:val="en-US"/>
              </w:rPr>
              <w:t>Zaichick 20</w:t>
            </w:r>
            <w:r>
              <w:rPr>
                <w:sz w:val="20"/>
              </w:rPr>
              <w:t>21</w:t>
            </w:r>
            <w:r>
              <w:rPr>
                <w:sz w:val="20"/>
                <w:lang w:val="en-US"/>
              </w:rPr>
              <w:t>a</w:t>
            </w:r>
            <w:r w:rsidRPr="009A6D17">
              <w:rPr>
                <w:sz w:val="20"/>
                <w:lang w:val="en-US"/>
              </w:rPr>
              <w:t>[</w:t>
            </w:r>
            <w:r>
              <w:rPr>
                <w:sz w:val="20"/>
                <w:lang w:val="en-US"/>
              </w:rPr>
              <w:t>71</w:t>
            </w:r>
            <w:r w:rsidRPr="009A6D17">
              <w:rPr>
                <w:sz w:val="20"/>
                <w:lang w:val="en-US"/>
              </w:rPr>
              <w:t>]</w:t>
            </w:r>
            <w:r>
              <w:rPr>
                <w:sz w:val="20"/>
                <w:lang w:val="en-US"/>
              </w:rPr>
              <w:t xml:space="preserve"> </w:t>
            </w:r>
          </w:p>
        </w:tc>
        <w:tc>
          <w:tcPr>
            <w:tcW w:w="1489" w:type="dxa"/>
            <w:tcBorders>
              <w:top w:val="nil"/>
              <w:left w:val="nil"/>
              <w:bottom w:val="nil"/>
              <w:right w:val="nil"/>
            </w:tcBorders>
          </w:tcPr>
          <w:p w:rsidR="00990D8D" w:rsidRPr="002F1CC6" w:rsidRDefault="00990D8D" w:rsidP="00990D8D">
            <w:pPr>
              <w:jc w:val="center"/>
              <w:rPr>
                <w:sz w:val="20"/>
              </w:rPr>
            </w:pPr>
            <w:r>
              <w:rPr>
                <w:sz w:val="20"/>
                <w:lang w:val="en-US"/>
              </w:rPr>
              <w:t>NAA,ICPAES</w:t>
            </w:r>
          </w:p>
        </w:tc>
        <w:tc>
          <w:tcPr>
            <w:tcW w:w="616" w:type="dxa"/>
            <w:tcBorders>
              <w:top w:val="nil"/>
              <w:left w:val="nil"/>
              <w:bottom w:val="nil"/>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990D8D">
            <w:pPr>
              <w:jc w:val="center"/>
              <w:rPr>
                <w:sz w:val="20"/>
              </w:rPr>
            </w:pPr>
            <w:r>
              <w:rPr>
                <w:sz w:val="20"/>
                <w:szCs w:val="20"/>
              </w:rPr>
              <w:t>2-87</w:t>
            </w:r>
          </w:p>
        </w:tc>
        <w:tc>
          <w:tcPr>
            <w:tcW w:w="1322" w:type="dxa"/>
            <w:tcBorders>
              <w:top w:val="nil"/>
              <w:left w:val="nil"/>
              <w:bottom w:val="nil"/>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single" w:sz="4" w:space="0" w:color="auto"/>
              <w:right w:val="nil"/>
            </w:tcBorders>
          </w:tcPr>
          <w:p w:rsidR="00990D8D" w:rsidRPr="0034646D" w:rsidRDefault="00990D8D" w:rsidP="007C665C">
            <w:pPr>
              <w:rPr>
                <w:sz w:val="20"/>
                <w:lang w:val="en-US"/>
              </w:rPr>
            </w:pPr>
            <w:commentRangeStart w:id="67"/>
            <w:r w:rsidRPr="009A6D17">
              <w:rPr>
                <w:sz w:val="20"/>
                <w:lang w:val="en-US"/>
              </w:rPr>
              <w:t>Zaichick 20</w:t>
            </w:r>
            <w:r>
              <w:rPr>
                <w:sz w:val="20"/>
              </w:rPr>
              <w:t>21</w:t>
            </w:r>
            <w:r>
              <w:rPr>
                <w:sz w:val="20"/>
                <w:lang w:val="en-US"/>
              </w:rPr>
              <w:t>b</w:t>
            </w:r>
            <w:r w:rsidRPr="009A6D17">
              <w:rPr>
                <w:sz w:val="20"/>
                <w:lang w:val="en-US"/>
              </w:rPr>
              <w:t>[</w:t>
            </w:r>
            <w:r>
              <w:rPr>
                <w:sz w:val="20"/>
                <w:lang w:val="en-US"/>
              </w:rPr>
              <w:t>72</w:t>
            </w:r>
            <w:r w:rsidRPr="009A6D17">
              <w:rPr>
                <w:sz w:val="20"/>
                <w:lang w:val="en-US"/>
              </w:rPr>
              <w:t>]</w:t>
            </w:r>
            <w:commentRangeEnd w:id="67"/>
            <w:r w:rsidR="007163D7">
              <w:rPr>
                <w:rStyle w:val="CommentReference"/>
              </w:rPr>
              <w:commentReference w:id="67"/>
            </w:r>
          </w:p>
        </w:tc>
        <w:tc>
          <w:tcPr>
            <w:tcW w:w="1489" w:type="dxa"/>
            <w:tcBorders>
              <w:top w:val="nil"/>
              <w:left w:val="nil"/>
              <w:bottom w:val="single" w:sz="4" w:space="0" w:color="auto"/>
              <w:right w:val="nil"/>
            </w:tcBorders>
          </w:tcPr>
          <w:p w:rsidR="00990D8D" w:rsidRPr="002F1CC6" w:rsidRDefault="00990D8D" w:rsidP="00990D8D">
            <w:pPr>
              <w:jc w:val="center"/>
              <w:rPr>
                <w:sz w:val="20"/>
              </w:rPr>
            </w:pPr>
            <w:r>
              <w:rPr>
                <w:sz w:val="20"/>
                <w:lang w:val="en-US"/>
              </w:rPr>
              <w:t>NAA,ICPAES</w:t>
            </w:r>
          </w:p>
        </w:tc>
        <w:tc>
          <w:tcPr>
            <w:tcW w:w="616" w:type="dxa"/>
            <w:tcBorders>
              <w:top w:val="nil"/>
              <w:left w:val="nil"/>
              <w:bottom w:val="single" w:sz="4" w:space="0" w:color="auto"/>
              <w:right w:val="nil"/>
            </w:tcBorders>
          </w:tcPr>
          <w:p w:rsidR="00990D8D" w:rsidRPr="009A6D17" w:rsidRDefault="00990D8D" w:rsidP="00990D8D">
            <w:pPr>
              <w:jc w:val="center"/>
              <w:rPr>
                <w:sz w:val="20"/>
                <w:lang w:val="en-US"/>
              </w:rPr>
            </w:pPr>
            <w:r>
              <w:rPr>
                <w:sz w:val="20"/>
                <w:lang w:val="en-US"/>
              </w:rPr>
              <w:t>105</w:t>
            </w:r>
          </w:p>
        </w:tc>
        <w:tc>
          <w:tcPr>
            <w:tcW w:w="1257" w:type="dxa"/>
            <w:tcBorders>
              <w:top w:val="nil"/>
              <w:left w:val="nil"/>
              <w:bottom w:val="single" w:sz="4" w:space="0" w:color="auto"/>
              <w:right w:val="nil"/>
            </w:tcBorders>
          </w:tcPr>
          <w:p w:rsidR="00990D8D" w:rsidRPr="008C101B" w:rsidRDefault="00990D8D" w:rsidP="00990D8D">
            <w:pPr>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single" w:sz="4" w:space="0" w:color="auto"/>
              <w:right w:val="nil"/>
            </w:tcBorders>
          </w:tcPr>
          <w:p w:rsidR="00990D8D" w:rsidRPr="002F1CC6" w:rsidRDefault="00990D8D" w:rsidP="00990D8D">
            <w:pPr>
              <w:jc w:val="center"/>
              <w:rPr>
                <w:sz w:val="20"/>
              </w:rPr>
            </w:pPr>
            <w:r w:rsidRPr="002A7A74">
              <w:rPr>
                <w:sz w:val="20"/>
                <w:lang w:val="en-US"/>
              </w:rPr>
              <w:t>Intact</w:t>
            </w:r>
          </w:p>
        </w:tc>
        <w:tc>
          <w:tcPr>
            <w:tcW w:w="1229" w:type="dxa"/>
            <w:tcBorders>
              <w:top w:val="nil"/>
              <w:left w:val="nil"/>
              <w:bottom w:val="single" w:sz="4" w:space="0" w:color="auto"/>
              <w:right w:val="nil"/>
            </w:tcBorders>
          </w:tcPr>
          <w:p w:rsidR="00990D8D" w:rsidRPr="002F1CC6" w:rsidRDefault="00990D8D" w:rsidP="00990D8D">
            <w:pPr>
              <w:jc w:val="center"/>
              <w:rPr>
                <w:sz w:val="20"/>
                <w:szCs w:val="20"/>
              </w:rPr>
            </w:pPr>
            <w:r w:rsidRPr="00DB4768">
              <w:rPr>
                <w:sz w:val="20"/>
                <w:szCs w:val="20"/>
                <w:lang w:val="en-US"/>
              </w:rPr>
              <w:t>1841±1027</w:t>
            </w:r>
          </w:p>
        </w:tc>
        <w:tc>
          <w:tcPr>
            <w:tcW w:w="1208" w:type="dxa"/>
            <w:tcBorders>
              <w:top w:val="nil"/>
              <w:left w:val="nil"/>
              <w:bottom w:val="single" w:sz="4" w:space="0" w:color="auto"/>
              <w:right w:val="nil"/>
            </w:tcBorders>
          </w:tcPr>
          <w:p w:rsidR="00990D8D" w:rsidRPr="00E861E7" w:rsidRDefault="00990D8D" w:rsidP="00990D8D">
            <w:pPr>
              <w:jc w:val="center"/>
              <w:rPr>
                <w:sz w:val="20"/>
                <w:lang w:val="en-US"/>
              </w:rPr>
            </w:pPr>
            <w:r>
              <w:rPr>
                <w:sz w:val="20"/>
                <w:lang w:val="en-US"/>
              </w:rPr>
              <w:t>114-5061</w:t>
            </w:r>
          </w:p>
        </w:tc>
      </w:tr>
      <w:tr w:rsidR="00990D8D" w:rsidRPr="00103727" w:rsidTr="007C665C">
        <w:trPr>
          <w:trHeight w:val="236"/>
        </w:trPr>
        <w:tc>
          <w:tcPr>
            <w:tcW w:w="4027" w:type="dxa"/>
            <w:gridSpan w:val="2"/>
            <w:tcBorders>
              <w:top w:val="single" w:sz="4" w:space="0" w:color="auto"/>
              <w:left w:val="nil"/>
              <w:bottom w:val="nil"/>
              <w:right w:val="nil"/>
            </w:tcBorders>
          </w:tcPr>
          <w:p w:rsidR="00990D8D" w:rsidRPr="002C324B" w:rsidRDefault="00990D8D" w:rsidP="00990D8D">
            <w:pPr>
              <w:jc w:val="center"/>
              <w:rPr>
                <w:sz w:val="20"/>
                <w:szCs w:val="20"/>
              </w:rPr>
            </w:pPr>
            <w:r w:rsidRPr="002C324B">
              <w:rPr>
                <w:color w:val="000000"/>
                <w:sz w:val="20"/>
                <w:szCs w:val="20"/>
              </w:rPr>
              <w:t>Median of means</w:t>
            </w:r>
          </w:p>
        </w:tc>
        <w:tc>
          <w:tcPr>
            <w:tcW w:w="5632" w:type="dxa"/>
            <w:gridSpan w:val="5"/>
            <w:tcBorders>
              <w:top w:val="single" w:sz="4" w:space="0" w:color="auto"/>
              <w:left w:val="nil"/>
              <w:bottom w:val="nil"/>
              <w:right w:val="nil"/>
            </w:tcBorders>
          </w:tcPr>
          <w:p w:rsidR="00990D8D" w:rsidRPr="002C324B" w:rsidRDefault="00990D8D" w:rsidP="00990D8D">
            <w:pPr>
              <w:jc w:val="center"/>
              <w:rPr>
                <w:sz w:val="20"/>
                <w:szCs w:val="20"/>
              </w:rPr>
            </w:pPr>
            <w:commentRangeStart w:id="68"/>
            <w:r w:rsidRPr="002C324B">
              <w:rPr>
                <w:sz w:val="20"/>
                <w:szCs w:val="20"/>
                <w:lang w:val="en-US"/>
              </w:rPr>
              <w:t>1841</w:t>
            </w:r>
            <w:r w:rsidRPr="002C324B">
              <w:rPr>
                <w:sz w:val="20"/>
                <w:szCs w:val="20"/>
              </w:rPr>
              <w:t xml:space="preserve"> </w:t>
            </w:r>
            <w:commentRangeEnd w:id="68"/>
            <w:r w:rsidR="00392DB2">
              <w:rPr>
                <w:rStyle w:val="CommentReference"/>
              </w:rPr>
              <w:commentReference w:id="68"/>
            </w:r>
          </w:p>
        </w:tc>
      </w:tr>
      <w:tr w:rsidR="00990D8D" w:rsidRPr="00103727" w:rsidTr="007C665C">
        <w:trPr>
          <w:trHeight w:val="236"/>
        </w:trPr>
        <w:tc>
          <w:tcPr>
            <w:tcW w:w="4027" w:type="dxa"/>
            <w:gridSpan w:val="2"/>
            <w:tcBorders>
              <w:top w:val="nil"/>
              <w:left w:val="nil"/>
              <w:bottom w:val="nil"/>
              <w:right w:val="nil"/>
            </w:tcBorders>
          </w:tcPr>
          <w:p w:rsidR="00990D8D" w:rsidRPr="002C324B" w:rsidRDefault="00990D8D" w:rsidP="00990D8D">
            <w:pPr>
              <w:jc w:val="center"/>
              <w:rPr>
                <w:sz w:val="20"/>
                <w:szCs w:val="20"/>
                <w:lang w:val="en-US"/>
              </w:rPr>
            </w:pPr>
            <w:r w:rsidRPr="002C324B">
              <w:rPr>
                <w:color w:val="000000"/>
                <w:sz w:val="20"/>
                <w:szCs w:val="20"/>
                <w:lang w:val="en-US"/>
              </w:rPr>
              <w:t xml:space="preserve">  Range of means </w:t>
            </w:r>
            <w:r w:rsidRPr="002C324B">
              <w:rPr>
                <w:sz w:val="20"/>
                <w:szCs w:val="20"/>
                <w:lang w:val="en-US"/>
              </w:rPr>
              <w:t>(M</w:t>
            </w:r>
            <w:r w:rsidRPr="002C324B">
              <w:rPr>
                <w:sz w:val="20"/>
                <w:szCs w:val="20"/>
                <w:vertAlign w:val="subscript"/>
                <w:lang w:val="en-US"/>
              </w:rPr>
              <w:t>min</w:t>
            </w:r>
            <w:r w:rsidRPr="002C324B">
              <w:rPr>
                <w:sz w:val="20"/>
                <w:szCs w:val="20"/>
                <w:lang w:val="en-US"/>
              </w:rPr>
              <w:t xml:space="preserve"> - M</w:t>
            </w:r>
            <w:r w:rsidRPr="002C324B">
              <w:rPr>
                <w:sz w:val="20"/>
                <w:szCs w:val="20"/>
                <w:vertAlign w:val="subscript"/>
                <w:lang w:val="en-US"/>
              </w:rPr>
              <w:t>max</w:t>
            </w:r>
            <w:r w:rsidRPr="002C324B">
              <w:rPr>
                <w:sz w:val="20"/>
                <w:szCs w:val="20"/>
                <w:lang w:val="en-US"/>
              </w:rPr>
              <w:t>)</w:t>
            </w:r>
            <w:r w:rsidRPr="002C324B">
              <w:rPr>
                <w:color w:val="000000"/>
                <w:sz w:val="20"/>
                <w:szCs w:val="20"/>
                <w:lang w:val="en-US"/>
              </w:rPr>
              <w:t xml:space="preserve">, </w:t>
            </w:r>
          </w:p>
        </w:tc>
        <w:tc>
          <w:tcPr>
            <w:tcW w:w="5632" w:type="dxa"/>
            <w:gridSpan w:val="5"/>
            <w:tcBorders>
              <w:top w:val="nil"/>
              <w:left w:val="nil"/>
              <w:bottom w:val="nil"/>
              <w:right w:val="nil"/>
            </w:tcBorders>
          </w:tcPr>
          <w:p w:rsidR="00990D8D" w:rsidRPr="002C324B" w:rsidRDefault="00990D8D" w:rsidP="00990D8D">
            <w:pPr>
              <w:jc w:val="center"/>
              <w:rPr>
                <w:sz w:val="20"/>
                <w:szCs w:val="20"/>
              </w:rPr>
            </w:pPr>
            <w:commentRangeStart w:id="69"/>
            <w:r>
              <w:rPr>
                <w:sz w:val="20"/>
                <w:szCs w:val="20"/>
                <w:lang w:val="en-US"/>
              </w:rPr>
              <w:t>601</w:t>
            </w:r>
            <w:r w:rsidRPr="002C324B">
              <w:rPr>
                <w:sz w:val="20"/>
                <w:szCs w:val="20"/>
              </w:rPr>
              <w:t xml:space="preserve"> – </w:t>
            </w:r>
            <w:r>
              <w:rPr>
                <w:sz w:val="20"/>
                <w:szCs w:val="20"/>
                <w:lang w:val="en-US"/>
              </w:rPr>
              <w:t>5772</w:t>
            </w:r>
            <w:r w:rsidRPr="002C324B">
              <w:rPr>
                <w:sz w:val="20"/>
                <w:szCs w:val="20"/>
              </w:rPr>
              <w:t xml:space="preserve">  </w:t>
            </w:r>
            <w:commentRangeEnd w:id="69"/>
            <w:r w:rsidR="00392DB2">
              <w:rPr>
                <w:rStyle w:val="CommentReference"/>
              </w:rPr>
              <w:commentReference w:id="69"/>
            </w:r>
          </w:p>
        </w:tc>
      </w:tr>
      <w:tr w:rsidR="00990D8D" w:rsidRPr="00103727" w:rsidTr="007C665C">
        <w:trPr>
          <w:trHeight w:val="236"/>
        </w:trPr>
        <w:tc>
          <w:tcPr>
            <w:tcW w:w="4027" w:type="dxa"/>
            <w:gridSpan w:val="2"/>
            <w:tcBorders>
              <w:top w:val="nil"/>
              <w:left w:val="nil"/>
              <w:bottom w:val="nil"/>
              <w:right w:val="nil"/>
            </w:tcBorders>
          </w:tcPr>
          <w:p w:rsidR="00990D8D" w:rsidRPr="002C324B" w:rsidRDefault="00990D8D" w:rsidP="00990D8D">
            <w:pPr>
              <w:jc w:val="center"/>
              <w:rPr>
                <w:sz w:val="20"/>
                <w:szCs w:val="20"/>
              </w:rPr>
            </w:pPr>
            <w:r w:rsidRPr="002C324B">
              <w:rPr>
                <w:color w:val="000000"/>
                <w:sz w:val="20"/>
                <w:szCs w:val="20"/>
              </w:rPr>
              <w:t>Ratio M</w:t>
            </w:r>
            <w:r w:rsidRPr="002C324B">
              <w:rPr>
                <w:color w:val="000000"/>
                <w:sz w:val="20"/>
                <w:szCs w:val="20"/>
                <w:vertAlign w:val="subscript"/>
              </w:rPr>
              <w:t>max</w:t>
            </w:r>
            <w:r w:rsidRPr="002C324B">
              <w:rPr>
                <w:color w:val="000000"/>
                <w:sz w:val="20"/>
                <w:szCs w:val="20"/>
              </w:rPr>
              <w:t>/M</w:t>
            </w:r>
            <w:r w:rsidRPr="002C324B">
              <w:rPr>
                <w:color w:val="000000"/>
                <w:sz w:val="20"/>
                <w:szCs w:val="20"/>
                <w:vertAlign w:val="subscript"/>
              </w:rPr>
              <w:t>min</w:t>
            </w:r>
          </w:p>
        </w:tc>
        <w:tc>
          <w:tcPr>
            <w:tcW w:w="5632" w:type="dxa"/>
            <w:gridSpan w:val="5"/>
            <w:tcBorders>
              <w:top w:val="nil"/>
              <w:left w:val="nil"/>
              <w:bottom w:val="nil"/>
              <w:right w:val="nil"/>
            </w:tcBorders>
          </w:tcPr>
          <w:p w:rsidR="00990D8D" w:rsidRPr="002C324B" w:rsidRDefault="00990D8D" w:rsidP="00990D8D">
            <w:pPr>
              <w:jc w:val="center"/>
              <w:rPr>
                <w:sz w:val="20"/>
                <w:szCs w:val="20"/>
              </w:rPr>
            </w:pPr>
            <w:r>
              <w:rPr>
                <w:sz w:val="20"/>
                <w:szCs w:val="20"/>
                <w:lang w:val="en-US"/>
              </w:rPr>
              <w:t>9</w:t>
            </w:r>
            <w:r w:rsidRPr="002C324B">
              <w:rPr>
                <w:sz w:val="20"/>
                <w:szCs w:val="20"/>
              </w:rPr>
              <w:t>.6</w:t>
            </w:r>
          </w:p>
        </w:tc>
      </w:tr>
      <w:tr w:rsidR="00990D8D" w:rsidRPr="00103727" w:rsidTr="007C665C">
        <w:trPr>
          <w:trHeight w:val="236"/>
        </w:trPr>
        <w:tc>
          <w:tcPr>
            <w:tcW w:w="4027" w:type="dxa"/>
            <w:gridSpan w:val="2"/>
            <w:tcBorders>
              <w:top w:val="nil"/>
              <w:left w:val="nil"/>
              <w:bottom w:val="single" w:sz="4" w:space="0" w:color="auto"/>
              <w:right w:val="nil"/>
            </w:tcBorders>
          </w:tcPr>
          <w:p w:rsidR="00990D8D" w:rsidRPr="002C324B" w:rsidRDefault="00990D8D" w:rsidP="00990D8D">
            <w:pPr>
              <w:jc w:val="center"/>
              <w:rPr>
                <w:sz w:val="20"/>
                <w:szCs w:val="20"/>
              </w:rPr>
            </w:pPr>
            <w:r w:rsidRPr="002C324B">
              <w:rPr>
                <w:sz w:val="20"/>
                <w:szCs w:val="20"/>
              </w:rPr>
              <w:t>All references</w:t>
            </w:r>
          </w:p>
        </w:tc>
        <w:tc>
          <w:tcPr>
            <w:tcW w:w="5632" w:type="dxa"/>
            <w:gridSpan w:val="5"/>
            <w:tcBorders>
              <w:top w:val="nil"/>
              <w:left w:val="nil"/>
              <w:bottom w:val="single" w:sz="4" w:space="0" w:color="auto"/>
              <w:right w:val="nil"/>
            </w:tcBorders>
          </w:tcPr>
          <w:p w:rsidR="00990D8D" w:rsidRPr="002C324B" w:rsidRDefault="00990D8D" w:rsidP="00990D8D">
            <w:pPr>
              <w:jc w:val="center"/>
              <w:rPr>
                <w:sz w:val="20"/>
                <w:szCs w:val="20"/>
                <w:lang w:val="en-US"/>
              </w:rPr>
            </w:pPr>
            <w:r w:rsidRPr="002C324B">
              <w:rPr>
                <w:sz w:val="20"/>
                <w:szCs w:val="20"/>
              </w:rPr>
              <w:t>2</w:t>
            </w:r>
            <w:r>
              <w:rPr>
                <w:sz w:val="20"/>
                <w:szCs w:val="20"/>
                <w:lang w:val="en-US"/>
              </w:rPr>
              <w:t>7</w:t>
            </w:r>
          </w:p>
        </w:tc>
      </w:tr>
    </w:tbl>
    <w:p w:rsidR="00AD3962" w:rsidRDefault="00990D8D" w:rsidP="00990D8D">
      <w:pPr>
        <w:rPr>
          <w:sz w:val="20"/>
          <w:szCs w:val="20"/>
          <w:lang w:val="en-US"/>
        </w:rPr>
      </w:pPr>
      <w:r w:rsidRPr="00975152">
        <w:rPr>
          <w:sz w:val="20"/>
          <w:szCs w:val="20"/>
          <w:lang w:val="en-US"/>
        </w:rPr>
        <w:t xml:space="preserve">M – arithmetic mean, SD – standard deviation of mean, </w:t>
      </w:r>
    </w:p>
    <w:p w:rsidR="00AD3962" w:rsidRDefault="007C665C" w:rsidP="00990D8D">
      <w:pPr>
        <w:rPr>
          <w:sz w:val="20"/>
          <w:szCs w:val="20"/>
          <w:lang w:val="en-US"/>
        </w:rPr>
      </w:pPr>
      <w:r>
        <w:rPr>
          <w:sz w:val="20"/>
          <w:szCs w:val="20"/>
          <w:lang w:val="en-US"/>
        </w:rPr>
        <w:t xml:space="preserve">Chem – chemical method, </w:t>
      </w:r>
      <w:r w:rsidRPr="00975152">
        <w:rPr>
          <w:sz w:val="20"/>
          <w:szCs w:val="20"/>
          <w:lang w:val="en-US"/>
        </w:rPr>
        <w:t xml:space="preserve">NAA – neutron activation analysis, </w:t>
      </w:r>
      <w:r w:rsidR="00AE2D71">
        <w:rPr>
          <w:sz w:val="20"/>
          <w:lang w:val="en-US"/>
        </w:rPr>
        <w:t>PIXE</w:t>
      </w:r>
      <w:r w:rsidR="00AE2D71" w:rsidRPr="00975152">
        <w:rPr>
          <w:sz w:val="20"/>
          <w:szCs w:val="20"/>
          <w:lang w:val="en-US"/>
        </w:rPr>
        <w:t xml:space="preserve"> </w:t>
      </w:r>
      <w:r w:rsidR="00AE2D71">
        <w:rPr>
          <w:sz w:val="20"/>
          <w:szCs w:val="20"/>
          <w:lang w:val="en-US"/>
        </w:rPr>
        <w:t xml:space="preserve">– proton induced X-ray fluorescent emission, Color – colorimetric method, </w:t>
      </w:r>
      <w:r w:rsidR="003E0CCA">
        <w:rPr>
          <w:sz w:val="20"/>
          <w:szCs w:val="20"/>
          <w:lang w:val="en-US"/>
        </w:rPr>
        <w:t>EDXRF</w:t>
      </w:r>
      <w:r w:rsidR="003E0CCA" w:rsidRPr="00975152">
        <w:rPr>
          <w:sz w:val="20"/>
          <w:szCs w:val="20"/>
          <w:lang w:val="en-US"/>
        </w:rPr>
        <w:t xml:space="preserve"> </w:t>
      </w:r>
      <w:r w:rsidR="003E0CCA">
        <w:rPr>
          <w:sz w:val="20"/>
          <w:szCs w:val="20"/>
          <w:lang w:val="en-US"/>
        </w:rPr>
        <w:t>– energy dispersive X-ray fluorescent</w:t>
      </w:r>
      <w:r w:rsidR="003648FB">
        <w:rPr>
          <w:sz w:val="20"/>
          <w:szCs w:val="20"/>
          <w:lang w:val="en-US"/>
        </w:rPr>
        <w:t xml:space="preserve"> analysis</w:t>
      </w:r>
      <w:r w:rsidR="003E0CCA">
        <w:rPr>
          <w:sz w:val="20"/>
          <w:szCs w:val="20"/>
          <w:lang w:val="en-US"/>
        </w:rPr>
        <w:t xml:space="preserve">,  </w:t>
      </w:r>
      <w:r w:rsidR="00AD3962">
        <w:rPr>
          <w:sz w:val="20"/>
          <w:szCs w:val="20"/>
          <w:lang w:val="en-US"/>
        </w:rPr>
        <w:t>SFI</w:t>
      </w:r>
      <w:r w:rsidR="003E0CCA" w:rsidRPr="00AD3962">
        <w:rPr>
          <w:sz w:val="20"/>
          <w:szCs w:val="20"/>
          <w:lang w:val="en-US"/>
        </w:rPr>
        <w:t xml:space="preserve"> -</w:t>
      </w:r>
      <w:r w:rsidR="00AD3962" w:rsidRPr="00AD3962">
        <w:rPr>
          <w:sz w:val="20"/>
          <w:szCs w:val="20"/>
          <w:lang w:val="en-US"/>
        </w:rPr>
        <w:t xml:space="preserve"> </w:t>
      </w:r>
      <w:r w:rsidR="00AD3962" w:rsidRPr="00AD3962">
        <w:rPr>
          <w:rFonts w:eastAsia="Arial Unicode MS"/>
          <w:sz w:val="20"/>
          <w:szCs w:val="20"/>
          <w:lang w:val="en-US"/>
        </w:rPr>
        <w:t>spectrophotometric flow injection method</w:t>
      </w:r>
      <w:r w:rsidR="003E0CCA" w:rsidRPr="00AD3962">
        <w:rPr>
          <w:sz w:val="20"/>
          <w:szCs w:val="20"/>
          <w:lang w:val="en-US"/>
        </w:rPr>
        <w:t xml:space="preserve"> , </w:t>
      </w:r>
      <w:r w:rsidR="003E0CCA">
        <w:rPr>
          <w:sz w:val="20"/>
          <w:szCs w:val="20"/>
          <w:lang w:val="en-US"/>
        </w:rPr>
        <w:t>ICPM</w:t>
      </w:r>
      <w:r w:rsidR="003E0CCA" w:rsidRPr="00975152">
        <w:rPr>
          <w:sz w:val="20"/>
          <w:szCs w:val="20"/>
          <w:lang w:val="en-US"/>
        </w:rPr>
        <w:t xml:space="preserve">S – inductively coupled plasma </w:t>
      </w:r>
      <w:r w:rsidR="003E0CCA">
        <w:rPr>
          <w:sz w:val="20"/>
          <w:szCs w:val="20"/>
          <w:lang w:val="en-US"/>
        </w:rPr>
        <w:t>mass</w:t>
      </w:r>
      <w:r w:rsidR="003E0CCA" w:rsidRPr="00975152">
        <w:rPr>
          <w:sz w:val="20"/>
          <w:szCs w:val="20"/>
          <w:lang w:val="en-US"/>
        </w:rPr>
        <w:t xml:space="preserve"> spectrometry, </w:t>
      </w:r>
      <w:r w:rsidR="003E0CCA">
        <w:rPr>
          <w:sz w:val="20"/>
          <w:szCs w:val="20"/>
          <w:lang w:val="en-US"/>
        </w:rPr>
        <w:t>IC -</w:t>
      </w:r>
      <w:r w:rsidR="00AD3962">
        <w:rPr>
          <w:sz w:val="20"/>
          <w:szCs w:val="20"/>
          <w:lang w:val="en-US"/>
        </w:rPr>
        <w:t xml:space="preserve"> </w:t>
      </w:r>
      <w:r w:rsidR="00AD3962" w:rsidRPr="00AD3962">
        <w:rPr>
          <w:rFonts w:eastAsia="GulliverRM"/>
          <w:sz w:val="20"/>
          <w:szCs w:val="20"/>
          <w:lang w:val="en-US"/>
        </w:rPr>
        <w:t>ion chromatography</w:t>
      </w:r>
      <w:r w:rsidR="003E0CCA" w:rsidRPr="00AD3962">
        <w:rPr>
          <w:sz w:val="20"/>
          <w:szCs w:val="20"/>
          <w:lang w:val="en-US"/>
        </w:rPr>
        <w:t xml:space="preserve"> ,</w:t>
      </w:r>
      <w:r w:rsidR="003E0CCA">
        <w:rPr>
          <w:sz w:val="20"/>
          <w:szCs w:val="20"/>
          <w:lang w:val="en-US"/>
        </w:rPr>
        <w:t xml:space="preserve"> </w:t>
      </w:r>
      <w:r w:rsidR="00990D8D" w:rsidRPr="00975152">
        <w:rPr>
          <w:sz w:val="20"/>
          <w:szCs w:val="20"/>
          <w:lang w:val="en-US"/>
        </w:rPr>
        <w:t xml:space="preserve">ICPAES – inductively coupled plasma atomic emission spectrometry, </w:t>
      </w:r>
    </w:p>
    <w:p w:rsidR="00990D8D" w:rsidRPr="00975152" w:rsidRDefault="00990D8D" w:rsidP="00990D8D">
      <w:pPr>
        <w:rPr>
          <w:lang w:val="en-US"/>
        </w:rPr>
      </w:pPr>
      <w:r w:rsidRPr="00975152">
        <w:rPr>
          <w:color w:val="000000"/>
          <w:sz w:val="20"/>
          <w:szCs w:val="20"/>
          <w:lang w:val="en-US"/>
        </w:rPr>
        <w:t>AD – acid digestion</w:t>
      </w:r>
      <w:r>
        <w:rPr>
          <w:color w:val="000000"/>
          <w:sz w:val="20"/>
          <w:szCs w:val="20"/>
          <w:lang w:val="en-US"/>
        </w:rPr>
        <w:t>,</w:t>
      </w:r>
      <w:r w:rsidRPr="00975152">
        <w:rPr>
          <w:color w:val="000000"/>
          <w:sz w:val="20"/>
          <w:szCs w:val="20"/>
          <w:lang w:val="en-US"/>
        </w:rPr>
        <w:t xml:space="preserve"> D – drying at high temperature, A </w:t>
      </w:r>
      <w:r w:rsidRPr="00975152">
        <w:rPr>
          <w:sz w:val="20"/>
          <w:szCs w:val="20"/>
          <w:lang w:val="en-US"/>
        </w:rPr>
        <w:t>– ashing</w:t>
      </w:r>
      <w:r w:rsidRPr="00975152">
        <w:rPr>
          <w:color w:val="000000"/>
          <w:sz w:val="20"/>
          <w:szCs w:val="20"/>
          <w:lang w:val="en-US"/>
        </w:rPr>
        <w:t>, AD – acid digestion.</w:t>
      </w:r>
    </w:p>
    <w:p w:rsidR="00990D8D" w:rsidRDefault="00990D8D" w:rsidP="004E3F6D">
      <w:pPr>
        <w:jc w:val="both"/>
        <w:rPr>
          <w:lang w:val="en-US"/>
        </w:rPr>
      </w:pPr>
    </w:p>
    <w:p w:rsidR="005E260B" w:rsidRDefault="005E260B" w:rsidP="004E3F6D">
      <w:pPr>
        <w:rPr>
          <w:lang w:val="en-US"/>
        </w:rPr>
      </w:pPr>
    </w:p>
    <w:p w:rsidR="00DA4B51" w:rsidRDefault="00DA4B51" w:rsidP="00DA4B51">
      <w:pPr>
        <w:pStyle w:val="BodyText"/>
        <w:spacing w:after="0"/>
        <w:rPr>
          <w:b/>
          <w:bCs/>
          <w:caps/>
          <w:sz w:val="24"/>
          <w:szCs w:val="24"/>
          <w:lang w:val="en-US"/>
        </w:rPr>
      </w:pPr>
      <w:commentRangeStart w:id="70"/>
      <w:r w:rsidRPr="00990D8D">
        <w:rPr>
          <w:b/>
          <w:bCs/>
          <w:caps/>
          <w:sz w:val="24"/>
          <w:szCs w:val="24"/>
          <w:lang w:val="en-US"/>
        </w:rPr>
        <w:t>Discussion</w:t>
      </w:r>
      <w:commentRangeEnd w:id="70"/>
      <w:r w:rsidR="000B24C3">
        <w:rPr>
          <w:rStyle w:val="CommentReference"/>
        </w:rPr>
        <w:commentReference w:id="70"/>
      </w:r>
    </w:p>
    <w:p w:rsidR="00990D8D" w:rsidRPr="00990D8D" w:rsidRDefault="00990D8D" w:rsidP="00DA4B51">
      <w:pPr>
        <w:pStyle w:val="BodyText"/>
        <w:spacing w:after="0"/>
        <w:rPr>
          <w:b/>
          <w:bCs/>
          <w:caps/>
          <w:sz w:val="24"/>
          <w:szCs w:val="24"/>
          <w:lang w:val="en-US"/>
        </w:rPr>
      </w:pPr>
    </w:p>
    <w:p w:rsidR="006659B8" w:rsidRDefault="009930D1" w:rsidP="006659B8">
      <w:pPr>
        <w:jc w:val="both"/>
        <w:rPr>
          <w:lang w:val="en-US"/>
        </w:rPr>
      </w:pPr>
      <w:commentRangeStart w:id="71"/>
      <w:commentRangeStart w:id="72"/>
      <w:r w:rsidRPr="00353704">
        <w:rPr>
          <w:lang w:val="en-US"/>
        </w:rPr>
        <w:t>As was shown before</w:t>
      </w:r>
      <w:commentRangeEnd w:id="71"/>
      <w:r w:rsidR="000B24C3">
        <w:rPr>
          <w:rStyle w:val="CommentReference"/>
        </w:rPr>
        <w:commentReference w:id="71"/>
      </w:r>
      <w:r w:rsidRPr="00353704">
        <w:rPr>
          <w:lang w:val="en-US"/>
        </w:rPr>
        <w:t xml:space="preserve"> </w:t>
      </w:r>
      <w:r w:rsidR="00736A71">
        <w:rPr>
          <w:lang w:val="en-US"/>
        </w:rPr>
        <w:t>[</w:t>
      </w:r>
      <w:r w:rsidR="00B44A6E">
        <w:rPr>
          <w:lang w:val="en-US"/>
        </w:rPr>
        <w:t>21,</w:t>
      </w:r>
      <w:r w:rsidR="00736A71">
        <w:rPr>
          <w:lang w:val="en-US"/>
        </w:rPr>
        <w:t>25,26,</w:t>
      </w:r>
      <w:r w:rsidR="006D7C61">
        <w:rPr>
          <w:lang w:val="en-US"/>
        </w:rPr>
        <w:t>47</w:t>
      </w:r>
      <w:r w:rsidR="003A13F7">
        <w:rPr>
          <w:lang w:val="en-US"/>
        </w:rPr>
        <w:t>,</w:t>
      </w:r>
      <w:r w:rsidR="00736A71">
        <w:rPr>
          <w:lang w:val="en-US"/>
        </w:rPr>
        <w:t>5</w:t>
      </w:r>
      <w:r w:rsidR="007019F4">
        <w:rPr>
          <w:lang w:val="en-US"/>
        </w:rPr>
        <w:t>2</w:t>
      </w:r>
      <w:r w:rsidR="00736A71">
        <w:rPr>
          <w:lang w:val="en-US"/>
        </w:rPr>
        <w:t xml:space="preserve">] </w:t>
      </w:r>
      <w:r w:rsidRPr="00353704">
        <w:rPr>
          <w:lang w:val="en-US"/>
        </w:rPr>
        <w:t xml:space="preserve">good agreement of the </w:t>
      </w:r>
      <w:r w:rsidR="007019F4">
        <w:rPr>
          <w:lang w:val="en-US"/>
        </w:rPr>
        <w:t xml:space="preserve">Br, </w:t>
      </w:r>
      <w:r w:rsidR="00B44A6E">
        <w:rPr>
          <w:lang w:val="en-US"/>
        </w:rPr>
        <w:t xml:space="preserve">Cu, </w:t>
      </w:r>
      <w:r w:rsidRPr="00353704">
        <w:rPr>
          <w:lang w:val="en-US"/>
        </w:rPr>
        <w:t xml:space="preserve">Fe, </w:t>
      </w:r>
      <w:r w:rsidR="00B44A6E">
        <w:rPr>
          <w:lang w:val="en-US"/>
        </w:rPr>
        <w:t xml:space="preserve">I, </w:t>
      </w:r>
      <w:r w:rsidRPr="00353704">
        <w:rPr>
          <w:lang w:val="en-US"/>
        </w:rPr>
        <w:t xml:space="preserve">Rb, Sr, and Zn contents </w:t>
      </w:r>
      <w:r w:rsidR="00736A71">
        <w:rPr>
          <w:lang w:val="en-US"/>
        </w:rPr>
        <w:t xml:space="preserve">in </w:t>
      </w:r>
      <w:r w:rsidR="00736A71" w:rsidRPr="00353704">
        <w:rPr>
          <w:lang w:val="en-US"/>
        </w:rPr>
        <w:t xml:space="preserve">CRM IAEA H-4 </w:t>
      </w:r>
      <w:r w:rsidR="00736A71">
        <w:rPr>
          <w:lang w:val="en-US"/>
        </w:rPr>
        <w:t xml:space="preserve">samples </w:t>
      </w:r>
      <w:r w:rsidRPr="00353704">
        <w:rPr>
          <w:lang w:val="en-US"/>
        </w:rPr>
        <w:t xml:space="preserve">analyzed by EDXRF with the certified data of </w:t>
      </w:r>
      <w:r w:rsidR="00736A71">
        <w:rPr>
          <w:lang w:val="en-US"/>
        </w:rPr>
        <w:t xml:space="preserve">this CRM </w:t>
      </w:r>
      <w:r w:rsidRPr="00353704">
        <w:rPr>
          <w:lang w:val="en-US"/>
        </w:rPr>
        <w:t xml:space="preserve">indicates acceptable accuracy of the results obtained in the study of </w:t>
      </w:r>
      <w:r w:rsidR="00F67C3F">
        <w:rPr>
          <w:lang w:val="en-US"/>
        </w:rPr>
        <w:t xml:space="preserve">NT, </w:t>
      </w:r>
      <w:r w:rsidR="0050244F">
        <w:rPr>
          <w:lang w:val="en-US"/>
        </w:rPr>
        <w:t>TBN</w:t>
      </w:r>
      <w:r w:rsidR="00F67C3F">
        <w:rPr>
          <w:lang w:val="en-US"/>
        </w:rPr>
        <w:t>,</w:t>
      </w:r>
      <w:r w:rsidR="0050244F">
        <w:rPr>
          <w:lang w:val="en-US"/>
        </w:rPr>
        <w:t xml:space="preserve"> and TMN</w:t>
      </w:r>
      <w:r w:rsidR="0050244F" w:rsidRPr="00FD231B">
        <w:rPr>
          <w:lang w:val="en-US"/>
        </w:rPr>
        <w:t xml:space="preserve"> </w:t>
      </w:r>
      <w:r w:rsidR="00B44A6E">
        <w:rPr>
          <w:lang w:val="en-US"/>
        </w:rPr>
        <w:t xml:space="preserve">groups of </w:t>
      </w:r>
      <w:r w:rsidR="00B44A6E" w:rsidRPr="00872213">
        <w:rPr>
          <w:lang w:val="en-US"/>
        </w:rPr>
        <w:t>tissue</w:t>
      </w:r>
      <w:r w:rsidR="00B44A6E">
        <w:rPr>
          <w:lang w:val="en-US"/>
        </w:rPr>
        <w:t xml:space="preserve"> samples </w:t>
      </w:r>
      <w:r w:rsidRPr="00353704">
        <w:rPr>
          <w:lang w:val="en-US"/>
        </w:rPr>
        <w:t xml:space="preserve">presented in </w:t>
      </w:r>
      <w:r w:rsidR="00284F5D">
        <w:rPr>
          <w:lang w:val="en-US"/>
        </w:rPr>
        <w:t>Tables 1</w:t>
      </w:r>
      <w:r w:rsidR="0050244F">
        <w:rPr>
          <w:lang w:val="en-US"/>
        </w:rPr>
        <w:t>-</w:t>
      </w:r>
      <w:r w:rsidR="00EA75C4">
        <w:rPr>
          <w:lang w:val="en-US"/>
        </w:rPr>
        <w:t>6</w:t>
      </w:r>
      <w:r w:rsidR="00DA4B51" w:rsidRPr="009A5CA0">
        <w:rPr>
          <w:lang w:val="en-US"/>
        </w:rPr>
        <w:t>.</w:t>
      </w:r>
      <w:commentRangeEnd w:id="72"/>
      <w:r w:rsidR="006659B8">
        <w:rPr>
          <w:rStyle w:val="CommentReference"/>
        </w:rPr>
        <w:commentReference w:id="72"/>
      </w:r>
    </w:p>
    <w:p w:rsidR="006659B8" w:rsidRDefault="006659B8" w:rsidP="006659B8">
      <w:pPr>
        <w:jc w:val="both"/>
        <w:rPr>
          <w:lang w:val="en-US"/>
        </w:rPr>
      </w:pPr>
    </w:p>
    <w:p w:rsidR="00133D49" w:rsidRDefault="00DA7907" w:rsidP="00133D49">
      <w:pPr>
        <w:jc w:val="both"/>
        <w:rPr>
          <w:lang w:val="en-US"/>
        </w:rPr>
      </w:pPr>
      <w:commentRangeStart w:id="73"/>
      <w:r w:rsidRPr="00266E58">
        <w:rPr>
          <w:lang w:val="en-US"/>
        </w:rPr>
        <w:t xml:space="preserve">From Table 2, it is observed that in </w:t>
      </w:r>
      <w:r w:rsidR="00266E58" w:rsidRPr="00266E58">
        <w:rPr>
          <w:lang w:val="en-US"/>
        </w:rPr>
        <w:t>TMN</w:t>
      </w:r>
      <w:r w:rsidRPr="00266E58">
        <w:rPr>
          <w:lang w:val="en-US"/>
        </w:rPr>
        <w:t xml:space="preserve"> </w:t>
      </w:r>
      <w:r w:rsidR="0050244F">
        <w:rPr>
          <w:lang w:val="en-US"/>
        </w:rPr>
        <w:t xml:space="preserve">tissue </w:t>
      </w:r>
      <w:r w:rsidRPr="00266E58">
        <w:rPr>
          <w:lang w:val="en-US"/>
        </w:rPr>
        <w:t>the mass fraction</w:t>
      </w:r>
      <w:r w:rsidR="00214272">
        <w:rPr>
          <w:lang w:val="en-US"/>
        </w:rPr>
        <w:t>s</w:t>
      </w:r>
      <w:r w:rsidR="006B28EE" w:rsidRPr="00266E58">
        <w:rPr>
          <w:lang w:val="en-US"/>
        </w:rPr>
        <w:t xml:space="preserve"> of</w:t>
      </w:r>
      <w:r w:rsidR="0050244F">
        <w:rPr>
          <w:lang w:val="en-US"/>
        </w:rPr>
        <w:t xml:space="preserve"> </w:t>
      </w:r>
      <w:r w:rsidRPr="00266E58">
        <w:rPr>
          <w:lang w:val="en-US"/>
        </w:rPr>
        <w:t xml:space="preserve">I and </w:t>
      </w:r>
      <w:r w:rsidR="0050244F">
        <w:rPr>
          <w:lang w:val="en-US"/>
        </w:rPr>
        <w:t>Zn</w:t>
      </w:r>
      <w:r w:rsidRPr="00266E58">
        <w:rPr>
          <w:lang w:val="en-US"/>
        </w:rPr>
        <w:t xml:space="preserve"> are </w:t>
      </w:r>
      <w:r w:rsidR="0029611F">
        <w:rPr>
          <w:lang w:val="en-US"/>
        </w:rPr>
        <w:t xml:space="preserve">significantly </w:t>
      </w:r>
      <w:r w:rsidR="00425DF1">
        <w:rPr>
          <w:lang w:val="en-US"/>
        </w:rPr>
        <w:t xml:space="preserve">lower while </w:t>
      </w:r>
      <w:r w:rsidR="00425DF1" w:rsidRPr="00266E58">
        <w:rPr>
          <w:lang w:val="en-US"/>
        </w:rPr>
        <w:t>the mass fraction of</w:t>
      </w:r>
      <w:r w:rsidRPr="00266E58">
        <w:rPr>
          <w:lang w:val="en-US"/>
        </w:rPr>
        <w:t xml:space="preserve"> </w:t>
      </w:r>
      <w:r w:rsidR="00425DF1">
        <w:rPr>
          <w:lang w:val="en-US"/>
        </w:rPr>
        <w:t xml:space="preserve">Rb </w:t>
      </w:r>
      <w:r w:rsidR="0029611F">
        <w:rPr>
          <w:lang w:val="en-US"/>
        </w:rPr>
        <w:t>is</w:t>
      </w:r>
      <w:r w:rsidR="00425DF1">
        <w:rPr>
          <w:lang w:val="en-US"/>
        </w:rPr>
        <w:t xml:space="preserve"> higher </w:t>
      </w:r>
      <w:r w:rsidRPr="00266E58">
        <w:rPr>
          <w:lang w:val="en-US"/>
        </w:rPr>
        <w:t xml:space="preserve">than in </w:t>
      </w:r>
      <w:r w:rsidR="0029611F">
        <w:rPr>
          <w:lang w:val="en-US"/>
        </w:rPr>
        <w:t xml:space="preserve">NT and </w:t>
      </w:r>
      <w:r w:rsidR="00266E58" w:rsidRPr="00266E58">
        <w:rPr>
          <w:lang w:val="en-US"/>
        </w:rPr>
        <w:t>TBN</w:t>
      </w:r>
      <w:r w:rsidR="00425DF1" w:rsidRPr="00425DF1">
        <w:rPr>
          <w:lang w:val="en-US"/>
        </w:rPr>
        <w:t xml:space="preserve"> </w:t>
      </w:r>
      <w:r w:rsidR="00425DF1">
        <w:rPr>
          <w:lang w:val="en-US"/>
        </w:rPr>
        <w:t>tissue</w:t>
      </w:r>
      <w:r w:rsidR="0029611F">
        <w:rPr>
          <w:lang w:val="en-US"/>
        </w:rPr>
        <w:t>.</w:t>
      </w:r>
      <w:r w:rsidR="00961EFD">
        <w:rPr>
          <w:lang w:val="en-US"/>
        </w:rPr>
        <w:t xml:space="preserve"> </w:t>
      </w:r>
      <w:r w:rsidR="0029611F">
        <w:rPr>
          <w:lang w:val="en-US"/>
        </w:rPr>
        <w:t>However, a</w:t>
      </w:r>
      <w:r w:rsidR="0029611F" w:rsidRPr="000A414B">
        <w:rPr>
          <w:lang w:val="en-US"/>
        </w:rPr>
        <w:t>s illu</w:t>
      </w:r>
      <w:r w:rsidR="0029611F">
        <w:rPr>
          <w:lang w:val="en-US"/>
        </w:rPr>
        <w:t>strated in Figure 1, I content is</w:t>
      </w:r>
      <w:r w:rsidR="0029611F" w:rsidRPr="000A414B">
        <w:rPr>
          <w:lang w:val="en-US"/>
        </w:rPr>
        <w:t xml:space="preserve"> the most informative </w:t>
      </w:r>
      <w:r w:rsidR="0029611F">
        <w:rPr>
          <w:lang w:val="en-US"/>
        </w:rPr>
        <w:t xml:space="preserve">parameter </w:t>
      </w:r>
      <w:r w:rsidR="0029611F" w:rsidRPr="000A414B">
        <w:rPr>
          <w:lang w:val="en-US"/>
        </w:rPr>
        <w:t xml:space="preserve">for the diagnosis </w:t>
      </w:r>
      <w:r w:rsidR="0029611F">
        <w:rPr>
          <w:lang w:val="en-US"/>
        </w:rPr>
        <w:t>of TMN</w:t>
      </w:r>
      <w:r w:rsidR="0029611F" w:rsidRPr="000A414B">
        <w:rPr>
          <w:lang w:val="en-US"/>
        </w:rPr>
        <w:t xml:space="preserve"> (Fig. 1). If the </w:t>
      </w:r>
      <w:r w:rsidR="005E3255">
        <w:rPr>
          <w:lang w:val="en-US"/>
        </w:rPr>
        <w:t>I</w:t>
      </w:r>
      <w:r w:rsidR="0029611F" w:rsidRPr="000A414B">
        <w:rPr>
          <w:lang w:val="en-US"/>
        </w:rPr>
        <w:t xml:space="preserve"> level of </w:t>
      </w:r>
      <w:r w:rsidR="005E3255">
        <w:rPr>
          <w:lang w:val="en-US"/>
        </w:rPr>
        <w:t>145</w:t>
      </w:r>
      <w:r w:rsidR="0029611F" w:rsidRPr="000A414B">
        <w:rPr>
          <w:lang w:val="en-US"/>
        </w:rPr>
        <w:t xml:space="preserve"> mg/kg dry tissue (</w:t>
      </w:r>
      <w:r w:rsidR="005E3255">
        <w:rPr>
          <w:lang w:val="en-US"/>
        </w:rPr>
        <w:t xml:space="preserve">about </w:t>
      </w:r>
      <w:r w:rsidR="0029611F" w:rsidRPr="000A414B">
        <w:rPr>
          <w:lang w:val="en-US"/>
        </w:rPr>
        <w:t>M</w:t>
      </w:r>
      <w:r w:rsidR="005E3255">
        <w:rPr>
          <w:lang w:val="en-US"/>
        </w:rPr>
        <w:t>+</w:t>
      </w:r>
      <w:r w:rsidR="0029611F" w:rsidRPr="000A414B">
        <w:rPr>
          <w:lang w:val="en-US"/>
        </w:rPr>
        <w:t xml:space="preserve">SD) is </w:t>
      </w:r>
      <w:r w:rsidR="005E3255">
        <w:rPr>
          <w:lang w:val="en-US"/>
        </w:rPr>
        <w:t xml:space="preserve">chosen as </w:t>
      </w:r>
      <w:r w:rsidR="0029611F" w:rsidRPr="000A414B">
        <w:rPr>
          <w:lang w:val="en-US"/>
        </w:rPr>
        <w:t>the upper limit</w:t>
      </w:r>
      <w:r w:rsidR="005E3255">
        <w:rPr>
          <w:lang w:val="en-US"/>
        </w:rPr>
        <w:t xml:space="preserve"> (cut off)</w:t>
      </w:r>
      <w:r w:rsidR="0029611F" w:rsidRPr="000A414B">
        <w:rPr>
          <w:lang w:val="en-US"/>
        </w:rPr>
        <w:t xml:space="preserve"> </w:t>
      </w:r>
      <w:r w:rsidR="0029611F">
        <w:rPr>
          <w:lang w:val="en-US"/>
        </w:rPr>
        <w:t>for</w:t>
      </w:r>
      <w:r w:rsidR="0029611F" w:rsidRPr="000A414B">
        <w:rPr>
          <w:lang w:val="en-US"/>
        </w:rPr>
        <w:t xml:space="preserve"> </w:t>
      </w:r>
      <w:r w:rsidR="005E3255">
        <w:rPr>
          <w:lang w:val="en-US"/>
        </w:rPr>
        <w:t>TMN</w:t>
      </w:r>
      <w:r w:rsidR="0029611F" w:rsidRPr="000A414B">
        <w:rPr>
          <w:lang w:val="en-US"/>
        </w:rPr>
        <w:t xml:space="preserve"> tissue (Fig.1), results </w:t>
      </w:r>
      <w:r w:rsidR="0029611F">
        <w:rPr>
          <w:lang w:val="en-US"/>
        </w:rPr>
        <w:t>for a</w:t>
      </w:r>
      <w:r w:rsidR="0029611F" w:rsidRPr="000A414B">
        <w:rPr>
          <w:lang w:val="en-US"/>
        </w:rPr>
        <w:t xml:space="preserve"> “</w:t>
      </w:r>
      <w:r w:rsidR="005E3255">
        <w:rPr>
          <w:lang w:val="en-US"/>
        </w:rPr>
        <w:t>malignant</w:t>
      </w:r>
      <w:r w:rsidR="0029611F" w:rsidRPr="000A414B">
        <w:rPr>
          <w:lang w:val="en-US"/>
        </w:rPr>
        <w:t xml:space="preserve"> or non-</w:t>
      </w:r>
      <w:r w:rsidR="005E3255" w:rsidRPr="005E3255">
        <w:rPr>
          <w:lang w:val="en-US"/>
        </w:rPr>
        <w:t xml:space="preserve"> </w:t>
      </w:r>
      <w:r w:rsidR="005E3255">
        <w:rPr>
          <w:lang w:val="en-US"/>
        </w:rPr>
        <w:t>malignant</w:t>
      </w:r>
      <w:r w:rsidR="0029611F" w:rsidRPr="000A414B">
        <w:rPr>
          <w:lang w:val="en-US"/>
        </w:rPr>
        <w:t xml:space="preserve">” </w:t>
      </w:r>
      <w:r w:rsidR="0029611F" w:rsidRPr="00477C52">
        <w:rPr>
          <w:lang w:val="en-US"/>
        </w:rPr>
        <w:t xml:space="preserve">determination from </w:t>
      </w:r>
      <w:r w:rsidR="005E3255">
        <w:rPr>
          <w:lang w:val="en-US"/>
        </w:rPr>
        <w:t>results obtained</w:t>
      </w:r>
      <w:r w:rsidR="0029611F">
        <w:rPr>
          <w:color w:val="FF0000"/>
          <w:lang w:val="en-US"/>
        </w:rPr>
        <w:t xml:space="preserve"> </w:t>
      </w:r>
      <w:r w:rsidR="0029611F" w:rsidRPr="000A414B">
        <w:rPr>
          <w:lang w:val="en-US"/>
        </w:rPr>
        <w:t>would be the following:</w:t>
      </w:r>
    </w:p>
    <w:p w:rsidR="00133D49" w:rsidRDefault="00133D49" w:rsidP="00133D49">
      <w:pPr>
        <w:jc w:val="both"/>
        <w:rPr>
          <w:lang w:val="en-US"/>
        </w:rPr>
      </w:pPr>
    </w:p>
    <w:p w:rsidR="0029611F" w:rsidRDefault="0029611F" w:rsidP="0029611F">
      <w:pPr>
        <w:autoSpaceDE w:val="0"/>
        <w:autoSpaceDN w:val="0"/>
        <w:adjustRightInd w:val="0"/>
        <w:ind w:firstLine="340"/>
        <w:jc w:val="both"/>
        <w:rPr>
          <w:lang w:val="en-US"/>
        </w:rPr>
      </w:pPr>
      <w:r>
        <w:rPr>
          <w:lang w:val="en-US"/>
        </w:rPr>
        <w:t xml:space="preserve">Sensitivity = {correct positive test (CPT)/[CPT + false negative test (FNT)]}×100% = </w:t>
      </w:r>
      <w:r w:rsidR="005E3255">
        <w:rPr>
          <w:lang w:val="en-US"/>
        </w:rPr>
        <w:t>87</w:t>
      </w:r>
      <w:r>
        <w:rPr>
          <w:lang w:val="en-US"/>
        </w:rPr>
        <w:sym w:font="Symbol" w:char="F0B1"/>
      </w:r>
      <w:r w:rsidR="005E3255">
        <w:rPr>
          <w:lang w:val="en-US"/>
        </w:rPr>
        <w:t>5</w:t>
      </w:r>
      <w:r>
        <w:rPr>
          <w:lang w:val="en-US"/>
        </w:rPr>
        <w:t>%;</w:t>
      </w:r>
    </w:p>
    <w:p w:rsidR="0029611F" w:rsidRDefault="0029611F" w:rsidP="0029611F">
      <w:pPr>
        <w:autoSpaceDE w:val="0"/>
        <w:autoSpaceDN w:val="0"/>
        <w:adjustRightInd w:val="0"/>
        <w:ind w:firstLine="340"/>
        <w:jc w:val="both"/>
        <w:rPr>
          <w:lang w:val="en-US"/>
        </w:rPr>
      </w:pPr>
      <w:r>
        <w:rPr>
          <w:lang w:val="en-US"/>
        </w:rPr>
        <w:t>Specificity = {correct negative test (CNT)/[CNT + false positive test (FPT)]}</w:t>
      </w:r>
      <w:r w:rsidRPr="007D15CC">
        <w:rPr>
          <w:lang w:val="en-US"/>
        </w:rPr>
        <w:t xml:space="preserve"> </w:t>
      </w:r>
      <w:r>
        <w:rPr>
          <w:lang w:val="en-US"/>
        </w:rPr>
        <w:t>×100% = 9</w:t>
      </w:r>
      <w:r w:rsidR="005E3255">
        <w:rPr>
          <w:lang w:val="en-US"/>
        </w:rPr>
        <w:t>6</w:t>
      </w:r>
      <w:r>
        <w:rPr>
          <w:lang w:val="en-US"/>
        </w:rPr>
        <w:sym w:font="Symbol" w:char="F0B1"/>
      </w:r>
      <w:r w:rsidR="005E3255">
        <w:rPr>
          <w:lang w:val="en-US"/>
        </w:rPr>
        <w:t>2</w:t>
      </w:r>
      <w:r>
        <w:rPr>
          <w:lang w:val="en-US"/>
        </w:rPr>
        <w:t>%;</w:t>
      </w:r>
    </w:p>
    <w:p w:rsidR="0029611F" w:rsidRDefault="00DC4D31" w:rsidP="0029611F">
      <w:pPr>
        <w:autoSpaceDE w:val="0"/>
        <w:autoSpaceDN w:val="0"/>
        <w:adjustRightInd w:val="0"/>
        <w:ind w:firstLine="340"/>
        <w:jc w:val="both"/>
        <w:rPr>
          <w:lang w:val="en-US"/>
        </w:rPr>
      </w:pPr>
      <w:r>
        <w:rPr>
          <w:lang w:val="en-US"/>
        </w:rPr>
        <w:t xml:space="preserve">Accuracy = </w:t>
      </w:r>
      <w:r w:rsidR="0029611F">
        <w:rPr>
          <w:lang w:val="en-US"/>
        </w:rPr>
        <w:t>[(CPT+CNT)/(CPT+FNT+CNT+FPT)] ×100% = 9</w:t>
      </w:r>
      <w:r w:rsidR="005E3255">
        <w:rPr>
          <w:lang w:val="en-US"/>
        </w:rPr>
        <w:t>4</w:t>
      </w:r>
      <w:r w:rsidR="0029611F">
        <w:rPr>
          <w:lang w:val="en-US"/>
        </w:rPr>
        <w:sym w:font="Symbol" w:char="F0B1"/>
      </w:r>
      <w:r w:rsidR="0029611F">
        <w:rPr>
          <w:lang w:val="en-US"/>
        </w:rPr>
        <w:t>2%.</w:t>
      </w:r>
    </w:p>
    <w:p w:rsidR="0029611F" w:rsidRDefault="0029611F" w:rsidP="0029611F">
      <w:pPr>
        <w:tabs>
          <w:tab w:val="left" w:pos="4111"/>
          <w:tab w:val="left" w:pos="9923"/>
        </w:tabs>
        <w:jc w:val="both"/>
        <w:rPr>
          <w:lang w:val="en-US"/>
        </w:rPr>
      </w:pPr>
      <w:r w:rsidRPr="003E7D1B">
        <w:rPr>
          <w:lang w:val="en-US"/>
        </w:rPr>
        <w:lastRenderedPageBreak/>
        <w:t>The number of people</w:t>
      </w:r>
      <w:r w:rsidRPr="00477C52">
        <w:rPr>
          <w:lang w:val="en-US"/>
        </w:rPr>
        <w:t xml:space="preserve"> </w:t>
      </w:r>
      <w:r w:rsidRPr="003E7D1B">
        <w:rPr>
          <w:lang w:val="en-US"/>
        </w:rPr>
        <w:t>examined was t</w:t>
      </w:r>
      <w:r>
        <w:rPr>
          <w:lang w:val="en-US"/>
        </w:rPr>
        <w:t>aken into account for calculation of confidence</w:t>
      </w:r>
      <w:r w:rsidRPr="003E7D1B">
        <w:rPr>
          <w:lang w:val="en-US"/>
        </w:rPr>
        <w:t xml:space="preserve"> intervals </w:t>
      </w:r>
      <w:r w:rsidR="00961EFD">
        <w:rPr>
          <w:lang w:val="en-US"/>
        </w:rPr>
        <w:t>[88]</w:t>
      </w:r>
      <w:r w:rsidRPr="003E7D1B">
        <w:rPr>
          <w:lang w:val="en-US"/>
        </w:rPr>
        <w:t xml:space="preserve">. In other words, if </w:t>
      </w:r>
      <w:r w:rsidR="00B450D6">
        <w:rPr>
          <w:lang w:val="en-US"/>
        </w:rPr>
        <w:t>I</w:t>
      </w:r>
      <w:r w:rsidRPr="003E7D1B">
        <w:rPr>
          <w:lang w:val="en-US"/>
        </w:rPr>
        <w:t xml:space="preserve"> contents in a </w:t>
      </w:r>
      <w:r w:rsidR="00B450D6">
        <w:rPr>
          <w:lang w:val="en-US"/>
        </w:rPr>
        <w:t>nodule</w:t>
      </w:r>
      <w:r w:rsidRPr="003E7D1B">
        <w:rPr>
          <w:lang w:val="en-US"/>
        </w:rPr>
        <w:t xml:space="preserve"> biopsy sample do not exceed </w:t>
      </w:r>
      <w:r w:rsidR="00B450D6">
        <w:rPr>
          <w:lang w:val="en-US"/>
        </w:rPr>
        <w:t>145</w:t>
      </w:r>
      <w:r w:rsidRPr="003E7D1B">
        <w:rPr>
          <w:lang w:val="en-US"/>
        </w:rPr>
        <w:t xml:space="preserve"> mg/kg dry tissue, one could diagnose a malignant tumor with an accuracy of 9</w:t>
      </w:r>
      <w:r w:rsidR="00B450D6">
        <w:rPr>
          <w:lang w:val="en-US"/>
        </w:rPr>
        <w:t>4</w:t>
      </w:r>
      <w:r w:rsidRPr="003E7D1B">
        <w:rPr>
          <w:lang w:val="en-US"/>
        </w:rPr>
        <w:sym w:font="Symbol" w:char="F0B1"/>
      </w:r>
      <w:r w:rsidRPr="003E7D1B">
        <w:rPr>
          <w:lang w:val="en-US"/>
        </w:rPr>
        <w:t>2%</w:t>
      </w:r>
      <w:r>
        <w:rPr>
          <w:lang w:val="en-US"/>
        </w:rPr>
        <w:t xml:space="preserve">. </w:t>
      </w:r>
      <w:r w:rsidR="00961EFD">
        <w:rPr>
          <w:lang w:val="en-US"/>
        </w:rPr>
        <w:t>U</w:t>
      </w:r>
      <w:r w:rsidRPr="003E7D1B">
        <w:rPr>
          <w:lang w:val="en-US"/>
        </w:rPr>
        <w:t xml:space="preserve">sing the </w:t>
      </w:r>
      <w:r w:rsidR="00B450D6">
        <w:rPr>
          <w:lang w:val="en-US"/>
        </w:rPr>
        <w:t>I</w:t>
      </w:r>
      <w:r w:rsidRPr="003E7D1B">
        <w:rPr>
          <w:lang w:val="en-US"/>
        </w:rPr>
        <w:t xml:space="preserve">-test makes it possible to diagnose </w:t>
      </w:r>
      <w:r w:rsidR="00B450D6">
        <w:rPr>
          <w:lang w:val="en-US"/>
        </w:rPr>
        <w:t>thyroid malignancy</w:t>
      </w:r>
      <w:r w:rsidRPr="003E7D1B">
        <w:rPr>
          <w:lang w:val="en-US"/>
        </w:rPr>
        <w:t xml:space="preserve"> in </w:t>
      </w:r>
      <w:r w:rsidR="00B450D6">
        <w:rPr>
          <w:lang w:val="en-US"/>
        </w:rPr>
        <w:t>87</w:t>
      </w:r>
      <w:r w:rsidRPr="003E7D1B">
        <w:rPr>
          <w:lang w:val="en-US"/>
        </w:rPr>
        <w:sym w:font="Symbol" w:char="F0B1"/>
      </w:r>
      <w:r w:rsidR="00B450D6">
        <w:rPr>
          <w:lang w:val="en-US"/>
        </w:rPr>
        <w:t>5</w:t>
      </w:r>
      <w:r w:rsidRPr="003E7D1B">
        <w:rPr>
          <w:lang w:val="en-US"/>
        </w:rPr>
        <w:t>% cases (sensitivity).</w:t>
      </w:r>
    </w:p>
    <w:commentRangeEnd w:id="73"/>
    <w:p w:rsidR="007C665C" w:rsidRDefault="00115BD2" w:rsidP="0029611F">
      <w:pPr>
        <w:tabs>
          <w:tab w:val="left" w:pos="4111"/>
          <w:tab w:val="left" w:pos="9923"/>
        </w:tabs>
        <w:jc w:val="both"/>
        <w:rPr>
          <w:lang w:val="en-US"/>
        </w:rPr>
      </w:pPr>
      <w:r>
        <w:rPr>
          <w:rStyle w:val="CommentReference"/>
        </w:rPr>
        <w:commentReference w:id="73"/>
      </w:r>
    </w:p>
    <w:p w:rsidR="00115BD2" w:rsidRDefault="00115BD2" w:rsidP="00115BD2">
      <w:pPr>
        <w:tabs>
          <w:tab w:val="left" w:pos="4111"/>
          <w:tab w:val="left" w:pos="9923"/>
        </w:tabs>
        <w:jc w:val="both"/>
        <w:rPr>
          <w:lang w:val="en-US"/>
        </w:rPr>
      </w:pPr>
      <w:commentRangeStart w:id="74"/>
      <w:r>
        <w:rPr>
          <w:lang w:val="en-US"/>
        </w:rPr>
        <w:t>From Table 2 and Figure 1 t</w:t>
      </w:r>
      <w:r w:rsidRPr="003E7D1B">
        <w:rPr>
          <w:lang w:val="en-US"/>
        </w:rPr>
        <w:t>he number of people</w:t>
      </w:r>
      <w:r w:rsidRPr="00477C52">
        <w:rPr>
          <w:lang w:val="en-US"/>
        </w:rPr>
        <w:t xml:space="preserve"> </w:t>
      </w:r>
      <w:r w:rsidRPr="003E7D1B">
        <w:rPr>
          <w:lang w:val="en-US"/>
        </w:rPr>
        <w:t>examined was t</w:t>
      </w:r>
      <w:r>
        <w:rPr>
          <w:lang w:val="en-US"/>
        </w:rPr>
        <w:t>aken into account for calculation of confidence</w:t>
      </w:r>
      <w:r w:rsidRPr="003E7D1B">
        <w:rPr>
          <w:lang w:val="en-US"/>
        </w:rPr>
        <w:t xml:space="preserve"> intervals </w:t>
      </w:r>
      <w:r>
        <w:rPr>
          <w:lang w:val="en-US"/>
        </w:rPr>
        <w:t>[88]</w:t>
      </w:r>
      <w:r w:rsidRPr="003E7D1B">
        <w:rPr>
          <w:lang w:val="en-US"/>
        </w:rPr>
        <w:t xml:space="preserve">. In other words, if </w:t>
      </w:r>
      <w:r>
        <w:rPr>
          <w:lang w:val="en-US"/>
        </w:rPr>
        <w:t>I</w:t>
      </w:r>
      <w:r w:rsidRPr="003E7D1B">
        <w:rPr>
          <w:lang w:val="en-US"/>
        </w:rPr>
        <w:t xml:space="preserve"> contents in a </w:t>
      </w:r>
      <w:r>
        <w:rPr>
          <w:lang w:val="en-US"/>
        </w:rPr>
        <w:t>nodule</w:t>
      </w:r>
      <w:r w:rsidRPr="003E7D1B">
        <w:rPr>
          <w:lang w:val="en-US"/>
        </w:rPr>
        <w:t xml:space="preserve"> biopsy sample do not exceed </w:t>
      </w:r>
      <w:r>
        <w:rPr>
          <w:lang w:val="en-US"/>
        </w:rPr>
        <w:t>145</w:t>
      </w:r>
      <w:r w:rsidRPr="003E7D1B">
        <w:rPr>
          <w:lang w:val="en-US"/>
        </w:rPr>
        <w:t xml:space="preserve"> mg/kg dry tissue, one could diagnose a malignant tumor with an accuracy of 9</w:t>
      </w:r>
      <w:r>
        <w:rPr>
          <w:lang w:val="en-US"/>
        </w:rPr>
        <w:t>4</w:t>
      </w:r>
      <w:r w:rsidRPr="003E7D1B">
        <w:rPr>
          <w:lang w:val="en-US"/>
        </w:rPr>
        <w:sym w:font="Symbol" w:char="F0B1"/>
      </w:r>
      <w:r w:rsidRPr="003E7D1B">
        <w:rPr>
          <w:lang w:val="en-US"/>
        </w:rPr>
        <w:t>2%</w:t>
      </w:r>
      <w:r>
        <w:rPr>
          <w:lang w:val="en-US"/>
        </w:rPr>
        <w:t>. U</w:t>
      </w:r>
      <w:r w:rsidRPr="003E7D1B">
        <w:rPr>
          <w:lang w:val="en-US"/>
        </w:rPr>
        <w:t xml:space="preserve">sing the </w:t>
      </w:r>
      <w:r>
        <w:rPr>
          <w:lang w:val="en-US"/>
        </w:rPr>
        <w:t>I</w:t>
      </w:r>
      <w:r w:rsidRPr="003E7D1B">
        <w:rPr>
          <w:lang w:val="en-US"/>
        </w:rPr>
        <w:t xml:space="preserve">-test makes it possible to diagnose </w:t>
      </w:r>
      <w:r>
        <w:rPr>
          <w:lang w:val="en-US"/>
        </w:rPr>
        <w:t>thyroid malignancy</w:t>
      </w:r>
      <w:r w:rsidRPr="003E7D1B">
        <w:rPr>
          <w:lang w:val="en-US"/>
        </w:rPr>
        <w:t xml:space="preserve"> in </w:t>
      </w:r>
      <w:r>
        <w:rPr>
          <w:lang w:val="en-US"/>
        </w:rPr>
        <w:t>87</w:t>
      </w:r>
      <w:r w:rsidRPr="003E7D1B">
        <w:rPr>
          <w:lang w:val="en-US"/>
        </w:rPr>
        <w:sym w:font="Symbol" w:char="F0B1"/>
      </w:r>
      <w:r>
        <w:rPr>
          <w:lang w:val="en-US"/>
        </w:rPr>
        <w:t>5</w:t>
      </w:r>
      <w:r w:rsidRPr="003E7D1B">
        <w:rPr>
          <w:lang w:val="en-US"/>
        </w:rPr>
        <w:t>% cases (sensitivity).</w:t>
      </w:r>
      <w:commentRangeEnd w:id="74"/>
      <w:r>
        <w:rPr>
          <w:rStyle w:val="CommentReference"/>
        </w:rPr>
        <w:commentReference w:id="74"/>
      </w:r>
    </w:p>
    <w:p w:rsidR="00115BD2" w:rsidRDefault="00115BD2" w:rsidP="0029611F">
      <w:pPr>
        <w:tabs>
          <w:tab w:val="left" w:pos="4111"/>
          <w:tab w:val="left" w:pos="9923"/>
        </w:tabs>
        <w:jc w:val="both"/>
        <w:rPr>
          <w:lang w:val="en-US"/>
        </w:rPr>
      </w:pPr>
    </w:p>
    <w:p w:rsidR="007C665C" w:rsidRPr="00975152" w:rsidRDefault="007C665C" w:rsidP="007C665C">
      <w:pPr>
        <w:spacing w:after="120"/>
        <w:rPr>
          <w:lang w:val="en-US"/>
        </w:rPr>
      </w:pPr>
      <w:r w:rsidRPr="004D26EE">
        <w:rPr>
          <w:b/>
          <w:lang w:val="en-US"/>
        </w:rPr>
        <w:t xml:space="preserve">Table </w:t>
      </w:r>
      <w:r>
        <w:rPr>
          <w:b/>
          <w:lang w:val="en-US"/>
        </w:rPr>
        <w:t>5</w:t>
      </w:r>
      <w:r w:rsidRPr="00975152">
        <w:rPr>
          <w:lang w:val="en-US"/>
        </w:rPr>
        <w:t xml:space="preserve">. Reference data of </w:t>
      </w:r>
      <w:r>
        <w:rPr>
          <w:lang w:val="en-US"/>
        </w:rPr>
        <w:t>I</w:t>
      </w:r>
      <w:r w:rsidRPr="00975152">
        <w:rPr>
          <w:lang w:val="en-US"/>
        </w:rPr>
        <w:t xml:space="preserve"> mass fractions in </w:t>
      </w:r>
      <w:r w:rsidRPr="001A077B">
        <w:rPr>
          <w:lang w:val="en-US"/>
        </w:rPr>
        <w:t xml:space="preserve">thyroid </w:t>
      </w:r>
      <w:r>
        <w:rPr>
          <w:lang w:val="en-US"/>
        </w:rPr>
        <w:t>benign nodules published from 1990 year</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09"/>
        <w:gridCol w:w="425"/>
        <w:gridCol w:w="1257"/>
        <w:gridCol w:w="1322"/>
        <w:gridCol w:w="1229"/>
        <w:gridCol w:w="1283"/>
      </w:tblGrid>
      <w:tr w:rsidR="007C665C" w:rsidRPr="007C665C" w:rsidTr="007C665C">
        <w:trPr>
          <w:cantSplit/>
          <w:trHeight w:val="164"/>
        </w:trPr>
        <w:tc>
          <w:tcPr>
            <w:tcW w:w="2552" w:type="dxa"/>
            <w:vMerge w:val="restart"/>
            <w:tcBorders>
              <w:left w:val="nil"/>
              <w:right w:val="nil"/>
            </w:tcBorders>
          </w:tcPr>
          <w:p w:rsidR="007C665C" w:rsidRPr="00103727" w:rsidRDefault="007C665C" w:rsidP="00AC6C70">
            <w:r w:rsidRPr="00103727">
              <w:rPr>
                <w:sz w:val="22"/>
              </w:rPr>
              <w:t>Reference</w:t>
            </w:r>
          </w:p>
        </w:tc>
        <w:tc>
          <w:tcPr>
            <w:tcW w:w="1509" w:type="dxa"/>
            <w:vMerge w:val="restart"/>
            <w:tcBorders>
              <w:left w:val="nil"/>
              <w:right w:val="nil"/>
            </w:tcBorders>
          </w:tcPr>
          <w:p w:rsidR="007C665C" w:rsidRPr="00103727" w:rsidRDefault="007C665C" w:rsidP="00AC6C70">
            <w:pPr>
              <w:jc w:val="center"/>
            </w:pPr>
            <w:r w:rsidRPr="00103727">
              <w:rPr>
                <w:sz w:val="22"/>
              </w:rPr>
              <w:t>Method</w:t>
            </w:r>
          </w:p>
        </w:tc>
        <w:tc>
          <w:tcPr>
            <w:tcW w:w="425" w:type="dxa"/>
            <w:vMerge w:val="restart"/>
            <w:tcBorders>
              <w:left w:val="nil"/>
              <w:right w:val="nil"/>
            </w:tcBorders>
          </w:tcPr>
          <w:p w:rsidR="007C665C" w:rsidRPr="00103727" w:rsidRDefault="007C665C" w:rsidP="00AC6C70">
            <w:pPr>
              <w:jc w:val="center"/>
            </w:pPr>
            <w:r w:rsidRPr="00103727">
              <w:rPr>
                <w:sz w:val="22"/>
              </w:rPr>
              <w:t>n</w:t>
            </w:r>
          </w:p>
        </w:tc>
        <w:tc>
          <w:tcPr>
            <w:tcW w:w="1257" w:type="dxa"/>
            <w:vMerge w:val="restart"/>
            <w:tcBorders>
              <w:left w:val="nil"/>
              <w:right w:val="nil"/>
            </w:tcBorders>
          </w:tcPr>
          <w:p w:rsidR="007C665C" w:rsidRPr="00103727" w:rsidRDefault="007C665C" w:rsidP="00AC6C70">
            <w:pPr>
              <w:jc w:val="center"/>
            </w:pPr>
            <w:r w:rsidRPr="00103727">
              <w:rPr>
                <w:sz w:val="22"/>
              </w:rPr>
              <w:t>Age, years</w:t>
            </w:r>
          </w:p>
          <w:p w:rsidR="007C665C" w:rsidRPr="00103727" w:rsidRDefault="007C665C" w:rsidP="00AC6C70">
            <w:pPr>
              <w:jc w:val="center"/>
            </w:pPr>
            <w:r w:rsidRPr="00103727">
              <w:rPr>
                <w:sz w:val="22"/>
              </w:rPr>
              <w:t>M(Range)</w:t>
            </w:r>
          </w:p>
        </w:tc>
        <w:tc>
          <w:tcPr>
            <w:tcW w:w="1322" w:type="dxa"/>
            <w:vMerge w:val="restart"/>
            <w:tcBorders>
              <w:left w:val="nil"/>
              <w:right w:val="nil"/>
            </w:tcBorders>
          </w:tcPr>
          <w:p w:rsidR="007C665C" w:rsidRPr="00103727" w:rsidRDefault="007C665C" w:rsidP="00AC6C70">
            <w:pPr>
              <w:jc w:val="center"/>
              <w:rPr>
                <w:lang w:val="de-DE"/>
              </w:rPr>
            </w:pPr>
            <w:r w:rsidRPr="00103727">
              <w:rPr>
                <w:sz w:val="22"/>
                <w:lang w:val="de-DE"/>
              </w:rPr>
              <w:t>Sample</w:t>
            </w:r>
          </w:p>
          <w:p w:rsidR="007C665C" w:rsidRPr="00103727" w:rsidRDefault="007C665C" w:rsidP="00AC6C70">
            <w:pPr>
              <w:jc w:val="center"/>
            </w:pPr>
            <w:r w:rsidRPr="00103727">
              <w:rPr>
                <w:sz w:val="22"/>
                <w:lang w:val="de-DE"/>
              </w:rPr>
              <w:t>preparation</w:t>
            </w:r>
          </w:p>
        </w:tc>
        <w:tc>
          <w:tcPr>
            <w:tcW w:w="2512" w:type="dxa"/>
            <w:gridSpan w:val="2"/>
            <w:tcBorders>
              <w:left w:val="nil"/>
              <w:right w:val="nil"/>
            </w:tcBorders>
          </w:tcPr>
          <w:p w:rsidR="007C665C" w:rsidRPr="004D26EE" w:rsidRDefault="007C665C" w:rsidP="00AC6C70">
            <w:pPr>
              <w:jc w:val="center"/>
              <w:rPr>
                <w:lang w:val="en-US"/>
              </w:rPr>
            </w:pPr>
            <w:r>
              <w:rPr>
                <w:lang w:val="en-US"/>
              </w:rPr>
              <w:t xml:space="preserve">I, </w:t>
            </w:r>
            <w:r w:rsidRPr="00975152">
              <w:rPr>
                <w:lang w:val="en-US"/>
              </w:rPr>
              <w:t xml:space="preserve">mg/kg </w:t>
            </w:r>
            <w:r>
              <w:rPr>
                <w:lang w:val="en-US"/>
              </w:rPr>
              <w:t>dry</w:t>
            </w:r>
            <w:r w:rsidRPr="00975152">
              <w:rPr>
                <w:lang w:val="en-US"/>
              </w:rPr>
              <w:t xml:space="preserve"> tissue</w:t>
            </w:r>
          </w:p>
        </w:tc>
      </w:tr>
      <w:tr w:rsidR="007C665C" w:rsidRPr="00103727" w:rsidTr="007C665C">
        <w:trPr>
          <w:cantSplit/>
          <w:trHeight w:val="300"/>
        </w:trPr>
        <w:tc>
          <w:tcPr>
            <w:tcW w:w="2552" w:type="dxa"/>
            <w:vMerge/>
            <w:tcBorders>
              <w:left w:val="nil"/>
              <w:bottom w:val="single" w:sz="4" w:space="0" w:color="auto"/>
              <w:right w:val="nil"/>
            </w:tcBorders>
          </w:tcPr>
          <w:p w:rsidR="007C665C" w:rsidRPr="004D26EE" w:rsidRDefault="007C665C" w:rsidP="00AC6C70">
            <w:pPr>
              <w:rPr>
                <w:lang w:val="en-US"/>
              </w:rPr>
            </w:pPr>
          </w:p>
        </w:tc>
        <w:tc>
          <w:tcPr>
            <w:tcW w:w="1509" w:type="dxa"/>
            <w:vMerge/>
            <w:tcBorders>
              <w:left w:val="nil"/>
              <w:bottom w:val="single" w:sz="4" w:space="0" w:color="auto"/>
              <w:right w:val="nil"/>
            </w:tcBorders>
          </w:tcPr>
          <w:p w:rsidR="007C665C" w:rsidRPr="004D26EE" w:rsidRDefault="007C665C" w:rsidP="00AC6C70">
            <w:pPr>
              <w:jc w:val="center"/>
              <w:rPr>
                <w:lang w:val="en-US"/>
              </w:rPr>
            </w:pPr>
          </w:p>
        </w:tc>
        <w:tc>
          <w:tcPr>
            <w:tcW w:w="425" w:type="dxa"/>
            <w:vMerge/>
            <w:tcBorders>
              <w:left w:val="nil"/>
              <w:bottom w:val="single" w:sz="4" w:space="0" w:color="auto"/>
              <w:right w:val="nil"/>
            </w:tcBorders>
          </w:tcPr>
          <w:p w:rsidR="007C665C" w:rsidRPr="004D26EE" w:rsidRDefault="007C665C" w:rsidP="00AC6C70">
            <w:pPr>
              <w:jc w:val="center"/>
              <w:rPr>
                <w:lang w:val="en-US"/>
              </w:rPr>
            </w:pPr>
          </w:p>
        </w:tc>
        <w:tc>
          <w:tcPr>
            <w:tcW w:w="1257" w:type="dxa"/>
            <w:vMerge/>
            <w:tcBorders>
              <w:left w:val="nil"/>
              <w:bottom w:val="single" w:sz="4" w:space="0" w:color="auto"/>
              <w:right w:val="nil"/>
            </w:tcBorders>
          </w:tcPr>
          <w:p w:rsidR="007C665C" w:rsidRPr="004D26EE" w:rsidRDefault="007C665C" w:rsidP="00AC6C70">
            <w:pPr>
              <w:jc w:val="center"/>
              <w:rPr>
                <w:lang w:val="en-US"/>
              </w:rPr>
            </w:pPr>
          </w:p>
        </w:tc>
        <w:tc>
          <w:tcPr>
            <w:tcW w:w="1322" w:type="dxa"/>
            <w:vMerge/>
            <w:tcBorders>
              <w:left w:val="nil"/>
              <w:bottom w:val="single" w:sz="4" w:space="0" w:color="auto"/>
              <w:right w:val="nil"/>
            </w:tcBorders>
          </w:tcPr>
          <w:p w:rsidR="007C665C" w:rsidRPr="004D26EE" w:rsidRDefault="007C665C" w:rsidP="00AC6C70">
            <w:pPr>
              <w:jc w:val="center"/>
              <w:rPr>
                <w:lang w:val="en-US"/>
              </w:rPr>
            </w:pPr>
          </w:p>
        </w:tc>
        <w:tc>
          <w:tcPr>
            <w:tcW w:w="1229" w:type="dxa"/>
            <w:tcBorders>
              <w:left w:val="nil"/>
              <w:bottom w:val="single" w:sz="4" w:space="0" w:color="auto"/>
              <w:right w:val="nil"/>
            </w:tcBorders>
          </w:tcPr>
          <w:p w:rsidR="007C665C" w:rsidRPr="00103727" w:rsidRDefault="007C665C" w:rsidP="00AC6C70">
            <w:pPr>
              <w:jc w:val="center"/>
            </w:pPr>
            <w:r w:rsidRPr="00103727">
              <w:rPr>
                <w:sz w:val="22"/>
              </w:rPr>
              <w:t>M</w:t>
            </w:r>
            <w:r w:rsidRPr="00103727">
              <w:rPr>
                <w:sz w:val="22"/>
              </w:rPr>
              <w:sym w:font="Symbol" w:char="F0B1"/>
            </w:r>
            <w:r w:rsidRPr="00103727">
              <w:rPr>
                <w:sz w:val="22"/>
              </w:rPr>
              <w:t>SD</w:t>
            </w:r>
          </w:p>
        </w:tc>
        <w:tc>
          <w:tcPr>
            <w:tcW w:w="1283" w:type="dxa"/>
            <w:tcBorders>
              <w:left w:val="nil"/>
              <w:bottom w:val="single" w:sz="4" w:space="0" w:color="auto"/>
              <w:right w:val="nil"/>
            </w:tcBorders>
          </w:tcPr>
          <w:p w:rsidR="007C665C" w:rsidRPr="00103727" w:rsidRDefault="007C665C" w:rsidP="00AC6C70">
            <w:pPr>
              <w:jc w:val="center"/>
            </w:pPr>
            <w:r w:rsidRPr="00103727">
              <w:rPr>
                <w:sz w:val="22"/>
              </w:rPr>
              <w:t>Range</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AC6C70">
            <w:pPr>
              <w:rPr>
                <w:rFonts w:eastAsia="Arial Unicode MS"/>
                <w:sz w:val="20"/>
                <w:szCs w:val="20"/>
                <w:lang w:val="en-US"/>
              </w:rPr>
            </w:pPr>
            <w:r>
              <w:rPr>
                <w:bCs/>
                <w:kern w:val="36"/>
                <w:sz w:val="20"/>
                <w:szCs w:val="20"/>
                <w:lang w:val="en-US"/>
              </w:rPr>
              <w:t>Nishit</w:t>
            </w:r>
            <w:r w:rsidRPr="00AD7794">
              <w:rPr>
                <w:bCs/>
                <w:kern w:val="36"/>
                <w:sz w:val="20"/>
                <w:szCs w:val="20"/>
                <w:lang w:val="en-US"/>
              </w:rPr>
              <w:t>a et al</w:t>
            </w:r>
            <w:r>
              <w:rPr>
                <w:bCs/>
                <w:kern w:val="36"/>
                <w:sz w:val="20"/>
                <w:szCs w:val="20"/>
                <w:lang w:val="en-US"/>
              </w:rPr>
              <w:t>.</w:t>
            </w:r>
            <w:r w:rsidRPr="00AD7794">
              <w:rPr>
                <w:bCs/>
                <w:kern w:val="36"/>
                <w:sz w:val="20"/>
                <w:szCs w:val="20"/>
                <w:lang w:val="en-US"/>
              </w:rPr>
              <w:t xml:space="preserve"> 1990</w:t>
            </w:r>
            <w:r>
              <w:rPr>
                <w:bCs/>
                <w:kern w:val="36"/>
                <w:sz w:val="20"/>
                <w:szCs w:val="20"/>
                <w:lang w:val="en-US"/>
              </w:rPr>
              <w:t xml:space="preserve"> </w:t>
            </w:r>
            <w:r>
              <w:rPr>
                <w:rFonts w:eastAsia="GulliverRM"/>
                <w:sz w:val="20"/>
                <w:szCs w:val="20"/>
                <w:lang w:val="en-US"/>
              </w:rPr>
              <w:t>[73]</w:t>
            </w: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14</w:t>
            </w:r>
          </w:p>
        </w:tc>
        <w:tc>
          <w:tcPr>
            <w:tcW w:w="1257"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28-71</w:t>
            </w: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396±74</w:t>
            </w:r>
          </w:p>
        </w:tc>
        <w:tc>
          <w:tcPr>
            <w:tcW w:w="1283" w:type="dxa"/>
            <w:tcBorders>
              <w:top w:val="nil"/>
              <w:left w:val="nil"/>
              <w:bottom w:val="nil"/>
              <w:right w:val="nil"/>
            </w:tcBorders>
          </w:tcPr>
          <w:p w:rsidR="007C665C" w:rsidRPr="000654C5" w:rsidRDefault="007C665C" w:rsidP="00AC6C70">
            <w:pPr>
              <w:jc w:val="center"/>
              <w:rPr>
                <w:sz w:val="20"/>
                <w:szCs w:val="20"/>
                <w:lang w:val="en-US"/>
              </w:rPr>
            </w:pPr>
            <w:r w:rsidRPr="000654C5">
              <w:rPr>
                <w:sz w:val="20"/>
                <w:szCs w:val="20"/>
                <w:lang w:val="en-US"/>
              </w:rPr>
              <w:t>66-1028</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AC6C70">
            <w:pPr>
              <w:rPr>
                <w:rFonts w:eastAsia="Arial Unicode MS"/>
                <w:sz w:val="20"/>
                <w:szCs w:val="20"/>
                <w:lang w:val="en-US"/>
              </w:rPr>
            </w:pP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7</w:t>
            </w:r>
          </w:p>
        </w:tc>
        <w:tc>
          <w:tcPr>
            <w:tcW w:w="1257"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18-74</w:t>
            </w: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115±40</w:t>
            </w:r>
          </w:p>
        </w:tc>
        <w:tc>
          <w:tcPr>
            <w:tcW w:w="1283" w:type="dxa"/>
            <w:tcBorders>
              <w:top w:val="nil"/>
              <w:left w:val="nil"/>
              <w:bottom w:val="nil"/>
              <w:right w:val="nil"/>
            </w:tcBorders>
          </w:tcPr>
          <w:p w:rsidR="007C665C" w:rsidRPr="000654C5" w:rsidRDefault="007C665C" w:rsidP="00AC6C70">
            <w:pPr>
              <w:jc w:val="center"/>
              <w:rPr>
                <w:sz w:val="20"/>
                <w:szCs w:val="20"/>
                <w:lang w:val="en-US"/>
              </w:rPr>
            </w:pPr>
            <w:r w:rsidRPr="000654C5">
              <w:rPr>
                <w:sz w:val="20"/>
                <w:szCs w:val="20"/>
                <w:lang w:val="en-US"/>
              </w:rPr>
              <w:t>21-344</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AC6C70">
            <w:pPr>
              <w:rPr>
                <w:sz w:val="20"/>
                <w:szCs w:val="20"/>
                <w:shd w:val="clear" w:color="auto" w:fill="FFFFFF"/>
                <w:lang w:val="en-US"/>
              </w:rPr>
            </w:pPr>
            <w:r w:rsidRPr="00AD7794">
              <w:rPr>
                <w:sz w:val="20"/>
                <w:szCs w:val="20"/>
                <w:shd w:val="clear" w:color="auto" w:fill="FFFFFF"/>
                <w:lang w:val="en-US"/>
              </w:rPr>
              <w:t>Aeschimann et al</w:t>
            </w:r>
            <w:r>
              <w:rPr>
                <w:sz w:val="20"/>
                <w:szCs w:val="20"/>
                <w:shd w:val="clear" w:color="auto" w:fill="FFFFFF"/>
                <w:lang w:val="en-US"/>
              </w:rPr>
              <w:t>.</w:t>
            </w:r>
            <w:r w:rsidRPr="00AD7794">
              <w:rPr>
                <w:sz w:val="20"/>
                <w:szCs w:val="20"/>
                <w:shd w:val="clear" w:color="auto" w:fill="FFFFFF"/>
                <w:lang w:val="en-US"/>
              </w:rPr>
              <w:t>1994</w:t>
            </w:r>
            <w:r>
              <w:rPr>
                <w:sz w:val="20"/>
                <w:szCs w:val="20"/>
                <w:shd w:val="clear" w:color="auto" w:fill="FFFFFF"/>
                <w:lang w:val="en-US"/>
              </w:rPr>
              <w:t xml:space="preserve"> </w:t>
            </w:r>
            <w:r>
              <w:rPr>
                <w:rFonts w:eastAsia="GulliverRM"/>
                <w:sz w:val="20"/>
                <w:szCs w:val="20"/>
                <w:lang w:val="en-US"/>
              </w:rPr>
              <w:t>[54]</w:t>
            </w: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Chem</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11</w:t>
            </w:r>
          </w:p>
        </w:tc>
        <w:tc>
          <w:tcPr>
            <w:tcW w:w="1257"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t>
            </w: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szCs w:val="20"/>
                <w:lang w:val="en-US"/>
              </w:rPr>
              <w:t>AD</w:t>
            </w:r>
          </w:p>
        </w:tc>
        <w:tc>
          <w:tcPr>
            <w:tcW w:w="1229" w:type="dxa"/>
            <w:tcBorders>
              <w:top w:val="nil"/>
              <w:left w:val="nil"/>
              <w:bottom w:val="nil"/>
              <w:right w:val="nil"/>
            </w:tcBorders>
          </w:tcPr>
          <w:p w:rsidR="007C665C" w:rsidRPr="00AD7794" w:rsidRDefault="007C665C" w:rsidP="00AC6C70">
            <w:pPr>
              <w:jc w:val="center"/>
              <w:rPr>
                <w:rStyle w:val="apple-converted-space"/>
                <w:sz w:val="20"/>
                <w:szCs w:val="20"/>
                <w:lang w:val="en-US"/>
              </w:rPr>
            </w:pPr>
            <w:r w:rsidRPr="00AD7794">
              <w:rPr>
                <w:rStyle w:val="apple-converted-space"/>
                <w:sz w:val="20"/>
                <w:szCs w:val="20"/>
                <w:lang w:val="en-US"/>
              </w:rPr>
              <w:t>516</w:t>
            </w:r>
          </w:p>
        </w:tc>
        <w:tc>
          <w:tcPr>
            <w:tcW w:w="1283" w:type="dxa"/>
            <w:tcBorders>
              <w:top w:val="nil"/>
              <w:left w:val="nil"/>
              <w:bottom w:val="nil"/>
              <w:right w:val="nil"/>
            </w:tcBorders>
          </w:tcPr>
          <w:p w:rsidR="007C665C" w:rsidRDefault="007C665C" w:rsidP="00AC6C70">
            <w:pPr>
              <w:jc w:val="center"/>
              <w:rPr>
                <w:sz w:val="20"/>
                <w:lang w:val="en-US"/>
              </w:rPr>
            </w:pPr>
            <w:r>
              <w:rPr>
                <w:sz w:val="20"/>
                <w:lang w:val="en-US"/>
              </w:rPr>
              <w:t>92-3548</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AC6C70">
            <w:pPr>
              <w:rPr>
                <w:sz w:val="20"/>
                <w:szCs w:val="20"/>
                <w:lang w:val="en-US"/>
              </w:rPr>
            </w:pPr>
            <w:r w:rsidRPr="00AD7794">
              <w:rPr>
                <w:rFonts w:eastAsia="Arial Unicode MS"/>
                <w:sz w:val="20"/>
                <w:szCs w:val="20"/>
                <w:lang w:val="en-US"/>
              </w:rPr>
              <w:t>Bellisola et al</w:t>
            </w:r>
            <w:r>
              <w:rPr>
                <w:rFonts w:eastAsia="Arial Unicode MS"/>
                <w:sz w:val="20"/>
                <w:szCs w:val="20"/>
                <w:lang w:val="en-US"/>
              </w:rPr>
              <w:t>.</w:t>
            </w:r>
            <w:r w:rsidRPr="00AD7794">
              <w:rPr>
                <w:rFonts w:eastAsia="Arial Unicode MS"/>
                <w:sz w:val="20"/>
                <w:szCs w:val="20"/>
                <w:lang w:val="en-US"/>
              </w:rPr>
              <w:t xml:space="preserve"> 1998</w:t>
            </w:r>
            <w:r>
              <w:rPr>
                <w:rFonts w:eastAsia="Arial Unicode MS"/>
                <w:sz w:val="20"/>
                <w:szCs w:val="20"/>
                <w:lang w:val="en-US"/>
              </w:rPr>
              <w:t xml:space="preserve"> </w:t>
            </w:r>
            <w:r>
              <w:rPr>
                <w:rFonts w:eastAsia="GulliverRM"/>
                <w:sz w:val="20"/>
                <w:szCs w:val="20"/>
                <w:lang w:val="en-US"/>
              </w:rPr>
              <w:t>[74]</w:t>
            </w: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AC6C70">
            <w:pPr>
              <w:jc w:val="center"/>
              <w:rPr>
                <w:sz w:val="20"/>
                <w:lang w:val="fr-FR"/>
              </w:rPr>
            </w:pPr>
            <w:r w:rsidRPr="00AD7794">
              <w:rPr>
                <w:sz w:val="20"/>
                <w:lang w:val="fr-FR"/>
              </w:rPr>
              <w:t>20</w:t>
            </w:r>
          </w:p>
        </w:tc>
        <w:tc>
          <w:tcPr>
            <w:tcW w:w="1257"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17-82</w:t>
            </w: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660 ±360</w:t>
            </w:r>
          </w:p>
        </w:tc>
        <w:tc>
          <w:tcPr>
            <w:tcW w:w="1283" w:type="dxa"/>
            <w:tcBorders>
              <w:top w:val="nil"/>
              <w:left w:val="nil"/>
              <w:bottom w:val="nil"/>
              <w:right w:val="nil"/>
            </w:tcBorders>
          </w:tcPr>
          <w:p w:rsidR="007C665C" w:rsidRPr="002E6D42" w:rsidRDefault="007C665C" w:rsidP="00AC6C70">
            <w:pPr>
              <w:jc w:val="center"/>
              <w:rPr>
                <w:sz w:val="20"/>
                <w:szCs w:val="20"/>
                <w:lang w:val="en-US"/>
              </w:rPr>
            </w:pPr>
            <w:r w:rsidRPr="002E6D42">
              <w:rPr>
                <w:sz w:val="20"/>
                <w:szCs w:val="20"/>
                <w:lang w:val="en-US"/>
              </w:rPr>
              <w:t>56</w:t>
            </w:r>
            <w:r>
              <w:rPr>
                <w:sz w:val="20"/>
                <w:szCs w:val="20"/>
                <w:lang w:val="en-US"/>
              </w:rPr>
              <w:t>0 -</w:t>
            </w:r>
            <w:r w:rsidRPr="002E6D42">
              <w:rPr>
                <w:sz w:val="20"/>
                <w:szCs w:val="20"/>
                <w:lang w:val="en-US"/>
              </w:rPr>
              <w:t>.91</w:t>
            </w:r>
            <w:r>
              <w:rPr>
                <w:sz w:val="20"/>
                <w:szCs w:val="20"/>
                <w:lang w:val="en-US"/>
              </w:rPr>
              <w:t>0</w:t>
            </w:r>
          </w:p>
        </w:tc>
      </w:tr>
      <w:tr w:rsidR="007C665C" w:rsidRPr="002A7A74" w:rsidTr="007C665C">
        <w:trPr>
          <w:trHeight w:val="50"/>
        </w:trPr>
        <w:tc>
          <w:tcPr>
            <w:tcW w:w="2552" w:type="dxa"/>
            <w:tcBorders>
              <w:top w:val="nil"/>
              <w:left w:val="nil"/>
              <w:bottom w:val="nil"/>
              <w:right w:val="nil"/>
            </w:tcBorders>
          </w:tcPr>
          <w:p w:rsidR="007C665C" w:rsidRPr="00AD7794" w:rsidRDefault="007C665C" w:rsidP="00AC6C70">
            <w:pPr>
              <w:rPr>
                <w:sz w:val="20"/>
                <w:szCs w:val="20"/>
                <w:lang w:val="fr-FR"/>
              </w:rPr>
            </w:pPr>
          </w:p>
        </w:tc>
        <w:tc>
          <w:tcPr>
            <w:tcW w:w="1509" w:type="dxa"/>
            <w:tcBorders>
              <w:top w:val="nil"/>
              <w:left w:val="nil"/>
              <w:bottom w:val="nil"/>
              <w:right w:val="nil"/>
            </w:tcBorders>
          </w:tcPr>
          <w:p w:rsidR="007C665C" w:rsidRPr="00AD7794" w:rsidRDefault="007C665C" w:rsidP="00AC6C70">
            <w:pPr>
              <w:jc w:val="center"/>
              <w:rPr>
                <w:sz w:val="20"/>
                <w:lang w:val="de-DE"/>
              </w:rPr>
            </w:pPr>
            <w:r w:rsidRPr="00AD7794">
              <w:rPr>
                <w:sz w:val="20"/>
                <w:lang w:val="en-US"/>
              </w:rPr>
              <w:t>NAA</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22</w:t>
            </w:r>
          </w:p>
        </w:tc>
        <w:tc>
          <w:tcPr>
            <w:tcW w:w="1257" w:type="dxa"/>
            <w:tcBorders>
              <w:top w:val="nil"/>
              <w:left w:val="nil"/>
              <w:bottom w:val="nil"/>
              <w:right w:val="nil"/>
            </w:tcBorders>
          </w:tcPr>
          <w:p w:rsidR="007C665C" w:rsidRPr="00AD7794" w:rsidRDefault="007C665C" w:rsidP="00AC6C70">
            <w:pPr>
              <w:jc w:val="center"/>
              <w:rPr>
                <w:sz w:val="20"/>
                <w:lang w:val="fr-FR"/>
              </w:rPr>
            </w:pP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1140 ±1640</w:t>
            </w:r>
          </w:p>
        </w:tc>
        <w:tc>
          <w:tcPr>
            <w:tcW w:w="1283" w:type="dxa"/>
            <w:tcBorders>
              <w:top w:val="nil"/>
              <w:left w:val="nil"/>
              <w:bottom w:val="nil"/>
              <w:right w:val="nil"/>
            </w:tcBorders>
          </w:tcPr>
          <w:p w:rsidR="007C665C" w:rsidRPr="002E6D42" w:rsidRDefault="007C665C" w:rsidP="00AC6C70">
            <w:pPr>
              <w:jc w:val="center"/>
              <w:rPr>
                <w:sz w:val="20"/>
                <w:szCs w:val="20"/>
                <w:lang w:val="en-US"/>
              </w:rPr>
            </w:pPr>
            <w:r w:rsidRPr="002E6D42">
              <w:rPr>
                <w:sz w:val="20"/>
                <w:szCs w:val="20"/>
                <w:lang w:val="en-US"/>
              </w:rPr>
              <w:t>7 - 381</w:t>
            </w:r>
            <w:r>
              <w:rPr>
                <w:sz w:val="20"/>
                <w:szCs w:val="20"/>
                <w:lang w:val="en-US"/>
              </w:rPr>
              <w:t>0</w:t>
            </w:r>
          </w:p>
        </w:tc>
      </w:tr>
      <w:tr w:rsidR="007C665C" w:rsidRPr="002A7A74" w:rsidTr="007C665C">
        <w:trPr>
          <w:trHeight w:val="236"/>
        </w:trPr>
        <w:tc>
          <w:tcPr>
            <w:tcW w:w="2552" w:type="dxa"/>
            <w:tcBorders>
              <w:top w:val="nil"/>
              <w:left w:val="nil"/>
              <w:bottom w:val="nil"/>
              <w:right w:val="nil"/>
            </w:tcBorders>
          </w:tcPr>
          <w:p w:rsidR="007C665C" w:rsidRPr="00AD7794" w:rsidRDefault="007C665C" w:rsidP="00AC6C70">
            <w:pPr>
              <w:rPr>
                <w:sz w:val="20"/>
                <w:szCs w:val="20"/>
                <w:lang w:val="en-US"/>
              </w:rPr>
            </w:pP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12</w:t>
            </w:r>
          </w:p>
        </w:tc>
        <w:tc>
          <w:tcPr>
            <w:tcW w:w="1257" w:type="dxa"/>
            <w:tcBorders>
              <w:top w:val="nil"/>
              <w:left w:val="nil"/>
              <w:bottom w:val="nil"/>
              <w:right w:val="nil"/>
            </w:tcBorders>
          </w:tcPr>
          <w:p w:rsidR="007C665C" w:rsidRPr="00AD7794" w:rsidRDefault="007C665C" w:rsidP="00AC6C70">
            <w:pPr>
              <w:jc w:val="center"/>
              <w:rPr>
                <w:sz w:val="20"/>
                <w:lang w:val="en-US"/>
              </w:rPr>
            </w:pP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640 ±660</w:t>
            </w:r>
          </w:p>
        </w:tc>
        <w:tc>
          <w:tcPr>
            <w:tcW w:w="1283" w:type="dxa"/>
            <w:tcBorders>
              <w:top w:val="nil"/>
              <w:left w:val="nil"/>
              <w:bottom w:val="nil"/>
              <w:right w:val="nil"/>
            </w:tcBorders>
          </w:tcPr>
          <w:p w:rsidR="007C665C" w:rsidRPr="002E6D42" w:rsidRDefault="007C665C" w:rsidP="00AC6C70">
            <w:pPr>
              <w:jc w:val="center"/>
              <w:rPr>
                <w:sz w:val="20"/>
                <w:szCs w:val="20"/>
                <w:lang w:val="en-US"/>
              </w:rPr>
            </w:pPr>
            <w:r>
              <w:rPr>
                <w:sz w:val="20"/>
                <w:szCs w:val="20"/>
                <w:lang w:val="pt-BR"/>
              </w:rPr>
              <w:t>3 - 1</w:t>
            </w:r>
            <w:r w:rsidRPr="002E6D42">
              <w:rPr>
                <w:sz w:val="20"/>
                <w:szCs w:val="20"/>
                <w:lang w:val="pt-BR"/>
              </w:rPr>
              <w:t>84</w:t>
            </w:r>
            <w:r>
              <w:rPr>
                <w:sz w:val="20"/>
                <w:szCs w:val="20"/>
                <w:lang w:val="pt-BR"/>
              </w:rPr>
              <w:t>0</w:t>
            </w:r>
          </w:p>
        </w:tc>
      </w:tr>
      <w:tr w:rsidR="007C665C" w:rsidRPr="002A7A74" w:rsidTr="007C665C">
        <w:trPr>
          <w:trHeight w:val="236"/>
        </w:trPr>
        <w:tc>
          <w:tcPr>
            <w:tcW w:w="2552" w:type="dxa"/>
            <w:tcBorders>
              <w:top w:val="nil"/>
              <w:left w:val="nil"/>
              <w:bottom w:val="nil"/>
              <w:right w:val="nil"/>
            </w:tcBorders>
          </w:tcPr>
          <w:p w:rsidR="007C665C" w:rsidRPr="00AD7794" w:rsidRDefault="007C665C" w:rsidP="00AC6C70">
            <w:pPr>
              <w:rPr>
                <w:sz w:val="20"/>
                <w:szCs w:val="20"/>
                <w:lang w:val="en-US"/>
              </w:rPr>
            </w:pP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6</w:t>
            </w:r>
          </w:p>
        </w:tc>
        <w:tc>
          <w:tcPr>
            <w:tcW w:w="1257" w:type="dxa"/>
            <w:tcBorders>
              <w:top w:val="nil"/>
              <w:left w:val="nil"/>
              <w:bottom w:val="nil"/>
              <w:right w:val="nil"/>
            </w:tcBorders>
          </w:tcPr>
          <w:p w:rsidR="007C665C" w:rsidRPr="00AD7794" w:rsidRDefault="007C665C" w:rsidP="00AC6C70">
            <w:pPr>
              <w:jc w:val="center"/>
              <w:rPr>
                <w:sz w:val="20"/>
                <w:lang w:val="en-US"/>
              </w:rPr>
            </w:pP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130 ± 120</w:t>
            </w:r>
          </w:p>
        </w:tc>
        <w:tc>
          <w:tcPr>
            <w:tcW w:w="1283" w:type="dxa"/>
            <w:tcBorders>
              <w:top w:val="nil"/>
              <w:left w:val="nil"/>
              <w:bottom w:val="nil"/>
              <w:right w:val="nil"/>
            </w:tcBorders>
          </w:tcPr>
          <w:p w:rsidR="007C665C" w:rsidRPr="002E6D42" w:rsidRDefault="007C665C" w:rsidP="00AC6C70">
            <w:pPr>
              <w:jc w:val="center"/>
              <w:rPr>
                <w:sz w:val="20"/>
                <w:szCs w:val="20"/>
                <w:lang w:val="en-US"/>
              </w:rPr>
            </w:pPr>
            <w:r>
              <w:rPr>
                <w:sz w:val="20"/>
                <w:szCs w:val="20"/>
                <w:lang w:val="en-US"/>
              </w:rPr>
              <w:t xml:space="preserve">4 - </w:t>
            </w:r>
            <w:r w:rsidRPr="002E6D42">
              <w:rPr>
                <w:sz w:val="20"/>
                <w:szCs w:val="20"/>
                <w:lang w:val="en-US"/>
              </w:rPr>
              <w:t>33</w:t>
            </w:r>
            <w:r>
              <w:rPr>
                <w:sz w:val="20"/>
                <w:szCs w:val="20"/>
                <w:lang w:val="en-US"/>
              </w:rPr>
              <w:t>0</w:t>
            </w:r>
          </w:p>
        </w:tc>
      </w:tr>
      <w:tr w:rsidR="007C665C" w:rsidRPr="002A7A74" w:rsidTr="007C665C">
        <w:trPr>
          <w:trHeight w:val="236"/>
        </w:trPr>
        <w:tc>
          <w:tcPr>
            <w:tcW w:w="2552" w:type="dxa"/>
            <w:tcBorders>
              <w:top w:val="nil"/>
              <w:left w:val="nil"/>
              <w:bottom w:val="nil"/>
              <w:right w:val="nil"/>
            </w:tcBorders>
          </w:tcPr>
          <w:p w:rsidR="007C665C" w:rsidRPr="00AD7794" w:rsidRDefault="007C665C" w:rsidP="00AC6C70">
            <w:pPr>
              <w:rPr>
                <w:sz w:val="20"/>
                <w:lang w:val="en-US"/>
              </w:rPr>
            </w:pPr>
            <w:r w:rsidRPr="00AD7794">
              <w:rPr>
                <w:sz w:val="20"/>
                <w:szCs w:val="20"/>
                <w:shd w:val="clear" w:color="auto" w:fill="FFFFFF"/>
                <w:lang w:val="en-US"/>
              </w:rPr>
              <w:t>Boulyga et al</w:t>
            </w:r>
            <w:r>
              <w:rPr>
                <w:sz w:val="20"/>
                <w:szCs w:val="20"/>
                <w:shd w:val="clear" w:color="auto" w:fill="FFFFFF"/>
                <w:lang w:val="en-US"/>
              </w:rPr>
              <w:t>.</w:t>
            </w:r>
            <w:r w:rsidRPr="00AD7794">
              <w:rPr>
                <w:sz w:val="20"/>
                <w:szCs w:val="20"/>
                <w:shd w:val="clear" w:color="auto" w:fill="FFFFFF"/>
                <w:lang w:val="en-US"/>
              </w:rPr>
              <w:t xml:space="preserve"> 1999</w:t>
            </w:r>
            <w:r>
              <w:rPr>
                <w:sz w:val="20"/>
                <w:szCs w:val="20"/>
                <w:shd w:val="clear" w:color="auto" w:fill="FFFFFF"/>
                <w:lang w:val="en-US"/>
              </w:rPr>
              <w:t xml:space="preserve"> </w:t>
            </w:r>
            <w:r>
              <w:rPr>
                <w:rFonts w:eastAsia="GulliverRM"/>
                <w:sz w:val="20"/>
                <w:szCs w:val="20"/>
                <w:lang w:val="en-US"/>
              </w:rPr>
              <w:t>[56]</w:t>
            </w: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19</w:t>
            </w:r>
          </w:p>
        </w:tc>
        <w:tc>
          <w:tcPr>
            <w:tcW w:w="1257"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t>
            </w: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w:t>
            </w:r>
            <w:r>
              <w:rPr>
                <w:sz w:val="20"/>
                <w:lang w:val="en-US"/>
              </w:rPr>
              <w:t>ashed</w:t>
            </w:r>
            <w:r w:rsidRPr="00AD7794">
              <w:rPr>
                <w:sz w:val="20"/>
                <w:lang w:val="en-US"/>
              </w:rPr>
              <w:t xml:space="preserve"> -</w:t>
            </w:r>
          </w:p>
        </w:tc>
        <w:tc>
          <w:tcPr>
            <w:tcW w:w="122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t>
            </w:r>
          </w:p>
        </w:tc>
        <w:tc>
          <w:tcPr>
            <w:tcW w:w="1283" w:type="dxa"/>
            <w:tcBorders>
              <w:top w:val="nil"/>
              <w:left w:val="nil"/>
              <w:bottom w:val="nil"/>
              <w:right w:val="nil"/>
            </w:tcBorders>
          </w:tcPr>
          <w:p w:rsidR="007C665C" w:rsidRPr="002E6D42" w:rsidRDefault="007C665C" w:rsidP="00AC6C70">
            <w:pPr>
              <w:jc w:val="center"/>
              <w:rPr>
                <w:sz w:val="20"/>
                <w:lang w:val="en-US"/>
              </w:rPr>
            </w:pPr>
            <w:r w:rsidRPr="002E6D42">
              <w:rPr>
                <w:sz w:val="20"/>
                <w:lang w:val="en-US"/>
              </w:rPr>
              <w:t>100-405</w:t>
            </w:r>
            <w:r>
              <w:rPr>
                <w:sz w:val="20"/>
                <w:lang w:val="en-US"/>
              </w:rPr>
              <w:t>0</w:t>
            </w:r>
          </w:p>
        </w:tc>
      </w:tr>
      <w:tr w:rsidR="007C665C" w:rsidRPr="0076025A" w:rsidTr="007C665C">
        <w:trPr>
          <w:trHeight w:val="236"/>
        </w:trPr>
        <w:tc>
          <w:tcPr>
            <w:tcW w:w="2552" w:type="dxa"/>
            <w:tcBorders>
              <w:top w:val="nil"/>
              <w:left w:val="nil"/>
              <w:bottom w:val="nil"/>
              <w:right w:val="nil"/>
            </w:tcBorders>
          </w:tcPr>
          <w:p w:rsidR="007C665C" w:rsidRPr="00AD7794" w:rsidRDefault="007C665C" w:rsidP="00AC6C70">
            <w:pPr>
              <w:rPr>
                <w:sz w:val="20"/>
                <w:szCs w:val="20"/>
                <w:lang w:val="en-US"/>
              </w:rPr>
            </w:pPr>
            <w:r w:rsidRPr="00AD7794">
              <w:rPr>
                <w:sz w:val="20"/>
                <w:szCs w:val="20"/>
                <w:lang w:val="en-US"/>
              </w:rPr>
              <w:t>Reddy</w:t>
            </w:r>
            <w:r w:rsidRPr="0076025A">
              <w:rPr>
                <w:sz w:val="20"/>
                <w:szCs w:val="20"/>
                <w:lang w:val="en-US"/>
              </w:rPr>
              <w:t xml:space="preserve"> </w:t>
            </w:r>
            <w:r w:rsidRPr="00AD7794">
              <w:rPr>
                <w:sz w:val="20"/>
                <w:szCs w:val="20"/>
                <w:lang w:val="en-US"/>
              </w:rPr>
              <w:t>et</w:t>
            </w:r>
            <w:r w:rsidRPr="0076025A">
              <w:rPr>
                <w:sz w:val="20"/>
                <w:szCs w:val="20"/>
                <w:lang w:val="en-US"/>
              </w:rPr>
              <w:t xml:space="preserve"> </w:t>
            </w:r>
            <w:r w:rsidRPr="00AD7794">
              <w:rPr>
                <w:sz w:val="20"/>
                <w:szCs w:val="20"/>
                <w:lang w:val="en-US"/>
              </w:rPr>
              <w:t>al</w:t>
            </w:r>
            <w:r>
              <w:rPr>
                <w:sz w:val="20"/>
                <w:szCs w:val="20"/>
                <w:lang w:val="en-US"/>
              </w:rPr>
              <w:t>.</w:t>
            </w:r>
            <w:r w:rsidRPr="0076025A">
              <w:rPr>
                <w:sz w:val="20"/>
                <w:szCs w:val="20"/>
                <w:lang w:val="en-US"/>
              </w:rPr>
              <w:t xml:space="preserve"> 2002</w:t>
            </w:r>
            <w:r>
              <w:rPr>
                <w:sz w:val="20"/>
                <w:szCs w:val="20"/>
                <w:lang w:val="en-US"/>
              </w:rPr>
              <w:t xml:space="preserve"> </w:t>
            </w:r>
            <w:r>
              <w:rPr>
                <w:rFonts w:eastAsia="GulliverRM"/>
                <w:sz w:val="20"/>
                <w:szCs w:val="20"/>
                <w:lang w:val="en-US"/>
              </w:rPr>
              <w:t>[57]</w:t>
            </w:r>
          </w:p>
        </w:tc>
        <w:tc>
          <w:tcPr>
            <w:tcW w:w="1509"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PIXE</w:t>
            </w:r>
          </w:p>
        </w:tc>
        <w:tc>
          <w:tcPr>
            <w:tcW w:w="425"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4</w:t>
            </w:r>
          </w:p>
        </w:tc>
        <w:tc>
          <w:tcPr>
            <w:tcW w:w="1257"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w:t>
            </w:r>
          </w:p>
        </w:tc>
        <w:tc>
          <w:tcPr>
            <w:tcW w:w="1322" w:type="dxa"/>
            <w:tcBorders>
              <w:top w:val="nil"/>
              <w:left w:val="nil"/>
              <w:bottom w:val="nil"/>
              <w:right w:val="nil"/>
            </w:tcBorders>
          </w:tcPr>
          <w:p w:rsidR="007C665C" w:rsidRPr="00AD7794" w:rsidRDefault="007C665C" w:rsidP="00AC6C70">
            <w:pPr>
              <w:jc w:val="center"/>
              <w:rPr>
                <w:sz w:val="20"/>
                <w:lang w:val="en-US"/>
              </w:rPr>
            </w:pPr>
            <w:r w:rsidRPr="00AD7794">
              <w:rPr>
                <w:sz w:val="20"/>
                <w:lang w:val="en-US"/>
              </w:rPr>
              <w:t>D, Press</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888</w:t>
            </w:r>
            <w:r w:rsidRPr="00AD7794">
              <w:rPr>
                <w:sz w:val="20"/>
                <w:szCs w:val="20"/>
                <w:lang w:val="pt-BR"/>
              </w:rPr>
              <w:t>±88</w:t>
            </w:r>
          </w:p>
        </w:tc>
        <w:tc>
          <w:tcPr>
            <w:tcW w:w="1283" w:type="dxa"/>
            <w:tcBorders>
              <w:top w:val="nil"/>
              <w:left w:val="nil"/>
              <w:bottom w:val="nil"/>
              <w:right w:val="nil"/>
            </w:tcBorders>
          </w:tcPr>
          <w:p w:rsidR="007C665C" w:rsidRPr="00797BF1" w:rsidRDefault="007C665C" w:rsidP="00AC6C70">
            <w:pPr>
              <w:jc w:val="center"/>
              <w:rPr>
                <w:sz w:val="20"/>
                <w:lang w:val="en-US"/>
              </w:rPr>
            </w:pPr>
            <w:r>
              <w:rPr>
                <w:sz w:val="20"/>
                <w:lang w:val="en-US"/>
              </w:rPr>
              <w:t>-</w:t>
            </w:r>
          </w:p>
        </w:tc>
      </w:tr>
      <w:tr w:rsidR="007C665C" w:rsidRPr="00C97825" w:rsidTr="007C665C">
        <w:trPr>
          <w:trHeight w:val="236"/>
        </w:trPr>
        <w:tc>
          <w:tcPr>
            <w:tcW w:w="2552" w:type="dxa"/>
            <w:tcBorders>
              <w:top w:val="nil"/>
              <w:left w:val="nil"/>
              <w:bottom w:val="nil"/>
              <w:right w:val="nil"/>
            </w:tcBorders>
          </w:tcPr>
          <w:p w:rsidR="007C665C" w:rsidRPr="00274D19" w:rsidRDefault="007C665C" w:rsidP="00AC6C70">
            <w:pPr>
              <w:rPr>
                <w:sz w:val="20"/>
                <w:szCs w:val="20"/>
                <w:lang w:val="en-US"/>
              </w:rPr>
            </w:pPr>
            <w:r w:rsidRPr="00274D19">
              <w:rPr>
                <w:sz w:val="20"/>
                <w:szCs w:val="20"/>
                <w:lang w:val="en-US"/>
              </w:rPr>
              <w:t>Zhu et al</w:t>
            </w:r>
            <w:r>
              <w:rPr>
                <w:sz w:val="20"/>
                <w:szCs w:val="20"/>
                <w:lang w:val="en-US"/>
              </w:rPr>
              <w:t>..</w:t>
            </w:r>
            <w:r w:rsidRPr="00274D19">
              <w:rPr>
                <w:sz w:val="20"/>
                <w:szCs w:val="20"/>
                <w:lang w:val="en-US"/>
              </w:rPr>
              <w:t xml:space="preserve"> 2010</w:t>
            </w:r>
            <w:r>
              <w:rPr>
                <w:sz w:val="20"/>
                <w:szCs w:val="20"/>
                <w:lang w:val="en-US"/>
              </w:rPr>
              <w:t xml:space="preserve"> [62]</w:t>
            </w:r>
          </w:p>
        </w:tc>
        <w:tc>
          <w:tcPr>
            <w:tcW w:w="1509" w:type="dxa"/>
            <w:tcBorders>
              <w:top w:val="nil"/>
              <w:left w:val="nil"/>
              <w:bottom w:val="nil"/>
              <w:right w:val="nil"/>
            </w:tcBorders>
          </w:tcPr>
          <w:p w:rsidR="007C665C" w:rsidRPr="00797BF1" w:rsidRDefault="007C665C" w:rsidP="00AC6C70">
            <w:pPr>
              <w:jc w:val="center"/>
              <w:rPr>
                <w:sz w:val="20"/>
                <w:lang w:val="en-US"/>
              </w:rPr>
            </w:pPr>
            <w:r>
              <w:rPr>
                <w:sz w:val="20"/>
                <w:szCs w:val="20"/>
                <w:lang w:val="en-US"/>
              </w:rPr>
              <w:t>ICPMS</w:t>
            </w:r>
          </w:p>
        </w:tc>
        <w:tc>
          <w:tcPr>
            <w:tcW w:w="425" w:type="dxa"/>
            <w:tcBorders>
              <w:top w:val="nil"/>
              <w:left w:val="nil"/>
              <w:bottom w:val="nil"/>
              <w:right w:val="nil"/>
            </w:tcBorders>
          </w:tcPr>
          <w:p w:rsidR="007C665C" w:rsidRPr="00797BF1" w:rsidRDefault="007C665C" w:rsidP="00AC6C70">
            <w:pPr>
              <w:jc w:val="center"/>
              <w:rPr>
                <w:sz w:val="20"/>
                <w:lang w:val="en-US"/>
              </w:rPr>
            </w:pPr>
            <w:r>
              <w:rPr>
                <w:sz w:val="20"/>
                <w:lang w:val="en-US"/>
              </w:rPr>
              <w:t>50</w:t>
            </w:r>
          </w:p>
        </w:tc>
        <w:tc>
          <w:tcPr>
            <w:tcW w:w="1257" w:type="dxa"/>
            <w:tcBorders>
              <w:top w:val="nil"/>
              <w:left w:val="nil"/>
              <w:bottom w:val="nil"/>
              <w:right w:val="nil"/>
            </w:tcBorders>
          </w:tcPr>
          <w:p w:rsidR="007C665C" w:rsidRPr="00797BF1" w:rsidRDefault="007C665C" w:rsidP="00AC6C70">
            <w:pPr>
              <w:jc w:val="center"/>
              <w:rPr>
                <w:sz w:val="20"/>
                <w:lang w:val="en-US"/>
              </w:rPr>
            </w:pPr>
            <w:r>
              <w:rPr>
                <w:sz w:val="20"/>
                <w:lang w:val="en-US"/>
              </w:rPr>
              <w:t>20-60</w:t>
            </w:r>
          </w:p>
        </w:tc>
        <w:tc>
          <w:tcPr>
            <w:tcW w:w="1322" w:type="dxa"/>
            <w:tcBorders>
              <w:top w:val="nil"/>
              <w:left w:val="nil"/>
              <w:bottom w:val="nil"/>
              <w:right w:val="nil"/>
            </w:tcBorders>
          </w:tcPr>
          <w:p w:rsidR="007C665C" w:rsidRPr="00797BF1" w:rsidRDefault="007C665C" w:rsidP="00AC6C70">
            <w:pPr>
              <w:jc w:val="center"/>
              <w:rPr>
                <w:sz w:val="20"/>
                <w:lang w:val="en-US"/>
              </w:rPr>
            </w:pPr>
            <w:r>
              <w:rPr>
                <w:sz w:val="20"/>
                <w:lang w:val="en-US"/>
              </w:rPr>
              <w:t>AD</w:t>
            </w:r>
          </w:p>
        </w:tc>
        <w:tc>
          <w:tcPr>
            <w:tcW w:w="1229" w:type="dxa"/>
            <w:tcBorders>
              <w:top w:val="nil"/>
              <w:left w:val="nil"/>
              <w:bottom w:val="nil"/>
              <w:right w:val="nil"/>
            </w:tcBorders>
          </w:tcPr>
          <w:p w:rsidR="007C665C" w:rsidRPr="008A1F30" w:rsidRDefault="007C665C" w:rsidP="00AC6C70">
            <w:pPr>
              <w:jc w:val="center"/>
              <w:rPr>
                <w:sz w:val="20"/>
                <w:szCs w:val="20"/>
                <w:lang w:val="en-US"/>
              </w:rPr>
            </w:pPr>
            <w:r w:rsidRPr="008A1F30">
              <w:rPr>
                <w:sz w:val="20"/>
                <w:szCs w:val="20"/>
                <w:lang w:val="en-US"/>
              </w:rPr>
              <w:t>2</w:t>
            </w:r>
            <w:r>
              <w:rPr>
                <w:sz w:val="20"/>
                <w:szCs w:val="20"/>
                <w:lang w:val="en-US"/>
              </w:rPr>
              <w:t>648</w:t>
            </w:r>
          </w:p>
        </w:tc>
        <w:tc>
          <w:tcPr>
            <w:tcW w:w="1283" w:type="dxa"/>
            <w:tcBorders>
              <w:top w:val="nil"/>
              <w:left w:val="nil"/>
              <w:bottom w:val="nil"/>
              <w:right w:val="nil"/>
            </w:tcBorders>
          </w:tcPr>
          <w:p w:rsidR="007C665C" w:rsidRPr="008A1F30" w:rsidRDefault="007C665C" w:rsidP="00AC6C70">
            <w:pPr>
              <w:jc w:val="center"/>
              <w:rPr>
                <w:sz w:val="20"/>
                <w:lang w:val="en-US"/>
              </w:rPr>
            </w:pPr>
            <w:r>
              <w:rPr>
                <w:rFonts w:eastAsia="Times-Bold"/>
                <w:sz w:val="20"/>
                <w:szCs w:val="20"/>
                <w:lang w:val="en-US"/>
              </w:rPr>
              <w:t>964</w:t>
            </w:r>
            <w:r w:rsidRPr="008A1F30">
              <w:rPr>
                <w:rFonts w:eastAsia="Times-Bold"/>
                <w:sz w:val="20"/>
                <w:szCs w:val="20"/>
                <w:lang w:val="en-US"/>
              </w:rPr>
              <w:t>-</w:t>
            </w:r>
            <w:r>
              <w:rPr>
                <w:rFonts w:eastAsia="Times-Bold"/>
                <w:sz w:val="20"/>
                <w:szCs w:val="20"/>
                <w:lang w:val="en-US"/>
              </w:rPr>
              <w:t>4760</w:t>
            </w:r>
          </w:p>
        </w:tc>
      </w:tr>
      <w:tr w:rsidR="007C665C" w:rsidRPr="007C665C" w:rsidTr="007C665C">
        <w:trPr>
          <w:trHeight w:val="236"/>
        </w:trPr>
        <w:tc>
          <w:tcPr>
            <w:tcW w:w="2552" w:type="dxa"/>
            <w:tcBorders>
              <w:top w:val="nil"/>
              <w:left w:val="nil"/>
              <w:bottom w:val="nil"/>
              <w:right w:val="nil"/>
            </w:tcBorders>
          </w:tcPr>
          <w:p w:rsidR="007C665C" w:rsidRPr="00C97825" w:rsidRDefault="007C665C" w:rsidP="00AC6C70">
            <w:pPr>
              <w:rPr>
                <w:sz w:val="20"/>
                <w:szCs w:val="20"/>
                <w:lang w:val="en-US"/>
              </w:rPr>
            </w:pPr>
            <w:r w:rsidRPr="00276021">
              <w:rPr>
                <w:rFonts w:eastAsia="GulliverRM"/>
                <w:sz w:val="20"/>
                <w:szCs w:val="20"/>
                <w:lang w:val="en-US"/>
              </w:rPr>
              <w:t>Błazewicz et al</w:t>
            </w:r>
            <w:r>
              <w:rPr>
                <w:rFonts w:eastAsia="GulliverRM"/>
                <w:sz w:val="20"/>
                <w:szCs w:val="20"/>
                <w:lang w:val="en-US"/>
              </w:rPr>
              <w:t>.</w:t>
            </w:r>
            <w:r w:rsidRPr="00276021">
              <w:rPr>
                <w:rFonts w:eastAsia="GulliverRM"/>
                <w:sz w:val="20"/>
                <w:szCs w:val="20"/>
                <w:lang w:val="en-US"/>
              </w:rPr>
              <w:t xml:space="preserve"> 2011</w:t>
            </w:r>
            <w:r>
              <w:rPr>
                <w:rFonts w:eastAsia="GulliverRM"/>
                <w:sz w:val="20"/>
                <w:szCs w:val="20"/>
                <w:lang w:val="en-US"/>
              </w:rPr>
              <w:t xml:space="preserve"> [63]</w:t>
            </w:r>
          </w:p>
        </w:tc>
        <w:tc>
          <w:tcPr>
            <w:tcW w:w="1509" w:type="dxa"/>
            <w:tcBorders>
              <w:top w:val="nil"/>
              <w:left w:val="nil"/>
              <w:bottom w:val="nil"/>
              <w:right w:val="nil"/>
            </w:tcBorders>
          </w:tcPr>
          <w:p w:rsidR="007C665C" w:rsidRPr="00276021" w:rsidRDefault="007C665C" w:rsidP="00AC6C70">
            <w:pPr>
              <w:jc w:val="center"/>
              <w:rPr>
                <w:sz w:val="20"/>
                <w:szCs w:val="20"/>
                <w:lang w:val="en-US"/>
              </w:rPr>
            </w:pPr>
            <w:r w:rsidRPr="00276021">
              <w:rPr>
                <w:sz w:val="20"/>
                <w:szCs w:val="20"/>
                <w:lang w:val="en-US"/>
              </w:rPr>
              <w:t>IC</w:t>
            </w:r>
          </w:p>
        </w:tc>
        <w:tc>
          <w:tcPr>
            <w:tcW w:w="425" w:type="dxa"/>
            <w:tcBorders>
              <w:top w:val="nil"/>
              <w:left w:val="nil"/>
              <w:bottom w:val="nil"/>
              <w:right w:val="nil"/>
            </w:tcBorders>
          </w:tcPr>
          <w:p w:rsidR="007C665C" w:rsidRPr="00276021" w:rsidRDefault="007C665C" w:rsidP="00AC6C70">
            <w:pPr>
              <w:jc w:val="center"/>
              <w:rPr>
                <w:sz w:val="20"/>
                <w:szCs w:val="20"/>
                <w:lang w:val="en-US"/>
              </w:rPr>
            </w:pPr>
            <w:r>
              <w:rPr>
                <w:sz w:val="20"/>
                <w:szCs w:val="20"/>
                <w:lang w:val="en-US"/>
              </w:rPr>
              <w:t>50</w:t>
            </w:r>
          </w:p>
        </w:tc>
        <w:tc>
          <w:tcPr>
            <w:tcW w:w="1257" w:type="dxa"/>
            <w:tcBorders>
              <w:top w:val="nil"/>
              <w:left w:val="nil"/>
              <w:bottom w:val="nil"/>
              <w:right w:val="nil"/>
            </w:tcBorders>
          </w:tcPr>
          <w:p w:rsidR="007C665C" w:rsidRPr="00276021" w:rsidRDefault="007C665C" w:rsidP="00AC6C70">
            <w:pPr>
              <w:jc w:val="center"/>
              <w:rPr>
                <w:sz w:val="20"/>
                <w:szCs w:val="20"/>
                <w:lang w:val="en-US"/>
              </w:rPr>
            </w:pPr>
            <w:r w:rsidRPr="00276021">
              <w:rPr>
                <w:sz w:val="20"/>
                <w:szCs w:val="20"/>
                <w:lang w:val="en-US"/>
              </w:rPr>
              <w:t>M=25</w:t>
            </w:r>
          </w:p>
        </w:tc>
        <w:tc>
          <w:tcPr>
            <w:tcW w:w="1322" w:type="dxa"/>
            <w:tcBorders>
              <w:top w:val="nil"/>
              <w:left w:val="nil"/>
              <w:bottom w:val="nil"/>
              <w:right w:val="nil"/>
            </w:tcBorders>
          </w:tcPr>
          <w:p w:rsidR="007C665C" w:rsidRPr="00276021" w:rsidRDefault="007C665C" w:rsidP="00AC6C70">
            <w:pPr>
              <w:jc w:val="center"/>
              <w:rPr>
                <w:sz w:val="20"/>
                <w:szCs w:val="20"/>
                <w:lang w:val="en-US"/>
              </w:rPr>
            </w:pPr>
            <w:r w:rsidRPr="00276021">
              <w:rPr>
                <w:sz w:val="20"/>
                <w:szCs w:val="20"/>
                <w:lang w:val="en-US"/>
              </w:rPr>
              <w:t>Fix</w:t>
            </w:r>
            <w:r>
              <w:rPr>
                <w:sz w:val="20"/>
                <w:szCs w:val="20"/>
                <w:lang w:val="en-US"/>
              </w:rPr>
              <w:t>ed</w:t>
            </w:r>
          </w:p>
        </w:tc>
        <w:tc>
          <w:tcPr>
            <w:tcW w:w="1229" w:type="dxa"/>
            <w:tcBorders>
              <w:top w:val="nil"/>
              <w:left w:val="nil"/>
              <w:bottom w:val="nil"/>
              <w:right w:val="nil"/>
            </w:tcBorders>
          </w:tcPr>
          <w:p w:rsidR="007C665C" w:rsidRPr="008A1F30" w:rsidRDefault="007C665C" w:rsidP="00AC6C70">
            <w:pPr>
              <w:jc w:val="center"/>
              <w:rPr>
                <w:sz w:val="20"/>
                <w:szCs w:val="20"/>
                <w:lang w:val="en-US"/>
              </w:rPr>
            </w:pPr>
            <w:r w:rsidRPr="008A1F30">
              <w:rPr>
                <w:sz w:val="20"/>
                <w:szCs w:val="20"/>
                <w:lang w:val="en-US"/>
              </w:rPr>
              <w:t>601±192</w:t>
            </w:r>
          </w:p>
        </w:tc>
        <w:tc>
          <w:tcPr>
            <w:tcW w:w="1283" w:type="dxa"/>
            <w:tcBorders>
              <w:top w:val="nil"/>
              <w:left w:val="nil"/>
              <w:bottom w:val="nil"/>
              <w:right w:val="nil"/>
            </w:tcBorders>
          </w:tcPr>
          <w:p w:rsidR="007C665C" w:rsidRPr="008A1F30" w:rsidRDefault="007C665C" w:rsidP="00AC6C70">
            <w:pPr>
              <w:jc w:val="center"/>
              <w:rPr>
                <w:sz w:val="20"/>
                <w:szCs w:val="20"/>
                <w:lang w:val="en-US"/>
              </w:rPr>
            </w:pPr>
            <w:r>
              <w:rPr>
                <w:sz w:val="20"/>
                <w:szCs w:val="20"/>
                <w:lang w:val="en-US"/>
              </w:rPr>
              <w:t>624</w:t>
            </w:r>
            <w:r w:rsidRPr="008A1F30">
              <w:rPr>
                <w:sz w:val="20"/>
                <w:szCs w:val="20"/>
                <w:lang w:val="en-US"/>
              </w:rPr>
              <w:t>-</w:t>
            </w:r>
            <w:r>
              <w:rPr>
                <w:sz w:val="20"/>
                <w:szCs w:val="20"/>
                <w:lang w:val="en-US"/>
              </w:rPr>
              <w:t>4020</w:t>
            </w:r>
          </w:p>
        </w:tc>
      </w:tr>
      <w:tr w:rsidR="007C665C" w:rsidRPr="007C665C" w:rsidTr="007C665C">
        <w:trPr>
          <w:trHeight w:val="236"/>
        </w:trPr>
        <w:tc>
          <w:tcPr>
            <w:tcW w:w="2552" w:type="dxa"/>
            <w:tcBorders>
              <w:top w:val="nil"/>
              <w:left w:val="nil"/>
              <w:bottom w:val="nil"/>
              <w:right w:val="nil"/>
            </w:tcBorders>
          </w:tcPr>
          <w:p w:rsidR="007C665C" w:rsidRPr="00276021" w:rsidRDefault="007C665C" w:rsidP="00AC6C70">
            <w:pPr>
              <w:rPr>
                <w:sz w:val="20"/>
                <w:szCs w:val="20"/>
                <w:lang w:val="en-US"/>
              </w:rPr>
            </w:pPr>
          </w:p>
        </w:tc>
        <w:tc>
          <w:tcPr>
            <w:tcW w:w="1509" w:type="dxa"/>
            <w:tcBorders>
              <w:top w:val="nil"/>
              <w:left w:val="nil"/>
              <w:bottom w:val="nil"/>
              <w:right w:val="nil"/>
            </w:tcBorders>
          </w:tcPr>
          <w:p w:rsidR="007C665C" w:rsidRPr="00276021" w:rsidRDefault="007C665C" w:rsidP="00AC6C70">
            <w:pPr>
              <w:jc w:val="center"/>
              <w:rPr>
                <w:sz w:val="20"/>
                <w:szCs w:val="20"/>
                <w:lang w:val="en-US"/>
              </w:rPr>
            </w:pPr>
            <w:r w:rsidRPr="00276021">
              <w:rPr>
                <w:sz w:val="20"/>
                <w:szCs w:val="20"/>
                <w:lang w:val="en-US"/>
              </w:rPr>
              <w:t>IC</w:t>
            </w:r>
          </w:p>
        </w:tc>
        <w:tc>
          <w:tcPr>
            <w:tcW w:w="425" w:type="dxa"/>
            <w:tcBorders>
              <w:top w:val="nil"/>
              <w:left w:val="nil"/>
              <w:bottom w:val="nil"/>
              <w:right w:val="nil"/>
            </w:tcBorders>
          </w:tcPr>
          <w:p w:rsidR="007C665C" w:rsidRPr="00276021" w:rsidRDefault="007C665C" w:rsidP="00AC6C70">
            <w:pPr>
              <w:jc w:val="center"/>
              <w:rPr>
                <w:sz w:val="20"/>
                <w:szCs w:val="20"/>
                <w:lang w:val="en-US"/>
              </w:rPr>
            </w:pPr>
            <w:r>
              <w:rPr>
                <w:sz w:val="20"/>
                <w:szCs w:val="20"/>
                <w:lang w:val="en-US"/>
              </w:rPr>
              <w:t>50</w:t>
            </w:r>
          </w:p>
        </w:tc>
        <w:tc>
          <w:tcPr>
            <w:tcW w:w="1257" w:type="dxa"/>
            <w:tcBorders>
              <w:top w:val="nil"/>
              <w:left w:val="nil"/>
              <w:bottom w:val="nil"/>
              <w:right w:val="nil"/>
            </w:tcBorders>
          </w:tcPr>
          <w:p w:rsidR="007C665C" w:rsidRPr="00276021" w:rsidRDefault="007C665C" w:rsidP="00AC6C70">
            <w:pPr>
              <w:jc w:val="center"/>
              <w:rPr>
                <w:sz w:val="20"/>
                <w:szCs w:val="20"/>
                <w:lang w:val="en-US"/>
              </w:rPr>
            </w:pPr>
          </w:p>
        </w:tc>
        <w:tc>
          <w:tcPr>
            <w:tcW w:w="1322" w:type="dxa"/>
            <w:tcBorders>
              <w:top w:val="nil"/>
              <w:left w:val="nil"/>
              <w:bottom w:val="nil"/>
              <w:right w:val="nil"/>
            </w:tcBorders>
          </w:tcPr>
          <w:p w:rsidR="007C665C" w:rsidRPr="00276021" w:rsidRDefault="007C665C" w:rsidP="00AC6C70">
            <w:pPr>
              <w:jc w:val="center"/>
              <w:rPr>
                <w:sz w:val="20"/>
                <w:szCs w:val="20"/>
                <w:lang w:val="en-US"/>
              </w:rPr>
            </w:pPr>
            <w:r w:rsidRPr="00276021">
              <w:rPr>
                <w:sz w:val="20"/>
                <w:szCs w:val="20"/>
                <w:lang w:val="en-US"/>
              </w:rPr>
              <w:t>Frozen</w:t>
            </w:r>
          </w:p>
        </w:tc>
        <w:tc>
          <w:tcPr>
            <w:tcW w:w="1229" w:type="dxa"/>
            <w:tcBorders>
              <w:top w:val="nil"/>
              <w:left w:val="nil"/>
              <w:bottom w:val="nil"/>
              <w:right w:val="nil"/>
            </w:tcBorders>
          </w:tcPr>
          <w:p w:rsidR="007C665C" w:rsidRPr="008A1F30" w:rsidRDefault="007C665C" w:rsidP="00AC6C70">
            <w:pPr>
              <w:jc w:val="center"/>
              <w:rPr>
                <w:sz w:val="20"/>
                <w:szCs w:val="20"/>
                <w:lang w:val="en-US"/>
              </w:rPr>
            </w:pPr>
            <w:r w:rsidRPr="008A1F30">
              <w:rPr>
                <w:sz w:val="20"/>
                <w:szCs w:val="20"/>
                <w:lang w:val="en-US"/>
              </w:rPr>
              <w:t>623±187</w:t>
            </w:r>
          </w:p>
        </w:tc>
        <w:tc>
          <w:tcPr>
            <w:tcW w:w="1283" w:type="dxa"/>
            <w:tcBorders>
              <w:top w:val="nil"/>
              <w:left w:val="nil"/>
              <w:bottom w:val="nil"/>
              <w:right w:val="nil"/>
            </w:tcBorders>
          </w:tcPr>
          <w:p w:rsidR="007C665C" w:rsidRPr="008A1F30" w:rsidRDefault="007C665C" w:rsidP="00AC6C70">
            <w:pPr>
              <w:jc w:val="center"/>
              <w:rPr>
                <w:sz w:val="20"/>
                <w:szCs w:val="20"/>
                <w:lang w:val="en-US"/>
              </w:rPr>
            </w:pPr>
            <w:r>
              <w:rPr>
                <w:sz w:val="20"/>
                <w:szCs w:val="20"/>
                <w:lang w:val="en-US"/>
              </w:rPr>
              <w:t>840 -4</w:t>
            </w:r>
            <w:r w:rsidRPr="008A1F30">
              <w:rPr>
                <w:sz w:val="20"/>
                <w:szCs w:val="20"/>
                <w:lang w:val="en-US"/>
              </w:rPr>
              <w:t>000</w:t>
            </w:r>
          </w:p>
        </w:tc>
      </w:tr>
      <w:tr w:rsidR="007C665C" w:rsidRPr="007C665C" w:rsidTr="007C665C">
        <w:trPr>
          <w:trHeight w:val="236"/>
        </w:trPr>
        <w:tc>
          <w:tcPr>
            <w:tcW w:w="2552" w:type="dxa"/>
            <w:tcBorders>
              <w:top w:val="nil"/>
              <w:left w:val="nil"/>
              <w:bottom w:val="nil"/>
              <w:right w:val="nil"/>
            </w:tcBorders>
          </w:tcPr>
          <w:p w:rsidR="007C665C" w:rsidRPr="00276021" w:rsidRDefault="007C665C" w:rsidP="00AC6C70">
            <w:pPr>
              <w:rPr>
                <w:sz w:val="20"/>
                <w:szCs w:val="20"/>
                <w:lang w:val="en-US"/>
              </w:rPr>
            </w:pPr>
          </w:p>
        </w:tc>
        <w:tc>
          <w:tcPr>
            <w:tcW w:w="150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IC</w:t>
            </w:r>
          </w:p>
        </w:tc>
        <w:tc>
          <w:tcPr>
            <w:tcW w:w="425" w:type="dxa"/>
            <w:tcBorders>
              <w:top w:val="nil"/>
              <w:left w:val="nil"/>
              <w:bottom w:val="nil"/>
              <w:right w:val="nil"/>
            </w:tcBorders>
          </w:tcPr>
          <w:p w:rsidR="007C665C" w:rsidRPr="00AD7794" w:rsidRDefault="007C665C" w:rsidP="00AC6C70">
            <w:pPr>
              <w:jc w:val="center"/>
              <w:rPr>
                <w:sz w:val="20"/>
                <w:szCs w:val="20"/>
                <w:lang w:val="en-US"/>
              </w:rPr>
            </w:pPr>
            <w:r>
              <w:rPr>
                <w:sz w:val="20"/>
                <w:szCs w:val="20"/>
                <w:lang w:val="en-US"/>
              </w:rPr>
              <w:t>66</w:t>
            </w:r>
          </w:p>
        </w:tc>
        <w:tc>
          <w:tcPr>
            <w:tcW w:w="1257"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M=35</w:t>
            </w:r>
          </w:p>
        </w:tc>
        <w:tc>
          <w:tcPr>
            <w:tcW w:w="1322"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Fixed</w:t>
            </w:r>
          </w:p>
        </w:tc>
        <w:tc>
          <w:tcPr>
            <w:tcW w:w="1229" w:type="dxa"/>
            <w:tcBorders>
              <w:top w:val="nil"/>
              <w:left w:val="nil"/>
              <w:bottom w:val="nil"/>
              <w:right w:val="nil"/>
            </w:tcBorders>
          </w:tcPr>
          <w:p w:rsidR="007C665C" w:rsidRPr="00AD7794" w:rsidRDefault="007C665C" w:rsidP="00AC6C70">
            <w:pPr>
              <w:jc w:val="center"/>
              <w:rPr>
                <w:sz w:val="20"/>
                <w:szCs w:val="20"/>
                <w:lang w:val="en-US"/>
              </w:rPr>
            </w:pPr>
            <w:r w:rsidRPr="00AD7794">
              <w:rPr>
                <w:sz w:val="20"/>
                <w:szCs w:val="20"/>
                <w:lang w:val="en-US"/>
              </w:rPr>
              <w:t>77±14</w:t>
            </w:r>
          </w:p>
        </w:tc>
        <w:tc>
          <w:tcPr>
            <w:tcW w:w="1283" w:type="dxa"/>
            <w:tcBorders>
              <w:top w:val="nil"/>
              <w:left w:val="nil"/>
              <w:bottom w:val="nil"/>
              <w:right w:val="nil"/>
            </w:tcBorders>
          </w:tcPr>
          <w:p w:rsidR="007C665C" w:rsidRPr="002E6D42" w:rsidRDefault="007C665C" w:rsidP="00AC6C70">
            <w:pPr>
              <w:jc w:val="center"/>
              <w:rPr>
                <w:sz w:val="20"/>
                <w:szCs w:val="20"/>
                <w:lang w:val="en-US"/>
              </w:rPr>
            </w:pPr>
            <w:r>
              <w:rPr>
                <w:sz w:val="20"/>
                <w:szCs w:val="20"/>
                <w:lang w:val="en-US"/>
              </w:rPr>
              <w:t>41-</w:t>
            </w:r>
            <w:r w:rsidRPr="002E6D42">
              <w:rPr>
                <w:sz w:val="20"/>
                <w:szCs w:val="20"/>
                <w:lang w:val="en-US"/>
              </w:rPr>
              <w:t>104</w:t>
            </w:r>
          </w:p>
        </w:tc>
      </w:tr>
      <w:tr w:rsidR="007C665C" w:rsidRPr="00103727" w:rsidTr="007C665C">
        <w:trPr>
          <w:trHeight w:val="236"/>
        </w:trPr>
        <w:tc>
          <w:tcPr>
            <w:tcW w:w="2552" w:type="dxa"/>
            <w:tcBorders>
              <w:top w:val="nil"/>
              <w:left w:val="nil"/>
              <w:bottom w:val="nil"/>
              <w:right w:val="nil"/>
            </w:tcBorders>
          </w:tcPr>
          <w:p w:rsidR="007C665C" w:rsidRPr="007C665C" w:rsidRDefault="007C665C" w:rsidP="007C665C">
            <w:pPr>
              <w:rPr>
                <w:sz w:val="20"/>
                <w:lang w:val="en-US"/>
              </w:rPr>
            </w:pPr>
            <w:r w:rsidRPr="007C665C">
              <w:rPr>
                <w:sz w:val="20"/>
                <w:lang w:val="en-US"/>
              </w:rPr>
              <w:t>Zaichick</w:t>
            </w:r>
            <w:r>
              <w:rPr>
                <w:sz w:val="20"/>
                <w:lang w:val="en-US"/>
              </w:rPr>
              <w:t xml:space="preserve"> </w:t>
            </w:r>
            <w:r w:rsidRPr="007C665C">
              <w:rPr>
                <w:sz w:val="20"/>
                <w:lang w:val="en-US"/>
              </w:rPr>
              <w:t>20</w:t>
            </w:r>
            <w:r>
              <w:rPr>
                <w:sz w:val="20"/>
                <w:lang w:val="en-US"/>
              </w:rPr>
              <w:t>21</w:t>
            </w:r>
            <w:r w:rsidRPr="007C665C">
              <w:rPr>
                <w:sz w:val="20"/>
                <w:lang w:val="en-US"/>
              </w:rPr>
              <w:t xml:space="preserve"> [</w:t>
            </w:r>
            <w:r>
              <w:rPr>
                <w:sz w:val="20"/>
                <w:lang w:val="en-US"/>
              </w:rPr>
              <w:t>67</w:t>
            </w:r>
            <w:r w:rsidRPr="007C665C">
              <w:rPr>
                <w:sz w:val="20"/>
                <w:lang w:val="en-US"/>
              </w:rPr>
              <w:t xml:space="preserve">] </w:t>
            </w:r>
          </w:p>
        </w:tc>
        <w:tc>
          <w:tcPr>
            <w:tcW w:w="1509" w:type="dxa"/>
            <w:tcBorders>
              <w:top w:val="nil"/>
              <w:left w:val="nil"/>
              <w:bottom w:val="nil"/>
              <w:right w:val="nil"/>
            </w:tcBorders>
          </w:tcPr>
          <w:p w:rsidR="007C665C" w:rsidRPr="007C665C" w:rsidRDefault="007C665C" w:rsidP="00AC6C70">
            <w:pPr>
              <w:jc w:val="center"/>
              <w:rPr>
                <w:sz w:val="20"/>
                <w:lang w:val="en-US"/>
              </w:rPr>
            </w:pPr>
            <w:r w:rsidRPr="00AD7794">
              <w:rPr>
                <w:sz w:val="20"/>
                <w:lang w:val="en-US"/>
              </w:rPr>
              <w:t>NAA</w:t>
            </w:r>
          </w:p>
        </w:tc>
        <w:tc>
          <w:tcPr>
            <w:tcW w:w="425" w:type="dxa"/>
            <w:tcBorders>
              <w:top w:val="nil"/>
              <w:left w:val="nil"/>
              <w:bottom w:val="nil"/>
              <w:right w:val="nil"/>
            </w:tcBorders>
          </w:tcPr>
          <w:p w:rsidR="007C665C" w:rsidRPr="007C665C" w:rsidRDefault="007C665C" w:rsidP="00AC6C70">
            <w:pPr>
              <w:jc w:val="center"/>
              <w:rPr>
                <w:sz w:val="20"/>
                <w:lang w:val="en-US"/>
              </w:rPr>
            </w:pPr>
            <w:r w:rsidRPr="007C665C">
              <w:rPr>
                <w:sz w:val="20"/>
                <w:lang w:val="en-US"/>
              </w:rPr>
              <w:t>46</w:t>
            </w:r>
          </w:p>
        </w:tc>
        <w:tc>
          <w:tcPr>
            <w:tcW w:w="1257" w:type="dxa"/>
            <w:tcBorders>
              <w:top w:val="nil"/>
              <w:left w:val="nil"/>
              <w:bottom w:val="nil"/>
              <w:right w:val="nil"/>
            </w:tcBorders>
          </w:tcPr>
          <w:p w:rsidR="007C665C" w:rsidRPr="002F1CC6" w:rsidRDefault="007C665C" w:rsidP="00AC6C70">
            <w:pPr>
              <w:jc w:val="center"/>
              <w:rPr>
                <w:sz w:val="20"/>
              </w:rPr>
            </w:pPr>
            <w:r>
              <w:rPr>
                <w:sz w:val="20"/>
              </w:rPr>
              <w:t>30-64</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897BC2" w:rsidRDefault="007C665C" w:rsidP="00AC6C70">
            <w:pPr>
              <w:jc w:val="center"/>
              <w:rPr>
                <w:sz w:val="20"/>
                <w:szCs w:val="20"/>
              </w:rPr>
            </w:pPr>
            <w:r>
              <w:rPr>
                <w:sz w:val="20"/>
                <w:szCs w:val="20"/>
              </w:rPr>
              <w:t>1141</w:t>
            </w:r>
            <w:r w:rsidRPr="008A1F30">
              <w:rPr>
                <w:sz w:val="20"/>
                <w:szCs w:val="20"/>
                <w:lang w:val="en-US"/>
              </w:rPr>
              <w:t>±</w:t>
            </w:r>
            <w:r>
              <w:rPr>
                <w:sz w:val="20"/>
                <w:szCs w:val="20"/>
              </w:rPr>
              <w:t>931</w:t>
            </w:r>
          </w:p>
        </w:tc>
        <w:tc>
          <w:tcPr>
            <w:tcW w:w="1283" w:type="dxa"/>
            <w:tcBorders>
              <w:top w:val="nil"/>
              <w:left w:val="nil"/>
              <w:bottom w:val="nil"/>
              <w:right w:val="nil"/>
            </w:tcBorders>
          </w:tcPr>
          <w:p w:rsidR="007C665C" w:rsidRPr="002F1CC6" w:rsidRDefault="007C665C" w:rsidP="00AC6C70">
            <w:pPr>
              <w:jc w:val="center"/>
              <w:rPr>
                <w:sz w:val="20"/>
              </w:rPr>
            </w:pPr>
            <w:r>
              <w:rPr>
                <w:sz w:val="20"/>
              </w:rPr>
              <w:t>29-3715</w:t>
            </w:r>
          </w:p>
        </w:tc>
      </w:tr>
      <w:tr w:rsidR="007C665C" w:rsidRPr="00103727" w:rsidTr="007C665C">
        <w:trPr>
          <w:trHeight w:val="236"/>
        </w:trPr>
        <w:tc>
          <w:tcPr>
            <w:tcW w:w="2552" w:type="dxa"/>
            <w:tcBorders>
              <w:top w:val="nil"/>
              <w:left w:val="nil"/>
              <w:bottom w:val="nil"/>
              <w:right w:val="nil"/>
            </w:tcBorders>
          </w:tcPr>
          <w:p w:rsidR="007C665C" w:rsidRPr="0034646D"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21</w:t>
            </w:r>
            <w:r w:rsidRPr="00A553D3">
              <w:rPr>
                <w:sz w:val="20"/>
              </w:rPr>
              <w:t xml:space="preserve"> [</w:t>
            </w:r>
            <w:r>
              <w:rPr>
                <w:sz w:val="20"/>
                <w:lang w:val="en-US"/>
              </w:rPr>
              <w:t>68</w:t>
            </w:r>
            <w:r w:rsidRPr="00A553D3">
              <w:rPr>
                <w:sz w:val="20"/>
              </w:rPr>
              <w:t>]</w:t>
            </w:r>
            <w:r>
              <w:rPr>
                <w:sz w:val="20"/>
                <w:lang w:val="en-US"/>
              </w:rPr>
              <w:t xml:space="preserve"> </w:t>
            </w:r>
          </w:p>
        </w:tc>
        <w:tc>
          <w:tcPr>
            <w:tcW w:w="1509" w:type="dxa"/>
            <w:tcBorders>
              <w:top w:val="nil"/>
              <w:left w:val="nil"/>
              <w:bottom w:val="nil"/>
              <w:right w:val="nil"/>
            </w:tcBorders>
          </w:tcPr>
          <w:p w:rsidR="007C665C" w:rsidRPr="002F1CC6" w:rsidRDefault="007C665C" w:rsidP="00AC6C70">
            <w:pPr>
              <w:jc w:val="center"/>
              <w:rPr>
                <w:sz w:val="20"/>
              </w:rPr>
            </w:pPr>
            <w:r w:rsidRPr="00AD7794">
              <w:rPr>
                <w:sz w:val="20"/>
                <w:lang w:val="en-US"/>
              </w:rPr>
              <w:t>NAA</w:t>
            </w:r>
          </w:p>
        </w:tc>
        <w:tc>
          <w:tcPr>
            <w:tcW w:w="425" w:type="dxa"/>
            <w:tcBorders>
              <w:top w:val="nil"/>
              <w:left w:val="nil"/>
              <w:bottom w:val="nil"/>
              <w:right w:val="nil"/>
            </w:tcBorders>
          </w:tcPr>
          <w:p w:rsidR="007C665C" w:rsidRPr="0034646D" w:rsidRDefault="007C665C" w:rsidP="00AC6C70">
            <w:pPr>
              <w:jc w:val="center"/>
              <w:rPr>
                <w:sz w:val="20"/>
                <w:lang w:val="en-US"/>
              </w:rPr>
            </w:pPr>
            <w:r>
              <w:rPr>
                <w:sz w:val="20"/>
                <w:lang w:val="en-US"/>
              </w:rPr>
              <w:t>19</w:t>
            </w:r>
          </w:p>
        </w:tc>
        <w:tc>
          <w:tcPr>
            <w:tcW w:w="1257" w:type="dxa"/>
            <w:tcBorders>
              <w:top w:val="nil"/>
              <w:left w:val="nil"/>
              <w:bottom w:val="nil"/>
              <w:right w:val="nil"/>
            </w:tcBorders>
          </w:tcPr>
          <w:p w:rsidR="007C665C" w:rsidRPr="002F1CC6" w:rsidRDefault="007C665C" w:rsidP="00AC6C70">
            <w:pPr>
              <w:jc w:val="center"/>
              <w:rPr>
                <w:sz w:val="20"/>
              </w:rPr>
            </w:pPr>
            <w:r>
              <w:rPr>
                <w:sz w:val="20"/>
                <w:szCs w:val="20"/>
                <w:lang w:val="en-US"/>
              </w:rPr>
              <w:t>41</w:t>
            </w:r>
            <w:r w:rsidRPr="008A1F30">
              <w:rPr>
                <w:sz w:val="20"/>
                <w:szCs w:val="20"/>
                <w:lang w:val="en-US"/>
              </w:rPr>
              <w:t>±</w:t>
            </w:r>
            <w:r>
              <w:rPr>
                <w:sz w:val="20"/>
                <w:szCs w:val="20"/>
                <w:lang w:val="en-US"/>
              </w:rPr>
              <w:t>11</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AC6C70">
            <w:pPr>
              <w:jc w:val="center"/>
              <w:rPr>
                <w:sz w:val="20"/>
                <w:szCs w:val="20"/>
                <w:lang w:val="en-US"/>
              </w:rPr>
            </w:pPr>
            <w:r>
              <w:rPr>
                <w:sz w:val="20"/>
                <w:szCs w:val="20"/>
                <w:lang w:val="en-US"/>
              </w:rPr>
              <w:t>961</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7C665C" w:rsidRPr="0034646D" w:rsidRDefault="007C665C" w:rsidP="00AC6C70">
            <w:pPr>
              <w:jc w:val="center"/>
              <w:rPr>
                <w:sz w:val="20"/>
                <w:lang w:val="en-US"/>
              </w:rPr>
            </w:pPr>
            <w:r>
              <w:rPr>
                <w:sz w:val="20"/>
                <w:lang w:val="en-US"/>
              </w:rPr>
              <w:t>131-3906</w:t>
            </w:r>
          </w:p>
        </w:tc>
      </w:tr>
      <w:tr w:rsidR="007C665C" w:rsidRPr="00103727" w:rsidTr="007C665C">
        <w:trPr>
          <w:trHeight w:val="236"/>
        </w:trPr>
        <w:tc>
          <w:tcPr>
            <w:tcW w:w="2552" w:type="dxa"/>
            <w:tcBorders>
              <w:top w:val="nil"/>
              <w:left w:val="nil"/>
              <w:bottom w:val="nil"/>
              <w:right w:val="nil"/>
            </w:tcBorders>
          </w:tcPr>
          <w:p w:rsidR="007C665C" w:rsidRPr="005A5836"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21</w:t>
            </w:r>
            <w:r w:rsidRPr="00A553D3">
              <w:rPr>
                <w:sz w:val="20"/>
              </w:rPr>
              <w:t xml:space="preserve"> [</w:t>
            </w:r>
            <w:r>
              <w:rPr>
                <w:sz w:val="20"/>
                <w:lang w:val="en-US"/>
              </w:rPr>
              <w:t>69</w:t>
            </w:r>
            <w:r w:rsidRPr="00A553D3">
              <w:rPr>
                <w:sz w:val="20"/>
              </w:rPr>
              <w:t>]</w:t>
            </w:r>
            <w:r>
              <w:rPr>
                <w:sz w:val="20"/>
                <w:lang w:val="en-US"/>
              </w:rPr>
              <w:t xml:space="preserve"> </w:t>
            </w:r>
          </w:p>
        </w:tc>
        <w:tc>
          <w:tcPr>
            <w:tcW w:w="1509" w:type="dxa"/>
            <w:tcBorders>
              <w:top w:val="nil"/>
              <w:left w:val="nil"/>
              <w:bottom w:val="nil"/>
              <w:right w:val="nil"/>
            </w:tcBorders>
          </w:tcPr>
          <w:p w:rsidR="007C665C" w:rsidRPr="002F1CC6" w:rsidRDefault="007C665C" w:rsidP="00AC6C70">
            <w:pPr>
              <w:jc w:val="center"/>
              <w:rPr>
                <w:sz w:val="20"/>
              </w:rPr>
            </w:pPr>
            <w:r w:rsidRPr="00AD7794">
              <w:rPr>
                <w:sz w:val="20"/>
                <w:lang w:val="en-US"/>
              </w:rPr>
              <w:t>NAA</w:t>
            </w:r>
          </w:p>
        </w:tc>
        <w:tc>
          <w:tcPr>
            <w:tcW w:w="425" w:type="dxa"/>
            <w:tcBorders>
              <w:top w:val="nil"/>
              <w:left w:val="nil"/>
              <w:bottom w:val="nil"/>
              <w:right w:val="nil"/>
            </w:tcBorders>
          </w:tcPr>
          <w:p w:rsidR="007C665C" w:rsidRPr="005A5836" w:rsidRDefault="007C665C" w:rsidP="00AC6C70">
            <w:pPr>
              <w:jc w:val="center"/>
              <w:rPr>
                <w:sz w:val="20"/>
                <w:lang w:val="en-US"/>
              </w:rPr>
            </w:pPr>
            <w:r>
              <w:rPr>
                <w:sz w:val="20"/>
                <w:lang w:val="en-US"/>
              </w:rPr>
              <w:t>8</w:t>
            </w:r>
          </w:p>
        </w:tc>
        <w:tc>
          <w:tcPr>
            <w:tcW w:w="1257" w:type="dxa"/>
            <w:tcBorders>
              <w:top w:val="nil"/>
              <w:left w:val="nil"/>
              <w:bottom w:val="nil"/>
              <w:right w:val="nil"/>
            </w:tcBorders>
          </w:tcPr>
          <w:p w:rsidR="007C665C" w:rsidRPr="002F1CC6" w:rsidRDefault="007C665C" w:rsidP="00AC6C70">
            <w:pPr>
              <w:jc w:val="center"/>
              <w:rPr>
                <w:sz w:val="20"/>
              </w:rPr>
            </w:pPr>
            <w:r>
              <w:rPr>
                <w:sz w:val="20"/>
                <w:szCs w:val="20"/>
                <w:lang w:val="en-US"/>
              </w:rPr>
              <w:t>40</w:t>
            </w:r>
            <w:r w:rsidRPr="008A1F30">
              <w:rPr>
                <w:sz w:val="20"/>
                <w:szCs w:val="20"/>
                <w:lang w:val="en-US"/>
              </w:rPr>
              <w:t>±</w:t>
            </w:r>
            <w:r>
              <w:rPr>
                <w:sz w:val="20"/>
                <w:szCs w:val="20"/>
                <w:lang w:val="en-US"/>
              </w:rPr>
              <w:t>10</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AC6C70">
            <w:pPr>
              <w:jc w:val="center"/>
              <w:rPr>
                <w:sz w:val="20"/>
                <w:szCs w:val="20"/>
                <w:lang w:val="en-US"/>
              </w:rPr>
            </w:pPr>
            <w:r>
              <w:rPr>
                <w:sz w:val="20"/>
                <w:szCs w:val="20"/>
                <w:lang w:val="en-US"/>
              </w:rPr>
              <w:t>951</w:t>
            </w:r>
            <w:r w:rsidRPr="008A1F30">
              <w:rPr>
                <w:sz w:val="20"/>
                <w:szCs w:val="20"/>
                <w:lang w:val="en-US"/>
              </w:rPr>
              <w:t>±</w:t>
            </w:r>
            <w:r>
              <w:rPr>
                <w:sz w:val="20"/>
                <w:szCs w:val="20"/>
                <w:lang w:val="en-US"/>
              </w:rPr>
              <w:t>630</w:t>
            </w:r>
          </w:p>
        </w:tc>
        <w:tc>
          <w:tcPr>
            <w:tcW w:w="1283" w:type="dxa"/>
            <w:tcBorders>
              <w:top w:val="nil"/>
              <w:left w:val="nil"/>
              <w:bottom w:val="nil"/>
              <w:right w:val="nil"/>
            </w:tcBorders>
          </w:tcPr>
          <w:p w:rsidR="007C665C" w:rsidRPr="0034646D" w:rsidRDefault="007C665C" w:rsidP="00AC6C70">
            <w:pPr>
              <w:jc w:val="center"/>
              <w:rPr>
                <w:sz w:val="20"/>
                <w:lang w:val="en-US"/>
              </w:rPr>
            </w:pPr>
            <w:r>
              <w:rPr>
                <w:sz w:val="20"/>
                <w:lang w:val="en-US"/>
              </w:rPr>
              <w:t>83-1787</w:t>
            </w:r>
          </w:p>
        </w:tc>
      </w:tr>
      <w:tr w:rsidR="007C665C" w:rsidRPr="00103727" w:rsidTr="007C665C">
        <w:trPr>
          <w:trHeight w:val="236"/>
        </w:trPr>
        <w:tc>
          <w:tcPr>
            <w:tcW w:w="2552" w:type="dxa"/>
            <w:tcBorders>
              <w:top w:val="nil"/>
              <w:left w:val="nil"/>
              <w:bottom w:val="nil"/>
              <w:right w:val="nil"/>
            </w:tcBorders>
          </w:tcPr>
          <w:p w:rsidR="007C665C" w:rsidRPr="00C10D37"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21</w:t>
            </w:r>
            <w:r w:rsidRPr="00A553D3">
              <w:rPr>
                <w:sz w:val="20"/>
              </w:rPr>
              <w:t xml:space="preserve"> [</w:t>
            </w:r>
            <w:r>
              <w:rPr>
                <w:sz w:val="20"/>
                <w:lang w:val="en-US"/>
              </w:rPr>
              <w:t>70</w:t>
            </w:r>
            <w:r w:rsidRPr="00A553D3">
              <w:rPr>
                <w:sz w:val="20"/>
              </w:rPr>
              <w:t>]</w:t>
            </w:r>
            <w:r>
              <w:rPr>
                <w:sz w:val="20"/>
                <w:lang w:val="en-US"/>
              </w:rPr>
              <w:t xml:space="preserve"> </w:t>
            </w:r>
          </w:p>
        </w:tc>
        <w:tc>
          <w:tcPr>
            <w:tcW w:w="1509" w:type="dxa"/>
            <w:tcBorders>
              <w:top w:val="nil"/>
              <w:left w:val="nil"/>
              <w:bottom w:val="nil"/>
              <w:right w:val="nil"/>
            </w:tcBorders>
          </w:tcPr>
          <w:p w:rsidR="007C665C" w:rsidRPr="002F1CC6" w:rsidRDefault="007C665C" w:rsidP="00AC6C70">
            <w:pPr>
              <w:jc w:val="center"/>
              <w:rPr>
                <w:sz w:val="20"/>
              </w:rPr>
            </w:pPr>
            <w:r w:rsidRPr="00AD7794">
              <w:rPr>
                <w:sz w:val="20"/>
                <w:lang w:val="en-US"/>
              </w:rPr>
              <w:t>NAA</w:t>
            </w:r>
          </w:p>
        </w:tc>
        <w:tc>
          <w:tcPr>
            <w:tcW w:w="425" w:type="dxa"/>
            <w:tcBorders>
              <w:top w:val="nil"/>
              <w:left w:val="nil"/>
              <w:bottom w:val="nil"/>
              <w:right w:val="nil"/>
            </w:tcBorders>
          </w:tcPr>
          <w:p w:rsidR="007C665C" w:rsidRPr="005A5836" w:rsidRDefault="007C665C" w:rsidP="00AC6C70">
            <w:pPr>
              <w:jc w:val="center"/>
              <w:rPr>
                <w:sz w:val="20"/>
                <w:lang w:val="en-US"/>
              </w:rPr>
            </w:pPr>
            <w:r>
              <w:rPr>
                <w:sz w:val="20"/>
                <w:lang w:val="en-US"/>
              </w:rPr>
              <w:t>6</w:t>
            </w:r>
          </w:p>
        </w:tc>
        <w:tc>
          <w:tcPr>
            <w:tcW w:w="1257" w:type="dxa"/>
            <w:tcBorders>
              <w:top w:val="nil"/>
              <w:left w:val="nil"/>
              <w:bottom w:val="nil"/>
              <w:right w:val="nil"/>
            </w:tcBorders>
          </w:tcPr>
          <w:p w:rsidR="007C665C" w:rsidRPr="002F1CC6" w:rsidRDefault="007C665C" w:rsidP="00AC6C70">
            <w:pPr>
              <w:jc w:val="center"/>
              <w:rPr>
                <w:sz w:val="20"/>
              </w:rPr>
            </w:pPr>
            <w:r>
              <w:rPr>
                <w:sz w:val="20"/>
                <w:szCs w:val="20"/>
                <w:lang w:val="en-US"/>
              </w:rPr>
              <w:t>39</w:t>
            </w:r>
            <w:r w:rsidRPr="008A1F30">
              <w:rPr>
                <w:sz w:val="20"/>
                <w:szCs w:val="20"/>
                <w:lang w:val="en-US"/>
              </w:rPr>
              <w:t>±</w:t>
            </w:r>
            <w:r>
              <w:rPr>
                <w:sz w:val="20"/>
                <w:szCs w:val="20"/>
                <w:lang w:val="en-US"/>
              </w:rPr>
              <w:t>9</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AC6C70">
            <w:pPr>
              <w:jc w:val="center"/>
              <w:rPr>
                <w:sz w:val="20"/>
                <w:szCs w:val="20"/>
                <w:lang w:val="en-US"/>
              </w:rPr>
            </w:pPr>
            <w:r>
              <w:rPr>
                <w:sz w:val="20"/>
                <w:szCs w:val="20"/>
                <w:lang w:val="en-US"/>
              </w:rPr>
              <w:t>276</w:t>
            </w:r>
            <w:r w:rsidRPr="008A1F30">
              <w:rPr>
                <w:sz w:val="20"/>
                <w:szCs w:val="20"/>
                <w:lang w:val="en-US"/>
              </w:rPr>
              <w:t>±</w:t>
            </w:r>
            <w:r>
              <w:rPr>
                <w:sz w:val="20"/>
                <w:szCs w:val="20"/>
                <w:lang w:val="en-US"/>
              </w:rPr>
              <w:t>283</w:t>
            </w:r>
          </w:p>
        </w:tc>
        <w:tc>
          <w:tcPr>
            <w:tcW w:w="1283" w:type="dxa"/>
            <w:tcBorders>
              <w:top w:val="nil"/>
              <w:left w:val="nil"/>
              <w:bottom w:val="nil"/>
              <w:right w:val="nil"/>
            </w:tcBorders>
          </w:tcPr>
          <w:p w:rsidR="007C665C" w:rsidRPr="0034646D" w:rsidRDefault="007C665C" w:rsidP="00AC6C70">
            <w:pPr>
              <w:jc w:val="center"/>
              <w:rPr>
                <w:sz w:val="20"/>
                <w:lang w:val="en-US"/>
              </w:rPr>
            </w:pPr>
            <w:r>
              <w:rPr>
                <w:sz w:val="20"/>
                <w:lang w:val="en-US"/>
              </w:rPr>
              <w:t>85-824</w:t>
            </w:r>
          </w:p>
        </w:tc>
      </w:tr>
      <w:tr w:rsidR="007C665C" w:rsidRPr="00103727" w:rsidTr="007C665C">
        <w:trPr>
          <w:trHeight w:val="236"/>
        </w:trPr>
        <w:tc>
          <w:tcPr>
            <w:tcW w:w="2552" w:type="dxa"/>
            <w:tcBorders>
              <w:top w:val="nil"/>
              <w:left w:val="nil"/>
              <w:bottom w:val="nil"/>
              <w:right w:val="nil"/>
            </w:tcBorders>
          </w:tcPr>
          <w:p w:rsidR="007C665C" w:rsidRPr="002F1CC6" w:rsidRDefault="007C665C" w:rsidP="007C665C">
            <w:pPr>
              <w:rPr>
                <w:sz w:val="20"/>
              </w:rPr>
            </w:pPr>
            <w:r w:rsidRPr="002F1CC6">
              <w:rPr>
                <w:sz w:val="20"/>
              </w:rPr>
              <w:t>Zaichick</w:t>
            </w:r>
            <w:r>
              <w:rPr>
                <w:sz w:val="20"/>
                <w:lang w:val="en-US"/>
              </w:rPr>
              <w:t xml:space="preserve"> </w:t>
            </w:r>
            <w:r w:rsidRPr="002F1CC6">
              <w:rPr>
                <w:sz w:val="20"/>
              </w:rPr>
              <w:t>20</w:t>
            </w:r>
            <w:r>
              <w:rPr>
                <w:sz w:val="20"/>
                <w:lang w:val="en-US"/>
              </w:rPr>
              <w:t>21</w:t>
            </w:r>
            <w:r w:rsidRPr="002F1CC6">
              <w:rPr>
                <w:sz w:val="20"/>
              </w:rPr>
              <w:t xml:space="preserve"> [</w:t>
            </w:r>
            <w:r>
              <w:rPr>
                <w:sz w:val="20"/>
                <w:lang w:val="en-US"/>
              </w:rPr>
              <w:t>71</w:t>
            </w:r>
            <w:r w:rsidRPr="002F1CC6">
              <w:rPr>
                <w:sz w:val="20"/>
              </w:rPr>
              <w:t>]</w:t>
            </w:r>
            <w:r>
              <w:rPr>
                <w:sz w:val="20"/>
              </w:rPr>
              <w:t xml:space="preserve"> </w:t>
            </w:r>
          </w:p>
        </w:tc>
        <w:tc>
          <w:tcPr>
            <w:tcW w:w="1509" w:type="dxa"/>
            <w:tcBorders>
              <w:top w:val="nil"/>
              <w:left w:val="nil"/>
              <w:bottom w:val="nil"/>
              <w:right w:val="nil"/>
            </w:tcBorders>
          </w:tcPr>
          <w:p w:rsidR="007C665C" w:rsidRPr="002F1CC6" w:rsidRDefault="007C665C" w:rsidP="00AC6C70">
            <w:pPr>
              <w:jc w:val="center"/>
              <w:rPr>
                <w:sz w:val="20"/>
              </w:rPr>
            </w:pPr>
            <w:r w:rsidRPr="00AD7794">
              <w:rPr>
                <w:sz w:val="20"/>
                <w:lang w:val="en-US"/>
              </w:rPr>
              <w:t>NAA</w:t>
            </w:r>
            <w:r>
              <w:rPr>
                <w:sz w:val="20"/>
                <w:lang w:val="en-US"/>
              </w:rPr>
              <w:t>,ICPAES</w:t>
            </w:r>
          </w:p>
        </w:tc>
        <w:tc>
          <w:tcPr>
            <w:tcW w:w="425" w:type="dxa"/>
            <w:tcBorders>
              <w:top w:val="nil"/>
              <w:left w:val="nil"/>
              <w:bottom w:val="nil"/>
              <w:right w:val="nil"/>
            </w:tcBorders>
          </w:tcPr>
          <w:p w:rsidR="007C665C" w:rsidRPr="002F1CC6" w:rsidRDefault="007C665C" w:rsidP="00AC6C70">
            <w:pPr>
              <w:jc w:val="center"/>
              <w:rPr>
                <w:sz w:val="20"/>
              </w:rPr>
            </w:pPr>
            <w:r>
              <w:rPr>
                <w:sz w:val="20"/>
              </w:rPr>
              <w:t>46</w:t>
            </w:r>
          </w:p>
        </w:tc>
        <w:tc>
          <w:tcPr>
            <w:tcW w:w="1257" w:type="dxa"/>
            <w:tcBorders>
              <w:top w:val="nil"/>
              <w:left w:val="nil"/>
              <w:bottom w:val="nil"/>
              <w:right w:val="nil"/>
            </w:tcBorders>
          </w:tcPr>
          <w:p w:rsidR="007C665C" w:rsidRPr="002F1CC6" w:rsidRDefault="007C665C" w:rsidP="00AC6C70">
            <w:pPr>
              <w:jc w:val="center"/>
              <w:rPr>
                <w:sz w:val="20"/>
              </w:rPr>
            </w:pPr>
            <w:r>
              <w:rPr>
                <w:sz w:val="20"/>
              </w:rPr>
              <w:t>30-64</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897BC2" w:rsidRDefault="007C665C" w:rsidP="00AC6C70">
            <w:pPr>
              <w:jc w:val="center"/>
              <w:rPr>
                <w:sz w:val="20"/>
                <w:szCs w:val="20"/>
              </w:rPr>
            </w:pPr>
            <w:r>
              <w:rPr>
                <w:sz w:val="20"/>
                <w:szCs w:val="20"/>
              </w:rPr>
              <w:t>1141</w:t>
            </w:r>
            <w:r w:rsidRPr="008A1F30">
              <w:rPr>
                <w:sz w:val="20"/>
                <w:szCs w:val="20"/>
                <w:lang w:val="en-US"/>
              </w:rPr>
              <w:t>±</w:t>
            </w:r>
            <w:r>
              <w:rPr>
                <w:sz w:val="20"/>
                <w:szCs w:val="20"/>
              </w:rPr>
              <w:t>931</w:t>
            </w:r>
          </w:p>
        </w:tc>
        <w:tc>
          <w:tcPr>
            <w:tcW w:w="1283" w:type="dxa"/>
            <w:tcBorders>
              <w:top w:val="nil"/>
              <w:left w:val="nil"/>
              <w:bottom w:val="nil"/>
              <w:right w:val="nil"/>
            </w:tcBorders>
          </w:tcPr>
          <w:p w:rsidR="007C665C" w:rsidRPr="002F1CC6" w:rsidRDefault="007C665C" w:rsidP="00AC6C70">
            <w:pPr>
              <w:jc w:val="center"/>
              <w:rPr>
                <w:sz w:val="20"/>
              </w:rPr>
            </w:pPr>
            <w:r>
              <w:rPr>
                <w:sz w:val="20"/>
              </w:rPr>
              <w:t>29-3715</w:t>
            </w:r>
          </w:p>
        </w:tc>
      </w:tr>
      <w:tr w:rsidR="007C665C" w:rsidRPr="00103727" w:rsidTr="007C665C">
        <w:trPr>
          <w:trHeight w:val="236"/>
        </w:trPr>
        <w:tc>
          <w:tcPr>
            <w:tcW w:w="2552" w:type="dxa"/>
            <w:tcBorders>
              <w:top w:val="nil"/>
              <w:left w:val="nil"/>
              <w:bottom w:val="nil"/>
              <w:right w:val="nil"/>
            </w:tcBorders>
          </w:tcPr>
          <w:p w:rsidR="007C665C" w:rsidRPr="0034646D"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21</w:t>
            </w:r>
            <w:r w:rsidRPr="00A553D3">
              <w:rPr>
                <w:sz w:val="20"/>
              </w:rPr>
              <w:t xml:space="preserve"> [</w:t>
            </w:r>
            <w:r>
              <w:rPr>
                <w:sz w:val="20"/>
                <w:lang w:val="en-US"/>
              </w:rPr>
              <w:t>72</w:t>
            </w:r>
            <w:r w:rsidRPr="00A553D3">
              <w:rPr>
                <w:sz w:val="20"/>
              </w:rPr>
              <w:t>]</w:t>
            </w:r>
            <w:r>
              <w:rPr>
                <w:sz w:val="20"/>
                <w:lang w:val="en-US"/>
              </w:rPr>
              <w:t xml:space="preserve"> </w:t>
            </w:r>
          </w:p>
        </w:tc>
        <w:tc>
          <w:tcPr>
            <w:tcW w:w="1509" w:type="dxa"/>
            <w:tcBorders>
              <w:top w:val="nil"/>
              <w:left w:val="nil"/>
              <w:bottom w:val="nil"/>
              <w:right w:val="nil"/>
            </w:tcBorders>
          </w:tcPr>
          <w:p w:rsidR="007C665C" w:rsidRPr="002F1CC6" w:rsidRDefault="007C665C" w:rsidP="00AC6C70">
            <w:pPr>
              <w:jc w:val="center"/>
              <w:rPr>
                <w:sz w:val="20"/>
              </w:rPr>
            </w:pPr>
            <w:r w:rsidRPr="00AD7794">
              <w:rPr>
                <w:sz w:val="20"/>
                <w:lang w:val="en-US"/>
              </w:rPr>
              <w:t>NAA</w:t>
            </w:r>
            <w:r>
              <w:rPr>
                <w:sz w:val="20"/>
                <w:lang w:val="en-US"/>
              </w:rPr>
              <w:t>,ICPAES</w:t>
            </w:r>
          </w:p>
        </w:tc>
        <w:tc>
          <w:tcPr>
            <w:tcW w:w="425" w:type="dxa"/>
            <w:tcBorders>
              <w:top w:val="nil"/>
              <w:left w:val="nil"/>
              <w:bottom w:val="nil"/>
              <w:right w:val="nil"/>
            </w:tcBorders>
          </w:tcPr>
          <w:p w:rsidR="007C665C" w:rsidRPr="0034646D" w:rsidRDefault="007C665C" w:rsidP="00AC6C70">
            <w:pPr>
              <w:jc w:val="center"/>
              <w:rPr>
                <w:sz w:val="20"/>
                <w:lang w:val="en-US"/>
              </w:rPr>
            </w:pPr>
            <w:r>
              <w:rPr>
                <w:sz w:val="20"/>
                <w:lang w:val="en-US"/>
              </w:rPr>
              <w:t>19</w:t>
            </w:r>
          </w:p>
        </w:tc>
        <w:tc>
          <w:tcPr>
            <w:tcW w:w="1257" w:type="dxa"/>
            <w:tcBorders>
              <w:top w:val="nil"/>
              <w:left w:val="nil"/>
              <w:bottom w:val="nil"/>
              <w:right w:val="nil"/>
            </w:tcBorders>
          </w:tcPr>
          <w:p w:rsidR="007C665C" w:rsidRPr="002F1CC6" w:rsidRDefault="007C665C" w:rsidP="00AC6C70">
            <w:pPr>
              <w:jc w:val="center"/>
              <w:rPr>
                <w:sz w:val="20"/>
              </w:rPr>
            </w:pPr>
            <w:r>
              <w:rPr>
                <w:sz w:val="20"/>
                <w:szCs w:val="20"/>
                <w:lang w:val="en-US"/>
              </w:rPr>
              <w:t>41</w:t>
            </w:r>
            <w:r w:rsidRPr="008A1F30">
              <w:rPr>
                <w:sz w:val="20"/>
                <w:szCs w:val="20"/>
                <w:lang w:val="en-US"/>
              </w:rPr>
              <w:t>±</w:t>
            </w:r>
            <w:r>
              <w:rPr>
                <w:sz w:val="20"/>
                <w:szCs w:val="20"/>
                <w:lang w:val="en-US"/>
              </w:rPr>
              <w:t>11</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AC6C70">
            <w:pPr>
              <w:jc w:val="center"/>
              <w:rPr>
                <w:sz w:val="20"/>
                <w:szCs w:val="20"/>
                <w:lang w:val="en-US"/>
              </w:rPr>
            </w:pPr>
            <w:r>
              <w:rPr>
                <w:sz w:val="20"/>
                <w:szCs w:val="20"/>
                <w:lang w:val="en-US"/>
              </w:rPr>
              <w:t>961</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7C665C" w:rsidRPr="0034646D" w:rsidRDefault="007C665C" w:rsidP="00AC6C70">
            <w:pPr>
              <w:jc w:val="center"/>
              <w:rPr>
                <w:sz w:val="20"/>
                <w:lang w:val="en-US"/>
              </w:rPr>
            </w:pPr>
            <w:r>
              <w:rPr>
                <w:sz w:val="20"/>
                <w:lang w:val="en-US"/>
              </w:rPr>
              <w:t>131-3906</w:t>
            </w:r>
          </w:p>
        </w:tc>
      </w:tr>
      <w:tr w:rsidR="007C665C" w:rsidRPr="00103727" w:rsidTr="007C665C">
        <w:trPr>
          <w:trHeight w:val="236"/>
        </w:trPr>
        <w:tc>
          <w:tcPr>
            <w:tcW w:w="2552" w:type="dxa"/>
            <w:tcBorders>
              <w:top w:val="nil"/>
              <w:left w:val="nil"/>
              <w:bottom w:val="nil"/>
              <w:right w:val="nil"/>
            </w:tcBorders>
          </w:tcPr>
          <w:p w:rsidR="007C665C" w:rsidRPr="002F1CC6" w:rsidRDefault="007C665C" w:rsidP="007C665C">
            <w:pPr>
              <w:rPr>
                <w:sz w:val="20"/>
              </w:rPr>
            </w:pPr>
            <w:r w:rsidRPr="002F1CC6">
              <w:rPr>
                <w:sz w:val="20"/>
              </w:rPr>
              <w:t>Zaichick</w:t>
            </w:r>
            <w:r>
              <w:rPr>
                <w:sz w:val="20"/>
                <w:lang w:val="en-US"/>
              </w:rPr>
              <w:t xml:space="preserve"> </w:t>
            </w:r>
            <w:r w:rsidRPr="002F1CC6">
              <w:rPr>
                <w:sz w:val="20"/>
              </w:rPr>
              <w:t>20</w:t>
            </w:r>
            <w:r>
              <w:rPr>
                <w:sz w:val="20"/>
                <w:lang w:val="en-US"/>
              </w:rPr>
              <w:t>21</w:t>
            </w:r>
            <w:r w:rsidRPr="002F1CC6">
              <w:rPr>
                <w:sz w:val="20"/>
              </w:rPr>
              <w:t xml:space="preserve"> [</w:t>
            </w:r>
            <w:r>
              <w:rPr>
                <w:sz w:val="20"/>
                <w:lang w:val="en-US"/>
              </w:rPr>
              <w:t>75</w:t>
            </w:r>
            <w:r w:rsidRPr="002F1CC6">
              <w:rPr>
                <w:sz w:val="20"/>
              </w:rPr>
              <w:t>]</w:t>
            </w:r>
            <w:r>
              <w:rPr>
                <w:sz w:val="20"/>
              </w:rPr>
              <w:t xml:space="preserve"> </w:t>
            </w:r>
          </w:p>
        </w:tc>
        <w:tc>
          <w:tcPr>
            <w:tcW w:w="1509" w:type="dxa"/>
            <w:tcBorders>
              <w:top w:val="nil"/>
              <w:left w:val="nil"/>
              <w:bottom w:val="nil"/>
              <w:right w:val="nil"/>
            </w:tcBorders>
          </w:tcPr>
          <w:p w:rsidR="007C665C" w:rsidRPr="002F1CC6" w:rsidRDefault="003648FB" w:rsidP="00AC6C70">
            <w:pPr>
              <w:jc w:val="center"/>
              <w:rPr>
                <w:sz w:val="20"/>
              </w:rPr>
            </w:pPr>
            <w:r>
              <w:rPr>
                <w:sz w:val="20"/>
                <w:lang w:val="en-US"/>
              </w:rPr>
              <w:t>ED</w:t>
            </w:r>
            <w:r w:rsidR="007C665C">
              <w:rPr>
                <w:sz w:val="20"/>
                <w:lang w:val="en-US"/>
              </w:rPr>
              <w:t>XRF,</w:t>
            </w:r>
            <w:r w:rsidR="007C665C" w:rsidRPr="00AD7794">
              <w:rPr>
                <w:sz w:val="20"/>
                <w:lang w:val="en-US"/>
              </w:rPr>
              <w:t>NAA</w:t>
            </w:r>
          </w:p>
        </w:tc>
        <w:tc>
          <w:tcPr>
            <w:tcW w:w="425" w:type="dxa"/>
            <w:tcBorders>
              <w:top w:val="nil"/>
              <w:left w:val="nil"/>
              <w:bottom w:val="nil"/>
              <w:right w:val="nil"/>
            </w:tcBorders>
          </w:tcPr>
          <w:p w:rsidR="007C665C" w:rsidRPr="002F1CC6" w:rsidRDefault="007C665C" w:rsidP="00AC6C70">
            <w:pPr>
              <w:jc w:val="center"/>
              <w:rPr>
                <w:sz w:val="20"/>
              </w:rPr>
            </w:pPr>
            <w:r>
              <w:rPr>
                <w:sz w:val="20"/>
              </w:rPr>
              <w:t>46</w:t>
            </w:r>
          </w:p>
        </w:tc>
        <w:tc>
          <w:tcPr>
            <w:tcW w:w="1257" w:type="dxa"/>
            <w:tcBorders>
              <w:top w:val="nil"/>
              <w:left w:val="nil"/>
              <w:bottom w:val="nil"/>
              <w:right w:val="nil"/>
            </w:tcBorders>
          </w:tcPr>
          <w:p w:rsidR="007C665C" w:rsidRPr="002F1CC6" w:rsidRDefault="007C665C" w:rsidP="00AC6C70">
            <w:pPr>
              <w:jc w:val="center"/>
              <w:rPr>
                <w:sz w:val="20"/>
              </w:rPr>
            </w:pPr>
            <w:r>
              <w:rPr>
                <w:sz w:val="20"/>
              </w:rPr>
              <w:t>30-64</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1826D8" w:rsidRDefault="007C665C" w:rsidP="00AC6C70">
            <w:pPr>
              <w:jc w:val="center"/>
              <w:rPr>
                <w:sz w:val="20"/>
                <w:szCs w:val="20"/>
                <w:lang w:val="en-US"/>
              </w:rPr>
            </w:pPr>
            <w:r>
              <w:rPr>
                <w:sz w:val="20"/>
                <w:szCs w:val="20"/>
              </w:rPr>
              <w:t>114</w:t>
            </w:r>
            <w:r>
              <w:rPr>
                <w:sz w:val="20"/>
                <w:szCs w:val="20"/>
                <w:lang w:val="en-US"/>
              </w:rPr>
              <w:t>4</w:t>
            </w:r>
            <w:r w:rsidRPr="008A1F30">
              <w:rPr>
                <w:sz w:val="20"/>
                <w:szCs w:val="20"/>
                <w:lang w:val="en-US"/>
              </w:rPr>
              <w:t>±</w:t>
            </w:r>
            <w:r>
              <w:rPr>
                <w:sz w:val="20"/>
                <w:szCs w:val="20"/>
              </w:rPr>
              <w:t>9</w:t>
            </w:r>
            <w:r>
              <w:rPr>
                <w:sz w:val="20"/>
                <w:szCs w:val="20"/>
                <w:lang w:val="en-US"/>
              </w:rPr>
              <w:t>43</w:t>
            </w:r>
          </w:p>
        </w:tc>
        <w:tc>
          <w:tcPr>
            <w:tcW w:w="1283" w:type="dxa"/>
            <w:tcBorders>
              <w:top w:val="nil"/>
              <w:left w:val="nil"/>
              <w:bottom w:val="nil"/>
              <w:right w:val="nil"/>
            </w:tcBorders>
          </w:tcPr>
          <w:p w:rsidR="007C665C" w:rsidRPr="002F1CC6" w:rsidRDefault="007C665C" w:rsidP="00AC6C70">
            <w:pPr>
              <w:jc w:val="center"/>
              <w:rPr>
                <w:sz w:val="20"/>
              </w:rPr>
            </w:pPr>
            <w:r>
              <w:rPr>
                <w:sz w:val="20"/>
              </w:rPr>
              <w:t>29-3715</w:t>
            </w:r>
          </w:p>
        </w:tc>
      </w:tr>
      <w:tr w:rsidR="007C665C" w:rsidRPr="00103727" w:rsidTr="007C665C">
        <w:trPr>
          <w:trHeight w:val="236"/>
        </w:trPr>
        <w:tc>
          <w:tcPr>
            <w:tcW w:w="2552" w:type="dxa"/>
            <w:tcBorders>
              <w:top w:val="nil"/>
              <w:left w:val="nil"/>
              <w:bottom w:val="nil"/>
              <w:right w:val="nil"/>
            </w:tcBorders>
          </w:tcPr>
          <w:p w:rsidR="007C665C" w:rsidRPr="0034646D"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21</w:t>
            </w:r>
            <w:r w:rsidRPr="00A553D3">
              <w:rPr>
                <w:sz w:val="20"/>
              </w:rPr>
              <w:t xml:space="preserve"> [</w:t>
            </w:r>
            <w:r>
              <w:rPr>
                <w:sz w:val="20"/>
                <w:lang w:val="en-US"/>
              </w:rPr>
              <w:t>76</w:t>
            </w:r>
            <w:r w:rsidRPr="00A553D3">
              <w:rPr>
                <w:sz w:val="20"/>
              </w:rPr>
              <w:t>]</w:t>
            </w:r>
            <w:r>
              <w:rPr>
                <w:sz w:val="20"/>
                <w:lang w:val="en-US"/>
              </w:rPr>
              <w:t xml:space="preserve"> </w:t>
            </w:r>
          </w:p>
        </w:tc>
        <w:tc>
          <w:tcPr>
            <w:tcW w:w="1509" w:type="dxa"/>
            <w:tcBorders>
              <w:top w:val="nil"/>
              <w:left w:val="nil"/>
              <w:bottom w:val="nil"/>
              <w:right w:val="nil"/>
            </w:tcBorders>
          </w:tcPr>
          <w:p w:rsidR="007C665C" w:rsidRPr="002F1CC6" w:rsidRDefault="003648FB" w:rsidP="00AC6C70">
            <w:pPr>
              <w:jc w:val="center"/>
              <w:rPr>
                <w:sz w:val="20"/>
              </w:rPr>
            </w:pPr>
            <w:r>
              <w:rPr>
                <w:sz w:val="20"/>
                <w:lang w:val="en-US"/>
              </w:rPr>
              <w:t>ED</w:t>
            </w:r>
            <w:r w:rsidR="007C665C">
              <w:rPr>
                <w:sz w:val="20"/>
                <w:lang w:val="en-US"/>
              </w:rPr>
              <w:t>XRF,</w:t>
            </w:r>
            <w:r w:rsidR="007C665C" w:rsidRPr="00AD7794">
              <w:rPr>
                <w:sz w:val="20"/>
                <w:lang w:val="en-US"/>
              </w:rPr>
              <w:t>NAA</w:t>
            </w:r>
          </w:p>
        </w:tc>
        <w:tc>
          <w:tcPr>
            <w:tcW w:w="425" w:type="dxa"/>
            <w:tcBorders>
              <w:top w:val="nil"/>
              <w:left w:val="nil"/>
              <w:bottom w:val="nil"/>
              <w:right w:val="nil"/>
            </w:tcBorders>
          </w:tcPr>
          <w:p w:rsidR="007C665C" w:rsidRPr="0034646D" w:rsidRDefault="007C665C" w:rsidP="00AC6C70">
            <w:pPr>
              <w:jc w:val="center"/>
              <w:rPr>
                <w:sz w:val="20"/>
                <w:lang w:val="en-US"/>
              </w:rPr>
            </w:pPr>
            <w:r>
              <w:rPr>
                <w:sz w:val="20"/>
                <w:lang w:val="en-US"/>
              </w:rPr>
              <w:t>19</w:t>
            </w:r>
          </w:p>
        </w:tc>
        <w:tc>
          <w:tcPr>
            <w:tcW w:w="1257" w:type="dxa"/>
            <w:tcBorders>
              <w:top w:val="nil"/>
              <w:left w:val="nil"/>
              <w:bottom w:val="nil"/>
              <w:right w:val="nil"/>
            </w:tcBorders>
          </w:tcPr>
          <w:p w:rsidR="007C665C" w:rsidRPr="002F1CC6" w:rsidRDefault="007C665C" w:rsidP="00AC6C70">
            <w:pPr>
              <w:jc w:val="center"/>
              <w:rPr>
                <w:sz w:val="20"/>
              </w:rPr>
            </w:pPr>
            <w:r>
              <w:rPr>
                <w:sz w:val="20"/>
                <w:szCs w:val="20"/>
                <w:lang w:val="en-US"/>
              </w:rPr>
              <w:t>22-55</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AC6C70">
            <w:pPr>
              <w:jc w:val="center"/>
              <w:rPr>
                <w:sz w:val="20"/>
                <w:szCs w:val="20"/>
                <w:lang w:val="en-US"/>
              </w:rPr>
            </w:pPr>
            <w:r>
              <w:rPr>
                <w:sz w:val="20"/>
                <w:szCs w:val="20"/>
                <w:lang w:val="en-US"/>
              </w:rPr>
              <w:t>962</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7C665C" w:rsidRPr="0034646D" w:rsidRDefault="007C665C" w:rsidP="00AC6C70">
            <w:pPr>
              <w:jc w:val="center"/>
              <w:rPr>
                <w:sz w:val="20"/>
                <w:lang w:val="en-US"/>
              </w:rPr>
            </w:pPr>
            <w:r>
              <w:rPr>
                <w:sz w:val="20"/>
                <w:lang w:val="en-US"/>
              </w:rPr>
              <w:t>131-3906</w:t>
            </w:r>
          </w:p>
        </w:tc>
      </w:tr>
      <w:tr w:rsidR="007C665C" w:rsidRPr="00103727" w:rsidTr="007C665C">
        <w:trPr>
          <w:trHeight w:val="236"/>
        </w:trPr>
        <w:tc>
          <w:tcPr>
            <w:tcW w:w="2552" w:type="dxa"/>
            <w:tcBorders>
              <w:top w:val="nil"/>
              <w:left w:val="nil"/>
              <w:bottom w:val="nil"/>
              <w:right w:val="nil"/>
            </w:tcBorders>
          </w:tcPr>
          <w:p w:rsidR="007C665C" w:rsidRPr="005A5836"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21</w:t>
            </w:r>
            <w:r w:rsidRPr="00A553D3">
              <w:rPr>
                <w:sz w:val="20"/>
              </w:rPr>
              <w:t xml:space="preserve"> [</w:t>
            </w:r>
            <w:r>
              <w:rPr>
                <w:sz w:val="20"/>
                <w:lang w:val="en-US"/>
              </w:rPr>
              <w:t>77</w:t>
            </w:r>
            <w:r w:rsidRPr="00A553D3">
              <w:rPr>
                <w:sz w:val="20"/>
              </w:rPr>
              <w:t>]</w:t>
            </w:r>
            <w:r>
              <w:rPr>
                <w:sz w:val="20"/>
                <w:lang w:val="en-US"/>
              </w:rPr>
              <w:t xml:space="preserve"> </w:t>
            </w:r>
          </w:p>
        </w:tc>
        <w:tc>
          <w:tcPr>
            <w:tcW w:w="1509" w:type="dxa"/>
            <w:tcBorders>
              <w:top w:val="nil"/>
              <w:left w:val="nil"/>
              <w:bottom w:val="nil"/>
              <w:right w:val="nil"/>
            </w:tcBorders>
          </w:tcPr>
          <w:p w:rsidR="007C665C" w:rsidRPr="002F1CC6" w:rsidRDefault="003648FB" w:rsidP="00AC6C70">
            <w:pPr>
              <w:jc w:val="center"/>
              <w:rPr>
                <w:sz w:val="20"/>
              </w:rPr>
            </w:pPr>
            <w:r>
              <w:rPr>
                <w:sz w:val="20"/>
                <w:lang w:val="en-US"/>
              </w:rPr>
              <w:t>ED</w:t>
            </w:r>
            <w:r w:rsidR="007C665C">
              <w:rPr>
                <w:sz w:val="20"/>
                <w:lang w:val="en-US"/>
              </w:rPr>
              <w:t>XRF,</w:t>
            </w:r>
            <w:r w:rsidR="007C665C" w:rsidRPr="00AD7794">
              <w:rPr>
                <w:sz w:val="20"/>
                <w:lang w:val="en-US"/>
              </w:rPr>
              <w:t>NAA</w:t>
            </w:r>
          </w:p>
        </w:tc>
        <w:tc>
          <w:tcPr>
            <w:tcW w:w="425" w:type="dxa"/>
            <w:tcBorders>
              <w:top w:val="nil"/>
              <w:left w:val="nil"/>
              <w:bottom w:val="nil"/>
              <w:right w:val="nil"/>
            </w:tcBorders>
          </w:tcPr>
          <w:p w:rsidR="007C665C" w:rsidRPr="005A5836" w:rsidRDefault="007C665C" w:rsidP="00AC6C70">
            <w:pPr>
              <w:jc w:val="center"/>
              <w:rPr>
                <w:sz w:val="20"/>
                <w:lang w:val="en-US"/>
              </w:rPr>
            </w:pPr>
            <w:r>
              <w:rPr>
                <w:sz w:val="20"/>
                <w:lang w:val="en-US"/>
              </w:rPr>
              <w:t>8</w:t>
            </w:r>
          </w:p>
        </w:tc>
        <w:tc>
          <w:tcPr>
            <w:tcW w:w="1257" w:type="dxa"/>
            <w:tcBorders>
              <w:top w:val="nil"/>
              <w:left w:val="nil"/>
              <w:bottom w:val="nil"/>
              <w:right w:val="nil"/>
            </w:tcBorders>
          </w:tcPr>
          <w:p w:rsidR="007C665C" w:rsidRPr="002F1CC6" w:rsidRDefault="007C665C" w:rsidP="00AC6C70">
            <w:pPr>
              <w:jc w:val="center"/>
              <w:rPr>
                <w:sz w:val="20"/>
              </w:rPr>
            </w:pPr>
            <w:r>
              <w:rPr>
                <w:sz w:val="20"/>
                <w:szCs w:val="20"/>
                <w:lang w:val="en-US"/>
              </w:rPr>
              <w:t>34-55</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AC6C70">
            <w:pPr>
              <w:jc w:val="center"/>
              <w:rPr>
                <w:sz w:val="20"/>
                <w:szCs w:val="20"/>
                <w:lang w:val="en-US"/>
              </w:rPr>
            </w:pPr>
            <w:r>
              <w:rPr>
                <w:sz w:val="20"/>
                <w:szCs w:val="20"/>
                <w:lang w:val="en-US"/>
              </w:rPr>
              <w:t>951</w:t>
            </w:r>
            <w:r w:rsidRPr="008A1F30">
              <w:rPr>
                <w:sz w:val="20"/>
                <w:szCs w:val="20"/>
                <w:lang w:val="en-US"/>
              </w:rPr>
              <w:t>±</w:t>
            </w:r>
            <w:r>
              <w:rPr>
                <w:sz w:val="20"/>
                <w:szCs w:val="20"/>
                <w:lang w:val="en-US"/>
              </w:rPr>
              <w:t>630</w:t>
            </w:r>
          </w:p>
        </w:tc>
        <w:tc>
          <w:tcPr>
            <w:tcW w:w="1283" w:type="dxa"/>
            <w:tcBorders>
              <w:top w:val="nil"/>
              <w:left w:val="nil"/>
              <w:bottom w:val="nil"/>
              <w:right w:val="nil"/>
            </w:tcBorders>
          </w:tcPr>
          <w:p w:rsidR="007C665C" w:rsidRPr="0034646D" w:rsidRDefault="007C665C" w:rsidP="00AC6C70">
            <w:pPr>
              <w:jc w:val="center"/>
              <w:rPr>
                <w:sz w:val="20"/>
                <w:lang w:val="en-US"/>
              </w:rPr>
            </w:pPr>
            <w:r>
              <w:rPr>
                <w:sz w:val="20"/>
                <w:lang w:val="en-US"/>
              </w:rPr>
              <w:t>83-1787</w:t>
            </w:r>
          </w:p>
        </w:tc>
      </w:tr>
      <w:tr w:rsidR="007C665C" w:rsidRPr="00103727" w:rsidTr="007C665C">
        <w:trPr>
          <w:trHeight w:val="236"/>
        </w:trPr>
        <w:tc>
          <w:tcPr>
            <w:tcW w:w="2552" w:type="dxa"/>
            <w:tcBorders>
              <w:top w:val="nil"/>
              <w:left w:val="nil"/>
              <w:bottom w:val="nil"/>
              <w:right w:val="nil"/>
            </w:tcBorders>
          </w:tcPr>
          <w:p w:rsidR="007C665C" w:rsidRPr="00C10D37"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21</w:t>
            </w:r>
            <w:r w:rsidRPr="00A553D3">
              <w:rPr>
                <w:sz w:val="20"/>
              </w:rPr>
              <w:t xml:space="preserve"> [</w:t>
            </w:r>
            <w:r>
              <w:rPr>
                <w:sz w:val="20"/>
                <w:lang w:val="en-US"/>
              </w:rPr>
              <w:t>78</w:t>
            </w:r>
            <w:r w:rsidRPr="00A553D3">
              <w:rPr>
                <w:sz w:val="20"/>
              </w:rPr>
              <w:t>]</w:t>
            </w:r>
            <w:r>
              <w:rPr>
                <w:sz w:val="20"/>
                <w:lang w:val="en-US"/>
              </w:rPr>
              <w:t xml:space="preserve"> </w:t>
            </w:r>
          </w:p>
        </w:tc>
        <w:tc>
          <w:tcPr>
            <w:tcW w:w="1509" w:type="dxa"/>
            <w:tcBorders>
              <w:top w:val="nil"/>
              <w:left w:val="nil"/>
              <w:bottom w:val="nil"/>
              <w:right w:val="nil"/>
            </w:tcBorders>
          </w:tcPr>
          <w:p w:rsidR="007C665C" w:rsidRPr="002F1CC6" w:rsidRDefault="007C665C" w:rsidP="00AC6C70">
            <w:pPr>
              <w:jc w:val="center"/>
              <w:rPr>
                <w:sz w:val="20"/>
              </w:rPr>
            </w:pPr>
            <w:r w:rsidRPr="00AD7794">
              <w:rPr>
                <w:sz w:val="20"/>
                <w:lang w:val="en-US"/>
              </w:rPr>
              <w:t>NAA</w:t>
            </w:r>
          </w:p>
        </w:tc>
        <w:tc>
          <w:tcPr>
            <w:tcW w:w="425" w:type="dxa"/>
            <w:tcBorders>
              <w:top w:val="nil"/>
              <w:left w:val="nil"/>
              <w:bottom w:val="nil"/>
              <w:right w:val="nil"/>
            </w:tcBorders>
          </w:tcPr>
          <w:p w:rsidR="007C665C" w:rsidRPr="005A5836" w:rsidRDefault="007C665C" w:rsidP="00AC6C70">
            <w:pPr>
              <w:jc w:val="center"/>
              <w:rPr>
                <w:sz w:val="20"/>
                <w:lang w:val="en-US"/>
              </w:rPr>
            </w:pPr>
            <w:r>
              <w:rPr>
                <w:sz w:val="20"/>
                <w:lang w:val="en-US"/>
              </w:rPr>
              <w:t>6</w:t>
            </w:r>
          </w:p>
        </w:tc>
        <w:tc>
          <w:tcPr>
            <w:tcW w:w="1257" w:type="dxa"/>
            <w:tcBorders>
              <w:top w:val="nil"/>
              <w:left w:val="nil"/>
              <w:bottom w:val="nil"/>
              <w:right w:val="nil"/>
            </w:tcBorders>
          </w:tcPr>
          <w:p w:rsidR="007C665C" w:rsidRPr="002F1CC6" w:rsidRDefault="007C665C" w:rsidP="00AC6C70">
            <w:pPr>
              <w:jc w:val="center"/>
              <w:rPr>
                <w:sz w:val="20"/>
              </w:rPr>
            </w:pPr>
            <w:r>
              <w:rPr>
                <w:sz w:val="20"/>
                <w:szCs w:val="20"/>
                <w:lang w:val="en-US"/>
              </w:rPr>
              <w:t>34-50</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AC6C70">
            <w:pPr>
              <w:jc w:val="center"/>
              <w:rPr>
                <w:sz w:val="20"/>
                <w:szCs w:val="20"/>
                <w:lang w:val="en-US"/>
              </w:rPr>
            </w:pPr>
            <w:r>
              <w:rPr>
                <w:sz w:val="20"/>
                <w:szCs w:val="20"/>
                <w:lang w:val="en-US"/>
              </w:rPr>
              <w:t>276</w:t>
            </w:r>
            <w:r w:rsidRPr="008A1F30">
              <w:rPr>
                <w:sz w:val="20"/>
                <w:szCs w:val="20"/>
                <w:lang w:val="en-US"/>
              </w:rPr>
              <w:t>±</w:t>
            </w:r>
            <w:r>
              <w:rPr>
                <w:sz w:val="20"/>
                <w:szCs w:val="20"/>
                <w:lang w:val="en-US"/>
              </w:rPr>
              <w:t>283</w:t>
            </w:r>
          </w:p>
        </w:tc>
        <w:tc>
          <w:tcPr>
            <w:tcW w:w="1283" w:type="dxa"/>
            <w:tcBorders>
              <w:top w:val="nil"/>
              <w:left w:val="nil"/>
              <w:bottom w:val="nil"/>
              <w:right w:val="nil"/>
            </w:tcBorders>
          </w:tcPr>
          <w:p w:rsidR="007C665C" w:rsidRPr="0034646D" w:rsidRDefault="007C665C" w:rsidP="00AC6C70">
            <w:pPr>
              <w:jc w:val="center"/>
              <w:rPr>
                <w:sz w:val="20"/>
                <w:lang w:val="en-US"/>
              </w:rPr>
            </w:pPr>
            <w:r>
              <w:rPr>
                <w:sz w:val="20"/>
                <w:lang w:val="en-US"/>
              </w:rPr>
              <w:t>85-824</w:t>
            </w:r>
          </w:p>
        </w:tc>
      </w:tr>
      <w:tr w:rsidR="007C665C" w:rsidRPr="00103727" w:rsidTr="007C665C">
        <w:trPr>
          <w:trHeight w:val="236"/>
        </w:trPr>
        <w:tc>
          <w:tcPr>
            <w:tcW w:w="2552" w:type="dxa"/>
            <w:tcBorders>
              <w:top w:val="nil"/>
              <w:left w:val="nil"/>
              <w:bottom w:val="nil"/>
              <w:right w:val="nil"/>
            </w:tcBorders>
          </w:tcPr>
          <w:p w:rsidR="007C665C" w:rsidRPr="00A553D3" w:rsidRDefault="007C665C" w:rsidP="007C665C">
            <w:pPr>
              <w:rPr>
                <w:sz w:val="20"/>
              </w:rPr>
            </w:pPr>
            <w:r w:rsidRPr="00A553D3">
              <w:rPr>
                <w:sz w:val="20"/>
              </w:rPr>
              <w:t>Zaichick</w:t>
            </w:r>
            <w:r w:rsidRPr="00A553D3">
              <w:rPr>
                <w:sz w:val="20"/>
                <w:lang w:val="en-US"/>
              </w:rPr>
              <w:t xml:space="preserve"> </w:t>
            </w:r>
            <w:r w:rsidRPr="00A553D3">
              <w:rPr>
                <w:sz w:val="20"/>
              </w:rPr>
              <w:t>20</w:t>
            </w:r>
            <w:r w:rsidRPr="00A553D3">
              <w:rPr>
                <w:sz w:val="20"/>
                <w:lang w:val="en-US"/>
              </w:rPr>
              <w:t>2</w:t>
            </w:r>
            <w:r>
              <w:rPr>
                <w:sz w:val="20"/>
                <w:lang w:val="en-US"/>
              </w:rPr>
              <w:t>2</w:t>
            </w:r>
            <w:r w:rsidRPr="00A553D3">
              <w:rPr>
                <w:sz w:val="20"/>
              </w:rPr>
              <w:t xml:space="preserve"> [</w:t>
            </w:r>
            <w:r>
              <w:rPr>
                <w:sz w:val="20"/>
                <w:lang w:val="en-US"/>
              </w:rPr>
              <w:t>79</w:t>
            </w:r>
            <w:r w:rsidRPr="00A553D3">
              <w:rPr>
                <w:sz w:val="20"/>
              </w:rPr>
              <w:t>]</w:t>
            </w:r>
            <w:r>
              <w:rPr>
                <w:sz w:val="20"/>
                <w:lang w:val="en-US"/>
              </w:rPr>
              <w:t xml:space="preserve"> </w:t>
            </w:r>
          </w:p>
        </w:tc>
        <w:tc>
          <w:tcPr>
            <w:tcW w:w="1509" w:type="dxa"/>
            <w:tcBorders>
              <w:top w:val="nil"/>
              <w:left w:val="nil"/>
              <w:bottom w:val="nil"/>
              <w:right w:val="nil"/>
            </w:tcBorders>
          </w:tcPr>
          <w:p w:rsidR="007C665C" w:rsidRPr="00F77332" w:rsidRDefault="003648FB" w:rsidP="00AC6C70">
            <w:pPr>
              <w:jc w:val="center"/>
              <w:rPr>
                <w:sz w:val="20"/>
                <w:lang w:val="en-US"/>
              </w:rPr>
            </w:pPr>
            <w:r>
              <w:rPr>
                <w:sz w:val="20"/>
                <w:lang w:val="en-US"/>
              </w:rPr>
              <w:t>ED</w:t>
            </w:r>
            <w:r w:rsidR="007C665C">
              <w:rPr>
                <w:sz w:val="20"/>
                <w:lang w:val="en-US"/>
              </w:rPr>
              <w:t>XRF</w:t>
            </w:r>
          </w:p>
        </w:tc>
        <w:tc>
          <w:tcPr>
            <w:tcW w:w="425" w:type="dxa"/>
            <w:tcBorders>
              <w:top w:val="nil"/>
              <w:left w:val="nil"/>
              <w:bottom w:val="nil"/>
              <w:right w:val="nil"/>
            </w:tcBorders>
          </w:tcPr>
          <w:p w:rsidR="007C665C" w:rsidRPr="00B67F32" w:rsidRDefault="007C665C" w:rsidP="00AC6C70">
            <w:pPr>
              <w:jc w:val="center"/>
              <w:rPr>
                <w:sz w:val="20"/>
                <w:lang w:val="en-US"/>
              </w:rPr>
            </w:pPr>
            <w:r>
              <w:rPr>
                <w:sz w:val="20"/>
                <w:lang w:val="en-US"/>
              </w:rPr>
              <w:t>79</w:t>
            </w:r>
          </w:p>
        </w:tc>
        <w:tc>
          <w:tcPr>
            <w:tcW w:w="1257" w:type="dxa"/>
            <w:tcBorders>
              <w:top w:val="nil"/>
              <w:left w:val="nil"/>
              <w:bottom w:val="nil"/>
              <w:right w:val="nil"/>
            </w:tcBorders>
          </w:tcPr>
          <w:p w:rsidR="007C665C" w:rsidRPr="00B67F32" w:rsidRDefault="007C665C" w:rsidP="00AC6C70">
            <w:pPr>
              <w:jc w:val="center"/>
              <w:rPr>
                <w:sz w:val="20"/>
                <w:lang w:val="en-US"/>
              </w:rPr>
            </w:pPr>
            <w:r>
              <w:rPr>
                <w:sz w:val="20"/>
                <w:lang w:val="en-US"/>
              </w:rPr>
              <w:t>22-64</w:t>
            </w:r>
          </w:p>
        </w:tc>
        <w:tc>
          <w:tcPr>
            <w:tcW w:w="1322" w:type="dxa"/>
            <w:tcBorders>
              <w:top w:val="nil"/>
              <w:left w:val="nil"/>
              <w:bottom w:val="nil"/>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nil"/>
              <w:right w:val="nil"/>
            </w:tcBorders>
          </w:tcPr>
          <w:p w:rsidR="007C665C" w:rsidRPr="00F77332" w:rsidRDefault="007C665C" w:rsidP="00AC6C70">
            <w:pPr>
              <w:jc w:val="center"/>
              <w:rPr>
                <w:sz w:val="20"/>
                <w:szCs w:val="20"/>
                <w:lang w:val="en-US"/>
              </w:rPr>
            </w:pPr>
            <w:r>
              <w:rPr>
                <w:sz w:val="20"/>
                <w:szCs w:val="20"/>
                <w:lang w:val="en-US"/>
              </w:rPr>
              <w:t>1107</w:t>
            </w:r>
            <w:r w:rsidRPr="008A1F30">
              <w:rPr>
                <w:sz w:val="20"/>
                <w:szCs w:val="20"/>
                <w:lang w:val="en-US"/>
              </w:rPr>
              <w:t>±</w:t>
            </w:r>
            <w:r>
              <w:rPr>
                <w:sz w:val="20"/>
                <w:szCs w:val="20"/>
                <w:lang w:val="en-US"/>
              </w:rPr>
              <w:t>1358</w:t>
            </w:r>
          </w:p>
        </w:tc>
        <w:tc>
          <w:tcPr>
            <w:tcW w:w="1283" w:type="dxa"/>
            <w:tcBorders>
              <w:top w:val="nil"/>
              <w:left w:val="nil"/>
              <w:bottom w:val="nil"/>
              <w:right w:val="nil"/>
            </w:tcBorders>
          </w:tcPr>
          <w:p w:rsidR="007C665C" w:rsidRPr="00F77332" w:rsidRDefault="007C665C" w:rsidP="00AC6C70">
            <w:pPr>
              <w:jc w:val="center"/>
              <w:rPr>
                <w:sz w:val="20"/>
                <w:lang w:val="en-US"/>
              </w:rPr>
            </w:pPr>
            <w:r>
              <w:rPr>
                <w:sz w:val="20"/>
                <w:lang w:val="en-US"/>
              </w:rPr>
              <w:t>47-8260</w:t>
            </w:r>
          </w:p>
        </w:tc>
      </w:tr>
      <w:tr w:rsidR="007C665C" w:rsidRPr="00103727" w:rsidTr="007C665C">
        <w:trPr>
          <w:trHeight w:val="236"/>
        </w:trPr>
        <w:tc>
          <w:tcPr>
            <w:tcW w:w="2552" w:type="dxa"/>
            <w:tcBorders>
              <w:top w:val="nil"/>
              <w:left w:val="nil"/>
              <w:bottom w:val="single" w:sz="4" w:space="0" w:color="auto"/>
              <w:right w:val="nil"/>
            </w:tcBorders>
          </w:tcPr>
          <w:p w:rsidR="007C665C" w:rsidRPr="00B67F32" w:rsidRDefault="007C665C" w:rsidP="007C665C">
            <w:pPr>
              <w:rPr>
                <w:lang w:val="en-US"/>
              </w:rPr>
            </w:pPr>
            <w:r w:rsidRPr="00A553D3">
              <w:rPr>
                <w:sz w:val="20"/>
              </w:rPr>
              <w:t>Zaichick</w:t>
            </w:r>
            <w:r w:rsidRPr="00A553D3">
              <w:rPr>
                <w:sz w:val="20"/>
                <w:lang w:val="en-US"/>
              </w:rPr>
              <w:t xml:space="preserve"> </w:t>
            </w:r>
            <w:r w:rsidRPr="00A553D3">
              <w:rPr>
                <w:sz w:val="20"/>
              </w:rPr>
              <w:t>20</w:t>
            </w:r>
            <w:r w:rsidRPr="00A553D3">
              <w:rPr>
                <w:sz w:val="20"/>
                <w:lang w:val="en-US"/>
              </w:rPr>
              <w:t>2</w:t>
            </w:r>
            <w:r>
              <w:rPr>
                <w:sz w:val="20"/>
                <w:lang w:val="en-US"/>
              </w:rPr>
              <w:t>2</w:t>
            </w:r>
            <w:r w:rsidRPr="00A553D3">
              <w:rPr>
                <w:sz w:val="20"/>
              </w:rPr>
              <w:t xml:space="preserve"> [</w:t>
            </w:r>
            <w:r>
              <w:rPr>
                <w:sz w:val="20"/>
                <w:lang w:val="en-US"/>
              </w:rPr>
              <w:t>80</w:t>
            </w:r>
            <w:r w:rsidRPr="00A553D3">
              <w:rPr>
                <w:sz w:val="20"/>
              </w:rPr>
              <w:t>]</w:t>
            </w:r>
            <w:r>
              <w:rPr>
                <w:sz w:val="20"/>
                <w:lang w:val="en-US"/>
              </w:rPr>
              <w:t xml:space="preserve"> </w:t>
            </w:r>
          </w:p>
        </w:tc>
        <w:tc>
          <w:tcPr>
            <w:tcW w:w="1509" w:type="dxa"/>
            <w:tcBorders>
              <w:top w:val="nil"/>
              <w:left w:val="nil"/>
              <w:bottom w:val="single" w:sz="4" w:space="0" w:color="auto"/>
              <w:right w:val="nil"/>
            </w:tcBorders>
          </w:tcPr>
          <w:p w:rsidR="007C665C" w:rsidRPr="002F1CC6" w:rsidRDefault="007C665C" w:rsidP="00AC6C70">
            <w:pPr>
              <w:jc w:val="center"/>
            </w:pPr>
            <w:r w:rsidRPr="00AD7794">
              <w:rPr>
                <w:sz w:val="20"/>
                <w:lang w:val="en-US"/>
              </w:rPr>
              <w:t>NAA</w:t>
            </w:r>
            <w:r>
              <w:rPr>
                <w:sz w:val="20"/>
                <w:lang w:val="en-US"/>
              </w:rPr>
              <w:t>,ICPAES</w:t>
            </w:r>
          </w:p>
        </w:tc>
        <w:tc>
          <w:tcPr>
            <w:tcW w:w="425" w:type="dxa"/>
            <w:tcBorders>
              <w:top w:val="nil"/>
              <w:left w:val="nil"/>
              <w:bottom w:val="single" w:sz="4" w:space="0" w:color="auto"/>
              <w:right w:val="nil"/>
            </w:tcBorders>
          </w:tcPr>
          <w:p w:rsidR="007C665C" w:rsidRPr="00B67F32" w:rsidRDefault="007C665C" w:rsidP="00AC6C70">
            <w:pPr>
              <w:jc w:val="center"/>
              <w:rPr>
                <w:sz w:val="20"/>
                <w:lang w:val="en-US"/>
              </w:rPr>
            </w:pPr>
            <w:r>
              <w:rPr>
                <w:sz w:val="20"/>
                <w:lang w:val="en-US"/>
              </w:rPr>
              <w:t>79</w:t>
            </w:r>
          </w:p>
        </w:tc>
        <w:tc>
          <w:tcPr>
            <w:tcW w:w="1257" w:type="dxa"/>
            <w:tcBorders>
              <w:top w:val="nil"/>
              <w:left w:val="nil"/>
              <w:bottom w:val="single" w:sz="4" w:space="0" w:color="auto"/>
              <w:right w:val="nil"/>
            </w:tcBorders>
          </w:tcPr>
          <w:p w:rsidR="007C665C" w:rsidRPr="00B67F32" w:rsidRDefault="007C665C" w:rsidP="00AC6C70">
            <w:pPr>
              <w:jc w:val="center"/>
              <w:rPr>
                <w:sz w:val="20"/>
                <w:lang w:val="en-US"/>
              </w:rPr>
            </w:pPr>
            <w:r>
              <w:rPr>
                <w:sz w:val="20"/>
                <w:lang w:val="en-US"/>
              </w:rPr>
              <w:t>22-64</w:t>
            </w:r>
          </w:p>
        </w:tc>
        <w:tc>
          <w:tcPr>
            <w:tcW w:w="1322" w:type="dxa"/>
            <w:tcBorders>
              <w:top w:val="nil"/>
              <w:left w:val="nil"/>
              <w:bottom w:val="single" w:sz="4" w:space="0" w:color="auto"/>
              <w:right w:val="nil"/>
            </w:tcBorders>
          </w:tcPr>
          <w:p w:rsidR="007C665C" w:rsidRPr="002F1CC6" w:rsidRDefault="007C665C" w:rsidP="00AC6C70">
            <w:pPr>
              <w:jc w:val="center"/>
            </w:pPr>
            <w:r w:rsidRPr="002A7A74">
              <w:rPr>
                <w:sz w:val="20"/>
                <w:lang w:val="en-US"/>
              </w:rPr>
              <w:t>Intact</w:t>
            </w:r>
          </w:p>
        </w:tc>
        <w:tc>
          <w:tcPr>
            <w:tcW w:w="1229" w:type="dxa"/>
            <w:tcBorders>
              <w:top w:val="nil"/>
              <w:left w:val="nil"/>
              <w:bottom w:val="single" w:sz="4" w:space="0" w:color="auto"/>
              <w:right w:val="nil"/>
            </w:tcBorders>
          </w:tcPr>
          <w:p w:rsidR="007C665C" w:rsidRPr="002F1CC6" w:rsidRDefault="007C665C" w:rsidP="00AC6C70">
            <w:pPr>
              <w:jc w:val="center"/>
              <w:rPr>
                <w:sz w:val="20"/>
                <w:szCs w:val="20"/>
              </w:rPr>
            </w:pPr>
            <w:r>
              <w:rPr>
                <w:sz w:val="20"/>
                <w:szCs w:val="20"/>
                <w:lang w:val="en-US"/>
              </w:rPr>
              <w:t>1086</w:t>
            </w:r>
            <w:r w:rsidRPr="008A1F30">
              <w:rPr>
                <w:sz w:val="20"/>
                <w:szCs w:val="20"/>
                <w:lang w:val="en-US"/>
              </w:rPr>
              <w:t>±</w:t>
            </w:r>
            <w:r>
              <w:rPr>
                <w:sz w:val="20"/>
                <w:szCs w:val="20"/>
                <w:lang w:val="en-US"/>
              </w:rPr>
              <w:t>1219</w:t>
            </w:r>
          </w:p>
        </w:tc>
        <w:tc>
          <w:tcPr>
            <w:tcW w:w="1283" w:type="dxa"/>
            <w:tcBorders>
              <w:top w:val="nil"/>
              <w:left w:val="nil"/>
              <w:bottom w:val="single" w:sz="4" w:space="0" w:color="auto"/>
              <w:right w:val="nil"/>
            </w:tcBorders>
          </w:tcPr>
          <w:p w:rsidR="007C665C" w:rsidRPr="00B67F32" w:rsidRDefault="007C665C" w:rsidP="00AC6C70">
            <w:pPr>
              <w:jc w:val="center"/>
              <w:rPr>
                <w:sz w:val="20"/>
                <w:lang w:val="en-US"/>
              </w:rPr>
            </w:pPr>
            <w:r>
              <w:rPr>
                <w:sz w:val="20"/>
                <w:lang w:val="en-US"/>
              </w:rPr>
              <w:t>29-8260</w:t>
            </w:r>
          </w:p>
        </w:tc>
      </w:tr>
      <w:tr w:rsidR="007C665C" w:rsidRPr="00103727" w:rsidTr="007C665C">
        <w:trPr>
          <w:trHeight w:val="236"/>
        </w:trPr>
        <w:tc>
          <w:tcPr>
            <w:tcW w:w="4061" w:type="dxa"/>
            <w:gridSpan w:val="2"/>
            <w:tcBorders>
              <w:top w:val="single" w:sz="4" w:space="0" w:color="auto"/>
              <w:left w:val="nil"/>
              <w:bottom w:val="nil"/>
              <w:right w:val="nil"/>
            </w:tcBorders>
          </w:tcPr>
          <w:p w:rsidR="007C665C" w:rsidRPr="002E3999" w:rsidRDefault="007C665C" w:rsidP="00AC6C70">
            <w:pPr>
              <w:jc w:val="center"/>
              <w:rPr>
                <w:sz w:val="20"/>
              </w:rPr>
            </w:pPr>
            <w:r w:rsidRPr="002E3999">
              <w:rPr>
                <w:color w:val="000000"/>
                <w:sz w:val="20"/>
                <w:szCs w:val="20"/>
              </w:rPr>
              <w:t>Median of means</w:t>
            </w:r>
          </w:p>
        </w:tc>
        <w:tc>
          <w:tcPr>
            <w:tcW w:w="5516" w:type="dxa"/>
            <w:gridSpan w:val="5"/>
            <w:tcBorders>
              <w:top w:val="single" w:sz="4" w:space="0" w:color="auto"/>
              <w:left w:val="nil"/>
              <w:bottom w:val="nil"/>
              <w:right w:val="nil"/>
            </w:tcBorders>
          </w:tcPr>
          <w:p w:rsidR="007C665C" w:rsidRPr="002E3999" w:rsidRDefault="007C665C" w:rsidP="00AC6C70">
            <w:pPr>
              <w:jc w:val="center"/>
              <w:rPr>
                <w:sz w:val="20"/>
                <w:szCs w:val="20"/>
              </w:rPr>
            </w:pPr>
            <w:r w:rsidRPr="002E3999">
              <w:rPr>
                <w:sz w:val="20"/>
                <w:szCs w:val="20"/>
                <w:lang w:val="en-US"/>
              </w:rPr>
              <w:t>920</w:t>
            </w:r>
            <w:r w:rsidRPr="002E3999">
              <w:rPr>
                <w:sz w:val="20"/>
                <w:szCs w:val="20"/>
              </w:rPr>
              <w:t xml:space="preserve"> </w:t>
            </w:r>
          </w:p>
        </w:tc>
      </w:tr>
      <w:tr w:rsidR="007C665C" w:rsidRPr="00103727" w:rsidTr="007C665C">
        <w:trPr>
          <w:trHeight w:val="236"/>
        </w:trPr>
        <w:tc>
          <w:tcPr>
            <w:tcW w:w="4061" w:type="dxa"/>
            <w:gridSpan w:val="2"/>
            <w:tcBorders>
              <w:top w:val="nil"/>
              <w:left w:val="nil"/>
              <w:bottom w:val="nil"/>
              <w:right w:val="nil"/>
            </w:tcBorders>
          </w:tcPr>
          <w:p w:rsidR="007C665C" w:rsidRPr="002E3999" w:rsidRDefault="007C665C" w:rsidP="00AC6C70">
            <w:pPr>
              <w:jc w:val="center"/>
              <w:rPr>
                <w:sz w:val="20"/>
                <w:lang w:val="en-US"/>
              </w:rPr>
            </w:pPr>
            <w:r w:rsidRPr="002E3999">
              <w:rPr>
                <w:color w:val="000000"/>
                <w:sz w:val="20"/>
                <w:szCs w:val="20"/>
                <w:lang w:val="en-US"/>
              </w:rPr>
              <w:t xml:space="preserve">  Range of means </w:t>
            </w:r>
            <w:r w:rsidRPr="002E3999">
              <w:rPr>
                <w:sz w:val="20"/>
                <w:szCs w:val="20"/>
                <w:lang w:val="en-US"/>
              </w:rPr>
              <w:t>(M</w:t>
            </w:r>
            <w:r w:rsidRPr="002E3999">
              <w:rPr>
                <w:sz w:val="20"/>
                <w:szCs w:val="20"/>
                <w:vertAlign w:val="subscript"/>
                <w:lang w:val="en-US"/>
              </w:rPr>
              <w:t>min</w:t>
            </w:r>
            <w:r w:rsidRPr="002E3999">
              <w:rPr>
                <w:sz w:val="20"/>
                <w:szCs w:val="20"/>
                <w:lang w:val="en-US"/>
              </w:rPr>
              <w:t xml:space="preserve"> - M</w:t>
            </w:r>
            <w:r w:rsidRPr="002E3999">
              <w:rPr>
                <w:sz w:val="20"/>
                <w:szCs w:val="20"/>
                <w:vertAlign w:val="subscript"/>
                <w:lang w:val="en-US"/>
              </w:rPr>
              <w:t>max</w:t>
            </w:r>
            <w:r w:rsidRPr="002E3999">
              <w:rPr>
                <w:sz w:val="20"/>
                <w:szCs w:val="20"/>
                <w:lang w:val="en-US"/>
              </w:rPr>
              <w:t>)</w:t>
            </w:r>
            <w:r w:rsidRPr="002E3999">
              <w:rPr>
                <w:color w:val="000000"/>
                <w:sz w:val="20"/>
                <w:szCs w:val="20"/>
                <w:lang w:val="en-US"/>
              </w:rPr>
              <w:t xml:space="preserve">, </w:t>
            </w:r>
          </w:p>
        </w:tc>
        <w:tc>
          <w:tcPr>
            <w:tcW w:w="5516" w:type="dxa"/>
            <w:gridSpan w:val="5"/>
            <w:tcBorders>
              <w:top w:val="nil"/>
              <w:left w:val="nil"/>
              <w:bottom w:val="nil"/>
              <w:right w:val="nil"/>
            </w:tcBorders>
          </w:tcPr>
          <w:p w:rsidR="007C665C" w:rsidRPr="002E3999" w:rsidRDefault="007C665C" w:rsidP="00AC6C70">
            <w:pPr>
              <w:jc w:val="center"/>
              <w:rPr>
                <w:sz w:val="20"/>
                <w:szCs w:val="20"/>
              </w:rPr>
            </w:pPr>
            <w:r>
              <w:rPr>
                <w:sz w:val="20"/>
                <w:szCs w:val="20"/>
                <w:lang w:val="en-US"/>
              </w:rPr>
              <w:t>77</w:t>
            </w:r>
            <w:r w:rsidRPr="002E3999">
              <w:rPr>
                <w:sz w:val="20"/>
                <w:szCs w:val="20"/>
              </w:rPr>
              <w:t xml:space="preserve"> – </w:t>
            </w:r>
            <w:r>
              <w:rPr>
                <w:sz w:val="20"/>
                <w:szCs w:val="20"/>
                <w:lang w:val="en-US"/>
              </w:rPr>
              <w:t>2648</w:t>
            </w:r>
            <w:r w:rsidRPr="002E3999">
              <w:rPr>
                <w:sz w:val="20"/>
                <w:szCs w:val="20"/>
              </w:rPr>
              <w:t xml:space="preserve">  </w:t>
            </w:r>
          </w:p>
        </w:tc>
      </w:tr>
      <w:tr w:rsidR="007C665C" w:rsidRPr="00103727" w:rsidTr="007C665C">
        <w:trPr>
          <w:trHeight w:val="236"/>
        </w:trPr>
        <w:tc>
          <w:tcPr>
            <w:tcW w:w="4061" w:type="dxa"/>
            <w:gridSpan w:val="2"/>
            <w:tcBorders>
              <w:top w:val="nil"/>
              <w:left w:val="nil"/>
              <w:bottom w:val="nil"/>
              <w:right w:val="nil"/>
            </w:tcBorders>
          </w:tcPr>
          <w:p w:rsidR="007C665C" w:rsidRPr="002E3999" w:rsidRDefault="007C665C" w:rsidP="00AC6C70">
            <w:pPr>
              <w:jc w:val="center"/>
              <w:rPr>
                <w:sz w:val="20"/>
              </w:rPr>
            </w:pPr>
            <w:r w:rsidRPr="002E3999">
              <w:rPr>
                <w:color w:val="000000"/>
                <w:sz w:val="20"/>
                <w:szCs w:val="20"/>
              </w:rPr>
              <w:t>Ratio M</w:t>
            </w:r>
            <w:r w:rsidRPr="002E3999">
              <w:rPr>
                <w:color w:val="000000"/>
                <w:sz w:val="20"/>
                <w:szCs w:val="20"/>
                <w:vertAlign w:val="subscript"/>
              </w:rPr>
              <w:t>max</w:t>
            </w:r>
            <w:r w:rsidRPr="002E3999">
              <w:rPr>
                <w:color w:val="000000"/>
                <w:sz w:val="20"/>
                <w:szCs w:val="20"/>
              </w:rPr>
              <w:t>/M</w:t>
            </w:r>
            <w:r w:rsidRPr="002E3999">
              <w:rPr>
                <w:color w:val="000000"/>
                <w:sz w:val="20"/>
                <w:szCs w:val="20"/>
                <w:vertAlign w:val="subscript"/>
              </w:rPr>
              <w:t>min</w:t>
            </w:r>
          </w:p>
        </w:tc>
        <w:tc>
          <w:tcPr>
            <w:tcW w:w="5516" w:type="dxa"/>
            <w:gridSpan w:val="5"/>
            <w:tcBorders>
              <w:top w:val="nil"/>
              <w:left w:val="nil"/>
              <w:bottom w:val="nil"/>
              <w:right w:val="nil"/>
            </w:tcBorders>
          </w:tcPr>
          <w:p w:rsidR="007C665C" w:rsidRPr="00FF53BE" w:rsidRDefault="007C665C" w:rsidP="00AC6C70">
            <w:pPr>
              <w:jc w:val="center"/>
              <w:rPr>
                <w:sz w:val="20"/>
                <w:szCs w:val="20"/>
                <w:lang w:val="en-US"/>
              </w:rPr>
            </w:pPr>
            <w:r>
              <w:rPr>
                <w:sz w:val="20"/>
                <w:szCs w:val="20"/>
                <w:lang w:val="en-US"/>
              </w:rPr>
              <w:t>34.4</w:t>
            </w:r>
          </w:p>
        </w:tc>
      </w:tr>
      <w:tr w:rsidR="007C665C" w:rsidRPr="00103727" w:rsidTr="007C665C">
        <w:trPr>
          <w:trHeight w:val="236"/>
        </w:trPr>
        <w:tc>
          <w:tcPr>
            <w:tcW w:w="4061" w:type="dxa"/>
            <w:gridSpan w:val="2"/>
            <w:tcBorders>
              <w:top w:val="nil"/>
              <w:left w:val="nil"/>
              <w:bottom w:val="single" w:sz="4" w:space="0" w:color="auto"/>
              <w:right w:val="nil"/>
            </w:tcBorders>
          </w:tcPr>
          <w:p w:rsidR="007C665C" w:rsidRPr="002E3999" w:rsidRDefault="007C665C" w:rsidP="00AC6C70">
            <w:pPr>
              <w:jc w:val="center"/>
              <w:rPr>
                <w:sz w:val="20"/>
              </w:rPr>
            </w:pPr>
            <w:r w:rsidRPr="002E3999">
              <w:rPr>
                <w:sz w:val="18"/>
                <w:szCs w:val="18"/>
                <w:lang w:val="en-US"/>
              </w:rPr>
              <w:t xml:space="preserve"> </w:t>
            </w:r>
            <w:r w:rsidRPr="002E3999">
              <w:rPr>
                <w:sz w:val="18"/>
                <w:szCs w:val="18"/>
              </w:rPr>
              <w:t>All references</w:t>
            </w:r>
          </w:p>
        </w:tc>
        <w:tc>
          <w:tcPr>
            <w:tcW w:w="5516" w:type="dxa"/>
            <w:gridSpan w:val="5"/>
            <w:tcBorders>
              <w:top w:val="nil"/>
              <w:left w:val="nil"/>
              <w:bottom w:val="single" w:sz="4" w:space="0" w:color="auto"/>
              <w:right w:val="nil"/>
            </w:tcBorders>
          </w:tcPr>
          <w:p w:rsidR="007C665C" w:rsidRPr="00FF53BE" w:rsidRDefault="007C665C" w:rsidP="00AC6C70">
            <w:pPr>
              <w:jc w:val="center"/>
              <w:rPr>
                <w:sz w:val="20"/>
                <w:szCs w:val="20"/>
                <w:lang w:val="en-US"/>
              </w:rPr>
            </w:pPr>
            <w:r w:rsidRPr="002E3999">
              <w:rPr>
                <w:sz w:val="20"/>
                <w:szCs w:val="20"/>
              </w:rPr>
              <w:t>2</w:t>
            </w:r>
            <w:r>
              <w:rPr>
                <w:sz w:val="20"/>
                <w:szCs w:val="20"/>
                <w:lang w:val="en-US"/>
              </w:rPr>
              <w:t>0</w:t>
            </w:r>
          </w:p>
        </w:tc>
      </w:tr>
    </w:tbl>
    <w:p w:rsidR="00AD3962" w:rsidRDefault="007C665C" w:rsidP="007C665C">
      <w:pPr>
        <w:rPr>
          <w:sz w:val="20"/>
          <w:szCs w:val="20"/>
          <w:lang w:val="en-US"/>
        </w:rPr>
      </w:pPr>
      <w:r w:rsidRPr="00975152">
        <w:rPr>
          <w:sz w:val="20"/>
          <w:szCs w:val="20"/>
          <w:lang w:val="en-US"/>
        </w:rPr>
        <w:t xml:space="preserve">M – arithmetic mean, SD – standard deviation of mean, </w:t>
      </w:r>
    </w:p>
    <w:p w:rsidR="003648FB" w:rsidRDefault="00AD3962" w:rsidP="003648FB">
      <w:pPr>
        <w:rPr>
          <w:sz w:val="20"/>
          <w:szCs w:val="20"/>
          <w:lang w:val="en-US"/>
        </w:rPr>
      </w:pPr>
      <w:r w:rsidRPr="00975152">
        <w:rPr>
          <w:sz w:val="20"/>
          <w:szCs w:val="20"/>
          <w:lang w:val="en-US"/>
        </w:rPr>
        <w:t xml:space="preserve">NAA – neutron activation analysis, </w:t>
      </w:r>
      <w:r>
        <w:rPr>
          <w:sz w:val="20"/>
          <w:szCs w:val="20"/>
          <w:lang w:val="en-US"/>
        </w:rPr>
        <w:t xml:space="preserve">Chem – chemical method, </w:t>
      </w:r>
      <w:r>
        <w:rPr>
          <w:sz w:val="20"/>
          <w:lang w:val="en-US"/>
        </w:rPr>
        <w:t>PIXE</w:t>
      </w:r>
      <w:r w:rsidRPr="00975152">
        <w:rPr>
          <w:sz w:val="20"/>
          <w:szCs w:val="20"/>
          <w:lang w:val="en-US"/>
        </w:rPr>
        <w:t xml:space="preserve"> </w:t>
      </w:r>
      <w:r>
        <w:rPr>
          <w:sz w:val="20"/>
          <w:szCs w:val="20"/>
          <w:lang w:val="en-US"/>
        </w:rPr>
        <w:t xml:space="preserve">– proton induced X-ray fluorescent emission, </w:t>
      </w:r>
      <w:r w:rsidR="003648FB">
        <w:rPr>
          <w:sz w:val="20"/>
          <w:szCs w:val="20"/>
          <w:lang w:val="en-US"/>
        </w:rPr>
        <w:t>ICPM</w:t>
      </w:r>
      <w:r w:rsidR="003648FB" w:rsidRPr="00975152">
        <w:rPr>
          <w:sz w:val="20"/>
          <w:szCs w:val="20"/>
          <w:lang w:val="en-US"/>
        </w:rPr>
        <w:t xml:space="preserve">S – inductively coupled plasma </w:t>
      </w:r>
      <w:r w:rsidR="003648FB">
        <w:rPr>
          <w:sz w:val="20"/>
          <w:szCs w:val="20"/>
          <w:lang w:val="en-US"/>
        </w:rPr>
        <w:t>mass</w:t>
      </w:r>
      <w:r w:rsidR="003648FB" w:rsidRPr="00975152">
        <w:rPr>
          <w:sz w:val="20"/>
          <w:szCs w:val="20"/>
          <w:lang w:val="en-US"/>
        </w:rPr>
        <w:t xml:space="preserve"> spectrometry, </w:t>
      </w:r>
      <w:r w:rsidR="003648FB">
        <w:rPr>
          <w:sz w:val="20"/>
          <w:szCs w:val="20"/>
          <w:lang w:val="en-US"/>
        </w:rPr>
        <w:t xml:space="preserve">IC - </w:t>
      </w:r>
      <w:r w:rsidR="003648FB" w:rsidRPr="00AD3962">
        <w:rPr>
          <w:rFonts w:eastAsia="GulliverRM"/>
          <w:sz w:val="20"/>
          <w:szCs w:val="20"/>
          <w:lang w:val="en-US"/>
        </w:rPr>
        <w:t>ion chromatography</w:t>
      </w:r>
      <w:r w:rsidR="003648FB" w:rsidRPr="00AD3962">
        <w:rPr>
          <w:sz w:val="20"/>
          <w:szCs w:val="20"/>
          <w:lang w:val="en-US"/>
        </w:rPr>
        <w:t xml:space="preserve"> ,</w:t>
      </w:r>
      <w:r w:rsidR="003648FB">
        <w:rPr>
          <w:sz w:val="20"/>
          <w:szCs w:val="20"/>
          <w:lang w:val="en-US"/>
        </w:rPr>
        <w:t xml:space="preserve"> </w:t>
      </w:r>
      <w:r w:rsidR="003648FB" w:rsidRPr="00975152">
        <w:rPr>
          <w:sz w:val="20"/>
          <w:szCs w:val="20"/>
          <w:lang w:val="en-US"/>
        </w:rPr>
        <w:t xml:space="preserve">ICPAES – inductively coupled plasma atomic emission spectrometry, </w:t>
      </w:r>
      <w:r w:rsidR="003648FB">
        <w:rPr>
          <w:sz w:val="20"/>
          <w:szCs w:val="20"/>
          <w:lang w:val="en-US"/>
        </w:rPr>
        <w:t>EDXRF</w:t>
      </w:r>
      <w:r w:rsidR="003648FB" w:rsidRPr="00975152">
        <w:rPr>
          <w:sz w:val="20"/>
          <w:szCs w:val="20"/>
          <w:lang w:val="en-US"/>
        </w:rPr>
        <w:t xml:space="preserve"> </w:t>
      </w:r>
      <w:r w:rsidR="003648FB">
        <w:rPr>
          <w:sz w:val="20"/>
          <w:szCs w:val="20"/>
          <w:lang w:val="en-US"/>
        </w:rPr>
        <w:t>– energy dispersive X-ray fluorescent analysis,</w:t>
      </w:r>
    </w:p>
    <w:p w:rsidR="007C665C" w:rsidRPr="003E7D1B" w:rsidRDefault="007C665C" w:rsidP="003648FB">
      <w:pPr>
        <w:rPr>
          <w:lang w:val="en-US"/>
        </w:rPr>
      </w:pPr>
      <w:r w:rsidRPr="00975152">
        <w:rPr>
          <w:color w:val="000000"/>
          <w:sz w:val="20"/>
          <w:szCs w:val="20"/>
          <w:lang w:val="en-US"/>
        </w:rPr>
        <w:t xml:space="preserve">AD – acid digestion </w:t>
      </w:r>
    </w:p>
    <w:p w:rsidR="007C665C" w:rsidRDefault="007C665C" w:rsidP="004F477C">
      <w:pPr>
        <w:jc w:val="both"/>
        <w:rPr>
          <w:lang w:val="en-US"/>
        </w:rPr>
      </w:pPr>
    </w:p>
    <w:p w:rsidR="00933753" w:rsidRDefault="00961EFD" w:rsidP="004F477C">
      <w:pPr>
        <w:jc w:val="both"/>
        <w:rPr>
          <w:lang w:val="en-US"/>
        </w:rPr>
      </w:pPr>
      <w:commentRangeStart w:id="75"/>
      <w:r>
        <w:rPr>
          <w:lang w:val="en-US"/>
        </w:rPr>
        <w:t xml:space="preserve">Thus, I content in </w:t>
      </w:r>
      <w:r w:rsidRPr="003E7D1B">
        <w:rPr>
          <w:lang w:val="en-US"/>
        </w:rPr>
        <w:t xml:space="preserve">a </w:t>
      </w:r>
      <w:r>
        <w:rPr>
          <w:lang w:val="en-US"/>
        </w:rPr>
        <w:t>nodule</w:t>
      </w:r>
      <w:r w:rsidRPr="003E7D1B">
        <w:rPr>
          <w:lang w:val="en-US"/>
        </w:rPr>
        <w:t xml:space="preserve"> biopsy </w:t>
      </w:r>
      <w:r>
        <w:rPr>
          <w:lang w:val="en-US"/>
        </w:rPr>
        <w:t xml:space="preserve">as biomarker </w:t>
      </w:r>
      <w:r w:rsidRPr="00321880">
        <w:rPr>
          <w:lang w:val="en-US"/>
        </w:rPr>
        <w:t xml:space="preserve">of </w:t>
      </w:r>
      <w:r>
        <w:rPr>
          <w:lang w:val="en-US"/>
        </w:rPr>
        <w:t>TMN</w:t>
      </w:r>
      <w:r w:rsidRPr="00321880">
        <w:rPr>
          <w:lang w:val="en-US"/>
        </w:rPr>
        <w:t xml:space="preserve"> could become a powerful diagnostic tool.</w:t>
      </w:r>
      <w:r>
        <w:rPr>
          <w:lang w:val="en-US"/>
        </w:rPr>
        <w:t xml:space="preserve"> </w:t>
      </w:r>
      <w:r w:rsidRPr="003F383C">
        <w:rPr>
          <w:lang w:val="en-US"/>
        </w:rPr>
        <w:t>To a large extent, the resumption of the</w:t>
      </w:r>
      <w:r>
        <w:rPr>
          <w:lang w:val="en-US"/>
        </w:rPr>
        <w:t xml:space="preserve"> </w:t>
      </w:r>
      <w:r w:rsidRPr="003F383C">
        <w:rPr>
          <w:lang w:val="en-US"/>
        </w:rPr>
        <w:t xml:space="preserve">search for new methods for diagnosis of </w:t>
      </w:r>
      <w:r>
        <w:rPr>
          <w:lang w:val="en-US"/>
        </w:rPr>
        <w:t>TMN</w:t>
      </w:r>
      <w:r w:rsidRPr="00321880">
        <w:rPr>
          <w:lang w:val="en-US"/>
        </w:rPr>
        <w:t xml:space="preserve"> </w:t>
      </w:r>
      <w:r w:rsidRPr="003F383C">
        <w:rPr>
          <w:lang w:val="en-US"/>
        </w:rPr>
        <w:t>was</w:t>
      </w:r>
      <w:r>
        <w:rPr>
          <w:lang w:val="en-US"/>
        </w:rPr>
        <w:t xml:space="preserve"> </w:t>
      </w:r>
      <w:r w:rsidRPr="003F383C">
        <w:rPr>
          <w:lang w:val="en-US"/>
        </w:rPr>
        <w:t xml:space="preserve">due to experience gained in a critical assessment of the </w:t>
      </w:r>
      <w:r>
        <w:rPr>
          <w:lang w:val="en-US"/>
        </w:rPr>
        <w:t xml:space="preserve">limited </w:t>
      </w:r>
      <w:r w:rsidRPr="003F383C">
        <w:rPr>
          <w:lang w:val="en-US"/>
        </w:rPr>
        <w:t>capacity</w:t>
      </w:r>
      <w:r>
        <w:rPr>
          <w:lang w:val="en-US"/>
        </w:rPr>
        <w:t xml:space="preserve"> </w:t>
      </w:r>
      <w:r w:rsidRPr="003F383C">
        <w:rPr>
          <w:lang w:val="en-US"/>
        </w:rPr>
        <w:t xml:space="preserve">of </w:t>
      </w:r>
      <w:r w:rsidR="002F4758">
        <w:rPr>
          <w:lang w:val="en-US"/>
        </w:rPr>
        <w:t>US examination and</w:t>
      </w:r>
      <w:r>
        <w:rPr>
          <w:lang w:val="en-US"/>
        </w:rPr>
        <w:t xml:space="preserve"> </w:t>
      </w:r>
      <w:r w:rsidR="002F4758" w:rsidRPr="007714B7">
        <w:rPr>
          <w:lang w:val="en-US"/>
        </w:rPr>
        <w:t>cytological</w:t>
      </w:r>
      <w:r w:rsidR="002F4758">
        <w:rPr>
          <w:lang w:val="en-US"/>
        </w:rPr>
        <w:t xml:space="preserve"> test</w:t>
      </w:r>
      <w:r w:rsidR="002F4758" w:rsidRPr="00595DE4">
        <w:rPr>
          <w:lang w:val="en-US"/>
        </w:rPr>
        <w:t xml:space="preserve"> </w:t>
      </w:r>
      <w:r w:rsidR="002F4758">
        <w:rPr>
          <w:lang w:val="en-US"/>
        </w:rPr>
        <w:t xml:space="preserve">of </w:t>
      </w:r>
      <w:r w:rsidR="002F4758" w:rsidRPr="007714B7">
        <w:rPr>
          <w:lang w:val="en-US"/>
        </w:rPr>
        <w:t>fine needle aspiration biopsy</w:t>
      </w:r>
      <w:r>
        <w:rPr>
          <w:lang w:val="en-US"/>
        </w:rPr>
        <w:t xml:space="preserve"> </w:t>
      </w:r>
      <w:r w:rsidR="002F4758">
        <w:rPr>
          <w:lang w:val="en-US"/>
        </w:rPr>
        <w:t>[</w:t>
      </w:r>
      <w:commentRangeStart w:id="76"/>
      <w:r w:rsidR="002F4758">
        <w:rPr>
          <w:lang w:val="en-US"/>
        </w:rPr>
        <w:t>2-4]</w:t>
      </w:r>
      <w:r>
        <w:rPr>
          <w:lang w:val="en-US"/>
        </w:rPr>
        <w:t xml:space="preserve">. </w:t>
      </w:r>
      <w:commentRangeEnd w:id="76"/>
      <w:r w:rsidR="00115BD2">
        <w:rPr>
          <w:rStyle w:val="CommentReference"/>
        </w:rPr>
        <w:commentReference w:id="76"/>
      </w:r>
      <w:r>
        <w:rPr>
          <w:lang w:val="en-US"/>
        </w:rPr>
        <w:t>In addition to</w:t>
      </w:r>
      <w:r w:rsidRPr="00EA4D98">
        <w:rPr>
          <w:lang w:val="en-US"/>
        </w:rPr>
        <w:t xml:space="preserve"> </w:t>
      </w:r>
      <w:r>
        <w:rPr>
          <w:lang w:val="en-US"/>
        </w:rPr>
        <w:t xml:space="preserve">the </w:t>
      </w:r>
      <w:r w:rsidR="002F4758">
        <w:rPr>
          <w:lang w:val="en-US"/>
        </w:rPr>
        <w:t xml:space="preserve">US examination </w:t>
      </w:r>
      <w:r>
        <w:rPr>
          <w:lang w:val="en-US"/>
        </w:rPr>
        <w:t>and morphological study</w:t>
      </w:r>
      <w:r w:rsidRPr="00EA4D98">
        <w:rPr>
          <w:rFonts w:ascii="Myriad-Roman" w:hAnsi="Myriad-Roman" w:cs="Myriad-Roman"/>
          <w:sz w:val="18"/>
          <w:szCs w:val="18"/>
          <w:lang w:val="en-US"/>
        </w:rPr>
        <w:t xml:space="preserve"> </w:t>
      </w:r>
      <w:r w:rsidRPr="00FC71CD">
        <w:rPr>
          <w:lang w:val="en-US"/>
        </w:rPr>
        <w:t xml:space="preserve">of </w:t>
      </w:r>
      <w:r w:rsidRPr="00EA4D98">
        <w:rPr>
          <w:lang w:val="en-US"/>
        </w:rPr>
        <w:t xml:space="preserve">needle-biopsy of </w:t>
      </w:r>
      <w:r>
        <w:rPr>
          <w:lang w:val="en-US"/>
        </w:rPr>
        <w:t xml:space="preserve">the </w:t>
      </w:r>
      <w:r w:rsidR="002F4758">
        <w:rPr>
          <w:lang w:val="en-US"/>
        </w:rPr>
        <w:t>thyroid nodules</w:t>
      </w:r>
      <w:r w:rsidRPr="00EA4D98">
        <w:rPr>
          <w:lang w:val="en-US"/>
        </w:rPr>
        <w:t>,</w:t>
      </w:r>
      <w:r>
        <w:rPr>
          <w:lang w:val="en-US"/>
        </w:rPr>
        <w:t xml:space="preserve"> the </w:t>
      </w:r>
      <w:r w:rsidR="002F4758">
        <w:rPr>
          <w:lang w:val="en-US"/>
        </w:rPr>
        <w:t>I-test developed in the present study</w:t>
      </w:r>
      <w:r>
        <w:rPr>
          <w:lang w:val="en-US"/>
        </w:rPr>
        <w:t xml:space="preserve"> seems to be very useful. </w:t>
      </w:r>
      <w:r w:rsidRPr="000A414B">
        <w:rPr>
          <w:lang w:val="en-US"/>
        </w:rPr>
        <w:t xml:space="preserve">Experimental conditions of the present study </w:t>
      </w:r>
      <w:commentRangeEnd w:id="75"/>
      <w:r w:rsidR="00BA548B">
        <w:rPr>
          <w:rStyle w:val="CommentReference"/>
        </w:rPr>
        <w:commentReference w:id="75"/>
      </w:r>
      <w:r w:rsidRPr="000A414B">
        <w:rPr>
          <w:lang w:val="en-US"/>
        </w:rPr>
        <w:t xml:space="preserve">were approximated to the hospital conditions as </w:t>
      </w:r>
      <w:r>
        <w:rPr>
          <w:lang w:val="en-US"/>
        </w:rPr>
        <w:t>closely</w:t>
      </w:r>
      <w:r w:rsidRPr="000A414B">
        <w:rPr>
          <w:lang w:val="en-US"/>
        </w:rPr>
        <w:t xml:space="preserve"> as possible. In all cases a part of the material obtained </w:t>
      </w:r>
      <w:r>
        <w:rPr>
          <w:lang w:val="en-US"/>
        </w:rPr>
        <w:t>from a</w:t>
      </w:r>
      <w:r w:rsidRPr="000A414B">
        <w:rPr>
          <w:lang w:val="en-US"/>
        </w:rPr>
        <w:t xml:space="preserve"> puncture </w:t>
      </w:r>
      <w:r w:rsidR="00ED054C">
        <w:rPr>
          <w:lang w:val="en-US"/>
        </w:rPr>
        <w:t xml:space="preserve">needle </w:t>
      </w:r>
      <w:r w:rsidRPr="000A414B">
        <w:rPr>
          <w:lang w:val="en-US"/>
        </w:rPr>
        <w:t xml:space="preserve">biopsy of the </w:t>
      </w:r>
      <w:r w:rsidR="00ED054C">
        <w:rPr>
          <w:lang w:val="en-US"/>
        </w:rPr>
        <w:t>affected</w:t>
      </w:r>
      <w:r w:rsidRPr="000A414B">
        <w:rPr>
          <w:lang w:val="en-US"/>
        </w:rPr>
        <w:t xml:space="preserve"> site</w:t>
      </w:r>
      <w:r>
        <w:rPr>
          <w:lang w:val="en-US"/>
        </w:rPr>
        <w:t xml:space="preserve"> in the </w:t>
      </w:r>
      <w:r w:rsidR="00ED054C">
        <w:rPr>
          <w:lang w:val="en-US"/>
        </w:rPr>
        <w:t>thyroid was</w:t>
      </w:r>
      <w:r w:rsidR="00ED054C" w:rsidRPr="000A414B">
        <w:rPr>
          <w:lang w:val="en-US"/>
        </w:rPr>
        <w:t xml:space="preserve"> analyze</w:t>
      </w:r>
      <w:r w:rsidR="00ED054C">
        <w:rPr>
          <w:lang w:val="en-US"/>
        </w:rPr>
        <w:t>d</w:t>
      </w:r>
      <w:r>
        <w:rPr>
          <w:lang w:val="en-US"/>
        </w:rPr>
        <w:t>. Therefore, our data allow us</w:t>
      </w:r>
      <w:r w:rsidRPr="000A414B">
        <w:rPr>
          <w:lang w:val="en-US"/>
        </w:rPr>
        <w:t xml:space="preserve"> to evaluate adequately the importance of </w:t>
      </w:r>
      <w:r w:rsidR="007B2F45">
        <w:rPr>
          <w:lang w:val="en-US"/>
        </w:rPr>
        <w:t xml:space="preserve">the </w:t>
      </w:r>
      <w:r w:rsidR="00ED054C">
        <w:rPr>
          <w:lang w:val="en-US"/>
        </w:rPr>
        <w:t>I-test</w:t>
      </w:r>
      <w:r w:rsidRPr="000A414B">
        <w:rPr>
          <w:lang w:val="en-US"/>
        </w:rPr>
        <w:t xml:space="preserve"> for the diagno</w:t>
      </w:r>
      <w:r>
        <w:rPr>
          <w:lang w:val="en-US"/>
        </w:rPr>
        <w:t xml:space="preserve">sis of </w:t>
      </w:r>
      <w:r w:rsidR="00ED054C">
        <w:rPr>
          <w:lang w:val="en-US"/>
        </w:rPr>
        <w:t>TMN</w:t>
      </w:r>
      <w:r>
        <w:rPr>
          <w:lang w:val="en-US"/>
        </w:rPr>
        <w:t>.</w:t>
      </w:r>
      <w:r w:rsidR="00ED054C">
        <w:rPr>
          <w:lang w:val="en-US"/>
        </w:rPr>
        <w:t xml:space="preserve"> Obtained </w:t>
      </w:r>
      <w:r w:rsidR="007B2F45">
        <w:rPr>
          <w:lang w:val="en-US"/>
        </w:rPr>
        <w:t>characteristics</w:t>
      </w:r>
      <w:r w:rsidR="00ED054C">
        <w:rPr>
          <w:lang w:val="en-US"/>
        </w:rPr>
        <w:t xml:space="preserve"> </w:t>
      </w:r>
      <w:r w:rsidR="007B2F45">
        <w:rPr>
          <w:lang w:val="en-US"/>
        </w:rPr>
        <w:t>for</w:t>
      </w:r>
      <w:r w:rsidR="00ED054C">
        <w:rPr>
          <w:lang w:val="en-US"/>
        </w:rPr>
        <w:t xml:space="preserve"> </w:t>
      </w:r>
      <w:r w:rsidR="00ED054C" w:rsidRPr="007714B7">
        <w:rPr>
          <w:lang w:val="en-US"/>
        </w:rPr>
        <w:t>accuracy, sensitivity, and specificity</w:t>
      </w:r>
      <w:r w:rsidR="007B2F45">
        <w:rPr>
          <w:lang w:val="en-US"/>
        </w:rPr>
        <w:t xml:space="preserve"> of the I-test </w:t>
      </w:r>
      <w:commentRangeStart w:id="77"/>
      <w:r w:rsidR="007B2F45">
        <w:rPr>
          <w:lang w:val="en-US"/>
        </w:rPr>
        <w:t>94,</w:t>
      </w:r>
      <w:commentRangeEnd w:id="77"/>
      <w:r w:rsidR="00115BD2">
        <w:rPr>
          <w:rStyle w:val="CommentReference"/>
        </w:rPr>
        <w:commentReference w:id="77"/>
      </w:r>
      <w:r w:rsidR="007B2F45">
        <w:rPr>
          <w:lang w:val="en-US"/>
        </w:rPr>
        <w:t xml:space="preserve"> </w:t>
      </w:r>
      <w:commentRangeStart w:id="78"/>
      <w:r w:rsidR="007B2F45">
        <w:rPr>
          <w:lang w:val="en-US"/>
        </w:rPr>
        <w:t>96</w:t>
      </w:r>
      <w:commentRangeEnd w:id="78"/>
      <w:r w:rsidR="00115BD2">
        <w:rPr>
          <w:rStyle w:val="CommentReference"/>
        </w:rPr>
        <w:commentReference w:id="78"/>
      </w:r>
      <w:r w:rsidR="007B2F45">
        <w:rPr>
          <w:lang w:val="en-US"/>
        </w:rPr>
        <w:t xml:space="preserve">, and </w:t>
      </w:r>
      <w:commentRangeStart w:id="79"/>
      <w:r w:rsidR="007B2F45">
        <w:rPr>
          <w:lang w:val="en-US"/>
        </w:rPr>
        <w:t>87</w:t>
      </w:r>
      <w:commentRangeEnd w:id="79"/>
      <w:r w:rsidR="00115BD2">
        <w:rPr>
          <w:rStyle w:val="CommentReference"/>
        </w:rPr>
        <w:commentReference w:id="79"/>
      </w:r>
      <w:r w:rsidR="007B2F45">
        <w:rPr>
          <w:lang w:val="en-US"/>
        </w:rPr>
        <w:t>, respectively,</w:t>
      </w:r>
      <w:r w:rsidR="00ED054C">
        <w:rPr>
          <w:lang w:val="en-US"/>
        </w:rPr>
        <w:t xml:space="preserve"> are significantly better than these parameters of </w:t>
      </w:r>
      <w:r w:rsidR="007B2F45">
        <w:rPr>
          <w:lang w:val="en-US"/>
        </w:rPr>
        <w:t xml:space="preserve">the US examination (nearly 80%) </w:t>
      </w:r>
      <w:commentRangeStart w:id="80"/>
      <w:r w:rsidR="007B2F45">
        <w:rPr>
          <w:lang w:val="en-US"/>
        </w:rPr>
        <w:t>[2,3]</w:t>
      </w:r>
      <w:commentRangeEnd w:id="80"/>
      <w:r w:rsidR="00115BD2">
        <w:rPr>
          <w:rStyle w:val="CommentReference"/>
        </w:rPr>
        <w:commentReference w:id="80"/>
      </w:r>
      <w:r w:rsidR="007B2F45">
        <w:rPr>
          <w:lang w:val="en-US"/>
        </w:rPr>
        <w:t xml:space="preserve">. </w:t>
      </w:r>
      <w:r w:rsidR="00933753">
        <w:rPr>
          <w:lang w:val="en-US"/>
        </w:rPr>
        <w:t xml:space="preserve">At that, the I-test gives a </w:t>
      </w:r>
      <w:r w:rsidR="00933753" w:rsidRPr="00933753">
        <w:rPr>
          <w:lang w:val="en-US"/>
        </w:rPr>
        <w:t>definite</w:t>
      </w:r>
      <w:r w:rsidR="00933753">
        <w:rPr>
          <w:lang w:val="en-US"/>
        </w:rPr>
        <w:t xml:space="preserve"> conclusion for all </w:t>
      </w:r>
      <w:r w:rsidR="00933753" w:rsidRPr="007714B7">
        <w:rPr>
          <w:lang w:val="en-US"/>
        </w:rPr>
        <w:t>nodules</w:t>
      </w:r>
      <w:r w:rsidR="00933753">
        <w:rPr>
          <w:lang w:val="en-US"/>
        </w:rPr>
        <w:t xml:space="preserve"> investigated while using the morphological study</w:t>
      </w:r>
      <w:r w:rsidR="00933753" w:rsidRPr="00EA4D98">
        <w:rPr>
          <w:rFonts w:ascii="Myriad-Roman" w:hAnsi="Myriad-Roman" w:cs="Myriad-Roman"/>
          <w:sz w:val="18"/>
          <w:szCs w:val="18"/>
          <w:lang w:val="en-US"/>
        </w:rPr>
        <w:t xml:space="preserve"> </w:t>
      </w:r>
      <w:r w:rsidR="00933753" w:rsidRPr="00FC71CD">
        <w:rPr>
          <w:lang w:val="en-US"/>
        </w:rPr>
        <w:t xml:space="preserve">of </w:t>
      </w:r>
      <w:r w:rsidR="00933753" w:rsidRPr="00EA4D98">
        <w:rPr>
          <w:lang w:val="en-US"/>
        </w:rPr>
        <w:t>needle-biopsy</w:t>
      </w:r>
      <w:r w:rsidR="00933753">
        <w:rPr>
          <w:lang w:val="en-US"/>
        </w:rPr>
        <w:t xml:space="preserve"> </w:t>
      </w:r>
      <w:r w:rsidR="00933753" w:rsidRPr="007714B7">
        <w:rPr>
          <w:lang w:val="en-US"/>
        </w:rPr>
        <w:t xml:space="preserve">up to 30% of nodules are categorized as cytologically “indeterminate” </w:t>
      </w:r>
      <w:commentRangeStart w:id="81"/>
      <w:r w:rsidR="00933753" w:rsidRPr="007714B7">
        <w:rPr>
          <w:lang w:val="en-US"/>
        </w:rPr>
        <w:t>[4]</w:t>
      </w:r>
      <w:r w:rsidR="00933753">
        <w:rPr>
          <w:lang w:val="en-US"/>
        </w:rPr>
        <w:t xml:space="preserve">. </w:t>
      </w:r>
      <w:commentRangeEnd w:id="81"/>
      <w:r w:rsidR="00115BD2">
        <w:rPr>
          <w:rStyle w:val="CommentReference"/>
        </w:rPr>
        <w:commentReference w:id="81"/>
      </w:r>
    </w:p>
    <w:p w:rsidR="007C665C" w:rsidRDefault="007C665C" w:rsidP="004F477C">
      <w:pPr>
        <w:jc w:val="both"/>
        <w:rPr>
          <w:lang w:val="en-US"/>
        </w:rPr>
      </w:pPr>
    </w:p>
    <w:p w:rsidR="007C665C" w:rsidRPr="00975152" w:rsidRDefault="007C665C" w:rsidP="007C665C">
      <w:pPr>
        <w:spacing w:after="120"/>
        <w:rPr>
          <w:lang w:val="en-US"/>
        </w:rPr>
      </w:pPr>
      <w:r>
        <w:rPr>
          <w:b/>
          <w:lang w:val="en-US"/>
        </w:rPr>
        <w:lastRenderedPageBreak/>
        <w:t>Table 6</w:t>
      </w:r>
      <w:r w:rsidRPr="004D26EE">
        <w:rPr>
          <w:b/>
          <w:lang w:val="en-US"/>
        </w:rPr>
        <w:t>.</w:t>
      </w:r>
      <w:r w:rsidRPr="00975152">
        <w:rPr>
          <w:lang w:val="en-US"/>
        </w:rPr>
        <w:t xml:space="preserve"> Reference data of </w:t>
      </w:r>
      <w:r>
        <w:rPr>
          <w:lang w:val="en-US"/>
        </w:rPr>
        <w:t>I</w:t>
      </w:r>
      <w:r w:rsidRPr="00975152">
        <w:rPr>
          <w:lang w:val="en-US"/>
        </w:rPr>
        <w:t xml:space="preserve"> mass fractions in </w:t>
      </w:r>
      <w:r w:rsidRPr="001A077B">
        <w:rPr>
          <w:lang w:val="en-US"/>
        </w:rPr>
        <w:t xml:space="preserve">thyroid </w:t>
      </w:r>
      <w:r>
        <w:rPr>
          <w:lang w:val="en-US"/>
        </w:rPr>
        <w:t>malignant nodules published from 1990 year</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552"/>
        <w:gridCol w:w="425"/>
        <w:gridCol w:w="1257"/>
        <w:gridCol w:w="1322"/>
        <w:gridCol w:w="1229"/>
        <w:gridCol w:w="1283"/>
      </w:tblGrid>
      <w:tr w:rsidR="007C665C" w:rsidRPr="007C665C" w:rsidTr="00AC6C70">
        <w:trPr>
          <w:cantSplit/>
          <w:trHeight w:val="164"/>
        </w:trPr>
        <w:tc>
          <w:tcPr>
            <w:tcW w:w="2527" w:type="dxa"/>
            <w:vMerge w:val="restart"/>
            <w:tcBorders>
              <w:left w:val="nil"/>
              <w:right w:val="nil"/>
            </w:tcBorders>
          </w:tcPr>
          <w:p w:rsidR="007C665C" w:rsidRPr="00F45172" w:rsidRDefault="007C665C" w:rsidP="00AC6C70">
            <w:pPr>
              <w:rPr>
                <w:lang w:val="en-US"/>
              </w:rPr>
            </w:pPr>
            <w:r w:rsidRPr="00F45172">
              <w:rPr>
                <w:sz w:val="22"/>
                <w:lang w:val="en-US"/>
              </w:rPr>
              <w:t>Reference</w:t>
            </w:r>
          </w:p>
        </w:tc>
        <w:tc>
          <w:tcPr>
            <w:tcW w:w="1552" w:type="dxa"/>
            <w:vMerge w:val="restart"/>
            <w:tcBorders>
              <w:left w:val="nil"/>
              <w:right w:val="nil"/>
            </w:tcBorders>
          </w:tcPr>
          <w:p w:rsidR="007C665C" w:rsidRPr="00F45172" w:rsidRDefault="007C665C" w:rsidP="00AC6C70">
            <w:pPr>
              <w:jc w:val="center"/>
              <w:rPr>
                <w:lang w:val="en-US"/>
              </w:rPr>
            </w:pPr>
            <w:r w:rsidRPr="00F45172">
              <w:rPr>
                <w:sz w:val="22"/>
                <w:lang w:val="en-US"/>
              </w:rPr>
              <w:t>Method</w:t>
            </w:r>
          </w:p>
        </w:tc>
        <w:tc>
          <w:tcPr>
            <w:tcW w:w="425" w:type="dxa"/>
            <w:vMerge w:val="restart"/>
            <w:tcBorders>
              <w:left w:val="nil"/>
              <w:right w:val="nil"/>
            </w:tcBorders>
          </w:tcPr>
          <w:p w:rsidR="007C665C" w:rsidRPr="00F45172" w:rsidRDefault="007C665C" w:rsidP="00AC6C70">
            <w:pPr>
              <w:jc w:val="center"/>
              <w:rPr>
                <w:lang w:val="en-US"/>
              </w:rPr>
            </w:pPr>
            <w:r w:rsidRPr="00F45172">
              <w:rPr>
                <w:sz w:val="22"/>
                <w:lang w:val="en-US"/>
              </w:rPr>
              <w:t>n</w:t>
            </w:r>
          </w:p>
        </w:tc>
        <w:tc>
          <w:tcPr>
            <w:tcW w:w="1257" w:type="dxa"/>
            <w:vMerge w:val="restart"/>
            <w:tcBorders>
              <w:left w:val="nil"/>
              <w:right w:val="nil"/>
            </w:tcBorders>
          </w:tcPr>
          <w:p w:rsidR="007C665C" w:rsidRPr="004D26EE" w:rsidRDefault="007C665C" w:rsidP="00AC6C70">
            <w:pPr>
              <w:jc w:val="center"/>
            </w:pPr>
            <w:r w:rsidRPr="00F45172">
              <w:rPr>
                <w:sz w:val="22"/>
                <w:lang w:val="en-US"/>
              </w:rPr>
              <w:t>Age, ye</w:t>
            </w:r>
            <w:r w:rsidRPr="004D26EE">
              <w:rPr>
                <w:sz w:val="22"/>
              </w:rPr>
              <w:t>ars</w:t>
            </w:r>
          </w:p>
          <w:p w:rsidR="007C665C" w:rsidRPr="004D26EE" w:rsidRDefault="007C665C" w:rsidP="00AC6C70">
            <w:pPr>
              <w:jc w:val="center"/>
            </w:pPr>
            <w:r w:rsidRPr="004D26EE">
              <w:rPr>
                <w:sz w:val="22"/>
              </w:rPr>
              <w:t>M(Range)</w:t>
            </w:r>
          </w:p>
        </w:tc>
        <w:tc>
          <w:tcPr>
            <w:tcW w:w="1322" w:type="dxa"/>
            <w:vMerge w:val="restart"/>
            <w:tcBorders>
              <w:left w:val="nil"/>
              <w:right w:val="nil"/>
            </w:tcBorders>
          </w:tcPr>
          <w:p w:rsidR="007C665C" w:rsidRPr="004D26EE" w:rsidRDefault="007C665C" w:rsidP="00AC6C70">
            <w:pPr>
              <w:jc w:val="center"/>
              <w:rPr>
                <w:lang w:val="de-DE"/>
              </w:rPr>
            </w:pPr>
            <w:r w:rsidRPr="004D26EE">
              <w:rPr>
                <w:sz w:val="22"/>
                <w:lang w:val="de-DE"/>
              </w:rPr>
              <w:t>Sample</w:t>
            </w:r>
          </w:p>
          <w:p w:rsidR="007C665C" w:rsidRPr="004D26EE" w:rsidRDefault="007C665C" w:rsidP="00AC6C70">
            <w:pPr>
              <w:jc w:val="center"/>
            </w:pPr>
            <w:r w:rsidRPr="004D26EE">
              <w:rPr>
                <w:sz w:val="22"/>
                <w:lang w:val="de-DE"/>
              </w:rPr>
              <w:t>preparation</w:t>
            </w:r>
          </w:p>
        </w:tc>
        <w:tc>
          <w:tcPr>
            <w:tcW w:w="2512" w:type="dxa"/>
            <w:gridSpan w:val="2"/>
            <w:tcBorders>
              <w:left w:val="nil"/>
              <w:right w:val="nil"/>
            </w:tcBorders>
          </w:tcPr>
          <w:p w:rsidR="007C665C" w:rsidRPr="004D26EE" w:rsidRDefault="007C665C" w:rsidP="00AC6C70">
            <w:pPr>
              <w:jc w:val="center"/>
              <w:rPr>
                <w:lang w:val="en-US"/>
              </w:rPr>
            </w:pPr>
            <w:r>
              <w:rPr>
                <w:sz w:val="22"/>
                <w:lang w:val="en-US"/>
              </w:rPr>
              <w:t xml:space="preserve">I, </w:t>
            </w:r>
            <w:r w:rsidRPr="00975152">
              <w:rPr>
                <w:lang w:val="en-US"/>
              </w:rPr>
              <w:t xml:space="preserve">mg/kg </w:t>
            </w:r>
            <w:r>
              <w:rPr>
                <w:lang w:val="en-US"/>
              </w:rPr>
              <w:t>dry</w:t>
            </w:r>
            <w:r w:rsidRPr="00975152">
              <w:rPr>
                <w:lang w:val="en-US"/>
              </w:rPr>
              <w:t xml:space="preserve"> tissue</w:t>
            </w:r>
          </w:p>
        </w:tc>
      </w:tr>
      <w:tr w:rsidR="007C665C" w:rsidRPr="00103727" w:rsidTr="00AC6C70">
        <w:trPr>
          <w:cantSplit/>
          <w:trHeight w:val="300"/>
        </w:trPr>
        <w:tc>
          <w:tcPr>
            <w:tcW w:w="2527" w:type="dxa"/>
            <w:vMerge/>
            <w:tcBorders>
              <w:left w:val="nil"/>
              <w:bottom w:val="single" w:sz="4" w:space="0" w:color="auto"/>
              <w:right w:val="nil"/>
            </w:tcBorders>
          </w:tcPr>
          <w:p w:rsidR="007C665C" w:rsidRPr="004D26EE" w:rsidRDefault="007C665C" w:rsidP="00AC6C70">
            <w:pPr>
              <w:rPr>
                <w:lang w:val="en-US"/>
              </w:rPr>
            </w:pPr>
          </w:p>
        </w:tc>
        <w:tc>
          <w:tcPr>
            <w:tcW w:w="1552" w:type="dxa"/>
            <w:vMerge/>
            <w:tcBorders>
              <w:left w:val="nil"/>
              <w:bottom w:val="single" w:sz="4" w:space="0" w:color="auto"/>
              <w:right w:val="nil"/>
            </w:tcBorders>
          </w:tcPr>
          <w:p w:rsidR="007C665C" w:rsidRPr="004D26EE" w:rsidRDefault="007C665C" w:rsidP="00AC6C70">
            <w:pPr>
              <w:jc w:val="center"/>
              <w:rPr>
                <w:lang w:val="en-US"/>
              </w:rPr>
            </w:pPr>
          </w:p>
        </w:tc>
        <w:tc>
          <w:tcPr>
            <w:tcW w:w="425" w:type="dxa"/>
            <w:vMerge/>
            <w:tcBorders>
              <w:left w:val="nil"/>
              <w:bottom w:val="single" w:sz="4" w:space="0" w:color="auto"/>
              <w:right w:val="nil"/>
            </w:tcBorders>
          </w:tcPr>
          <w:p w:rsidR="007C665C" w:rsidRPr="004D26EE" w:rsidRDefault="007C665C" w:rsidP="00AC6C70">
            <w:pPr>
              <w:jc w:val="center"/>
              <w:rPr>
                <w:lang w:val="en-US"/>
              </w:rPr>
            </w:pPr>
          </w:p>
        </w:tc>
        <w:tc>
          <w:tcPr>
            <w:tcW w:w="1257" w:type="dxa"/>
            <w:vMerge/>
            <w:tcBorders>
              <w:left w:val="nil"/>
              <w:bottom w:val="single" w:sz="4" w:space="0" w:color="auto"/>
              <w:right w:val="nil"/>
            </w:tcBorders>
          </w:tcPr>
          <w:p w:rsidR="007C665C" w:rsidRPr="004D26EE" w:rsidRDefault="007C665C" w:rsidP="00AC6C70">
            <w:pPr>
              <w:jc w:val="center"/>
              <w:rPr>
                <w:lang w:val="en-US"/>
              </w:rPr>
            </w:pPr>
          </w:p>
        </w:tc>
        <w:tc>
          <w:tcPr>
            <w:tcW w:w="1322" w:type="dxa"/>
            <w:vMerge/>
            <w:tcBorders>
              <w:left w:val="nil"/>
              <w:bottom w:val="single" w:sz="4" w:space="0" w:color="auto"/>
              <w:right w:val="nil"/>
            </w:tcBorders>
          </w:tcPr>
          <w:p w:rsidR="007C665C" w:rsidRPr="004D26EE" w:rsidRDefault="007C665C" w:rsidP="00AC6C70">
            <w:pPr>
              <w:jc w:val="center"/>
              <w:rPr>
                <w:lang w:val="en-US"/>
              </w:rPr>
            </w:pPr>
          </w:p>
        </w:tc>
        <w:tc>
          <w:tcPr>
            <w:tcW w:w="1229" w:type="dxa"/>
            <w:tcBorders>
              <w:left w:val="nil"/>
              <w:bottom w:val="single" w:sz="4" w:space="0" w:color="auto"/>
              <w:right w:val="nil"/>
            </w:tcBorders>
          </w:tcPr>
          <w:p w:rsidR="007C665C" w:rsidRPr="004D26EE" w:rsidRDefault="007C665C" w:rsidP="00AC6C70">
            <w:pPr>
              <w:jc w:val="center"/>
            </w:pPr>
            <w:r w:rsidRPr="004D26EE">
              <w:rPr>
                <w:sz w:val="22"/>
              </w:rPr>
              <w:t>M</w:t>
            </w:r>
            <w:r w:rsidRPr="004D26EE">
              <w:rPr>
                <w:sz w:val="22"/>
              </w:rPr>
              <w:sym w:font="Symbol" w:char="F0B1"/>
            </w:r>
            <w:r w:rsidRPr="004D26EE">
              <w:rPr>
                <w:sz w:val="22"/>
              </w:rPr>
              <w:t>SD</w:t>
            </w:r>
          </w:p>
        </w:tc>
        <w:tc>
          <w:tcPr>
            <w:tcW w:w="1283" w:type="dxa"/>
            <w:tcBorders>
              <w:left w:val="nil"/>
              <w:bottom w:val="single" w:sz="4" w:space="0" w:color="auto"/>
              <w:right w:val="nil"/>
            </w:tcBorders>
          </w:tcPr>
          <w:p w:rsidR="007C665C" w:rsidRPr="004D26EE" w:rsidRDefault="007C665C" w:rsidP="00AC6C70">
            <w:pPr>
              <w:jc w:val="center"/>
            </w:pPr>
            <w:r w:rsidRPr="004D26EE">
              <w:rPr>
                <w:sz w:val="22"/>
              </w:rPr>
              <w:t>Range</w:t>
            </w:r>
          </w:p>
        </w:tc>
      </w:tr>
      <w:tr w:rsidR="007C665C" w:rsidRPr="002A7A74" w:rsidTr="00AC6C70">
        <w:trPr>
          <w:trHeight w:val="96"/>
        </w:trPr>
        <w:tc>
          <w:tcPr>
            <w:tcW w:w="2527" w:type="dxa"/>
            <w:tcBorders>
              <w:top w:val="nil"/>
              <w:left w:val="nil"/>
              <w:bottom w:val="nil"/>
              <w:right w:val="nil"/>
            </w:tcBorders>
          </w:tcPr>
          <w:p w:rsidR="007C665C" w:rsidRPr="0076025A" w:rsidRDefault="007C665C" w:rsidP="00AC6C70">
            <w:pPr>
              <w:rPr>
                <w:rFonts w:eastAsia="Arial Unicode MS"/>
                <w:sz w:val="20"/>
                <w:szCs w:val="20"/>
                <w:lang w:val="en-US"/>
              </w:rPr>
            </w:pPr>
            <w:r w:rsidRPr="0076025A">
              <w:rPr>
                <w:bCs/>
                <w:kern w:val="36"/>
                <w:sz w:val="20"/>
                <w:szCs w:val="20"/>
                <w:lang w:val="en-US"/>
              </w:rPr>
              <w:t>Nishida et al 1990</w:t>
            </w:r>
            <w:r>
              <w:rPr>
                <w:bCs/>
                <w:kern w:val="36"/>
                <w:sz w:val="20"/>
                <w:szCs w:val="20"/>
                <w:lang w:val="en-US"/>
              </w:rPr>
              <w:t xml:space="preserve"> [73]</w:t>
            </w:r>
          </w:p>
        </w:tc>
        <w:tc>
          <w:tcPr>
            <w:tcW w:w="155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NAA</w:t>
            </w:r>
          </w:p>
        </w:tc>
        <w:tc>
          <w:tcPr>
            <w:tcW w:w="425"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8</w:t>
            </w:r>
          </w:p>
        </w:tc>
        <w:tc>
          <w:tcPr>
            <w:tcW w:w="1257"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21-67</w:t>
            </w:r>
          </w:p>
        </w:tc>
        <w:tc>
          <w:tcPr>
            <w:tcW w:w="132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Washed</w:t>
            </w:r>
          </w:p>
        </w:tc>
        <w:tc>
          <w:tcPr>
            <w:tcW w:w="1229" w:type="dxa"/>
            <w:tcBorders>
              <w:top w:val="nil"/>
              <w:left w:val="nil"/>
              <w:bottom w:val="nil"/>
              <w:right w:val="nil"/>
            </w:tcBorders>
          </w:tcPr>
          <w:p w:rsidR="007C665C" w:rsidRPr="004D26EE" w:rsidRDefault="007C665C" w:rsidP="00AC6C70">
            <w:pPr>
              <w:jc w:val="center"/>
              <w:rPr>
                <w:sz w:val="20"/>
                <w:szCs w:val="20"/>
                <w:lang w:val="en-US"/>
              </w:rPr>
            </w:pPr>
            <w:r w:rsidRPr="004D26EE">
              <w:rPr>
                <w:sz w:val="20"/>
                <w:szCs w:val="20"/>
                <w:lang w:val="en-US"/>
              </w:rPr>
              <w:t>≤23±10</w:t>
            </w:r>
          </w:p>
        </w:tc>
        <w:tc>
          <w:tcPr>
            <w:tcW w:w="1283" w:type="dxa"/>
            <w:tcBorders>
              <w:top w:val="nil"/>
              <w:left w:val="nil"/>
              <w:bottom w:val="nil"/>
              <w:right w:val="nil"/>
            </w:tcBorders>
          </w:tcPr>
          <w:p w:rsidR="007C665C" w:rsidRPr="004D26EE" w:rsidRDefault="007C665C" w:rsidP="00AC6C70">
            <w:pPr>
              <w:jc w:val="center"/>
              <w:rPr>
                <w:sz w:val="20"/>
                <w:szCs w:val="20"/>
                <w:lang w:val="en-US"/>
              </w:rPr>
            </w:pPr>
            <w:r w:rsidRPr="004D26EE">
              <w:rPr>
                <w:sz w:val="20"/>
                <w:szCs w:val="20"/>
                <w:lang w:val="en-US"/>
              </w:rPr>
              <w:t>&lt;DL-67</w:t>
            </w:r>
          </w:p>
        </w:tc>
      </w:tr>
      <w:tr w:rsidR="007C665C" w:rsidRPr="002A7A74" w:rsidTr="00AC6C70">
        <w:trPr>
          <w:trHeight w:val="96"/>
        </w:trPr>
        <w:tc>
          <w:tcPr>
            <w:tcW w:w="2527" w:type="dxa"/>
            <w:tcBorders>
              <w:top w:val="nil"/>
              <w:left w:val="nil"/>
              <w:bottom w:val="nil"/>
              <w:right w:val="nil"/>
            </w:tcBorders>
          </w:tcPr>
          <w:p w:rsidR="007C665C" w:rsidRPr="0076025A" w:rsidRDefault="007C665C" w:rsidP="00AC6C70">
            <w:pPr>
              <w:rPr>
                <w:sz w:val="20"/>
                <w:szCs w:val="20"/>
                <w:shd w:val="clear" w:color="auto" w:fill="FFFFFF"/>
                <w:lang w:val="en-US"/>
              </w:rPr>
            </w:pPr>
            <w:r w:rsidRPr="0076025A">
              <w:rPr>
                <w:sz w:val="20"/>
                <w:szCs w:val="20"/>
                <w:shd w:val="clear" w:color="auto" w:fill="FFFFFF"/>
                <w:lang w:val="en-US"/>
              </w:rPr>
              <w:t>Aeschimann et al 1994</w:t>
            </w:r>
            <w:r>
              <w:rPr>
                <w:sz w:val="20"/>
                <w:szCs w:val="20"/>
                <w:shd w:val="clear" w:color="auto" w:fill="FFFFFF"/>
                <w:lang w:val="en-US"/>
              </w:rPr>
              <w:t xml:space="preserve"> [54]</w:t>
            </w:r>
          </w:p>
        </w:tc>
        <w:tc>
          <w:tcPr>
            <w:tcW w:w="155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Chem</w:t>
            </w:r>
          </w:p>
        </w:tc>
        <w:tc>
          <w:tcPr>
            <w:tcW w:w="425"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4</w:t>
            </w:r>
          </w:p>
        </w:tc>
        <w:tc>
          <w:tcPr>
            <w:tcW w:w="1257"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w:t>
            </w:r>
          </w:p>
        </w:tc>
        <w:tc>
          <w:tcPr>
            <w:tcW w:w="1322" w:type="dxa"/>
            <w:tcBorders>
              <w:top w:val="nil"/>
              <w:left w:val="nil"/>
              <w:bottom w:val="nil"/>
              <w:right w:val="nil"/>
            </w:tcBorders>
          </w:tcPr>
          <w:p w:rsidR="007C665C" w:rsidRPr="004D26EE" w:rsidRDefault="007C665C" w:rsidP="00AC6C70">
            <w:pPr>
              <w:jc w:val="center"/>
              <w:rPr>
                <w:sz w:val="20"/>
                <w:lang w:val="en-US"/>
              </w:rPr>
            </w:pPr>
            <w:r w:rsidRPr="004D26EE">
              <w:rPr>
                <w:sz w:val="20"/>
                <w:szCs w:val="20"/>
                <w:lang w:val="en-US"/>
              </w:rPr>
              <w:t>AD</w:t>
            </w:r>
          </w:p>
        </w:tc>
        <w:tc>
          <w:tcPr>
            <w:tcW w:w="1229" w:type="dxa"/>
            <w:tcBorders>
              <w:top w:val="nil"/>
              <w:left w:val="nil"/>
              <w:bottom w:val="nil"/>
              <w:right w:val="nil"/>
            </w:tcBorders>
          </w:tcPr>
          <w:p w:rsidR="007C665C" w:rsidRPr="004D26EE" w:rsidRDefault="007C665C" w:rsidP="00AC6C70">
            <w:pPr>
              <w:jc w:val="center"/>
              <w:rPr>
                <w:rStyle w:val="apple-converted-space"/>
                <w:sz w:val="20"/>
                <w:szCs w:val="20"/>
                <w:lang w:val="en-US"/>
              </w:rPr>
            </w:pPr>
            <w:r w:rsidRPr="004D26EE">
              <w:rPr>
                <w:rStyle w:val="apple-converted-space"/>
                <w:sz w:val="20"/>
                <w:szCs w:val="20"/>
                <w:lang w:val="en-US"/>
              </w:rPr>
              <w:t>40</w:t>
            </w:r>
          </w:p>
        </w:tc>
        <w:tc>
          <w:tcPr>
            <w:tcW w:w="1283"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16-140</w:t>
            </w:r>
          </w:p>
        </w:tc>
      </w:tr>
      <w:tr w:rsidR="007C665C" w:rsidRPr="002A7A74" w:rsidTr="00AC6C70">
        <w:trPr>
          <w:trHeight w:val="96"/>
        </w:trPr>
        <w:tc>
          <w:tcPr>
            <w:tcW w:w="2527" w:type="dxa"/>
            <w:tcBorders>
              <w:top w:val="nil"/>
              <w:left w:val="nil"/>
              <w:bottom w:val="nil"/>
              <w:right w:val="nil"/>
            </w:tcBorders>
          </w:tcPr>
          <w:p w:rsidR="007C665C" w:rsidRPr="0076025A" w:rsidRDefault="007C665C" w:rsidP="00AC6C70">
            <w:pPr>
              <w:rPr>
                <w:sz w:val="20"/>
                <w:szCs w:val="20"/>
                <w:lang w:val="en-US"/>
              </w:rPr>
            </w:pPr>
            <w:r w:rsidRPr="0076025A">
              <w:rPr>
                <w:rFonts w:eastAsia="Arial Unicode MS"/>
                <w:sz w:val="20"/>
                <w:szCs w:val="20"/>
                <w:lang w:val="en-US"/>
              </w:rPr>
              <w:t>Bellisola et al 1998</w:t>
            </w:r>
            <w:r>
              <w:rPr>
                <w:rFonts w:eastAsia="Arial Unicode MS"/>
                <w:sz w:val="20"/>
                <w:szCs w:val="20"/>
                <w:lang w:val="en-US"/>
              </w:rPr>
              <w:t xml:space="preserve"> [74]</w:t>
            </w:r>
          </w:p>
        </w:tc>
        <w:tc>
          <w:tcPr>
            <w:tcW w:w="155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NAA</w:t>
            </w:r>
          </w:p>
        </w:tc>
        <w:tc>
          <w:tcPr>
            <w:tcW w:w="425"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12</w:t>
            </w:r>
          </w:p>
        </w:tc>
        <w:tc>
          <w:tcPr>
            <w:tcW w:w="1257"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17-82</w:t>
            </w:r>
          </w:p>
        </w:tc>
        <w:tc>
          <w:tcPr>
            <w:tcW w:w="132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Washed</w:t>
            </w:r>
          </w:p>
        </w:tc>
        <w:tc>
          <w:tcPr>
            <w:tcW w:w="1229" w:type="dxa"/>
            <w:tcBorders>
              <w:top w:val="nil"/>
              <w:left w:val="nil"/>
              <w:bottom w:val="nil"/>
              <w:right w:val="nil"/>
            </w:tcBorders>
          </w:tcPr>
          <w:p w:rsidR="007C665C" w:rsidRPr="004D26EE" w:rsidRDefault="007C665C" w:rsidP="00AC6C70">
            <w:pPr>
              <w:jc w:val="center"/>
              <w:rPr>
                <w:sz w:val="20"/>
                <w:szCs w:val="20"/>
                <w:lang w:val="en-US"/>
              </w:rPr>
            </w:pPr>
            <w:r>
              <w:rPr>
                <w:sz w:val="20"/>
                <w:szCs w:val="20"/>
                <w:lang w:val="en-US"/>
              </w:rPr>
              <w:t>200±</w:t>
            </w:r>
            <w:r w:rsidRPr="004D26EE">
              <w:rPr>
                <w:sz w:val="20"/>
                <w:szCs w:val="20"/>
                <w:lang w:val="en-US"/>
              </w:rPr>
              <w:t>210</w:t>
            </w:r>
          </w:p>
        </w:tc>
        <w:tc>
          <w:tcPr>
            <w:tcW w:w="1283" w:type="dxa"/>
            <w:tcBorders>
              <w:top w:val="nil"/>
              <w:left w:val="nil"/>
              <w:bottom w:val="nil"/>
              <w:right w:val="nil"/>
            </w:tcBorders>
          </w:tcPr>
          <w:p w:rsidR="007C665C" w:rsidRPr="004D26EE" w:rsidRDefault="007C665C" w:rsidP="00AC6C70">
            <w:pPr>
              <w:jc w:val="center"/>
              <w:rPr>
                <w:sz w:val="20"/>
                <w:szCs w:val="20"/>
                <w:highlight w:val="yellow"/>
                <w:lang w:val="en-US"/>
              </w:rPr>
            </w:pPr>
            <w:r w:rsidRPr="004D26EE">
              <w:rPr>
                <w:sz w:val="20"/>
                <w:szCs w:val="20"/>
                <w:lang w:val="en-US"/>
              </w:rPr>
              <w:t>6 -.430</w:t>
            </w:r>
          </w:p>
        </w:tc>
      </w:tr>
      <w:tr w:rsidR="007C665C" w:rsidRPr="002A7A74" w:rsidTr="00AC6C70">
        <w:trPr>
          <w:trHeight w:val="96"/>
        </w:trPr>
        <w:tc>
          <w:tcPr>
            <w:tcW w:w="2527" w:type="dxa"/>
            <w:tcBorders>
              <w:top w:val="nil"/>
              <w:left w:val="nil"/>
              <w:bottom w:val="nil"/>
              <w:right w:val="nil"/>
            </w:tcBorders>
          </w:tcPr>
          <w:p w:rsidR="007C665C" w:rsidRPr="0076025A" w:rsidRDefault="007C665C" w:rsidP="00AC6C70">
            <w:pPr>
              <w:rPr>
                <w:sz w:val="20"/>
                <w:lang w:val="en-US"/>
              </w:rPr>
            </w:pPr>
            <w:r w:rsidRPr="0076025A">
              <w:rPr>
                <w:sz w:val="20"/>
                <w:szCs w:val="20"/>
                <w:shd w:val="clear" w:color="auto" w:fill="FFFFFF"/>
                <w:lang w:val="en-US"/>
              </w:rPr>
              <w:t>Boulyga et al 1999</w:t>
            </w:r>
            <w:r>
              <w:rPr>
                <w:sz w:val="20"/>
                <w:szCs w:val="20"/>
                <w:shd w:val="clear" w:color="auto" w:fill="FFFFFF"/>
                <w:lang w:val="en-US"/>
              </w:rPr>
              <w:t xml:space="preserve"> [56]</w:t>
            </w:r>
          </w:p>
        </w:tc>
        <w:tc>
          <w:tcPr>
            <w:tcW w:w="155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NAA</w:t>
            </w:r>
          </w:p>
        </w:tc>
        <w:tc>
          <w:tcPr>
            <w:tcW w:w="425"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19</w:t>
            </w:r>
          </w:p>
        </w:tc>
        <w:tc>
          <w:tcPr>
            <w:tcW w:w="1257"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w:t>
            </w:r>
          </w:p>
        </w:tc>
        <w:tc>
          <w:tcPr>
            <w:tcW w:w="132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w:t>
            </w:r>
          </w:p>
        </w:tc>
        <w:tc>
          <w:tcPr>
            <w:tcW w:w="1229"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w:t>
            </w:r>
          </w:p>
        </w:tc>
        <w:tc>
          <w:tcPr>
            <w:tcW w:w="1283"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32-900</w:t>
            </w:r>
          </w:p>
        </w:tc>
      </w:tr>
      <w:tr w:rsidR="007C665C" w:rsidRPr="002A7A74" w:rsidTr="00AC6C70">
        <w:trPr>
          <w:trHeight w:val="50"/>
        </w:trPr>
        <w:tc>
          <w:tcPr>
            <w:tcW w:w="2527" w:type="dxa"/>
            <w:tcBorders>
              <w:top w:val="nil"/>
              <w:left w:val="nil"/>
              <w:bottom w:val="nil"/>
              <w:right w:val="nil"/>
            </w:tcBorders>
          </w:tcPr>
          <w:p w:rsidR="007C665C" w:rsidRPr="00B86703" w:rsidRDefault="007C665C" w:rsidP="00AC6C70">
            <w:pPr>
              <w:rPr>
                <w:sz w:val="20"/>
                <w:szCs w:val="20"/>
                <w:lang w:val="en-US"/>
              </w:rPr>
            </w:pPr>
            <w:r w:rsidRPr="0076025A">
              <w:rPr>
                <w:sz w:val="20"/>
                <w:szCs w:val="20"/>
                <w:lang w:val="en-US"/>
              </w:rPr>
              <w:t>Reddy</w:t>
            </w:r>
            <w:r w:rsidRPr="0076025A">
              <w:rPr>
                <w:sz w:val="20"/>
                <w:szCs w:val="20"/>
              </w:rPr>
              <w:t xml:space="preserve"> </w:t>
            </w:r>
            <w:r w:rsidRPr="0076025A">
              <w:rPr>
                <w:sz w:val="20"/>
                <w:szCs w:val="20"/>
                <w:lang w:val="en-US"/>
              </w:rPr>
              <w:t>et</w:t>
            </w:r>
            <w:r w:rsidRPr="0076025A">
              <w:rPr>
                <w:sz w:val="20"/>
                <w:szCs w:val="20"/>
              </w:rPr>
              <w:t xml:space="preserve"> </w:t>
            </w:r>
            <w:r w:rsidRPr="0076025A">
              <w:rPr>
                <w:sz w:val="20"/>
                <w:szCs w:val="20"/>
                <w:lang w:val="en-US"/>
              </w:rPr>
              <w:t>al</w:t>
            </w:r>
            <w:r w:rsidRPr="0076025A">
              <w:rPr>
                <w:sz w:val="20"/>
                <w:szCs w:val="20"/>
              </w:rPr>
              <w:t xml:space="preserve"> 2002</w:t>
            </w:r>
            <w:r>
              <w:rPr>
                <w:sz w:val="20"/>
                <w:szCs w:val="20"/>
                <w:lang w:val="en-US"/>
              </w:rPr>
              <w:t xml:space="preserve"> [57]</w:t>
            </w:r>
          </w:p>
        </w:tc>
        <w:tc>
          <w:tcPr>
            <w:tcW w:w="155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PIXE</w:t>
            </w:r>
          </w:p>
        </w:tc>
        <w:tc>
          <w:tcPr>
            <w:tcW w:w="425"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4</w:t>
            </w:r>
          </w:p>
        </w:tc>
        <w:tc>
          <w:tcPr>
            <w:tcW w:w="1257"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w:t>
            </w:r>
          </w:p>
        </w:tc>
        <w:tc>
          <w:tcPr>
            <w:tcW w:w="1322" w:type="dxa"/>
            <w:tcBorders>
              <w:top w:val="nil"/>
              <w:left w:val="nil"/>
              <w:bottom w:val="nil"/>
              <w:right w:val="nil"/>
            </w:tcBorders>
          </w:tcPr>
          <w:p w:rsidR="007C665C" w:rsidRPr="004D26EE" w:rsidRDefault="007C665C" w:rsidP="00AC6C70">
            <w:pPr>
              <w:jc w:val="center"/>
              <w:rPr>
                <w:sz w:val="20"/>
                <w:lang w:val="en-US"/>
              </w:rPr>
            </w:pPr>
            <w:r w:rsidRPr="004D26EE">
              <w:rPr>
                <w:sz w:val="20"/>
                <w:lang w:val="en-US"/>
              </w:rPr>
              <w:t>D, Press</w:t>
            </w:r>
          </w:p>
        </w:tc>
        <w:tc>
          <w:tcPr>
            <w:tcW w:w="1229" w:type="dxa"/>
            <w:tcBorders>
              <w:top w:val="nil"/>
              <w:left w:val="nil"/>
              <w:bottom w:val="nil"/>
              <w:right w:val="nil"/>
            </w:tcBorders>
          </w:tcPr>
          <w:p w:rsidR="007C665C" w:rsidRPr="004D26EE" w:rsidRDefault="007C665C" w:rsidP="00AC6C70">
            <w:pPr>
              <w:jc w:val="center"/>
              <w:rPr>
                <w:sz w:val="20"/>
                <w:szCs w:val="20"/>
                <w:lang w:val="en-US"/>
              </w:rPr>
            </w:pPr>
            <w:r w:rsidRPr="004D26EE">
              <w:rPr>
                <w:sz w:val="20"/>
                <w:lang w:val="fr-FR"/>
              </w:rPr>
              <w:t>&lt;30</w:t>
            </w:r>
          </w:p>
        </w:tc>
        <w:tc>
          <w:tcPr>
            <w:tcW w:w="1283" w:type="dxa"/>
            <w:tcBorders>
              <w:top w:val="nil"/>
              <w:left w:val="nil"/>
              <w:bottom w:val="nil"/>
              <w:right w:val="nil"/>
            </w:tcBorders>
          </w:tcPr>
          <w:p w:rsidR="007C665C" w:rsidRPr="004D26EE" w:rsidRDefault="007C665C" w:rsidP="00AC6C70">
            <w:pPr>
              <w:jc w:val="center"/>
              <w:rPr>
                <w:sz w:val="20"/>
                <w:lang w:val="en-US"/>
              </w:rPr>
            </w:pPr>
            <w:r w:rsidRPr="004D26EE">
              <w:rPr>
                <w:sz w:val="20"/>
                <w:lang w:val="fr-FR"/>
              </w:rPr>
              <w:t>-</w:t>
            </w:r>
          </w:p>
        </w:tc>
      </w:tr>
      <w:tr w:rsidR="007C665C" w:rsidRPr="002A7A74" w:rsidTr="00AC6C70">
        <w:trPr>
          <w:trHeight w:val="236"/>
        </w:trPr>
        <w:tc>
          <w:tcPr>
            <w:tcW w:w="2527" w:type="dxa"/>
            <w:tcBorders>
              <w:top w:val="nil"/>
              <w:left w:val="nil"/>
              <w:bottom w:val="nil"/>
              <w:right w:val="nil"/>
            </w:tcBorders>
          </w:tcPr>
          <w:p w:rsidR="007C665C" w:rsidRPr="0076025A" w:rsidRDefault="007C665C" w:rsidP="00AC6C70">
            <w:pPr>
              <w:rPr>
                <w:rFonts w:eastAsia="Arial Unicode MS"/>
                <w:sz w:val="20"/>
                <w:szCs w:val="20"/>
                <w:lang w:val="en-US"/>
              </w:rPr>
            </w:pPr>
            <w:r w:rsidRPr="0076025A">
              <w:rPr>
                <w:sz w:val="20"/>
                <w:szCs w:val="20"/>
                <w:lang w:val="en-US"/>
              </w:rPr>
              <w:t>Hansson et al 2008</w:t>
            </w:r>
            <w:r>
              <w:rPr>
                <w:sz w:val="20"/>
                <w:szCs w:val="20"/>
                <w:lang w:val="en-US"/>
              </w:rPr>
              <w:t xml:space="preserve"> [60]</w:t>
            </w:r>
          </w:p>
        </w:tc>
        <w:tc>
          <w:tcPr>
            <w:tcW w:w="1552" w:type="dxa"/>
            <w:tcBorders>
              <w:top w:val="nil"/>
              <w:left w:val="nil"/>
              <w:bottom w:val="nil"/>
              <w:right w:val="nil"/>
            </w:tcBorders>
          </w:tcPr>
          <w:p w:rsidR="007C665C" w:rsidRPr="004D26EE" w:rsidRDefault="007C665C" w:rsidP="00AC6C70">
            <w:pPr>
              <w:jc w:val="center"/>
              <w:rPr>
                <w:sz w:val="20"/>
                <w:szCs w:val="20"/>
                <w:lang w:val="en-US"/>
              </w:rPr>
            </w:pPr>
            <w:r w:rsidRPr="004D26EE">
              <w:rPr>
                <w:sz w:val="20"/>
                <w:szCs w:val="20"/>
                <w:lang w:val="en-US"/>
              </w:rPr>
              <w:t>EDXRF</w:t>
            </w:r>
          </w:p>
        </w:tc>
        <w:tc>
          <w:tcPr>
            <w:tcW w:w="425" w:type="dxa"/>
            <w:tcBorders>
              <w:top w:val="nil"/>
              <w:left w:val="nil"/>
              <w:bottom w:val="nil"/>
              <w:right w:val="nil"/>
            </w:tcBorders>
          </w:tcPr>
          <w:p w:rsidR="007C665C" w:rsidRPr="004D26EE" w:rsidRDefault="007C665C" w:rsidP="00AC6C70">
            <w:pPr>
              <w:jc w:val="center"/>
              <w:rPr>
                <w:sz w:val="20"/>
                <w:szCs w:val="20"/>
                <w:lang w:val="en-US"/>
              </w:rPr>
            </w:pPr>
            <w:r w:rsidRPr="004D26EE">
              <w:rPr>
                <w:sz w:val="20"/>
                <w:lang w:val="en-US"/>
              </w:rPr>
              <w:t>7</w:t>
            </w:r>
          </w:p>
        </w:tc>
        <w:tc>
          <w:tcPr>
            <w:tcW w:w="1257" w:type="dxa"/>
            <w:tcBorders>
              <w:top w:val="nil"/>
              <w:left w:val="nil"/>
              <w:bottom w:val="nil"/>
              <w:right w:val="nil"/>
            </w:tcBorders>
          </w:tcPr>
          <w:p w:rsidR="007C665C" w:rsidRPr="004D26EE" w:rsidRDefault="007C665C" w:rsidP="00AC6C70">
            <w:pPr>
              <w:jc w:val="center"/>
              <w:rPr>
                <w:sz w:val="20"/>
                <w:szCs w:val="20"/>
                <w:lang w:val="en-US"/>
              </w:rPr>
            </w:pPr>
            <w:r w:rsidRPr="004D26EE">
              <w:rPr>
                <w:sz w:val="20"/>
                <w:szCs w:val="20"/>
                <w:lang w:val="en-US"/>
              </w:rPr>
              <w:t>21-58</w:t>
            </w:r>
          </w:p>
        </w:tc>
        <w:tc>
          <w:tcPr>
            <w:tcW w:w="1322" w:type="dxa"/>
            <w:tcBorders>
              <w:top w:val="nil"/>
              <w:left w:val="nil"/>
              <w:bottom w:val="nil"/>
              <w:right w:val="nil"/>
            </w:tcBorders>
          </w:tcPr>
          <w:p w:rsidR="007C665C" w:rsidRPr="004D26EE" w:rsidRDefault="007C665C" w:rsidP="00AC6C70">
            <w:pPr>
              <w:jc w:val="center"/>
              <w:rPr>
                <w:sz w:val="20"/>
                <w:szCs w:val="20"/>
                <w:lang w:val="en-US"/>
              </w:rPr>
            </w:pPr>
            <w:r w:rsidRPr="004D26EE">
              <w:rPr>
                <w:sz w:val="20"/>
                <w:lang w:val="en-US"/>
              </w:rPr>
              <w:t>Intact</w:t>
            </w:r>
          </w:p>
        </w:tc>
        <w:tc>
          <w:tcPr>
            <w:tcW w:w="1229" w:type="dxa"/>
            <w:tcBorders>
              <w:top w:val="nil"/>
              <w:left w:val="nil"/>
              <w:bottom w:val="nil"/>
              <w:right w:val="nil"/>
            </w:tcBorders>
          </w:tcPr>
          <w:p w:rsidR="007C665C" w:rsidRPr="004D26EE" w:rsidRDefault="007C665C" w:rsidP="00AC6C70">
            <w:pPr>
              <w:jc w:val="center"/>
              <w:rPr>
                <w:color w:val="000000"/>
                <w:sz w:val="20"/>
                <w:szCs w:val="20"/>
                <w:lang w:val="en-US"/>
              </w:rPr>
            </w:pPr>
            <w:r w:rsidRPr="004D26EE">
              <w:rPr>
                <w:color w:val="000000"/>
                <w:sz w:val="20"/>
                <w:szCs w:val="20"/>
                <w:lang w:val="en-US"/>
              </w:rPr>
              <w:t>&lt;400</w:t>
            </w:r>
          </w:p>
        </w:tc>
        <w:tc>
          <w:tcPr>
            <w:tcW w:w="1283" w:type="dxa"/>
            <w:tcBorders>
              <w:top w:val="nil"/>
              <w:left w:val="nil"/>
              <w:bottom w:val="nil"/>
              <w:right w:val="nil"/>
            </w:tcBorders>
          </w:tcPr>
          <w:p w:rsidR="007C665C" w:rsidRPr="004D26EE" w:rsidRDefault="007C665C" w:rsidP="00AC6C70">
            <w:pPr>
              <w:jc w:val="center"/>
              <w:rPr>
                <w:color w:val="000000"/>
                <w:sz w:val="20"/>
                <w:szCs w:val="20"/>
                <w:lang w:val="en-US"/>
              </w:rPr>
            </w:pPr>
            <w:r w:rsidRPr="004D26EE">
              <w:rPr>
                <w:color w:val="000000"/>
                <w:sz w:val="20"/>
                <w:szCs w:val="20"/>
                <w:lang w:val="en-US"/>
              </w:rPr>
              <w:t>-</w:t>
            </w:r>
          </w:p>
        </w:tc>
      </w:tr>
      <w:tr w:rsidR="007C665C" w:rsidRPr="00103727" w:rsidTr="00AC6C70">
        <w:trPr>
          <w:trHeight w:val="236"/>
        </w:trPr>
        <w:tc>
          <w:tcPr>
            <w:tcW w:w="2527" w:type="dxa"/>
            <w:tcBorders>
              <w:top w:val="nil"/>
              <w:left w:val="nil"/>
              <w:bottom w:val="nil"/>
              <w:right w:val="nil"/>
            </w:tcBorders>
          </w:tcPr>
          <w:p w:rsidR="007C665C" w:rsidRDefault="007C665C" w:rsidP="00AC6C70">
            <w:r w:rsidRPr="00BE5160">
              <w:rPr>
                <w:sz w:val="20"/>
              </w:rPr>
              <w:t>Zaichick et al. 201</w:t>
            </w:r>
            <w:r w:rsidRPr="00BE5160">
              <w:rPr>
                <w:sz w:val="20"/>
                <w:lang w:val="en-US"/>
              </w:rPr>
              <w:t>8</w:t>
            </w:r>
            <w:r>
              <w:rPr>
                <w:sz w:val="20"/>
                <w:lang w:val="en-US"/>
              </w:rPr>
              <w:t>a</w:t>
            </w:r>
            <w:r w:rsidRPr="00BE5160">
              <w:rPr>
                <w:sz w:val="20"/>
              </w:rPr>
              <w:t xml:space="preserve"> [</w:t>
            </w:r>
            <w:r>
              <w:rPr>
                <w:sz w:val="20"/>
                <w:lang w:val="en-US"/>
              </w:rPr>
              <w:t>64</w:t>
            </w:r>
            <w:r w:rsidRPr="00BE5160">
              <w:rPr>
                <w:sz w:val="20"/>
              </w:rPr>
              <w:t>]</w:t>
            </w:r>
          </w:p>
        </w:tc>
        <w:tc>
          <w:tcPr>
            <w:tcW w:w="1552" w:type="dxa"/>
            <w:tcBorders>
              <w:top w:val="nil"/>
              <w:left w:val="nil"/>
              <w:bottom w:val="nil"/>
              <w:right w:val="nil"/>
            </w:tcBorders>
          </w:tcPr>
          <w:p w:rsidR="007C665C" w:rsidRPr="002F1CC6" w:rsidRDefault="007C665C" w:rsidP="00AC6C70">
            <w:pPr>
              <w:jc w:val="center"/>
              <w:rPr>
                <w:sz w:val="20"/>
              </w:rPr>
            </w:pPr>
            <w:r>
              <w:rPr>
                <w:sz w:val="20"/>
                <w:lang w:val="en-US"/>
              </w:rPr>
              <w:t>NAA</w:t>
            </w:r>
          </w:p>
        </w:tc>
        <w:tc>
          <w:tcPr>
            <w:tcW w:w="425" w:type="dxa"/>
            <w:tcBorders>
              <w:top w:val="nil"/>
              <w:left w:val="nil"/>
              <w:bottom w:val="nil"/>
              <w:right w:val="nil"/>
            </w:tcBorders>
          </w:tcPr>
          <w:p w:rsidR="007C665C" w:rsidRPr="009A6D17" w:rsidRDefault="007C665C" w:rsidP="00AC6C70">
            <w:pPr>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AC6C70">
            <w:pPr>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AC6C70">
            <w:pPr>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AC6C70">
            <w:pPr>
              <w:jc w:val="center"/>
              <w:rPr>
                <w:sz w:val="20"/>
                <w:lang w:val="en-US"/>
              </w:rPr>
            </w:pPr>
            <w:r>
              <w:rPr>
                <w:sz w:val="20"/>
                <w:lang w:val="en-US"/>
              </w:rPr>
              <w:t>2-261</w:t>
            </w:r>
          </w:p>
        </w:tc>
      </w:tr>
      <w:tr w:rsidR="007C665C" w:rsidRPr="00103727" w:rsidTr="00AC6C70">
        <w:trPr>
          <w:trHeight w:val="236"/>
        </w:trPr>
        <w:tc>
          <w:tcPr>
            <w:tcW w:w="2527" w:type="dxa"/>
            <w:tcBorders>
              <w:top w:val="nil"/>
              <w:left w:val="nil"/>
              <w:bottom w:val="nil"/>
              <w:right w:val="nil"/>
            </w:tcBorders>
          </w:tcPr>
          <w:p w:rsidR="007C665C" w:rsidRDefault="007C665C" w:rsidP="00AC6C70">
            <w:r w:rsidRPr="00BE5160">
              <w:rPr>
                <w:sz w:val="20"/>
              </w:rPr>
              <w:t>Zaichick et al. 201</w:t>
            </w:r>
            <w:r w:rsidRPr="00BE5160">
              <w:rPr>
                <w:sz w:val="20"/>
                <w:lang w:val="en-US"/>
              </w:rPr>
              <w:t>8</w:t>
            </w:r>
            <w:r>
              <w:rPr>
                <w:sz w:val="20"/>
                <w:lang w:val="en-US"/>
              </w:rPr>
              <w:t>b</w:t>
            </w:r>
            <w:r w:rsidRPr="00BE5160">
              <w:rPr>
                <w:sz w:val="20"/>
              </w:rPr>
              <w:t xml:space="preserve"> [</w:t>
            </w:r>
            <w:r>
              <w:rPr>
                <w:sz w:val="20"/>
                <w:lang w:val="en-US"/>
              </w:rPr>
              <w:t>65</w:t>
            </w:r>
            <w:r w:rsidRPr="00BE5160">
              <w:rPr>
                <w:sz w:val="20"/>
              </w:rPr>
              <w:t>]</w:t>
            </w:r>
          </w:p>
        </w:tc>
        <w:tc>
          <w:tcPr>
            <w:tcW w:w="1552" w:type="dxa"/>
            <w:tcBorders>
              <w:top w:val="nil"/>
              <w:left w:val="nil"/>
              <w:bottom w:val="nil"/>
              <w:right w:val="nil"/>
            </w:tcBorders>
          </w:tcPr>
          <w:p w:rsidR="007C665C" w:rsidRPr="002F1CC6" w:rsidRDefault="003648FB" w:rsidP="00AC6C70">
            <w:pPr>
              <w:jc w:val="center"/>
              <w:rPr>
                <w:sz w:val="20"/>
              </w:rPr>
            </w:pPr>
            <w:r>
              <w:rPr>
                <w:sz w:val="20"/>
                <w:lang w:val="en-US"/>
              </w:rPr>
              <w:t>ED</w:t>
            </w:r>
            <w:r w:rsidR="007C665C">
              <w:rPr>
                <w:sz w:val="20"/>
                <w:lang w:val="en-US"/>
              </w:rPr>
              <w:t>XRF,NAA</w:t>
            </w:r>
          </w:p>
        </w:tc>
        <w:tc>
          <w:tcPr>
            <w:tcW w:w="425" w:type="dxa"/>
            <w:tcBorders>
              <w:top w:val="nil"/>
              <w:left w:val="nil"/>
              <w:bottom w:val="nil"/>
              <w:right w:val="nil"/>
            </w:tcBorders>
          </w:tcPr>
          <w:p w:rsidR="007C665C" w:rsidRPr="009A6D17" w:rsidRDefault="007C665C" w:rsidP="00AC6C70">
            <w:pPr>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AC6C70">
            <w:pPr>
              <w:jc w:val="center"/>
              <w:rPr>
                <w:sz w:val="20"/>
                <w:lang w:val="en-US"/>
              </w:rPr>
            </w:pPr>
            <w:r>
              <w:rPr>
                <w:sz w:val="20"/>
                <w:szCs w:val="20"/>
                <w:lang w:val="en-US"/>
              </w:rPr>
              <w:t>46</w:t>
            </w:r>
            <w:r w:rsidRPr="008A1F30">
              <w:rPr>
                <w:sz w:val="20"/>
                <w:szCs w:val="20"/>
                <w:lang w:val="en-US"/>
              </w:rPr>
              <w:t>±</w:t>
            </w:r>
            <w:r>
              <w:rPr>
                <w:sz w:val="20"/>
                <w:szCs w:val="20"/>
                <w:lang w:val="en-US"/>
              </w:rPr>
              <w:t>15</w:t>
            </w:r>
          </w:p>
        </w:tc>
        <w:tc>
          <w:tcPr>
            <w:tcW w:w="1322" w:type="dxa"/>
            <w:tcBorders>
              <w:top w:val="nil"/>
              <w:left w:val="nil"/>
              <w:bottom w:val="nil"/>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AC6C70">
            <w:pPr>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AC6C70">
            <w:pPr>
              <w:jc w:val="center"/>
              <w:rPr>
                <w:sz w:val="20"/>
                <w:lang w:val="en-US"/>
              </w:rPr>
            </w:pPr>
            <w:r>
              <w:rPr>
                <w:sz w:val="20"/>
                <w:lang w:val="en-US"/>
              </w:rPr>
              <w:t>2-261</w:t>
            </w:r>
          </w:p>
        </w:tc>
      </w:tr>
      <w:tr w:rsidR="007C665C" w:rsidRPr="00103727" w:rsidTr="00AC6C70">
        <w:trPr>
          <w:trHeight w:val="236"/>
        </w:trPr>
        <w:tc>
          <w:tcPr>
            <w:tcW w:w="2527" w:type="dxa"/>
            <w:tcBorders>
              <w:top w:val="nil"/>
              <w:left w:val="nil"/>
              <w:bottom w:val="nil"/>
              <w:right w:val="nil"/>
            </w:tcBorders>
          </w:tcPr>
          <w:p w:rsidR="007C665C" w:rsidRPr="002F1CC6" w:rsidRDefault="007C665C" w:rsidP="00AC6C70">
            <w:pPr>
              <w:rPr>
                <w:sz w:val="20"/>
              </w:rPr>
            </w:pPr>
            <w:r w:rsidRPr="00BE5160">
              <w:rPr>
                <w:sz w:val="20"/>
              </w:rPr>
              <w:t>Zaichick et al. 201</w:t>
            </w:r>
            <w:r w:rsidRPr="00BE5160">
              <w:rPr>
                <w:sz w:val="20"/>
                <w:lang w:val="en-US"/>
              </w:rPr>
              <w:t>8</w:t>
            </w:r>
            <w:r>
              <w:rPr>
                <w:sz w:val="20"/>
                <w:lang w:val="en-US"/>
              </w:rPr>
              <w:t>c</w:t>
            </w:r>
            <w:r w:rsidRPr="00BE5160">
              <w:rPr>
                <w:sz w:val="20"/>
              </w:rPr>
              <w:t xml:space="preserve"> [</w:t>
            </w:r>
            <w:r>
              <w:rPr>
                <w:sz w:val="20"/>
                <w:lang w:val="en-US"/>
              </w:rPr>
              <w:t>66</w:t>
            </w:r>
            <w:r w:rsidRPr="00BE5160">
              <w:rPr>
                <w:sz w:val="20"/>
              </w:rPr>
              <w:t>]</w:t>
            </w:r>
          </w:p>
        </w:tc>
        <w:tc>
          <w:tcPr>
            <w:tcW w:w="1552" w:type="dxa"/>
            <w:tcBorders>
              <w:top w:val="nil"/>
              <w:left w:val="nil"/>
              <w:bottom w:val="nil"/>
              <w:right w:val="nil"/>
            </w:tcBorders>
          </w:tcPr>
          <w:p w:rsidR="007C665C" w:rsidRPr="002F1CC6" w:rsidRDefault="007C665C" w:rsidP="00AC6C70">
            <w:pPr>
              <w:jc w:val="center"/>
              <w:rPr>
                <w:sz w:val="20"/>
              </w:rPr>
            </w:pPr>
            <w:r>
              <w:rPr>
                <w:sz w:val="20"/>
                <w:lang w:val="en-US"/>
              </w:rPr>
              <w:t>NAA,ICPAES</w:t>
            </w:r>
          </w:p>
        </w:tc>
        <w:tc>
          <w:tcPr>
            <w:tcW w:w="425" w:type="dxa"/>
            <w:tcBorders>
              <w:top w:val="nil"/>
              <w:left w:val="nil"/>
              <w:bottom w:val="nil"/>
              <w:right w:val="nil"/>
            </w:tcBorders>
          </w:tcPr>
          <w:p w:rsidR="007C665C" w:rsidRPr="009A6D17" w:rsidRDefault="007C665C" w:rsidP="00AC6C70">
            <w:pPr>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AC6C70">
            <w:pPr>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AC6C70">
            <w:pPr>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AC6C70">
            <w:pPr>
              <w:jc w:val="center"/>
              <w:rPr>
                <w:sz w:val="20"/>
                <w:lang w:val="en-US"/>
              </w:rPr>
            </w:pPr>
            <w:r>
              <w:rPr>
                <w:sz w:val="20"/>
                <w:lang w:val="en-US"/>
              </w:rPr>
              <w:t>2-261</w:t>
            </w:r>
          </w:p>
        </w:tc>
      </w:tr>
      <w:tr w:rsidR="007C665C" w:rsidRPr="00B31414" w:rsidTr="00AC6C70">
        <w:trPr>
          <w:trHeight w:val="236"/>
        </w:trPr>
        <w:tc>
          <w:tcPr>
            <w:tcW w:w="2527" w:type="dxa"/>
            <w:tcBorders>
              <w:top w:val="nil"/>
              <w:left w:val="nil"/>
              <w:bottom w:val="nil"/>
              <w:right w:val="nil"/>
            </w:tcBorders>
          </w:tcPr>
          <w:p w:rsidR="007C665C" w:rsidRPr="002F1CC6" w:rsidRDefault="007C665C" w:rsidP="00AC6C70">
            <w:pPr>
              <w:rPr>
                <w:sz w:val="20"/>
              </w:rPr>
            </w:pPr>
            <w:r w:rsidRPr="00BE5160">
              <w:rPr>
                <w:sz w:val="20"/>
              </w:rPr>
              <w:t>Zaichick. 20</w:t>
            </w:r>
            <w:r>
              <w:rPr>
                <w:sz w:val="20"/>
                <w:lang w:val="en-US"/>
              </w:rPr>
              <w:t>22a</w:t>
            </w:r>
            <w:r w:rsidRPr="00BE5160">
              <w:rPr>
                <w:sz w:val="20"/>
              </w:rPr>
              <w:t xml:space="preserve"> [</w:t>
            </w:r>
            <w:r>
              <w:rPr>
                <w:sz w:val="20"/>
                <w:lang w:val="en-US"/>
              </w:rPr>
              <w:t>81</w:t>
            </w:r>
            <w:r w:rsidRPr="00BE5160">
              <w:rPr>
                <w:sz w:val="20"/>
              </w:rPr>
              <w:t>]</w:t>
            </w:r>
          </w:p>
        </w:tc>
        <w:tc>
          <w:tcPr>
            <w:tcW w:w="1552" w:type="dxa"/>
            <w:tcBorders>
              <w:top w:val="nil"/>
              <w:left w:val="nil"/>
              <w:bottom w:val="nil"/>
              <w:right w:val="nil"/>
            </w:tcBorders>
          </w:tcPr>
          <w:p w:rsidR="007C665C" w:rsidRPr="004D26EE" w:rsidRDefault="003648FB" w:rsidP="00AC6C70">
            <w:pPr>
              <w:jc w:val="center"/>
              <w:rPr>
                <w:sz w:val="20"/>
                <w:szCs w:val="20"/>
                <w:lang w:val="en-US"/>
              </w:rPr>
            </w:pPr>
            <w:r>
              <w:rPr>
                <w:sz w:val="20"/>
                <w:szCs w:val="20"/>
                <w:lang w:val="en-US"/>
              </w:rPr>
              <w:t>ED</w:t>
            </w:r>
            <w:r w:rsidR="007C665C">
              <w:rPr>
                <w:sz w:val="20"/>
                <w:szCs w:val="20"/>
                <w:lang w:val="en-US"/>
              </w:rPr>
              <w:t>XRF</w:t>
            </w:r>
          </w:p>
        </w:tc>
        <w:tc>
          <w:tcPr>
            <w:tcW w:w="425" w:type="dxa"/>
            <w:tcBorders>
              <w:top w:val="nil"/>
              <w:left w:val="nil"/>
              <w:bottom w:val="nil"/>
              <w:right w:val="nil"/>
            </w:tcBorders>
          </w:tcPr>
          <w:p w:rsidR="007C665C" w:rsidRPr="00B31414" w:rsidRDefault="007C665C" w:rsidP="00AC6C70">
            <w:pPr>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AC6C70">
            <w:pPr>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nil"/>
              <w:right w:val="nil"/>
            </w:tcBorders>
          </w:tcPr>
          <w:p w:rsidR="007C665C" w:rsidRPr="00B31414" w:rsidRDefault="007C665C" w:rsidP="00AC6C70">
            <w:pPr>
              <w:jc w:val="center"/>
              <w:rPr>
                <w:sz w:val="20"/>
                <w:szCs w:val="20"/>
                <w:lang w:val="en-US"/>
              </w:rPr>
            </w:pPr>
            <w:r>
              <w:rPr>
                <w:sz w:val="20"/>
                <w:szCs w:val="20"/>
                <w:lang w:val="en-US"/>
              </w:rPr>
              <w:t>71.6±72.5</w:t>
            </w:r>
          </w:p>
        </w:tc>
        <w:tc>
          <w:tcPr>
            <w:tcW w:w="1283" w:type="dxa"/>
            <w:tcBorders>
              <w:top w:val="nil"/>
              <w:left w:val="nil"/>
              <w:bottom w:val="nil"/>
              <w:right w:val="nil"/>
            </w:tcBorders>
          </w:tcPr>
          <w:p w:rsidR="007C665C" w:rsidRPr="00B31414" w:rsidRDefault="007C665C" w:rsidP="00AC6C70">
            <w:pPr>
              <w:jc w:val="center"/>
              <w:rPr>
                <w:sz w:val="20"/>
                <w:lang w:val="en-US"/>
              </w:rPr>
            </w:pPr>
            <w:r>
              <w:rPr>
                <w:sz w:val="20"/>
                <w:lang w:val="en-US"/>
              </w:rPr>
              <w:t>2-341</w:t>
            </w:r>
          </w:p>
        </w:tc>
      </w:tr>
      <w:tr w:rsidR="007C665C" w:rsidRPr="00B31414" w:rsidTr="00AC6C70">
        <w:trPr>
          <w:trHeight w:val="236"/>
        </w:trPr>
        <w:tc>
          <w:tcPr>
            <w:tcW w:w="2527" w:type="dxa"/>
            <w:tcBorders>
              <w:top w:val="nil"/>
              <w:left w:val="nil"/>
              <w:bottom w:val="nil"/>
              <w:right w:val="nil"/>
            </w:tcBorders>
          </w:tcPr>
          <w:p w:rsidR="007C665C" w:rsidRPr="00B31414" w:rsidRDefault="007C665C" w:rsidP="00AC6C70">
            <w:pPr>
              <w:rPr>
                <w:sz w:val="20"/>
                <w:lang w:val="en-US"/>
              </w:rPr>
            </w:pPr>
            <w:r w:rsidRPr="00B31414">
              <w:rPr>
                <w:sz w:val="20"/>
                <w:lang w:val="en-US"/>
              </w:rPr>
              <w:t>Zaichick. 20</w:t>
            </w:r>
            <w:r>
              <w:rPr>
                <w:sz w:val="20"/>
                <w:lang w:val="en-US"/>
              </w:rPr>
              <w:t>22b</w:t>
            </w:r>
            <w:r w:rsidRPr="00B31414">
              <w:rPr>
                <w:sz w:val="20"/>
                <w:lang w:val="en-US"/>
              </w:rPr>
              <w:t xml:space="preserve"> [</w:t>
            </w:r>
            <w:r>
              <w:rPr>
                <w:sz w:val="20"/>
                <w:lang w:val="en-US"/>
              </w:rPr>
              <w:t>82</w:t>
            </w:r>
            <w:r w:rsidRPr="00B31414">
              <w:rPr>
                <w:sz w:val="20"/>
                <w:lang w:val="en-US"/>
              </w:rPr>
              <w:t>]</w:t>
            </w:r>
          </w:p>
        </w:tc>
        <w:tc>
          <w:tcPr>
            <w:tcW w:w="1552" w:type="dxa"/>
            <w:tcBorders>
              <w:top w:val="nil"/>
              <w:left w:val="nil"/>
              <w:bottom w:val="nil"/>
              <w:right w:val="nil"/>
            </w:tcBorders>
          </w:tcPr>
          <w:p w:rsidR="007C665C" w:rsidRPr="002F1CC6" w:rsidRDefault="007C665C" w:rsidP="00AC6C70">
            <w:pPr>
              <w:jc w:val="center"/>
              <w:rPr>
                <w:sz w:val="20"/>
              </w:rPr>
            </w:pPr>
            <w:r>
              <w:rPr>
                <w:sz w:val="20"/>
                <w:lang w:val="en-US"/>
              </w:rPr>
              <w:t>NAA</w:t>
            </w:r>
          </w:p>
        </w:tc>
        <w:tc>
          <w:tcPr>
            <w:tcW w:w="425" w:type="dxa"/>
            <w:tcBorders>
              <w:top w:val="nil"/>
              <w:left w:val="nil"/>
              <w:bottom w:val="nil"/>
              <w:right w:val="nil"/>
            </w:tcBorders>
          </w:tcPr>
          <w:p w:rsidR="007C665C" w:rsidRPr="009A6D17" w:rsidRDefault="007C665C" w:rsidP="00AC6C70">
            <w:pPr>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AC6C70">
            <w:pPr>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AC6C70">
            <w:pPr>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AC6C70">
            <w:pPr>
              <w:jc w:val="center"/>
              <w:rPr>
                <w:sz w:val="20"/>
                <w:lang w:val="en-US"/>
              </w:rPr>
            </w:pPr>
            <w:r>
              <w:rPr>
                <w:sz w:val="20"/>
                <w:lang w:val="en-US"/>
              </w:rPr>
              <w:t>2-261</w:t>
            </w:r>
          </w:p>
        </w:tc>
      </w:tr>
      <w:tr w:rsidR="007C665C" w:rsidRPr="00B31414" w:rsidTr="00AC6C70">
        <w:trPr>
          <w:trHeight w:val="236"/>
        </w:trPr>
        <w:tc>
          <w:tcPr>
            <w:tcW w:w="2527" w:type="dxa"/>
            <w:tcBorders>
              <w:top w:val="nil"/>
              <w:left w:val="nil"/>
              <w:bottom w:val="nil"/>
              <w:right w:val="nil"/>
            </w:tcBorders>
          </w:tcPr>
          <w:p w:rsidR="007C665C" w:rsidRPr="00B31414" w:rsidRDefault="007C665C" w:rsidP="00AC6C70">
            <w:pPr>
              <w:rPr>
                <w:sz w:val="20"/>
                <w:lang w:val="en-US"/>
              </w:rPr>
            </w:pPr>
            <w:r w:rsidRPr="00B31414">
              <w:rPr>
                <w:sz w:val="20"/>
                <w:lang w:val="en-US"/>
              </w:rPr>
              <w:t>Zaichick. 20</w:t>
            </w:r>
            <w:r>
              <w:rPr>
                <w:sz w:val="20"/>
                <w:lang w:val="en-US"/>
              </w:rPr>
              <w:t>22c</w:t>
            </w:r>
            <w:r w:rsidRPr="00B31414">
              <w:rPr>
                <w:sz w:val="20"/>
                <w:lang w:val="en-US"/>
              </w:rPr>
              <w:t xml:space="preserve"> [</w:t>
            </w:r>
            <w:r>
              <w:rPr>
                <w:sz w:val="20"/>
                <w:lang w:val="en-US"/>
              </w:rPr>
              <w:t>83</w:t>
            </w:r>
            <w:r w:rsidRPr="00B31414">
              <w:rPr>
                <w:sz w:val="20"/>
                <w:lang w:val="en-US"/>
              </w:rPr>
              <w:t>]</w:t>
            </w:r>
          </w:p>
        </w:tc>
        <w:tc>
          <w:tcPr>
            <w:tcW w:w="1552" w:type="dxa"/>
            <w:tcBorders>
              <w:top w:val="nil"/>
              <w:left w:val="nil"/>
              <w:bottom w:val="nil"/>
              <w:right w:val="nil"/>
            </w:tcBorders>
          </w:tcPr>
          <w:p w:rsidR="007C665C" w:rsidRPr="002F1CC6" w:rsidRDefault="007C665C" w:rsidP="00AC6C70">
            <w:pPr>
              <w:jc w:val="center"/>
              <w:rPr>
                <w:sz w:val="20"/>
              </w:rPr>
            </w:pPr>
            <w:r>
              <w:rPr>
                <w:sz w:val="20"/>
                <w:lang w:val="en-US"/>
              </w:rPr>
              <w:t>NAA</w:t>
            </w:r>
          </w:p>
        </w:tc>
        <w:tc>
          <w:tcPr>
            <w:tcW w:w="425" w:type="dxa"/>
            <w:tcBorders>
              <w:top w:val="nil"/>
              <w:left w:val="nil"/>
              <w:bottom w:val="nil"/>
              <w:right w:val="nil"/>
            </w:tcBorders>
          </w:tcPr>
          <w:p w:rsidR="007C665C" w:rsidRPr="009A6D17" w:rsidRDefault="007C665C" w:rsidP="00AC6C70">
            <w:pPr>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AC6C70">
            <w:pPr>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AC6C70">
            <w:pPr>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AC6C70">
            <w:pPr>
              <w:jc w:val="center"/>
              <w:rPr>
                <w:sz w:val="20"/>
                <w:lang w:val="en-US"/>
              </w:rPr>
            </w:pPr>
            <w:r>
              <w:rPr>
                <w:sz w:val="20"/>
                <w:lang w:val="en-US"/>
              </w:rPr>
              <w:t>2-261</w:t>
            </w:r>
          </w:p>
        </w:tc>
      </w:tr>
      <w:tr w:rsidR="007C665C" w:rsidRPr="00B31414" w:rsidTr="00AC6C70">
        <w:trPr>
          <w:trHeight w:val="236"/>
        </w:trPr>
        <w:tc>
          <w:tcPr>
            <w:tcW w:w="2527" w:type="dxa"/>
            <w:tcBorders>
              <w:top w:val="nil"/>
              <w:left w:val="nil"/>
              <w:bottom w:val="nil"/>
              <w:right w:val="nil"/>
            </w:tcBorders>
          </w:tcPr>
          <w:p w:rsidR="007C665C" w:rsidRPr="00B31414" w:rsidRDefault="007C665C" w:rsidP="00AC6C70">
            <w:pPr>
              <w:rPr>
                <w:sz w:val="20"/>
                <w:lang w:val="en-US"/>
              </w:rPr>
            </w:pPr>
            <w:r w:rsidRPr="00B31414">
              <w:rPr>
                <w:sz w:val="20"/>
                <w:lang w:val="en-US"/>
              </w:rPr>
              <w:t>Zaichick. 20</w:t>
            </w:r>
            <w:r>
              <w:rPr>
                <w:sz w:val="20"/>
                <w:lang w:val="en-US"/>
              </w:rPr>
              <w:t>22d [84</w:t>
            </w:r>
            <w:r w:rsidRPr="00B31414">
              <w:rPr>
                <w:sz w:val="20"/>
                <w:lang w:val="en-US"/>
              </w:rPr>
              <w:t>]</w:t>
            </w:r>
          </w:p>
        </w:tc>
        <w:tc>
          <w:tcPr>
            <w:tcW w:w="1552" w:type="dxa"/>
            <w:tcBorders>
              <w:top w:val="nil"/>
              <w:left w:val="nil"/>
              <w:bottom w:val="nil"/>
              <w:right w:val="nil"/>
            </w:tcBorders>
          </w:tcPr>
          <w:p w:rsidR="007C665C" w:rsidRPr="002F1CC6" w:rsidRDefault="003648FB" w:rsidP="00AC6C70">
            <w:pPr>
              <w:jc w:val="center"/>
              <w:rPr>
                <w:sz w:val="20"/>
              </w:rPr>
            </w:pPr>
            <w:r>
              <w:rPr>
                <w:sz w:val="20"/>
                <w:lang w:val="en-US"/>
              </w:rPr>
              <w:t>ED</w:t>
            </w:r>
            <w:r w:rsidR="007C665C">
              <w:rPr>
                <w:sz w:val="20"/>
                <w:lang w:val="en-US"/>
              </w:rPr>
              <w:t>XRF,NAA</w:t>
            </w:r>
          </w:p>
        </w:tc>
        <w:tc>
          <w:tcPr>
            <w:tcW w:w="425" w:type="dxa"/>
            <w:tcBorders>
              <w:top w:val="nil"/>
              <w:left w:val="nil"/>
              <w:bottom w:val="nil"/>
              <w:right w:val="nil"/>
            </w:tcBorders>
          </w:tcPr>
          <w:p w:rsidR="007C665C" w:rsidRPr="009A6D17" w:rsidRDefault="007C665C" w:rsidP="00AC6C70">
            <w:pPr>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AC6C70">
            <w:pPr>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AC6C70">
            <w:pPr>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AC6C70">
            <w:pPr>
              <w:jc w:val="center"/>
              <w:rPr>
                <w:sz w:val="20"/>
                <w:lang w:val="en-US"/>
              </w:rPr>
            </w:pPr>
            <w:r>
              <w:rPr>
                <w:sz w:val="20"/>
                <w:lang w:val="en-US"/>
              </w:rPr>
              <w:t>2-261</w:t>
            </w:r>
          </w:p>
        </w:tc>
      </w:tr>
      <w:tr w:rsidR="007C665C" w:rsidRPr="00B31414" w:rsidTr="00AC6C70">
        <w:trPr>
          <w:trHeight w:val="236"/>
        </w:trPr>
        <w:tc>
          <w:tcPr>
            <w:tcW w:w="2527" w:type="dxa"/>
            <w:tcBorders>
              <w:top w:val="nil"/>
              <w:left w:val="nil"/>
              <w:bottom w:val="single" w:sz="4" w:space="0" w:color="auto"/>
              <w:right w:val="nil"/>
            </w:tcBorders>
          </w:tcPr>
          <w:p w:rsidR="007C665C" w:rsidRPr="00B31414" w:rsidRDefault="007C665C" w:rsidP="00AC6C70">
            <w:pPr>
              <w:rPr>
                <w:lang w:val="en-US"/>
              </w:rPr>
            </w:pPr>
            <w:r w:rsidRPr="00B31414">
              <w:rPr>
                <w:sz w:val="20"/>
                <w:lang w:val="en-US"/>
              </w:rPr>
              <w:t>Zaichick. 20</w:t>
            </w:r>
            <w:r>
              <w:rPr>
                <w:sz w:val="20"/>
                <w:lang w:val="en-US"/>
              </w:rPr>
              <w:t>22e</w:t>
            </w:r>
            <w:r w:rsidRPr="00B31414">
              <w:rPr>
                <w:sz w:val="20"/>
                <w:lang w:val="en-US"/>
              </w:rPr>
              <w:t xml:space="preserve"> [</w:t>
            </w:r>
            <w:r>
              <w:rPr>
                <w:sz w:val="20"/>
                <w:lang w:val="en-US"/>
              </w:rPr>
              <w:t>85</w:t>
            </w:r>
            <w:r w:rsidRPr="00B31414">
              <w:rPr>
                <w:sz w:val="20"/>
                <w:lang w:val="en-US"/>
              </w:rPr>
              <w:t>]</w:t>
            </w:r>
          </w:p>
        </w:tc>
        <w:tc>
          <w:tcPr>
            <w:tcW w:w="1552" w:type="dxa"/>
            <w:tcBorders>
              <w:top w:val="nil"/>
              <w:left w:val="nil"/>
              <w:bottom w:val="single" w:sz="4" w:space="0" w:color="auto"/>
              <w:right w:val="nil"/>
            </w:tcBorders>
          </w:tcPr>
          <w:p w:rsidR="007C665C" w:rsidRPr="002F1CC6" w:rsidRDefault="007C665C" w:rsidP="00AC6C70">
            <w:pPr>
              <w:jc w:val="center"/>
              <w:rPr>
                <w:sz w:val="20"/>
              </w:rPr>
            </w:pPr>
            <w:r>
              <w:rPr>
                <w:sz w:val="20"/>
                <w:lang w:val="en-US"/>
              </w:rPr>
              <w:t>NAA,ICPAES</w:t>
            </w:r>
          </w:p>
        </w:tc>
        <w:tc>
          <w:tcPr>
            <w:tcW w:w="425" w:type="dxa"/>
            <w:tcBorders>
              <w:top w:val="nil"/>
              <w:left w:val="nil"/>
              <w:bottom w:val="single" w:sz="4" w:space="0" w:color="auto"/>
              <w:right w:val="nil"/>
            </w:tcBorders>
          </w:tcPr>
          <w:p w:rsidR="007C665C" w:rsidRPr="009A6D17" w:rsidRDefault="007C665C" w:rsidP="00AC6C70">
            <w:pPr>
              <w:jc w:val="center"/>
              <w:rPr>
                <w:sz w:val="20"/>
                <w:lang w:val="en-US"/>
              </w:rPr>
            </w:pPr>
            <w:r>
              <w:rPr>
                <w:sz w:val="20"/>
                <w:lang w:val="en-US"/>
              </w:rPr>
              <w:t>41</w:t>
            </w:r>
          </w:p>
        </w:tc>
        <w:tc>
          <w:tcPr>
            <w:tcW w:w="1257" w:type="dxa"/>
            <w:tcBorders>
              <w:top w:val="nil"/>
              <w:left w:val="nil"/>
              <w:bottom w:val="single" w:sz="4" w:space="0" w:color="auto"/>
              <w:right w:val="nil"/>
            </w:tcBorders>
          </w:tcPr>
          <w:p w:rsidR="007C665C" w:rsidRPr="009A6D17" w:rsidRDefault="007C665C" w:rsidP="00AC6C70">
            <w:pPr>
              <w:jc w:val="center"/>
              <w:rPr>
                <w:sz w:val="20"/>
                <w:lang w:val="en-US"/>
              </w:rPr>
            </w:pPr>
            <w:r>
              <w:rPr>
                <w:sz w:val="20"/>
                <w:lang w:val="en-US"/>
              </w:rPr>
              <w:t>16-75</w:t>
            </w:r>
          </w:p>
        </w:tc>
        <w:tc>
          <w:tcPr>
            <w:tcW w:w="1322" w:type="dxa"/>
            <w:tcBorders>
              <w:top w:val="nil"/>
              <w:left w:val="nil"/>
              <w:bottom w:val="single" w:sz="4" w:space="0" w:color="auto"/>
              <w:right w:val="nil"/>
            </w:tcBorders>
          </w:tcPr>
          <w:p w:rsidR="007C665C" w:rsidRPr="002F1CC6" w:rsidRDefault="007C665C" w:rsidP="00AC6C70">
            <w:pPr>
              <w:jc w:val="center"/>
            </w:pPr>
            <w:r w:rsidRPr="004D26EE">
              <w:rPr>
                <w:sz w:val="20"/>
                <w:lang w:val="en-US"/>
              </w:rPr>
              <w:t>Intact</w:t>
            </w:r>
          </w:p>
        </w:tc>
        <w:tc>
          <w:tcPr>
            <w:tcW w:w="1229" w:type="dxa"/>
            <w:tcBorders>
              <w:top w:val="nil"/>
              <w:left w:val="nil"/>
              <w:bottom w:val="single" w:sz="4" w:space="0" w:color="auto"/>
              <w:right w:val="nil"/>
            </w:tcBorders>
          </w:tcPr>
          <w:p w:rsidR="007C665C" w:rsidRPr="009A6D17" w:rsidRDefault="007C665C" w:rsidP="00AC6C70">
            <w:pPr>
              <w:jc w:val="center"/>
              <w:rPr>
                <w:sz w:val="20"/>
                <w:szCs w:val="20"/>
                <w:lang w:val="en-US"/>
              </w:rPr>
            </w:pPr>
            <w:r>
              <w:rPr>
                <w:sz w:val="20"/>
                <w:szCs w:val="20"/>
                <w:lang w:val="en-US"/>
              </w:rPr>
              <w:t>71.8±62</w:t>
            </w:r>
          </w:p>
        </w:tc>
        <w:tc>
          <w:tcPr>
            <w:tcW w:w="1283" w:type="dxa"/>
            <w:tcBorders>
              <w:top w:val="nil"/>
              <w:left w:val="nil"/>
              <w:bottom w:val="single" w:sz="4" w:space="0" w:color="auto"/>
              <w:right w:val="nil"/>
            </w:tcBorders>
          </w:tcPr>
          <w:p w:rsidR="007C665C" w:rsidRPr="009A6D17" w:rsidRDefault="007C665C" w:rsidP="00AC6C70">
            <w:pPr>
              <w:jc w:val="center"/>
              <w:rPr>
                <w:sz w:val="20"/>
                <w:lang w:val="en-US"/>
              </w:rPr>
            </w:pPr>
            <w:r>
              <w:rPr>
                <w:sz w:val="20"/>
                <w:lang w:val="en-US"/>
              </w:rPr>
              <w:t>2-261</w:t>
            </w:r>
          </w:p>
        </w:tc>
      </w:tr>
      <w:tr w:rsidR="007C665C" w:rsidRPr="00DA4F57" w:rsidTr="00AC6C70">
        <w:trPr>
          <w:trHeight w:val="236"/>
        </w:trPr>
        <w:tc>
          <w:tcPr>
            <w:tcW w:w="4079" w:type="dxa"/>
            <w:gridSpan w:val="2"/>
            <w:tcBorders>
              <w:top w:val="single" w:sz="4" w:space="0" w:color="auto"/>
              <w:left w:val="nil"/>
              <w:bottom w:val="nil"/>
              <w:right w:val="nil"/>
            </w:tcBorders>
          </w:tcPr>
          <w:p w:rsidR="007C665C" w:rsidRPr="00DA4F57" w:rsidRDefault="007C665C" w:rsidP="00AC6C70">
            <w:pPr>
              <w:jc w:val="center"/>
              <w:rPr>
                <w:sz w:val="20"/>
              </w:rPr>
            </w:pPr>
            <w:r w:rsidRPr="00DA4F57">
              <w:rPr>
                <w:color w:val="000000"/>
                <w:sz w:val="20"/>
                <w:szCs w:val="20"/>
              </w:rPr>
              <w:t>Median of means</w:t>
            </w:r>
          </w:p>
        </w:tc>
        <w:tc>
          <w:tcPr>
            <w:tcW w:w="5516" w:type="dxa"/>
            <w:gridSpan w:val="5"/>
            <w:tcBorders>
              <w:top w:val="single" w:sz="4" w:space="0" w:color="auto"/>
              <w:left w:val="nil"/>
              <w:bottom w:val="nil"/>
              <w:right w:val="nil"/>
            </w:tcBorders>
          </w:tcPr>
          <w:p w:rsidR="007C665C" w:rsidRPr="00DA4F57" w:rsidRDefault="007C665C" w:rsidP="00AC6C70">
            <w:pPr>
              <w:jc w:val="center"/>
              <w:rPr>
                <w:sz w:val="20"/>
                <w:szCs w:val="20"/>
                <w:lang w:val="en-US"/>
              </w:rPr>
            </w:pPr>
            <w:r>
              <w:rPr>
                <w:sz w:val="20"/>
                <w:szCs w:val="20"/>
                <w:lang w:val="en-US"/>
              </w:rPr>
              <w:t>71.8</w:t>
            </w:r>
            <w:r w:rsidRPr="00DA4F57">
              <w:rPr>
                <w:sz w:val="20"/>
                <w:szCs w:val="20"/>
                <w:lang w:val="en-US"/>
              </w:rPr>
              <w:t xml:space="preserve"> </w:t>
            </w:r>
          </w:p>
        </w:tc>
      </w:tr>
      <w:tr w:rsidR="007C665C" w:rsidRPr="00DA4F57" w:rsidTr="00AC6C70">
        <w:trPr>
          <w:trHeight w:val="236"/>
        </w:trPr>
        <w:tc>
          <w:tcPr>
            <w:tcW w:w="4079" w:type="dxa"/>
            <w:gridSpan w:val="2"/>
            <w:tcBorders>
              <w:top w:val="nil"/>
              <w:left w:val="nil"/>
              <w:bottom w:val="nil"/>
              <w:right w:val="nil"/>
            </w:tcBorders>
          </w:tcPr>
          <w:p w:rsidR="007C665C" w:rsidRPr="00DA4F57" w:rsidRDefault="007C665C" w:rsidP="00AC6C70">
            <w:pPr>
              <w:jc w:val="center"/>
              <w:rPr>
                <w:sz w:val="20"/>
                <w:lang w:val="en-US"/>
              </w:rPr>
            </w:pPr>
            <w:r w:rsidRPr="00DA4F57">
              <w:rPr>
                <w:color w:val="000000"/>
                <w:sz w:val="20"/>
                <w:szCs w:val="20"/>
                <w:lang w:val="en-US"/>
              </w:rPr>
              <w:t xml:space="preserve">  Range of means </w:t>
            </w:r>
            <w:r w:rsidRPr="00DA4F57">
              <w:rPr>
                <w:sz w:val="20"/>
                <w:szCs w:val="20"/>
                <w:lang w:val="en-US"/>
              </w:rPr>
              <w:t>(M</w:t>
            </w:r>
            <w:r w:rsidRPr="00DA4F57">
              <w:rPr>
                <w:sz w:val="20"/>
                <w:szCs w:val="20"/>
                <w:vertAlign w:val="subscript"/>
                <w:lang w:val="en-US"/>
              </w:rPr>
              <w:t>min</w:t>
            </w:r>
            <w:r w:rsidRPr="00DA4F57">
              <w:rPr>
                <w:sz w:val="20"/>
                <w:szCs w:val="20"/>
                <w:lang w:val="en-US"/>
              </w:rPr>
              <w:t xml:space="preserve"> - M</w:t>
            </w:r>
            <w:r w:rsidRPr="00DA4F57">
              <w:rPr>
                <w:sz w:val="20"/>
                <w:szCs w:val="20"/>
                <w:vertAlign w:val="subscript"/>
                <w:lang w:val="en-US"/>
              </w:rPr>
              <w:t>max</w:t>
            </w:r>
            <w:r w:rsidRPr="00DA4F57">
              <w:rPr>
                <w:sz w:val="20"/>
                <w:szCs w:val="20"/>
                <w:lang w:val="en-US"/>
              </w:rPr>
              <w:t>)</w:t>
            </w:r>
            <w:r w:rsidRPr="00DA4F57">
              <w:rPr>
                <w:color w:val="000000"/>
                <w:sz w:val="20"/>
                <w:szCs w:val="20"/>
                <w:lang w:val="en-US"/>
              </w:rPr>
              <w:t xml:space="preserve">, </w:t>
            </w:r>
          </w:p>
        </w:tc>
        <w:tc>
          <w:tcPr>
            <w:tcW w:w="5516" w:type="dxa"/>
            <w:gridSpan w:val="5"/>
            <w:tcBorders>
              <w:top w:val="nil"/>
              <w:left w:val="nil"/>
              <w:bottom w:val="nil"/>
              <w:right w:val="nil"/>
            </w:tcBorders>
          </w:tcPr>
          <w:p w:rsidR="007C665C" w:rsidRPr="00DA4F57" w:rsidRDefault="007C665C" w:rsidP="00AC6C70">
            <w:pPr>
              <w:jc w:val="center"/>
              <w:rPr>
                <w:sz w:val="20"/>
                <w:szCs w:val="20"/>
                <w:lang w:val="en-US"/>
              </w:rPr>
            </w:pPr>
            <w:r>
              <w:rPr>
                <w:sz w:val="20"/>
                <w:szCs w:val="20"/>
                <w:lang w:val="en-US"/>
              </w:rPr>
              <w:t>23</w:t>
            </w:r>
            <w:r w:rsidRPr="00DA4F57">
              <w:rPr>
                <w:sz w:val="20"/>
                <w:szCs w:val="20"/>
                <w:lang w:val="en-US"/>
              </w:rPr>
              <w:t xml:space="preserve"> – </w:t>
            </w:r>
            <w:r>
              <w:rPr>
                <w:sz w:val="20"/>
                <w:szCs w:val="20"/>
                <w:lang w:val="en-US"/>
              </w:rPr>
              <w:t>400</w:t>
            </w:r>
            <w:r w:rsidRPr="00DA4F57">
              <w:rPr>
                <w:sz w:val="20"/>
                <w:szCs w:val="20"/>
                <w:lang w:val="en-US"/>
              </w:rPr>
              <w:t xml:space="preserve">  </w:t>
            </w:r>
          </w:p>
        </w:tc>
      </w:tr>
      <w:tr w:rsidR="007C665C" w:rsidRPr="00DA4F57" w:rsidTr="00AC6C70">
        <w:trPr>
          <w:trHeight w:val="236"/>
        </w:trPr>
        <w:tc>
          <w:tcPr>
            <w:tcW w:w="4079" w:type="dxa"/>
            <w:gridSpan w:val="2"/>
            <w:tcBorders>
              <w:top w:val="nil"/>
              <w:left w:val="nil"/>
              <w:bottom w:val="nil"/>
              <w:right w:val="nil"/>
            </w:tcBorders>
          </w:tcPr>
          <w:p w:rsidR="007C665C" w:rsidRPr="00DA4F57" w:rsidRDefault="007C665C" w:rsidP="00AC6C70">
            <w:pPr>
              <w:jc w:val="center"/>
              <w:rPr>
                <w:sz w:val="20"/>
                <w:lang w:val="en-US"/>
              </w:rPr>
            </w:pPr>
            <w:r w:rsidRPr="00DA4F57">
              <w:rPr>
                <w:color w:val="000000"/>
                <w:sz w:val="20"/>
                <w:szCs w:val="20"/>
                <w:lang w:val="en-US"/>
              </w:rPr>
              <w:t>Ratio M</w:t>
            </w:r>
            <w:r w:rsidRPr="00DA4F57">
              <w:rPr>
                <w:color w:val="000000"/>
                <w:sz w:val="20"/>
                <w:szCs w:val="20"/>
                <w:vertAlign w:val="subscript"/>
                <w:lang w:val="en-US"/>
              </w:rPr>
              <w:t>max</w:t>
            </w:r>
            <w:r w:rsidRPr="00DA4F57">
              <w:rPr>
                <w:color w:val="000000"/>
                <w:sz w:val="20"/>
                <w:szCs w:val="20"/>
                <w:lang w:val="en-US"/>
              </w:rPr>
              <w:t>/M</w:t>
            </w:r>
            <w:r w:rsidRPr="00DA4F57">
              <w:rPr>
                <w:color w:val="000000"/>
                <w:sz w:val="20"/>
                <w:szCs w:val="20"/>
                <w:vertAlign w:val="subscript"/>
                <w:lang w:val="en-US"/>
              </w:rPr>
              <w:t>min</w:t>
            </w:r>
          </w:p>
        </w:tc>
        <w:tc>
          <w:tcPr>
            <w:tcW w:w="5516" w:type="dxa"/>
            <w:gridSpan w:val="5"/>
            <w:tcBorders>
              <w:top w:val="nil"/>
              <w:left w:val="nil"/>
              <w:bottom w:val="nil"/>
              <w:right w:val="nil"/>
            </w:tcBorders>
          </w:tcPr>
          <w:p w:rsidR="007C665C" w:rsidRPr="00DA4F57" w:rsidRDefault="007C665C" w:rsidP="00AC6C70">
            <w:pPr>
              <w:jc w:val="center"/>
              <w:rPr>
                <w:sz w:val="20"/>
                <w:szCs w:val="20"/>
                <w:lang w:val="en-US"/>
              </w:rPr>
            </w:pPr>
            <w:r>
              <w:rPr>
                <w:sz w:val="20"/>
                <w:szCs w:val="20"/>
                <w:lang w:val="en-US"/>
              </w:rPr>
              <w:t>17.4</w:t>
            </w:r>
          </w:p>
        </w:tc>
      </w:tr>
      <w:tr w:rsidR="007C665C" w:rsidRPr="00DA4F57" w:rsidTr="00AC6C70">
        <w:trPr>
          <w:trHeight w:val="236"/>
        </w:trPr>
        <w:tc>
          <w:tcPr>
            <w:tcW w:w="4079" w:type="dxa"/>
            <w:gridSpan w:val="2"/>
            <w:tcBorders>
              <w:top w:val="nil"/>
              <w:left w:val="nil"/>
              <w:bottom w:val="single" w:sz="4" w:space="0" w:color="auto"/>
              <w:right w:val="nil"/>
            </w:tcBorders>
          </w:tcPr>
          <w:p w:rsidR="007C665C" w:rsidRPr="00DA4F57" w:rsidRDefault="007C665C" w:rsidP="00AC6C70">
            <w:pPr>
              <w:jc w:val="center"/>
              <w:rPr>
                <w:sz w:val="20"/>
                <w:lang w:val="en-US"/>
              </w:rPr>
            </w:pPr>
            <w:r w:rsidRPr="00DA4F57">
              <w:rPr>
                <w:sz w:val="18"/>
                <w:szCs w:val="18"/>
                <w:lang w:val="en-US"/>
              </w:rPr>
              <w:t>All references</w:t>
            </w:r>
          </w:p>
        </w:tc>
        <w:tc>
          <w:tcPr>
            <w:tcW w:w="5516" w:type="dxa"/>
            <w:gridSpan w:val="5"/>
            <w:tcBorders>
              <w:top w:val="nil"/>
              <w:left w:val="nil"/>
              <w:bottom w:val="single" w:sz="4" w:space="0" w:color="auto"/>
              <w:right w:val="nil"/>
            </w:tcBorders>
          </w:tcPr>
          <w:p w:rsidR="007C665C" w:rsidRPr="00DA4F57" w:rsidRDefault="007C665C" w:rsidP="00AC6C70">
            <w:pPr>
              <w:jc w:val="center"/>
              <w:rPr>
                <w:sz w:val="20"/>
                <w:szCs w:val="20"/>
                <w:lang w:val="en-US"/>
              </w:rPr>
            </w:pPr>
            <w:r>
              <w:rPr>
                <w:sz w:val="20"/>
                <w:szCs w:val="20"/>
                <w:lang w:val="en-US"/>
              </w:rPr>
              <w:t>14</w:t>
            </w:r>
          </w:p>
        </w:tc>
      </w:tr>
    </w:tbl>
    <w:p w:rsidR="003648FB" w:rsidRDefault="007C665C" w:rsidP="007C665C">
      <w:pPr>
        <w:rPr>
          <w:sz w:val="20"/>
          <w:szCs w:val="20"/>
          <w:lang w:val="en-US"/>
        </w:rPr>
      </w:pPr>
      <w:r w:rsidRPr="00975152">
        <w:rPr>
          <w:sz w:val="20"/>
          <w:szCs w:val="20"/>
          <w:lang w:val="en-US"/>
        </w:rPr>
        <w:t xml:space="preserve">M – arithmetic mean, SD – standard deviation of mean, </w:t>
      </w:r>
    </w:p>
    <w:p w:rsidR="003648FB" w:rsidRDefault="003648FB" w:rsidP="003648FB">
      <w:pPr>
        <w:rPr>
          <w:sz w:val="20"/>
          <w:szCs w:val="20"/>
          <w:lang w:val="en-US"/>
        </w:rPr>
      </w:pPr>
      <w:r w:rsidRPr="00975152">
        <w:rPr>
          <w:sz w:val="20"/>
          <w:szCs w:val="20"/>
          <w:lang w:val="en-US"/>
        </w:rPr>
        <w:t xml:space="preserve">NAA – neutron activation analysis, </w:t>
      </w:r>
      <w:r>
        <w:rPr>
          <w:sz w:val="20"/>
          <w:szCs w:val="20"/>
          <w:lang w:val="en-US"/>
        </w:rPr>
        <w:t xml:space="preserve">Chem – chemical method, </w:t>
      </w:r>
      <w:r>
        <w:rPr>
          <w:sz w:val="20"/>
          <w:lang w:val="en-US"/>
        </w:rPr>
        <w:t>PIXE</w:t>
      </w:r>
      <w:r w:rsidRPr="00975152">
        <w:rPr>
          <w:sz w:val="20"/>
          <w:szCs w:val="20"/>
          <w:lang w:val="en-US"/>
        </w:rPr>
        <w:t xml:space="preserve"> </w:t>
      </w:r>
      <w:r>
        <w:rPr>
          <w:sz w:val="20"/>
          <w:szCs w:val="20"/>
          <w:lang w:val="en-US"/>
        </w:rPr>
        <w:t>– proton induced X-ray fluorescent emission, EDXRF</w:t>
      </w:r>
      <w:r w:rsidRPr="00975152">
        <w:rPr>
          <w:sz w:val="20"/>
          <w:szCs w:val="20"/>
          <w:lang w:val="en-US"/>
        </w:rPr>
        <w:t xml:space="preserve"> </w:t>
      </w:r>
      <w:r>
        <w:rPr>
          <w:sz w:val="20"/>
          <w:szCs w:val="20"/>
          <w:lang w:val="en-US"/>
        </w:rPr>
        <w:t xml:space="preserve">– energy dispersive X-ray fluorescent analysis, </w:t>
      </w:r>
      <w:r w:rsidRPr="00975152">
        <w:rPr>
          <w:sz w:val="20"/>
          <w:szCs w:val="20"/>
          <w:lang w:val="en-US"/>
        </w:rPr>
        <w:t xml:space="preserve">ICPAES – inductively coupled plasma atomic emission spectrometry, </w:t>
      </w:r>
    </w:p>
    <w:p w:rsidR="007C665C" w:rsidRDefault="007C665C" w:rsidP="007C665C">
      <w:pPr>
        <w:spacing w:after="200" w:line="276" w:lineRule="auto"/>
        <w:rPr>
          <w:color w:val="000000"/>
          <w:sz w:val="20"/>
          <w:szCs w:val="20"/>
          <w:lang w:val="en-US"/>
        </w:rPr>
      </w:pPr>
      <w:r w:rsidRPr="00975152">
        <w:rPr>
          <w:color w:val="000000"/>
          <w:sz w:val="20"/>
          <w:szCs w:val="20"/>
          <w:lang w:val="en-US"/>
        </w:rPr>
        <w:t>AD – acid digestion</w:t>
      </w:r>
      <w:r>
        <w:rPr>
          <w:color w:val="000000"/>
          <w:sz w:val="20"/>
          <w:szCs w:val="20"/>
          <w:lang w:val="en-US"/>
        </w:rPr>
        <w:t>, D – drying at high temperature</w:t>
      </w:r>
      <w:r w:rsidRPr="00975152">
        <w:rPr>
          <w:color w:val="000000"/>
          <w:sz w:val="20"/>
          <w:szCs w:val="20"/>
          <w:lang w:val="en-US"/>
        </w:rPr>
        <w:t xml:space="preserve"> </w:t>
      </w:r>
    </w:p>
    <w:p w:rsidR="00CE39EF" w:rsidRDefault="007A5470" w:rsidP="000269A4">
      <w:pPr>
        <w:jc w:val="both"/>
        <w:rPr>
          <w:lang w:val="en-US"/>
        </w:rPr>
      </w:pPr>
      <w:r>
        <w:rPr>
          <w:lang w:val="en-US"/>
        </w:rPr>
        <w:t>Mean v</w:t>
      </w:r>
      <w:r w:rsidRPr="009A5CA0">
        <w:rPr>
          <w:lang w:val="en-US"/>
        </w:rPr>
        <w:t xml:space="preserve">alues obtained for </w:t>
      </w:r>
      <w:r>
        <w:rPr>
          <w:lang w:val="en-US"/>
        </w:rPr>
        <w:t>I</w:t>
      </w:r>
      <w:r w:rsidRPr="009A5CA0">
        <w:rPr>
          <w:lang w:val="en-US"/>
        </w:rPr>
        <w:t xml:space="preserve"> contents in </w:t>
      </w:r>
      <w:r w:rsidR="00757E74">
        <w:rPr>
          <w:lang w:val="en-US"/>
        </w:rPr>
        <w:t xml:space="preserve">NT, </w:t>
      </w:r>
      <w:r>
        <w:rPr>
          <w:lang w:val="en-US"/>
        </w:rPr>
        <w:t>TBN</w:t>
      </w:r>
      <w:r w:rsidR="00757E74">
        <w:rPr>
          <w:lang w:val="en-US"/>
        </w:rPr>
        <w:t>,</w:t>
      </w:r>
      <w:r>
        <w:rPr>
          <w:lang w:val="en-US"/>
        </w:rPr>
        <w:t xml:space="preserve"> and TMN </w:t>
      </w:r>
      <w:r w:rsidRPr="009A5CA0">
        <w:rPr>
          <w:lang w:val="en-US"/>
        </w:rPr>
        <w:t xml:space="preserve">agree well with median of mean values </w:t>
      </w:r>
      <w:r w:rsidR="00757E74">
        <w:rPr>
          <w:lang w:val="en-US"/>
        </w:rPr>
        <w:t xml:space="preserve">published in scientific literature for </w:t>
      </w:r>
      <w:commentRangeStart w:id="82"/>
      <w:r w:rsidR="00757E74">
        <w:rPr>
          <w:lang w:val="en-US"/>
        </w:rPr>
        <w:t>period</w:t>
      </w:r>
      <w:commentRangeEnd w:id="82"/>
      <w:r w:rsidR="00CE39EF">
        <w:rPr>
          <w:rStyle w:val="CommentReference"/>
        </w:rPr>
        <w:commentReference w:id="82"/>
      </w:r>
      <w:r w:rsidR="00757E74">
        <w:rPr>
          <w:lang w:val="en-US"/>
        </w:rPr>
        <w:t xml:space="preserve"> from 1990 up to 2022 </w:t>
      </w:r>
      <w:commentRangeStart w:id="83"/>
      <w:r w:rsidR="00757E74">
        <w:rPr>
          <w:lang w:val="en-US"/>
        </w:rPr>
        <w:t>year</w:t>
      </w:r>
      <w:commentRangeEnd w:id="83"/>
      <w:r w:rsidR="000922D2">
        <w:rPr>
          <w:rStyle w:val="CommentReference"/>
        </w:rPr>
        <w:commentReference w:id="83"/>
      </w:r>
      <w:r w:rsidRPr="009A5CA0">
        <w:rPr>
          <w:lang w:val="en-US"/>
        </w:rPr>
        <w:t xml:space="preserve"> </w:t>
      </w:r>
      <w:r w:rsidR="00757E74">
        <w:rPr>
          <w:lang w:val="en-US"/>
        </w:rPr>
        <w:t xml:space="preserve">(Table 4, 5, and 6, </w:t>
      </w:r>
      <w:commentRangeStart w:id="84"/>
      <w:r w:rsidR="00757E74">
        <w:rPr>
          <w:lang w:val="en-US"/>
        </w:rPr>
        <w:t>respectively</w:t>
      </w:r>
      <w:commentRangeEnd w:id="84"/>
      <w:r w:rsidR="000922D2">
        <w:rPr>
          <w:rStyle w:val="CommentReference"/>
        </w:rPr>
        <w:commentReference w:id="84"/>
      </w:r>
      <w:r w:rsidR="00757E74" w:rsidRPr="009A5CA0">
        <w:rPr>
          <w:lang w:val="en-US"/>
        </w:rPr>
        <w:t>)</w:t>
      </w:r>
      <w:r w:rsidRPr="009A5CA0">
        <w:rPr>
          <w:lang w:val="en-US"/>
        </w:rPr>
        <w:t xml:space="preserve">. </w:t>
      </w:r>
    </w:p>
    <w:p w:rsidR="00497DAB" w:rsidRDefault="00497DAB" w:rsidP="0073315D">
      <w:pPr>
        <w:jc w:val="both"/>
        <w:rPr>
          <w:lang w:val="en-US"/>
        </w:rPr>
      </w:pPr>
      <w:commentRangeStart w:id="85"/>
      <w:r w:rsidRPr="00577E42">
        <w:rPr>
          <w:lang w:val="en-US"/>
        </w:rPr>
        <w:t xml:space="preserve">The range of means of </w:t>
      </w:r>
      <w:r>
        <w:rPr>
          <w:lang w:val="en-US"/>
        </w:rPr>
        <w:t>I</w:t>
      </w:r>
      <w:r w:rsidRPr="00577E42">
        <w:rPr>
          <w:lang w:val="en-US"/>
        </w:rPr>
        <w:t xml:space="preserve"> </w:t>
      </w:r>
      <w:r w:rsidRPr="00577E42">
        <w:rPr>
          <w:color w:val="131413"/>
          <w:lang w:val="en-US"/>
        </w:rPr>
        <w:t xml:space="preserve">level </w:t>
      </w:r>
      <w:r w:rsidRPr="00577E42">
        <w:rPr>
          <w:lang w:val="en-US"/>
        </w:rPr>
        <w:t xml:space="preserve">reported in the literature for </w:t>
      </w:r>
      <w:r w:rsidR="00757E74">
        <w:rPr>
          <w:lang w:val="en-US"/>
        </w:rPr>
        <w:t xml:space="preserve">NT, TBN, and TMN </w:t>
      </w:r>
      <w:r w:rsidRPr="00577E42">
        <w:rPr>
          <w:lang w:val="en-US"/>
        </w:rPr>
        <w:t>vary widely (Table</w:t>
      </w:r>
      <w:r w:rsidR="00757E74">
        <w:rPr>
          <w:lang w:val="en-US"/>
        </w:rPr>
        <w:t>s 4-6</w:t>
      </w:r>
      <w:r w:rsidRPr="00577E42">
        <w:rPr>
          <w:lang w:val="en-US"/>
        </w:rPr>
        <w:t xml:space="preserve">). </w:t>
      </w:r>
      <w:r w:rsidRPr="00577E42">
        <w:rPr>
          <w:bCs/>
          <w:lang w:val="en-US"/>
        </w:rPr>
        <w:t xml:space="preserve">This can be explained by a dependence of </w:t>
      </w:r>
      <w:r w:rsidR="00757E74">
        <w:rPr>
          <w:bCs/>
          <w:lang w:val="en-US"/>
        </w:rPr>
        <w:t>I</w:t>
      </w:r>
      <w:r w:rsidRPr="00577E42">
        <w:rPr>
          <w:bCs/>
          <w:lang w:val="en-US"/>
        </w:rPr>
        <w:t xml:space="preserve"> content on many factors, including</w:t>
      </w:r>
      <w:r>
        <w:rPr>
          <w:bCs/>
          <w:lang w:val="en-US"/>
        </w:rPr>
        <w:t xml:space="preserve"> </w:t>
      </w:r>
      <w:r w:rsidRPr="00577E42">
        <w:rPr>
          <w:bCs/>
          <w:lang w:val="en-US"/>
        </w:rPr>
        <w:t xml:space="preserve">age, gender, ethnicity, mass of the </w:t>
      </w:r>
      <w:r>
        <w:rPr>
          <w:bCs/>
          <w:lang w:val="en-US"/>
        </w:rPr>
        <w:t>TNs</w:t>
      </w:r>
      <w:r w:rsidRPr="00577E42">
        <w:rPr>
          <w:bCs/>
          <w:lang w:val="en-US"/>
        </w:rPr>
        <w:t>, and the stage</w:t>
      </w:r>
      <w:r>
        <w:rPr>
          <w:bCs/>
          <w:lang w:val="en-US"/>
        </w:rPr>
        <w:t xml:space="preserve"> of diseases</w:t>
      </w:r>
      <w:r w:rsidRPr="00577E42">
        <w:rPr>
          <w:bCs/>
          <w:lang w:val="en-US"/>
        </w:rPr>
        <w:t xml:space="preserve">. Not all these factors were strictly controlled in cited studies. </w:t>
      </w:r>
      <w:r w:rsidRPr="000B6C1A">
        <w:rPr>
          <w:rFonts w:eastAsiaTheme="minorHAnsi"/>
          <w:color w:val="000000"/>
          <w:lang w:val="en-US" w:eastAsia="en-US"/>
        </w:rPr>
        <w:t>However, in our opinion, the leading causes of inter-observer variability</w:t>
      </w:r>
      <w:r w:rsidRPr="000B6C1A">
        <w:rPr>
          <w:bCs/>
          <w:lang w:val="en-US"/>
        </w:rPr>
        <w:t xml:space="preserve"> </w:t>
      </w:r>
      <w:r w:rsidRPr="000B6C1A">
        <w:rPr>
          <w:lang w:val="en-US"/>
        </w:rPr>
        <w:t>c</w:t>
      </w:r>
      <w:r w:rsidRPr="00DA1419">
        <w:rPr>
          <w:lang w:val="en-US"/>
        </w:rPr>
        <w:t>an</w:t>
      </w:r>
      <w:r w:rsidRPr="00803496">
        <w:rPr>
          <w:lang w:val="en-US"/>
        </w:rPr>
        <w:t xml:space="preserve"> be attributed to the accuracy of the analytical techniques, sample preparation methods, and inability of taking uniform samples from the affected tissues</w:t>
      </w:r>
      <w:r>
        <w:rPr>
          <w:lang w:val="en-US"/>
        </w:rPr>
        <w:t>.</w:t>
      </w:r>
      <w:commentRangeEnd w:id="85"/>
      <w:r w:rsidR="0073315D">
        <w:rPr>
          <w:rStyle w:val="CommentReference"/>
        </w:rPr>
        <w:commentReference w:id="85"/>
      </w:r>
      <w:r w:rsidR="0073315D">
        <w:rPr>
          <w:lang w:val="en-US"/>
        </w:rPr>
        <w:t xml:space="preserve"> </w:t>
      </w:r>
      <w:r>
        <w:rPr>
          <w:bCs/>
          <w:lang w:val="en-US"/>
        </w:rPr>
        <w:t xml:space="preserve"> It was </w:t>
      </w:r>
      <w:r w:rsidRPr="00AF6343">
        <w:rPr>
          <w:lang w:val="en-US"/>
        </w:rPr>
        <w:t>insufficient</w:t>
      </w:r>
      <w:r>
        <w:rPr>
          <w:lang w:val="en-US"/>
        </w:rPr>
        <w:t xml:space="preserve"> </w:t>
      </w:r>
      <w:r w:rsidRPr="00671BE1">
        <w:rPr>
          <w:lang w:val="en-US"/>
        </w:rPr>
        <w:t>quality control</w:t>
      </w:r>
      <w:r>
        <w:rPr>
          <w:lang w:val="en-US"/>
        </w:rPr>
        <w:t xml:space="preserve"> of results in these studies. </w:t>
      </w:r>
      <w:r w:rsidRPr="000B6C1A">
        <w:rPr>
          <w:rFonts w:eastAsiaTheme="minorHAnsi"/>
          <w:color w:val="000000"/>
          <w:lang w:val="en-US" w:eastAsia="en-US"/>
        </w:rPr>
        <w:t xml:space="preserve">In many scientific reports, tissue samples were </w:t>
      </w:r>
      <w:r w:rsidRPr="000B6C1A">
        <w:rPr>
          <w:lang w:val="en-US"/>
        </w:rPr>
        <w:t>ashed or</w:t>
      </w:r>
      <w:r>
        <w:rPr>
          <w:lang w:val="en-US"/>
        </w:rPr>
        <w:t xml:space="preserve"> </w:t>
      </w:r>
      <w:r w:rsidRPr="00394E70">
        <w:rPr>
          <w:bCs/>
          <w:lang w:val="en-US"/>
        </w:rPr>
        <w:t>dried at high temperature for many hours</w:t>
      </w:r>
      <w:r w:rsidRPr="00394E70">
        <w:rPr>
          <w:lang w:val="en-US"/>
        </w:rPr>
        <w:t xml:space="preserve">. In other </w:t>
      </w:r>
      <w:r w:rsidRPr="00394E70">
        <w:rPr>
          <w:bCs/>
          <w:lang w:val="en-US"/>
        </w:rPr>
        <w:t xml:space="preserve">cases, </w:t>
      </w:r>
      <w:r>
        <w:rPr>
          <w:bCs/>
          <w:lang w:val="en-US"/>
        </w:rPr>
        <w:t>thyroid</w:t>
      </w:r>
      <w:r w:rsidRPr="00394E70">
        <w:rPr>
          <w:bCs/>
          <w:lang w:val="en-US"/>
        </w:rPr>
        <w:t xml:space="preserve"> samples </w:t>
      </w:r>
      <w:r>
        <w:rPr>
          <w:bCs/>
          <w:lang w:val="en-US"/>
        </w:rPr>
        <w:t>were</w:t>
      </w:r>
      <w:r w:rsidRPr="00394E70">
        <w:rPr>
          <w:bCs/>
          <w:lang w:val="en-US"/>
        </w:rPr>
        <w:t xml:space="preserve"> treated with solvents (distilled water, ethanol</w:t>
      </w:r>
      <w:r>
        <w:rPr>
          <w:bCs/>
          <w:lang w:val="en-US"/>
        </w:rPr>
        <w:t>, formalin etc</w:t>
      </w:r>
      <w:r w:rsidRPr="000B6C1A">
        <w:rPr>
          <w:bCs/>
          <w:lang w:val="en-US"/>
        </w:rPr>
        <w:t>)</w:t>
      </w:r>
      <w:r w:rsidRPr="000B6C1A">
        <w:rPr>
          <w:lang w:val="en-US"/>
        </w:rPr>
        <w:t xml:space="preserve">. There is evidence that during ashing, drying and digestion </w:t>
      </w:r>
      <w:r w:rsidRPr="000B6C1A">
        <w:rPr>
          <w:bCs/>
          <w:lang w:val="en-US"/>
        </w:rPr>
        <w:t>at high temperature</w:t>
      </w:r>
      <w:r w:rsidRPr="000B6C1A">
        <w:rPr>
          <w:lang w:val="en-US"/>
        </w:rPr>
        <w:t xml:space="preserve"> some quantities of </w:t>
      </w:r>
      <w:r w:rsidR="00975098">
        <w:rPr>
          <w:lang w:val="en-US"/>
        </w:rPr>
        <w:t>I</w:t>
      </w:r>
      <w:r w:rsidRPr="000B6C1A">
        <w:rPr>
          <w:lang w:val="en-US"/>
        </w:rPr>
        <w:t xml:space="preserve"> are lost as a result of this treatment</w:t>
      </w:r>
      <w:r>
        <w:rPr>
          <w:lang w:val="en-US"/>
        </w:rPr>
        <w:t xml:space="preserve"> [</w:t>
      </w:r>
      <w:commentRangeStart w:id="86"/>
      <w:r w:rsidR="00975098">
        <w:rPr>
          <w:lang w:val="en-US"/>
        </w:rPr>
        <w:t>89-91</w:t>
      </w:r>
      <w:commentRangeEnd w:id="86"/>
      <w:r w:rsidR="0073315D">
        <w:rPr>
          <w:rStyle w:val="CommentReference"/>
        </w:rPr>
        <w:commentReference w:id="86"/>
      </w:r>
      <w:r>
        <w:rPr>
          <w:lang w:val="en-US"/>
        </w:rPr>
        <w:t>].</w:t>
      </w:r>
      <w:r w:rsidR="000269A4">
        <w:rPr>
          <w:lang w:val="en-US"/>
        </w:rPr>
        <w:t xml:space="preserve"> </w:t>
      </w:r>
    </w:p>
    <w:p w:rsidR="0040592A" w:rsidRPr="007F213A" w:rsidRDefault="0040592A" w:rsidP="00D33086">
      <w:pPr>
        <w:jc w:val="both"/>
        <w:rPr>
          <w:lang w:val="en-US"/>
        </w:rPr>
      </w:pPr>
      <w:commentRangeStart w:id="87"/>
      <w:r>
        <w:rPr>
          <w:lang w:val="en-US"/>
        </w:rPr>
        <w:t xml:space="preserve">It is well known that </w:t>
      </w:r>
      <w:r>
        <w:rPr>
          <w:color w:val="000000"/>
          <w:lang w:val="en-US"/>
        </w:rPr>
        <w:t>c</w:t>
      </w:r>
      <w:r w:rsidRPr="00CF02D3">
        <w:rPr>
          <w:color w:val="000000"/>
          <w:lang w:val="en-US"/>
        </w:rPr>
        <w:t xml:space="preserve">ompared to other soft tissues, the human thyroid gland has </w:t>
      </w:r>
      <w:r>
        <w:rPr>
          <w:color w:val="000000"/>
          <w:lang w:val="en-US"/>
        </w:rPr>
        <w:t xml:space="preserve">significantly </w:t>
      </w:r>
      <w:r w:rsidRPr="00CF02D3">
        <w:rPr>
          <w:color w:val="000000"/>
          <w:lang w:val="en-US"/>
        </w:rPr>
        <w:t>higher levels of I, because this element plays an important role in its normal functions, through</w:t>
      </w:r>
      <w:r w:rsidRPr="00CF02D3">
        <w:rPr>
          <w:rFonts w:eastAsia="MinionPro-Regular"/>
          <w:lang w:val="en-US"/>
        </w:rPr>
        <w:t xml:space="preserve"> the production of thyroid hormones (thyroxin and triiodothyronine) which are essential for cellular oxidation, growth, reproduction, and the activity of the central and autonomic nervous system. </w:t>
      </w:r>
      <w:r>
        <w:rPr>
          <w:rFonts w:eastAsia="MinionPro-Regular"/>
          <w:lang w:val="en-US"/>
        </w:rPr>
        <w:t xml:space="preserve">As was shown in present study, </w:t>
      </w:r>
      <w:r>
        <w:rPr>
          <w:lang w:val="en-US"/>
        </w:rPr>
        <w:t xml:space="preserve">malignant </w:t>
      </w:r>
      <w:r w:rsidRPr="00CF02D3">
        <w:rPr>
          <w:lang w:val="en-US"/>
        </w:rPr>
        <w:t xml:space="preserve">transformation is accompanied by a </w:t>
      </w:r>
      <w:r>
        <w:rPr>
          <w:lang w:val="en-US"/>
        </w:rPr>
        <w:t>significant</w:t>
      </w:r>
      <w:r w:rsidRPr="00CF02D3">
        <w:rPr>
          <w:lang w:val="en-US"/>
        </w:rPr>
        <w:t xml:space="preserve"> loss of tissue-specific functional features, which leads to a </w:t>
      </w:r>
      <w:r>
        <w:rPr>
          <w:lang w:val="en-US"/>
        </w:rPr>
        <w:t>drastically</w:t>
      </w:r>
      <w:r w:rsidRPr="00CF02D3">
        <w:rPr>
          <w:lang w:val="en-US"/>
        </w:rPr>
        <w:t xml:space="preserve"> reduction in I content associated with functional characteristics of the human thyroid tissue.</w:t>
      </w:r>
      <w:r w:rsidR="00D33086">
        <w:rPr>
          <w:lang w:val="en-US"/>
        </w:rPr>
        <w:t xml:space="preserve"> However, i</w:t>
      </w:r>
      <w:r w:rsidRPr="008D36E0">
        <w:rPr>
          <w:lang w:val="en-US"/>
        </w:rPr>
        <w:t>t is necessary to keep in mind that biochemical, or in other words</w:t>
      </w:r>
      <w:r w:rsidR="00D33086">
        <w:rPr>
          <w:lang w:val="en-US"/>
        </w:rPr>
        <w:t>, functional</w:t>
      </w:r>
      <w:r w:rsidRPr="008D36E0">
        <w:rPr>
          <w:lang w:val="en-US"/>
        </w:rPr>
        <w:t xml:space="preserve"> changes in </w:t>
      </w:r>
      <w:r w:rsidR="004307FA">
        <w:rPr>
          <w:lang w:val="en-US"/>
        </w:rPr>
        <w:t>thyroid</w:t>
      </w:r>
      <w:r w:rsidR="004307FA" w:rsidRPr="008D36E0">
        <w:rPr>
          <w:lang w:val="en-US"/>
        </w:rPr>
        <w:t xml:space="preserve"> </w:t>
      </w:r>
      <w:r w:rsidRPr="008D36E0">
        <w:rPr>
          <w:lang w:val="en-US"/>
        </w:rPr>
        <w:t xml:space="preserve">cells are present from the earliest development of malignancy, which precedes any histopathological indication of malignancy, and these biochemical changes persist during progression of the malignancy and remain present in advanced </w:t>
      </w:r>
      <w:r w:rsidR="00D33086">
        <w:rPr>
          <w:lang w:val="en-US"/>
        </w:rPr>
        <w:t>thyroid</w:t>
      </w:r>
      <w:r w:rsidRPr="008D36E0">
        <w:rPr>
          <w:lang w:val="en-US"/>
        </w:rPr>
        <w:t xml:space="preserve"> cancer. </w:t>
      </w:r>
      <w:r w:rsidRPr="008D36E0">
        <w:rPr>
          <w:bCs/>
          <w:lang w:val="en-US"/>
        </w:rPr>
        <w:t xml:space="preserve">Thus, </w:t>
      </w:r>
      <w:r w:rsidR="00D33086">
        <w:rPr>
          <w:lang w:val="en-US"/>
        </w:rPr>
        <w:t>I</w:t>
      </w:r>
      <w:r w:rsidRPr="008D36E0">
        <w:rPr>
          <w:lang w:val="en-US"/>
        </w:rPr>
        <w:t xml:space="preserve"> depletion is an early step in the </w:t>
      </w:r>
      <w:r w:rsidR="00D33086">
        <w:rPr>
          <w:lang w:val="en-US"/>
        </w:rPr>
        <w:t>malignant</w:t>
      </w:r>
      <w:r w:rsidRPr="008D36E0">
        <w:rPr>
          <w:lang w:val="en-US"/>
        </w:rPr>
        <w:t xml:space="preserve"> proliferation process and </w:t>
      </w:r>
      <w:r w:rsidR="00D33086">
        <w:rPr>
          <w:lang w:val="en-US"/>
        </w:rPr>
        <w:t>I</w:t>
      </w:r>
      <w:r w:rsidRPr="008D36E0">
        <w:rPr>
          <w:lang w:val="en-US"/>
        </w:rPr>
        <w:t xml:space="preserve"> depletion in </w:t>
      </w:r>
      <w:r w:rsidR="00D33086">
        <w:rPr>
          <w:lang w:val="en-US"/>
        </w:rPr>
        <w:t>nodular tissue</w:t>
      </w:r>
      <w:r w:rsidRPr="008D36E0">
        <w:rPr>
          <w:lang w:val="en-US"/>
        </w:rPr>
        <w:t xml:space="preserve"> precedes the morphological transformation of cells from being histopathologically </w:t>
      </w:r>
      <w:r w:rsidR="00D33086">
        <w:rPr>
          <w:lang w:val="en-US"/>
        </w:rPr>
        <w:t>benign</w:t>
      </w:r>
      <w:r w:rsidRPr="008D36E0">
        <w:rPr>
          <w:lang w:val="en-US"/>
        </w:rPr>
        <w:t xml:space="preserve"> to </w:t>
      </w:r>
      <w:r w:rsidR="00D33086">
        <w:rPr>
          <w:lang w:val="en-US"/>
        </w:rPr>
        <w:t>malignant</w:t>
      </w:r>
      <w:commentRangeEnd w:id="87"/>
      <w:r w:rsidR="00BA548B">
        <w:rPr>
          <w:rStyle w:val="CommentReference"/>
        </w:rPr>
        <w:commentReference w:id="87"/>
      </w:r>
      <w:r w:rsidRPr="008D36E0">
        <w:rPr>
          <w:lang w:val="en-US"/>
        </w:rPr>
        <w:t>.</w:t>
      </w:r>
      <w:r w:rsidRPr="007F213A">
        <w:rPr>
          <w:lang w:val="en-US"/>
        </w:rPr>
        <w:t xml:space="preserve"> </w:t>
      </w:r>
      <w:r w:rsidR="0016172A">
        <w:rPr>
          <w:rStyle w:val="CommentReference"/>
        </w:rPr>
        <w:commentReference w:id="88"/>
      </w:r>
    </w:p>
    <w:p w:rsidR="00500604" w:rsidRPr="00500604" w:rsidRDefault="0040592A" w:rsidP="00500604">
      <w:pPr>
        <w:pStyle w:val="NoSpacing"/>
        <w:jc w:val="both"/>
        <w:rPr>
          <w:rFonts w:ascii="Times New Roman" w:hAnsi="Times New Roman"/>
          <w:sz w:val="24"/>
          <w:szCs w:val="24"/>
          <w:lang w:val="en-US"/>
        </w:rPr>
      </w:pPr>
      <w:r w:rsidRPr="00F6448F">
        <w:rPr>
          <w:rFonts w:ascii="Times New Roman" w:hAnsi="Times New Roman"/>
          <w:sz w:val="24"/>
          <w:szCs w:val="24"/>
          <w:lang w:val="en-US"/>
        </w:rPr>
        <w:t xml:space="preserve">In our </w:t>
      </w:r>
      <w:commentRangeStart w:id="89"/>
      <w:r w:rsidRPr="00F6448F">
        <w:rPr>
          <w:rFonts w:ascii="Times New Roman" w:hAnsi="Times New Roman"/>
          <w:sz w:val="24"/>
          <w:szCs w:val="24"/>
          <w:lang w:val="en-US"/>
        </w:rPr>
        <w:t xml:space="preserve">study the portable device </w:t>
      </w:r>
      <w:r w:rsidR="00D33086">
        <w:rPr>
          <w:rFonts w:ascii="Times New Roman" w:hAnsi="Times New Roman"/>
          <w:sz w:val="24"/>
          <w:szCs w:val="24"/>
          <w:lang w:val="en-US"/>
        </w:rPr>
        <w:t>was</w:t>
      </w:r>
      <w:r w:rsidRPr="00F6448F">
        <w:rPr>
          <w:rFonts w:ascii="Times New Roman" w:hAnsi="Times New Roman"/>
          <w:sz w:val="24"/>
          <w:szCs w:val="24"/>
          <w:lang w:val="en-US"/>
        </w:rPr>
        <w:t xml:space="preserve"> used for EDXRF analysis, with its </w:t>
      </w:r>
      <w:r w:rsidR="00D33086">
        <w:rPr>
          <w:rFonts w:ascii="Times New Roman" w:hAnsi="Times New Roman"/>
          <w:sz w:val="24"/>
          <w:szCs w:val="24"/>
          <w:u w:val="thick" w:color="FDE994"/>
          <w:vertAlign w:val="superscript"/>
          <w:lang w:val="en-US"/>
        </w:rPr>
        <w:t>241</w:t>
      </w:r>
      <w:r w:rsidR="00D33086">
        <w:rPr>
          <w:rFonts w:ascii="Times New Roman" w:hAnsi="Times New Roman"/>
          <w:sz w:val="24"/>
          <w:szCs w:val="24"/>
          <w:u w:val="thick" w:color="FDE994"/>
          <w:lang w:val="en-US"/>
        </w:rPr>
        <w:t>Am</w:t>
      </w:r>
      <w:r w:rsidRPr="00F6448F">
        <w:rPr>
          <w:rFonts w:ascii="Times New Roman" w:hAnsi="Times New Roman"/>
          <w:sz w:val="24"/>
          <w:szCs w:val="24"/>
          <w:u w:val="thick" w:color="FDE994"/>
          <w:lang w:val="en-US"/>
        </w:rPr>
        <w:t xml:space="preserve"> source for the excitation of X-ray fluorescence in the </w:t>
      </w:r>
      <w:r w:rsidR="00D33086">
        <w:rPr>
          <w:rFonts w:ascii="Times New Roman" w:hAnsi="Times New Roman"/>
          <w:sz w:val="24"/>
          <w:szCs w:val="24"/>
          <w:u w:val="thick" w:color="FDE994"/>
          <w:lang w:val="en-US"/>
        </w:rPr>
        <w:t xml:space="preserve">needle biopsy </w:t>
      </w:r>
      <w:r w:rsidRPr="00F6448F">
        <w:rPr>
          <w:rFonts w:ascii="Times New Roman" w:hAnsi="Times New Roman"/>
          <w:sz w:val="24"/>
          <w:szCs w:val="24"/>
          <w:u w:val="thick" w:color="FDE994"/>
          <w:lang w:val="en-US"/>
        </w:rPr>
        <w:t xml:space="preserve">sample, was developed by ourselves. More powerful </w:t>
      </w:r>
      <w:r w:rsidRPr="00F6448F">
        <w:rPr>
          <w:rFonts w:ascii="Times New Roman" w:hAnsi="Times New Roman"/>
          <w:sz w:val="24"/>
          <w:szCs w:val="24"/>
          <w:lang w:val="en-US"/>
        </w:rPr>
        <w:t xml:space="preserve">devices for EDXRF analysis with </w:t>
      </w:r>
      <w:r w:rsidRPr="00F6448F">
        <w:rPr>
          <w:rFonts w:ascii="Times New Roman" w:hAnsi="Times New Roman"/>
          <w:sz w:val="24"/>
          <w:szCs w:val="24"/>
          <w:u w:val="thick" w:color="FDE994"/>
          <w:lang w:val="en-US"/>
        </w:rPr>
        <w:t>X-ray tubes</w:t>
      </w:r>
      <w:r w:rsidRPr="00F6448F">
        <w:rPr>
          <w:rFonts w:ascii="Times New Roman" w:hAnsi="Times New Roman"/>
          <w:sz w:val="24"/>
          <w:szCs w:val="24"/>
          <w:lang w:val="en-US"/>
        </w:rPr>
        <w:t>, including “the total reflection” version</w:t>
      </w:r>
      <w:r>
        <w:rPr>
          <w:rFonts w:ascii="Times New Roman" w:hAnsi="Times New Roman"/>
          <w:sz w:val="24"/>
          <w:szCs w:val="24"/>
          <w:lang w:val="en-US"/>
        </w:rPr>
        <w:t xml:space="preserve"> (TRXRF)</w:t>
      </w:r>
      <w:r w:rsidRPr="00F6448F">
        <w:rPr>
          <w:rFonts w:ascii="Times New Roman" w:hAnsi="Times New Roman"/>
          <w:sz w:val="24"/>
          <w:szCs w:val="24"/>
          <w:lang w:val="en-US"/>
        </w:rPr>
        <w:t xml:space="preserve"> of the method, allow reliable determinations of </w:t>
      </w:r>
      <w:r w:rsidR="00721998">
        <w:rPr>
          <w:rFonts w:ascii="Times New Roman" w:hAnsi="Times New Roman"/>
          <w:sz w:val="24"/>
          <w:szCs w:val="24"/>
          <w:lang w:val="en-US"/>
        </w:rPr>
        <w:t>I</w:t>
      </w:r>
      <w:r>
        <w:rPr>
          <w:rFonts w:ascii="Times New Roman" w:hAnsi="Times New Roman"/>
          <w:sz w:val="24"/>
          <w:szCs w:val="24"/>
          <w:lang w:val="en-US"/>
        </w:rPr>
        <w:t xml:space="preserve"> and many other TE</w:t>
      </w:r>
      <w:r w:rsidR="00721998">
        <w:rPr>
          <w:rFonts w:ascii="Times New Roman" w:hAnsi="Times New Roman"/>
          <w:sz w:val="24"/>
          <w:szCs w:val="24"/>
          <w:lang w:val="en-US"/>
        </w:rPr>
        <w:t>s</w:t>
      </w:r>
      <w:r w:rsidRPr="00F6448F">
        <w:rPr>
          <w:rFonts w:ascii="Times New Roman" w:hAnsi="Times New Roman"/>
          <w:sz w:val="24"/>
          <w:szCs w:val="24"/>
          <w:lang w:val="en-US"/>
        </w:rPr>
        <w:t xml:space="preserve"> </w:t>
      </w:r>
      <w:r w:rsidR="00721998">
        <w:rPr>
          <w:rFonts w:ascii="Times New Roman" w:hAnsi="Times New Roman"/>
          <w:sz w:val="24"/>
          <w:szCs w:val="24"/>
          <w:lang w:val="en-US"/>
        </w:rPr>
        <w:t>contents</w:t>
      </w:r>
      <w:r w:rsidRPr="00F6448F">
        <w:rPr>
          <w:rFonts w:ascii="Times New Roman" w:hAnsi="Times New Roman"/>
          <w:sz w:val="24"/>
          <w:szCs w:val="24"/>
          <w:lang w:val="en-US"/>
        </w:rPr>
        <w:t xml:space="preserve"> in a </w:t>
      </w:r>
      <w:r w:rsidR="00721998">
        <w:rPr>
          <w:rFonts w:ascii="Times New Roman" w:hAnsi="Times New Roman"/>
          <w:sz w:val="24"/>
          <w:szCs w:val="24"/>
          <w:lang w:val="en-US"/>
        </w:rPr>
        <w:t xml:space="preserve">microprobe </w:t>
      </w:r>
      <w:r w:rsidRPr="00F6448F">
        <w:rPr>
          <w:rFonts w:ascii="Times New Roman" w:hAnsi="Times New Roman"/>
          <w:sz w:val="24"/>
          <w:szCs w:val="24"/>
          <w:lang w:val="en-US"/>
        </w:rPr>
        <w:t xml:space="preserve">of a human body </w:t>
      </w:r>
      <w:r w:rsidR="00721998">
        <w:rPr>
          <w:rFonts w:ascii="Times New Roman" w:hAnsi="Times New Roman"/>
          <w:sz w:val="24"/>
          <w:szCs w:val="24"/>
          <w:lang w:val="en-US"/>
        </w:rPr>
        <w:t xml:space="preserve">tissues and </w:t>
      </w:r>
      <w:r w:rsidRPr="00F6448F">
        <w:rPr>
          <w:rFonts w:ascii="Times New Roman" w:hAnsi="Times New Roman"/>
          <w:sz w:val="24"/>
          <w:szCs w:val="24"/>
          <w:lang w:val="en-US"/>
        </w:rPr>
        <w:t>fluid</w:t>
      </w:r>
      <w:r w:rsidR="00721998">
        <w:rPr>
          <w:rFonts w:ascii="Times New Roman" w:hAnsi="Times New Roman"/>
          <w:sz w:val="24"/>
          <w:szCs w:val="24"/>
          <w:lang w:val="en-US"/>
        </w:rPr>
        <w:t>s</w:t>
      </w:r>
      <w:r w:rsidRPr="00F6448F">
        <w:rPr>
          <w:rFonts w:ascii="Times New Roman" w:hAnsi="Times New Roman"/>
          <w:sz w:val="24"/>
          <w:szCs w:val="24"/>
          <w:lang w:val="en-US"/>
        </w:rPr>
        <w:t xml:space="preserve"> within </w:t>
      </w:r>
      <w:r w:rsidR="00721998">
        <w:rPr>
          <w:rFonts w:ascii="Times New Roman" w:hAnsi="Times New Roman"/>
          <w:sz w:val="24"/>
          <w:szCs w:val="24"/>
          <w:lang w:val="en-US"/>
        </w:rPr>
        <w:t>a few minutes</w:t>
      </w:r>
      <w:r w:rsidRPr="00F6448F">
        <w:rPr>
          <w:rFonts w:ascii="Times New Roman" w:hAnsi="Times New Roman"/>
          <w:sz w:val="24"/>
          <w:szCs w:val="24"/>
          <w:lang w:val="en-US"/>
        </w:rPr>
        <w:t xml:space="preserve"> [</w:t>
      </w:r>
      <w:commentRangeStart w:id="90"/>
      <w:r w:rsidR="00721998">
        <w:rPr>
          <w:rFonts w:ascii="Times New Roman" w:hAnsi="Times New Roman"/>
          <w:sz w:val="24"/>
          <w:szCs w:val="24"/>
          <w:lang w:val="en-US"/>
        </w:rPr>
        <w:t>92</w:t>
      </w:r>
      <w:r w:rsidRPr="00F6448F">
        <w:rPr>
          <w:rFonts w:ascii="Times New Roman" w:hAnsi="Times New Roman"/>
          <w:sz w:val="24"/>
          <w:szCs w:val="24"/>
          <w:lang w:val="en-US"/>
        </w:rPr>
        <w:t>]</w:t>
      </w:r>
      <w:commentRangeEnd w:id="90"/>
      <w:r w:rsidR="0016172A">
        <w:rPr>
          <w:rStyle w:val="CommentReference"/>
          <w:rFonts w:ascii="Times New Roman" w:eastAsia="Times New Roman" w:hAnsi="Times New Roman"/>
          <w:lang w:eastAsia="ru-RU"/>
        </w:rPr>
        <w:commentReference w:id="90"/>
      </w:r>
      <w:r w:rsidRPr="00F6448F">
        <w:rPr>
          <w:rFonts w:ascii="Times New Roman" w:hAnsi="Times New Roman"/>
          <w:sz w:val="24"/>
          <w:szCs w:val="24"/>
          <w:lang w:val="en-US"/>
        </w:rPr>
        <w:t xml:space="preserve">. EDXRF is a fully instrumental and non-destructive method because </w:t>
      </w:r>
      <w:r w:rsidR="00721998" w:rsidRPr="00F6448F">
        <w:rPr>
          <w:rFonts w:ascii="Times New Roman" w:hAnsi="Times New Roman"/>
          <w:sz w:val="24"/>
          <w:szCs w:val="24"/>
          <w:lang w:val="en-US"/>
        </w:rPr>
        <w:t xml:space="preserve">sample </w:t>
      </w:r>
      <w:r w:rsidRPr="00F6448F">
        <w:rPr>
          <w:rFonts w:ascii="Times New Roman" w:hAnsi="Times New Roman"/>
          <w:sz w:val="24"/>
          <w:szCs w:val="24"/>
          <w:lang w:val="en-US"/>
        </w:rPr>
        <w:t xml:space="preserve">is investigated without requiring any pretreatment or its consumption. </w:t>
      </w:r>
      <w:r w:rsidRPr="00F6448F">
        <w:rPr>
          <w:rFonts w:ascii="Times New Roman" w:hAnsi="Times New Roman"/>
          <w:bCs/>
          <w:sz w:val="24"/>
          <w:szCs w:val="24"/>
          <w:lang w:val="en-US"/>
        </w:rPr>
        <w:t xml:space="preserve">Moreover, it is well known that among the most modern </w:t>
      </w:r>
      <w:r w:rsidRPr="00F6448F">
        <w:rPr>
          <w:rFonts w:ascii="Times New Roman" w:hAnsi="Times New Roman"/>
          <w:sz w:val="24"/>
          <w:szCs w:val="24"/>
          <w:lang w:val="en-US"/>
        </w:rPr>
        <w:t xml:space="preserve">analytical technologies, EDXRF </w:t>
      </w:r>
      <w:commentRangeEnd w:id="89"/>
      <w:r w:rsidR="00BA548B">
        <w:rPr>
          <w:rStyle w:val="CommentReference"/>
          <w:rFonts w:ascii="Times New Roman" w:eastAsia="Times New Roman" w:hAnsi="Times New Roman"/>
          <w:lang w:eastAsia="ru-RU"/>
        </w:rPr>
        <w:commentReference w:id="89"/>
      </w:r>
      <w:r w:rsidRPr="00F6448F">
        <w:rPr>
          <w:rFonts w:ascii="Times New Roman" w:hAnsi="Times New Roman"/>
          <w:sz w:val="24"/>
          <w:szCs w:val="24"/>
          <w:lang w:val="en-US"/>
        </w:rPr>
        <w:t xml:space="preserve">is one of the simplest, fastest, most reliable and efficient of the available </w:t>
      </w:r>
      <w:r w:rsidRPr="00F6448F">
        <w:rPr>
          <w:rFonts w:ascii="Times New Roman" w:hAnsi="Times New Roman"/>
          <w:sz w:val="24"/>
          <w:szCs w:val="24"/>
          <w:lang w:val="en-US"/>
        </w:rPr>
        <w:lastRenderedPageBreak/>
        <w:t>techniques for TE</w:t>
      </w:r>
      <w:r w:rsidR="00721998">
        <w:rPr>
          <w:rFonts w:ascii="Times New Roman" w:hAnsi="Times New Roman"/>
          <w:sz w:val="24"/>
          <w:szCs w:val="24"/>
          <w:lang w:val="en-US"/>
        </w:rPr>
        <w:t>s</w:t>
      </w:r>
      <w:r w:rsidRPr="00F6448F">
        <w:rPr>
          <w:rFonts w:ascii="Times New Roman" w:hAnsi="Times New Roman"/>
          <w:sz w:val="24"/>
          <w:szCs w:val="24"/>
          <w:lang w:val="en-US"/>
        </w:rPr>
        <w:t xml:space="preserve"> determination [</w:t>
      </w:r>
      <w:commentRangeStart w:id="91"/>
      <w:r w:rsidR="00721998">
        <w:rPr>
          <w:rFonts w:ascii="Times New Roman" w:hAnsi="Times New Roman"/>
          <w:sz w:val="24"/>
          <w:szCs w:val="24"/>
          <w:lang w:val="en-US"/>
        </w:rPr>
        <w:t>92</w:t>
      </w:r>
      <w:r w:rsidRPr="00F6448F">
        <w:rPr>
          <w:rFonts w:ascii="Times New Roman" w:hAnsi="Times New Roman"/>
          <w:sz w:val="24"/>
          <w:szCs w:val="24"/>
          <w:lang w:val="en-US"/>
        </w:rPr>
        <w:t>]</w:t>
      </w:r>
      <w:commentRangeEnd w:id="91"/>
      <w:r w:rsidR="0016172A">
        <w:rPr>
          <w:rStyle w:val="CommentReference"/>
          <w:rFonts w:ascii="Times New Roman" w:eastAsia="Times New Roman" w:hAnsi="Times New Roman"/>
          <w:lang w:eastAsia="ru-RU"/>
        </w:rPr>
        <w:commentReference w:id="91"/>
      </w:r>
      <w:r w:rsidRPr="00F6448F">
        <w:rPr>
          <w:rFonts w:ascii="Times New Roman" w:hAnsi="Times New Roman"/>
          <w:sz w:val="24"/>
          <w:szCs w:val="24"/>
          <w:lang w:val="en-US"/>
        </w:rPr>
        <w:t xml:space="preserve">. There are many different kinds of EDXRF </w:t>
      </w:r>
      <w:r>
        <w:rPr>
          <w:rFonts w:ascii="Times New Roman" w:hAnsi="Times New Roman"/>
          <w:sz w:val="24"/>
          <w:szCs w:val="24"/>
          <w:lang w:val="en-US"/>
        </w:rPr>
        <w:t xml:space="preserve">and TRXRF </w:t>
      </w:r>
      <w:r w:rsidRPr="00F6448F">
        <w:rPr>
          <w:rFonts w:ascii="Times New Roman" w:hAnsi="Times New Roman"/>
          <w:sz w:val="24"/>
          <w:szCs w:val="24"/>
          <w:lang w:val="en-US"/>
        </w:rPr>
        <w:t>device on the market and technical improvements are frequently announced.</w:t>
      </w:r>
      <w:r w:rsidR="00500604">
        <w:rPr>
          <w:rFonts w:ascii="Times New Roman" w:hAnsi="Times New Roman"/>
          <w:sz w:val="24"/>
          <w:szCs w:val="24"/>
          <w:lang w:val="en-US"/>
        </w:rPr>
        <w:t xml:space="preserve"> Thus, i</w:t>
      </w:r>
      <w:r w:rsidR="00500604" w:rsidRPr="00524E29">
        <w:rPr>
          <w:rFonts w:ascii="Times New Roman" w:hAnsi="Times New Roman"/>
          <w:sz w:val="24"/>
          <w:szCs w:val="24"/>
          <w:lang w:val="en-US"/>
        </w:rPr>
        <w:t xml:space="preserve">n our opinion, obtaining the </w:t>
      </w:r>
      <w:r w:rsidR="00500604">
        <w:rPr>
          <w:rFonts w:ascii="Times New Roman" w:hAnsi="Times New Roman"/>
          <w:sz w:val="24"/>
          <w:szCs w:val="24"/>
          <w:lang w:val="en-US"/>
        </w:rPr>
        <w:t xml:space="preserve">I </w:t>
      </w:r>
      <w:r w:rsidR="00500604" w:rsidRPr="00524E29">
        <w:rPr>
          <w:rFonts w:ascii="Times New Roman" w:hAnsi="Times New Roman"/>
          <w:sz w:val="24"/>
          <w:szCs w:val="24"/>
          <w:lang w:val="en-US"/>
        </w:rPr>
        <w:t xml:space="preserve">level in a </w:t>
      </w:r>
      <w:r w:rsidR="00500604">
        <w:rPr>
          <w:rFonts w:ascii="Times New Roman" w:hAnsi="Times New Roman"/>
          <w:sz w:val="24"/>
          <w:szCs w:val="24"/>
          <w:lang w:val="en-US"/>
        </w:rPr>
        <w:t xml:space="preserve">needle biopsy of thyroid nodule, using EDXRF, </w:t>
      </w:r>
      <w:r w:rsidR="00500604" w:rsidRPr="00524E29">
        <w:rPr>
          <w:rFonts w:ascii="Times New Roman" w:hAnsi="Times New Roman"/>
          <w:sz w:val="24"/>
          <w:szCs w:val="24"/>
          <w:lang w:val="en-US"/>
        </w:rPr>
        <w:t xml:space="preserve">is a </w:t>
      </w:r>
      <w:r w:rsidR="00500604" w:rsidRPr="00524E29">
        <w:rPr>
          <w:rFonts w:ascii="Times New Roman" w:eastAsia="Times New Roman" w:hAnsi="Times New Roman"/>
          <w:sz w:val="24"/>
          <w:szCs w:val="24"/>
          <w:lang w:val="en-US" w:eastAsia="ru-RU"/>
        </w:rPr>
        <w:t>fast, reliable</w:t>
      </w:r>
      <w:r w:rsidR="00500604">
        <w:rPr>
          <w:rFonts w:ascii="Times New Roman" w:eastAsia="Times New Roman" w:hAnsi="Times New Roman"/>
          <w:sz w:val="24"/>
          <w:szCs w:val="24"/>
          <w:lang w:val="en-US" w:eastAsia="ru-RU"/>
        </w:rPr>
        <w:t xml:space="preserve"> and very informative</w:t>
      </w:r>
      <w:r w:rsidR="00500604" w:rsidRPr="00524E29">
        <w:rPr>
          <w:rFonts w:ascii="Times New Roman" w:eastAsia="Times New Roman" w:hAnsi="Times New Roman"/>
          <w:sz w:val="24"/>
          <w:szCs w:val="24"/>
          <w:lang w:val="en-US" w:eastAsia="ru-RU"/>
        </w:rPr>
        <w:t xml:space="preserve"> diagnostic tool that can be successfully used </w:t>
      </w:r>
      <w:r w:rsidR="00500604" w:rsidRPr="00524E29">
        <w:rPr>
          <w:rFonts w:ascii="Times New Roman" w:hAnsi="Times New Roman"/>
          <w:sz w:val="24"/>
          <w:szCs w:val="24"/>
          <w:lang w:val="en-US"/>
        </w:rPr>
        <w:t xml:space="preserve">as an additional test </w:t>
      </w:r>
      <w:r w:rsidR="00F71DEE">
        <w:rPr>
          <w:rFonts w:ascii="Times New Roman" w:hAnsi="Times New Roman"/>
          <w:sz w:val="24"/>
          <w:szCs w:val="24"/>
          <w:lang w:val="en-US"/>
        </w:rPr>
        <w:t xml:space="preserve">for diagnoses of thyroid malignancy. </w:t>
      </w:r>
    </w:p>
    <w:p w:rsidR="0040592A" w:rsidRDefault="0040592A" w:rsidP="00D421AA">
      <w:pPr>
        <w:jc w:val="both"/>
        <w:rPr>
          <w:highlight w:val="cyan"/>
          <w:lang w:val="en-US"/>
        </w:rPr>
      </w:pPr>
    </w:p>
    <w:p w:rsidR="00CE1DC1" w:rsidRDefault="00BD6734" w:rsidP="00CE1DC1">
      <w:pPr>
        <w:rPr>
          <w:lang w:val="en-US"/>
        </w:rPr>
      </w:pPr>
      <w:r w:rsidRPr="00990D8D">
        <w:rPr>
          <w:b/>
          <w:bCs/>
          <w:caps/>
          <w:lang w:val="en-US"/>
        </w:rPr>
        <w:t>Conclusion</w:t>
      </w:r>
    </w:p>
    <w:p w:rsidR="00B273B0" w:rsidRPr="00CE1DC1" w:rsidRDefault="00BD6734" w:rsidP="00CE1DC1">
      <w:pPr>
        <w:rPr>
          <w:b/>
          <w:bCs/>
          <w:caps/>
          <w:lang w:val="en-US"/>
        </w:rPr>
      </w:pPr>
      <w:commentRangeStart w:id="92"/>
      <w:r w:rsidRPr="00247C7A">
        <w:rPr>
          <w:rFonts w:asciiTheme="majorBidi" w:hAnsiTheme="majorBidi" w:cstheme="majorBidi"/>
          <w:lang w:val="en-US"/>
        </w:rPr>
        <w:t xml:space="preserve">In this work, </w:t>
      </w:r>
      <w:r w:rsidR="009D5AA4" w:rsidRPr="00247C7A">
        <w:rPr>
          <w:rFonts w:asciiTheme="majorBidi" w:hAnsiTheme="majorBidi" w:cstheme="majorBidi"/>
          <w:lang w:val="en-US"/>
        </w:rPr>
        <w:t>TEs</w:t>
      </w:r>
      <w:r w:rsidRPr="00247C7A">
        <w:rPr>
          <w:rFonts w:asciiTheme="majorBidi" w:hAnsiTheme="majorBidi" w:cstheme="majorBidi"/>
          <w:lang w:val="en-US"/>
        </w:rPr>
        <w:t xml:space="preserve"> analysis was carried out in the tissue samples of </w:t>
      </w:r>
      <w:r w:rsidR="009D5AA4" w:rsidRPr="00247C7A">
        <w:rPr>
          <w:rFonts w:asciiTheme="majorBidi" w:hAnsiTheme="majorBidi" w:cstheme="majorBidi"/>
          <w:lang w:val="en-US"/>
        </w:rPr>
        <w:t xml:space="preserve">NT and </w:t>
      </w:r>
      <w:r w:rsidR="00794B5C" w:rsidRPr="00247C7A">
        <w:rPr>
          <w:rFonts w:asciiTheme="majorBidi" w:hAnsiTheme="majorBidi" w:cstheme="majorBidi"/>
          <w:lang w:val="en-US"/>
        </w:rPr>
        <w:t>thyroid</w:t>
      </w:r>
      <w:r w:rsidRPr="00247C7A">
        <w:rPr>
          <w:rFonts w:asciiTheme="majorBidi" w:hAnsiTheme="majorBidi" w:cstheme="majorBidi"/>
          <w:lang w:val="en-US"/>
        </w:rPr>
        <w:t xml:space="preserve"> </w:t>
      </w:r>
      <w:r w:rsidR="00794B5C" w:rsidRPr="00247C7A">
        <w:rPr>
          <w:rFonts w:asciiTheme="majorBidi" w:hAnsiTheme="majorBidi" w:cstheme="majorBidi"/>
          <w:lang w:val="en-US"/>
        </w:rPr>
        <w:t xml:space="preserve">with TBN and TMN </w:t>
      </w:r>
      <w:r w:rsidRPr="00247C7A">
        <w:rPr>
          <w:rFonts w:asciiTheme="majorBidi" w:hAnsiTheme="majorBidi" w:cstheme="majorBidi"/>
          <w:lang w:val="en-US"/>
        </w:rPr>
        <w:t xml:space="preserve">using </w:t>
      </w:r>
      <w:r w:rsidRPr="00247C7A">
        <w:rPr>
          <w:rStyle w:val="longtext1"/>
          <w:rFonts w:asciiTheme="majorBidi" w:hAnsiTheme="majorBidi" w:cstheme="majorBidi"/>
          <w:sz w:val="24"/>
          <w:szCs w:val="24"/>
          <w:shd w:val="clear" w:color="auto" w:fill="FFFFFF"/>
          <w:lang w:val="en-US"/>
        </w:rPr>
        <w:t xml:space="preserve">EDXRF. It was shown that EDXRF is an adequate analytical tool for the non-destructive determination of </w:t>
      </w:r>
      <w:r w:rsidRPr="00247C7A">
        <w:rPr>
          <w:rFonts w:asciiTheme="majorBidi" w:hAnsiTheme="majorBidi" w:cstheme="majorBidi"/>
          <w:lang w:val="en-US"/>
        </w:rPr>
        <w:t xml:space="preserve">Br, </w:t>
      </w:r>
      <w:r w:rsidR="00794B5C" w:rsidRPr="00247C7A">
        <w:rPr>
          <w:rFonts w:asciiTheme="majorBidi" w:hAnsiTheme="majorBidi" w:cstheme="majorBidi"/>
          <w:lang w:val="en-US"/>
        </w:rPr>
        <w:t xml:space="preserve">Cu, </w:t>
      </w:r>
      <w:r w:rsidRPr="00247C7A">
        <w:rPr>
          <w:rFonts w:asciiTheme="majorBidi" w:hAnsiTheme="majorBidi" w:cstheme="majorBidi"/>
          <w:lang w:val="en-US"/>
        </w:rPr>
        <w:t xml:space="preserve">Fe, </w:t>
      </w:r>
      <w:r w:rsidR="00794B5C" w:rsidRPr="00247C7A">
        <w:rPr>
          <w:rFonts w:asciiTheme="majorBidi" w:hAnsiTheme="majorBidi" w:cstheme="majorBidi"/>
          <w:lang w:val="en-US"/>
        </w:rPr>
        <w:t xml:space="preserve">I, </w:t>
      </w:r>
      <w:r w:rsidRPr="00247C7A">
        <w:rPr>
          <w:rFonts w:asciiTheme="majorBidi" w:hAnsiTheme="majorBidi" w:cstheme="majorBidi"/>
          <w:lang w:val="en-US"/>
        </w:rPr>
        <w:t xml:space="preserve">Rb, Sr, and Zn </w:t>
      </w:r>
      <w:r w:rsidRPr="00247C7A">
        <w:rPr>
          <w:rStyle w:val="longtext1"/>
          <w:rFonts w:asciiTheme="majorBidi" w:hAnsiTheme="majorBidi" w:cstheme="majorBidi"/>
          <w:sz w:val="24"/>
          <w:szCs w:val="24"/>
          <w:shd w:val="clear" w:color="auto" w:fill="FFFFFF"/>
          <w:lang w:val="en-US"/>
        </w:rPr>
        <w:t xml:space="preserve">content in the tissue samples of human </w:t>
      </w:r>
      <w:r w:rsidR="00794B5C" w:rsidRPr="00247C7A">
        <w:rPr>
          <w:rStyle w:val="longtext1"/>
          <w:rFonts w:asciiTheme="majorBidi" w:hAnsiTheme="majorBidi" w:cstheme="majorBidi"/>
          <w:sz w:val="24"/>
          <w:szCs w:val="24"/>
          <w:shd w:val="clear" w:color="auto" w:fill="FFFFFF"/>
          <w:lang w:val="en-US"/>
        </w:rPr>
        <w:t>thyroid</w:t>
      </w:r>
      <w:r w:rsidRPr="00247C7A">
        <w:rPr>
          <w:rStyle w:val="longtext1"/>
          <w:rFonts w:asciiTheme="majorBidi" w:hAnsiTheme="majorBidi" w:cstheme="majorBidi"/>
          <w:sz w:val="24"/>
          <w:szCs w:val="24"/>
          <w:shd w:val="clear" w:color="auto" w:fill="FFFFFF"/>
          <w:lang w:val="en-US"/>
        </w:rPr>
        <w:t xml:space="preserve">, including </w:t>
      </w:r>
      <w:r w:rsidRPr="00247C7A">
        <w:rPr>
          <w:rFonts w:asciiTheme="majorBidi" w:hAnsiTheme="majorBidi" w:cstheme="majorBidi"/>
          <w:lang w:val="en-US"/>
        </w:rPr>
        <w:t>needle-biopsy</w:t>
      </w:r>
      <w:r w:rsidR="00794B5C" w:rsidRPr="00247C7A">
        <w:rPr>
          <w:rFonts w:asciiTheme="majorBidi" w:hAnsiTheme="majorBidi" w:cstheme="majorBidi"/>
          <w:lang w:val="en-US"/>
        </w:rPr>
        <w:t xml:space="preserve"> material</w:t>
      </w:r>
      <w:r w:rsidRPr="00247C7A">
        <w:rPr>
          <w:rStyle w:val="longtext1"/>
          <w:rFonts w:asciiTheme="majorBidi" w:hAnsiTheme="majorBidi" w:cstheme="majorBidi"/>
          <w:sz w:val="24"/>
          <w:szCs w:val="24"/>
          <w:shd w:val="clear" w:color="auto" w:fill="FFFFFF"/>
          <w:lang w:val="en-US"/>
        </w:rPr>
        <w:t xml:space="preserve">. </w:t>
      </w:r>
      <w:r w:rsidR="001C1234" w:rsidRPr="00247C7A">
        <w:rPr>
          <w:rFonts w:asciiTheme="majorBidi" w:hAnsiTheme="majorBidi" w:cstheme="majorBidi"/>
          <w:lang w:val="en-US"/>
        </w:rPr>
        <w:t xml:space="preserve">It was observed that in TMN tissue the </w:t>
      </w:r>
      <w:r w:rsidR="00A70D10" w:rsidRPr="00247C7A">
        <w:rPr>
          <w:rFonts w:asciiTheme="majorBidi" w:hAnsiTheme="majorBidi" w:cstheme="majorBidi"/>
          <w:lang w:val="en-US"/>
        </w:rPr>
        <w:t xml:space="preserve">mean </w:t>
      </w:r>
      <w:r w:rsidR="001C1234" w:rsidRPr="00247C7A">
        <w:rPr>
          <w:rFonts w:asciiTheme="majorBidi" w:hAnsiTheme="majorBidi" w:cstheme="majorBidi"/>
          <w:lang w:val="en-US"/>
        </w:rPr>
        <w:t xml:space="preserve">mass fractions of I and Zn were lower while the </w:t>
      </w:r>
      <w:r w:rsidR="00A70D10" w:rsidRPr="00247C7A">
        <w:rPr>
          <w:rFonts w:asciiTheme="majorBidi" w:hAnsiTheme="majorBidi" w:cstheme="majorBidi"/>
          <w:lang w:val="en-US"/>
        </w:rPr>
        <w:t xml:space="preserve">mean </w:t>
      </w:r>
      <w:r w:rsidR="001C1234" w:rsidRPr="00247C7A">
        <w:rPr>
          <w:rFonts w:asciiTheme="majorBidi" w:hAnsiTheme="majorBidi" w:cstheme="majorBidi"/>
          <w:lang w:val="en-US"/>
        </w:rPr>
        <w:t xml:space="preserve">mass fraction of Rb </w:t>
      </w:r>
      <w:r w:rsidR="009D5AA4" w:rsidRPr="00247C7A">
        <w:rPr>
          <w:rFonts w:asciiTheme="majorBidi" w:hAnsiTheme="majorBidi" w:cstheme="majorBidi"/>
          <w:lang w:val="en-US"/>
        </w:rPr>
        <w:t>was</w:t>
      </w:r>
      <w:r w:rsidR="001C1234" w:rsidRPr="00247C7A">
        <w:rPr>
          <w:rFonts w:asciiTheme="majorBidi" w:hAnsiTheme="majorBidi" w:cstheme="majorBidi"/>
          <w:lang w:val="en-US"/>
        </w:rPr>
        <w:t xml:space="preserve"> higher than in</w:t>
      </w:r>
      <w:r w:rsidR="009D5AA4" w:rsidRPr="00247C7A">
        <w:rPr>
          <w:rFonts w:asciiTheme="majorBidi" w:hAnsiTheme="majorBidi" w:cstheme="majorBidi"/>
          <w:lang w:val="en-US"/>
        </w:rPr>
        <w:t xml:space="preserve"> NT and</w:t>
      </w:r>
      <w:r w:rsidR="001C1234" w:rsidRPr="00247C7A">
        <w:rPr>
          <w:rFonts w:asciiTheme="majorBidi" w:hAnsiTheme="majorBidi" w:cstheme="majorBidi"/>
          <w:lang w:val="en-US"/>
        </w:rPr>
        <w:t xml:space="preserve"> TBN tissue. </w:t>
      </w:r>
      <w:r w:rsidR="003E3D7E" w:rsidRPr="00247C7A">
        <w:rPr>
          <w:rFonts w:asciiTheme="majorBidi" w:hAnsiTheme="majorBidi" w:cstheme="majorBidi"/>
          <w:lang w:val="en-US"/>
        </w:rPr>
        <w:t xml:space="preserve">It was demonstrated that I content is nodular tissue is the most informative parameter for the diagnosis of </w:t>
      </w:r>
      <w:r w:rsidR="003742EB" w:rsidRPr="00247C7A">
        <w:rPr>
          <w:rFonts w:asciiTheme="majorBidi" w:hAnsiTheme="majorBidi" w:cstheme="majorBidi"/>
          <w:lang w:val="en-US"/>
        </w:rPr>
        <w:t>thyroid malignancy.</w:t>
      </w:r>
      <w:commentRangeEnd w:id="92"/>
      <w:r w:rsidR="00247C7A">
        <w:rPr>
          <w:rStyle w:val="CommentReference"/>
        </w:rPr>
        <w:commentReference w:id="92"/>
      </w:r>
      <w:r w:rsidR="003742EB">
        <w:rPr>
          <w:lang w:val="en-US"/>
        </w:rPr>
        <w:t xml:space="preserve"> </w:t>
      </w:r>
      <w:commentRangeStart w:id="93"/>
      <w:r w:rsidR="009D5AA4" w:rsidRPr="003E3D7E">
        <w:rPr>
          <w:lang w:val="en-US"/>
        </w:rPr>
        <w:t xml:space="preserve">It was </w:t>
      </w:r>
      <w:r w:rsidR="003E3D7E" w:rsidRPr="003E3D7E">
        <w:rPr>
          <w:lang w:val="en-US"/>
        </w:rPr>
        <w:t>found</w:t>
      </w:r>
      <w:r w:rsidR="009D5AA4" w:rsidRPr="003E3D7E">
        <w:rPr>
          <w:lang w:val="en-US"/>
        </w:rPr>
        <w:t xml:space="preserve"> that “Sensitivity”, “Specificity” and “Accuracy” of </w:t>
      </w:r>
      <w:r w:rsidR="003E3D7E" w:rsidRPr="003E3D7E">
        <w:rPr>
          <w:lang w:val="en-US"/>
        </w:rPr>
        <w:t>TMN</w:t>
      </w:r>
      <w:r w:rsidR="009D5AA4" w:rsidRPr="003E3D7E">
        <w:rPr>
          <w:lang w:val="en-US"/>
        </w:rPr>
        <w:t xml:space="preserve"> identification using the </w:t>
      </w:r>
      <w:r w:rsidR="003E3D7E" w:rsidRPr="003E3D7E">
        <w:rPr>
          <w:lang w:val="en-US"/>
        </w:rPr>
        <w:t>I</w:t>
      </w:r>
      <w:r w:rsidR="009D5AA4" w:rsidRPr="003E3D7E">
        <w:rPr>
          <w:lang w:val="en-US"/>
        </w:rPr>
        <w:t xml:space="preserve"> level in the </w:t>
      </w:r>
      <w:r w:rsidR="003E3D7E" w:rsidRPr="003E3D7E">
        <w:rPr>
          <w:lang w:val="en-US"/>
        </w:rPr>
        <w:t xml:space="preserve">needle biopsy of </w:t>
      </w:r>
      <w:r w:rsidR="003742EB">
        <w:rPr>
          <w:lang w:val="en-US"/>
        </w:rPr>
        <w:t xml:space="preserve">affected </w:t>
      </w:r>
      <w:r w:rsidR="003E3D7E">
        <w:rPr>
          <w:lang w:val="en-US"/>
        </w:rPr>
        <w:t>thyroid tissue</w:t>
      </w:r>
      <w:r w:rsidR="009D5AA4" w:rsidRPr="003E3D7E">
        <w:rPr>
          <w:lang w:val="en-US"/>
        </w:rPr>
        <w:t xml:space="preserve"> was significantly higher than that using </w:t>
      </w:r>
      <w:r w:rsidR="003E3D7E" w:rsidRPr="003E3D7E">
        <w:rPr>
          <w:lang w:val="en-US"/>
        </w:rPr>
        <w:t>US examination and cytological test of fine needle aspiration biopsy</w:t>
      </w:r>
      <w:r w:rsidR="009D5AA4" w:rsidRPr="003E3D7E">
        <w:rPr>
          <w:lang w:val="en-US"/>
        </w:rPr>
        <w:t>. It</w:t>
      </w:r>
      <w:r w:rsidR="009D5AA4" w:rsidRPr="00263C9F">
        <w:rPr>
          <w:lang w:val="en-US"/>
        </w:rPr>
        <w:t xml:space="preserve"> was concluded that study of the </w:t>
      </w:r>
      <w:r w:rsidR="003742EB">
        <w:rPr>
          <w:lang w:val="en-US"/>
        </w:rPr>
        <w:t>I</w:t>
      </w:r>
      <w:r w:rsidR="009D5AA4">
        <w:rPr>
          <w:lang w:val="en-US"/>
        </w:rPr>
        <w:t xml:space="preserve"> level</w:t>
      </w:r>
      <w:r w:rsidR="009D5AA4" w:rsidRPr="00263C9F">
        <w:rPr>
          <w:lang w:val="en-US"/>
        </w:rPr>
        <w:t xml:space="preserve"> in </w:t>
      </w:r>
      <w:r w:rsidR="003742EB">
        <w:rPr>
          <w:lang w:val="en-US"/>
        </w:rPr>
        <w:t xml:space="preserve">a </w:t>
      </w:r>
      <w:r w:rsidR="003742EB" w:rsidRPr="003E3D7E">
        <w:rPr>
          <w:lang w:val="en-US"/>
        </w:rPr>
        <w:t>needle biopsy of</w:t>
      </w:r>
      <w:r w:rsidR="003742EB">
        <w:rPr>
          <w:lang w:val="en-US"/>
        </w:rPr>
        <w:t xml:space="preserve"> TNs</w:t>
      </w:r>
      <w:r w:rsidR="009D5AA4" w:rsidRPr="00263C9F">
        <w:rPr>
          <w:lang w:val="en-US"/>
        </w:rPr>
        <w:t xml:space="preserve">, obtained by using EDXRF, is a fast, reliable, and </w:t>
      </w:r>
      <w:r w:rsidR="003742EB">
        <w:rPr>
          <w:lang w:val="en-US"/>
        </w:rPr>
        <w:t>very informative</w:t>
      </w:r>
      <w:r w:rsidR="009D5AA4" w:rsidRPr="00263C9F">
        <w:rPr>
          <w:lang w:val="en-US"/>
        </w:rPr>
        <w:t xml:space="preserve"> diagnostic tool that can be successfully used as an additional test </w:t>
      </w:r>
      <w:r w:rsidR="003742EB">
        <w:rPr>
          <w:lang w:val="en-US"/>
        </w:rPr>
        <w:t xml:space="preserve">of thyroid malignancy </w:t>
      </w:r>
      <w:r w:rsidR="003742EB" w:rsidRPr="003E3D7E">
        <w:rPr>
          <w:lang w:val="en-US"/>
        </w:rPr>
        <w:t>identification</w:t>
      </w:r>
      <w:r w:rsidR="003742EB">
        <w:rPr>
          <w:lang w:val="en-US"/>
        </w:rPr>
        <w:t>.</w:t>
      </w:r>
      <w:r w:rsidR="009D5AA4" w:rsidRPr="00263C9F">
        <w:rPr>
          <w:lang w:val="en-US"/>
        </w:rPr>
        <w:t xml:space="preserve"> </w:t>
      </w:r>
      <w:commentRangeEnd w:id="93"/>
      <w:r w:rsidR="00B273B0">
        <w:rPr>
          <w:rStyle w:val="CommentReference"/>
        </w:rPr>
        <w:commentReference w:id="93"/>
      </w:r>
    </w:p>
    <w:p w:rsidR="00B273B0" w:rsidRDefault="00B273B0" w:rsidP="00B273B0">
      <w:pPr>
        <w:jc w:val="both"/>
        <w:rPr>
          <w:lang w:val="en-US"/>
        </w:rPr>
      </w:pPr>
    </w:p>
    <w:p w:rsidR="00DA4B51" w:rsidRDefault="00DA4B51" w:rsidP="009079E0">
      <w:pPr>
        <w:rPr>
          <w:b/>
          <w:bCs/>
          <w:caps/>
          <w:lang w:val="en-US"/>
        </w:rPr>
      </w:pPr>
      <w:r w:rsidRPr="00020E2D">
        <w:rPr>
          <w:b/>
          <w:bCs/>
          <w:caps/>
          <w:lang w:val="en-US"/>
        </w:rPr>
        <w:t>Acknowledgements</w:t>
      </w:r>
    </w:p>
    <w:p w:rsidR="00020E2D" w:rsidRPr="00020E2D" w:rsidRDefault="00020E2D" w:rsidP="009079E0">
      <w:pPr>
        <w:rPr>
          <w:b/>
          <w:bCs/>
          <w:caps/>
          <w:lang w:val="en-US"/>
        </w:rPr>
      </w:pPr>
    </w:p>
    <w:p w:rsidR="003673EB" w:rsidRDefault="004A2E18" w:rsidP="00964F3B">
      <w:pPr>
        <w:jc w:val="both"/>
        <w:rPr>
          <w:lang w:val="en-US"/>
        </w:rPr>
      </w:pPr>
      <w:r>
        <w:rPr>
          <w:rFonts w:eastAsiaTheme="minorHAnsi"/>
          <w:lang w:val="en-US" w:eastAsia="en-US"/>
        </w:rPr>
        <w:t>The author</w:t>
      </w:r>
      <w:r w:rsidR="00E66A8E" w:rsidRPr="00E66A8E">
        <w:rPr>
          <w:rFonts w:eastAsiaTheme="minorHAnsi"/>
          <w:lang w:val="en-US" w:eastAsia="en-US"/>
        </w:rPr>
        <w:t xml:space="preserve"> </w:t>
      </w:r>
      <w:r>
        <w:rPr>
          <w:rFonts w:eastAsiaTheme="minorHAnsi"/>
          <w:lang w:val="en-US" w:eastAsia="en-US"/>
        </w:rPr>
        <w:t>is</w:t>
      </w:r>
      <w:r w:rsidR="00E66A8E" w:rsidRPr="00E66A8E">
        <w:rPr>
          <w:rFonts w:eastAsiaTheme="minorHAnsi"/>
          <w:lang w:val="en-US" w:eastAsia="en-US"/>
        </w:rPr>
        <w:t xml:space="preserve"> extremely grateful </w:t>
      </w:r>
      <w:r w:rsidR="00DA4B51" w:rsidRPr="00E66A8E">
        <w:rPr>
          <w:lang w:val="en-US"/>
        </w:rPr>
        <w:t xml:space="preserve">to </w:t>
      </w:r>
      <w:r w:rsidR="003673EB" w:rsidRPr="00E66A8E">
        <w:rPr>
          <w:lang w:val="en-US"/>
        </w:rPr>
        <w:t>Profs. B.M. Vtyurin and V.S. Medvedev</w:t>
      </w:r>
      <w:r w:rsidR="00DA4B51" w:rsidRPr="00E66A8E">
        <w:rPr>
          <w:lang w:val="en-US"/>
        </w:rPr>
        <w:t xml:space="preserve">, </w:t>
      </w:r>
      <w:r w:rsidR="001552E1">
        <w:rPr>
          <w:lang w:val="en-US"/>
        </w:rPr>
        <w:t>MRRC</w:t>
      </w:r>
      <w:r w:rsidR="00DA4B51" w:rsidRPr="00E66A8E">
        <w:rPr>
          <w:lang w:val="en-US"/>
        </w:rPr>
        <w:t xml:space="preserve">, Obninsk, </w:t>
      </w:r>
      <w:r w:rsidR="00E66A8E">
        <w:rPr>
          <w:lang w:val="en-US"/>
        </w:rPr>
        <w:t>as well as to</w:t>
      </w:r>
      <w:r w:rsidR="003673EB" w:rsidRPr="00E66A8E">
        <w:rPr>
          <w:lang w:val="en-US"/>
        </w:rPr>
        <w:t xml:space="preserve"> Dr. Yu. Choporov, </w:t>
      </w:r>
      <w:r w:rsidR="005636BE">
        <w:rPr>
          <w:lang w:val="en-US"/>
        </w:rPr>
        <w:t xml:space="preserve">former </w:t>
      </w:r>
      <w:r w:rsidR="003673EB" w:rsidRPr="00E66A8E">
        <w:rPr>
          <w:lang w:val="en-US"/>
        </w:rPr>
        <w:t>Head of the Forensic Medicine Department of City Hospital, Obninsk, for supplying thyroid samples.</w:t>
      </w:r>
    </w:p>
    <w:p w:rsidR="006A42C1" w:rsidRDefault="006A42C1" w:rsidP="006A42C1">
      <w:pPr>
        <w:rPr>
          <w:lang w:val="en-US"/>
        </w:rPr>
      </w:pPr>
    </w:p>
    <w:p w:rsidR="000A11BD" w:rsidRDefault="000A11BD" w:rsidP="006A42C1">
      <w:pPr>
        <w:rPr>
          <w:lang w:val="en-US"/>
        </w:rPr>
      </w:pPr>
    </w:p>
    <w:p w:rsidR="000A11BD" w:rsidRDefault="000A11BD" w:rsidP="006A42C1">
      <w:pPr>
        <w:rPr>
          <w:lang w:val="en-US"/>
        </w:rPr>
      </w:pPr>
    </w:p>
    <w:p w:rsidR="000A11BD" w:rsidRDefault="000A11BD" w:rsidP="006A42C1">
      <w:pPr>
        <w:rPr>
          <w:lang w:val="en-US"/>
        </w:rPr>
      </w:pPr>
    </w:p>
    <w:p w:rsidR="000A11BD" w:rsidRDefault="000A11BD" w:rsidP="006A42C1">
      <w:pPr>
        <w:rPr>
          <w:lang w:val="en-US"/>
        </w:rPr>
      </w:pPr>
    </w:p>
    <w:p w:rsidR="000A11BD" w:rsidRDefault="000A11BD" w:rsidP="006A42C1">
      <w:pPr>
        <w:rPr>
          <w:lang w:val="en-US"/>
        </w:rPr>
      </w:pPr>
    </w:p>
    <w:p w:rsidR="000A11BD" w:rsidRPr="00E75CD8" w:rsidRDefault="000A11BD" w:rsidP="000A11BD">
      <w:pPr>
        <w:rPr>
          <w:rFonts w:ascii="Bookman Old Style" w:hAnsi="Bookman Old Style"/>
          <w:b/>
          <w:highlight w:val="yellow"/>
        </w:rPr>
      </w:pPr>
      <w:commentRangeStart w:id="94"/>
      <w:r w:rsidRPr="00E75CD8">
        <w:rPr>
          <w:rFonts w:ascii="Bookman Old Style" w:hAnsi="Bookman Old Style"/>
          <w:b/>
          <w:highlight w:val="yellow"/>
        </w:rPr>
        <w:t>Author’s Contribution</w:t>
      </w:r>
      <w:commentRangeEnd w:id="94"/>
      <w:r w:rsidRPr="00E75CD8">
        <w:rPr>
          <w:rStyle w:val="CommentReference"/>
          <w:rFonts w:ascii="Courier" w:hAnsi="Courier" w:cs="Courier"/>
          <w:snapToGrid w:val="0"/>
        </w:rPr>
        <w:commentReference w:id="94"/>
      </w:r>
    </w:p>
    <w:p w:rsidR="000A11BD" w:rsidRDefault="000A11BD" w:rsidP="00020E2D">
      <w:pPr>
        <w:jc w:val="both"/>
        <w:rPr>
          <w:rStyle w:val="Strong"/>
          <w:caps/>
          <w:lang w:val="en-US"/>
        </w:rPr>
      </w:pPr>
    </w:p>
    <w:p w:rsidR="00020E2D" w:rsidRDefault="00020E2D" w:rsidP="00020E2D">
      <w:pPr>
        <w:jc w:val="both"/>
        <w:rPr>
          <w:rStyle w:val="Strong"/>
          <w:caps/>
          <w:lang w:val="en-US"/>
        </w:rPr>
      </w:pPr>
      <w:r w:rsidRPr="00C375D5">
        <w:rPr>
          <w:rStyle w:val="Strong"/>
          <w:caps/>
          <w:lang w:val="en-US"/>
        </w:rPr>
        <w:t>Funding</w:t>
      </w:r>
    </w:p>
    <w:p w:rsidR="00020E2D" w:rsidRPr="00C375D5" w:rsidRDefault="00020E2D" w:rsidP="00020E2D">
      <w:pPr>
        <w:jc w:val="both"/>
        <w:rPr>
          <w:rStyle w:val="Strong"/>
          <w:caps/>
          <w:lang w:val="en-US"/>
        </w:rPr>
      </w:pPr>
      <w:r w:rsidRPr="00C375D5">
        <w:rPr>
          <w:rStyle w:val="Strong"/>
          <w:caps/>
          <w:lang w:val="en-US"/>
        </w:rPr>
        <w:t xml:space="preserve"> </w:t>
      </w:r>
    </w:p>
    <w:p w:rsidR="00020E2D" w:rsidRDefault="00020E2D" w:rsidP="00020E2D">
      <w:pPr>
        <w:jc w:val="both"/>
        <w:rPr>
          <w:lang w:val="en-US"/>
        </w:rPr>
      </w:pPr>
      <w:r w:rsidRPr="00CF02D3">
        <w:rPr>
          <w:lang w:val="en-US"/>
        </w:rPr>
        <w:t>There were no any sources of funding that have supported this work.</w:t>
      </w:r>
    </w:p>
    <w:p w:rsidR="00020E2D" w:rsidRPr="007156F8" w:rsidRDefault="00020E2D" w:rsidP="00020E2D">
      <w:pPr>
        <w:rPr>
          <w:lang w:val="en-US"/>
        </w:rPr>
      </w:pPr>
    </w:p>
    <w:p w:rsidR="00020E2D" w:rsidRDefault="00020E2D" w:rsidP="00020E2D">
      <w:pPr>
        <w:pStyle w:val="20-OS-Text"/>
        <w:spacing w:line="240" w:lineRule="auto"/>
        <w:ind w:firstLineChars="0" w:firstLine="0"/>
        <w:rPr>
          <w:b/>
          <w:caps/>
          <w:sz w:val="24"/>
          <w:szCs w:val="24"/>
        </w:rPr>
      </w:pPr>
      <w:r w:rsidRPr="00332600">
        <w:rPr>
          <w:b/>
          <w:caps/>
          <w:sz w:val="24"/>
          <w:szCs w:val="24"/>
        </w:rPr>
        <w:t>Conflict of interest</w:t>
      </w:r>
    </w:p>
    <w:p w:rsidR="00020E2D" w:rsidRPr="00332600" w:rsidRDefault="00020E2D" w:rsidP="00020E2D">
      <w:pPr>
        <w:pStyle w:val="20-OS-Text"/>
        <w:spacing w:line="240" w:lineRule="auto"/>
        <w:ind w:firstLineChars="0" w:firstLine="0"/>
        <w:rPr>
          <w:b/>
          <w:caps/>
          <w:sz w:val="24"/>
          <w:szCs w:val="24"/>
        </w:rPr>
      </w:pPr>
    </w:p>
    <w:p w:rsidR="00020E2D" w:rsidRDefault="00020E2D" w:rsidP="00020E2D">
      <w:pPr>
        <w:rPr>
          <w:lang w:val="en-US"/>
        </w:rPr>
      </w:pPr>
      <w:r w:rsidRPr="00641EB9">
        <w:rPr>
          <w:lang w:val="en-US"/>
        </w:rPr>
        <w:t>No conflict of interest associated with this work</w:t>
      </w:r>
      <w:r>
        <w:rPr>
          <w:lang w:val="en-US"/>
        </w:rPr>
        <w:t>.</w:t>
      </w:r>
    </w:p>
    <w:p w:rsidR="00292B93" w:rsidRDefault="00292B93" w:rsidP="00020E2D">
      <w:pPr>
        <w:jc w:val="both"/>
        <w:rPr>
          <w:b/>
          <w:caps/>
          <w:lang w:val="en-US"/>
        </w:rPr>
      </w:pPr>
    </w:p>
    <w:p w:rsidR="00020E2D" w:rsidRDefault="00020E2D" w:rsidP="00020E2D">
      <w:pPr>
        <w:jc w:val="both"/>
        <w:rPr>
          <w:b/>
          <w:caps/>
          <w:lang w:val="en-US"/>
        </w:rPr>
      </w:pPr>
      <w:commentRangeStart w:id="95"/>
      <w:r w:rsidRPr="00C375D5">
        <w:rPr>
          <w:b/>
          <w:caps/>
          <w:lang w:val="en-US"/>
        </w:rPr>
        <w:t>References</w:t>
      </w:r>
      <w:commentRangeEnd w:id="95"/>
      <w:r w:rsidR="00292B93">
        <w:rPr>
          <w:rStyle w:val="CommentReference"/>
        </w:rPr>
        <w:commentReference w:id="95"/>
      </w:r>
    </w:p>
    <w:p w:rsidR="003747AA" w:rsidRPr="00667D52" w:rsidRDefault="003747AA" w:rsidP="003747AA">
      <w:pPr>
        <w:jc w:val="both"/>
        <w:rPr>
          <w:b/>
          <w:lang w:val="en-US"/>
        </w:rPr>
      </w:pP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eastAsia="ru-RU"/>
        </w:rPr>
      </w:pPr>
      <w:commentRangeStart w:id="96"/>
      <w:r w:rsidRPr="006D278D">
        <w:rPr>
          <w:rFonts w:ascii="Times New Roman" w:eastAsia="Times New Roman" w:hAnsi="Times New Roman" w:cs="Times New Roman"/>
          <w:bCs/>
          <w:kern w:val="36"/>
          <w:sz w:val="24"/>
          <w:szCs w:val="24"/>
          <w:lang w:eastAsia="ru-RU"/>
        </w:rPr>
        <w:t>Fresilli D, David E, Pacini P, Gaudio GD, Dolcetti V, Lucarelli GT, Di Leo N, Bellini MI, D'Andrea V, Sorrenti S, Mascagni D, Biffoni M, Durante C, Grani G, De Vincentis G, Cantisani  V. Thyroid Nodule Characterization: How to Assess the Malignancy Risk. Update of the Literature.</w:t>
      </w:r>
      <w:r w:rsidRPr="006D278D">
        <w:rPr>
          <w:rFonts w:ascii="Times New Roman" w:eastAsia="Times New Roman" w:hAnsi="Times New Roman" w:cs="Times New Roman"/>
          <w:b/>
          <w:bCs/>
          <w:kern w:val="36"/>
          <w:sz w:val="24"/>
          <w:szCs w:val="24"/>
          <w:lang w:eastAsia="ru-RU"/>
        </w:rPr>
        <w:t xml:space="preserve"> </w:t>
      </w:r>
      <w:r w:rsidRPr="006D278D">
        <w:rPr>
          <w:rFonts w:ascii="Times New Roman" w:eastAsia="Times New Roman" w:hAnsi="Times New Roman" w:cs="Times New Roman"/>
          <w:sz w:val="24"/>
          <w:szCs w:val="24"/>
          <w:lang w:eastAsia="ru-RU"/>
        </w:rPr>
        <w:t xml:space="preserve">Diagnostics (Basel) 2021;11(8):1374. </w:t>
      </w: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eastAsia="ru-RU"/>
        </w:rPr>
      </w:pPr>
      <w:r w:rsidRPr="006D278D">
        <w:rPr>
          <w:rFonts w:ascii="Times New Roman" w:eastAsia="Times New Roman" w:hAnsi="Times New Roman" w:cs="Times New Roman"/>
          <w:bCs/>
          <w:kern w:val="36"/>
          <w:sz w:val="24"/>
          <w:szCs w:val="24"/>
          <w:lang w:val="en-US" w:eastAsia="ru-RU"/>
        </w:rPr>
        <w:t>Jin Z, Zhu Y, Zhang S, Xie F, Zhang M, Zhang Y, Tian X, Zhang J, Luo Y, Cao J. Ultrasound Computer-Aided Diagnosis (CAD) based on the Thyroid Imaging Reporting and Data System (TI-RADS) to distinguish benign from malignant thyroid nodules and the diagnostic performance of radiologists with different diagnostic experience.</w:t>
      </w:r>
      <w:r w:rsidRPr="006D278D">
        <w:rPr>
          <w:rFonts w:ascii="Times New Roman" w:eastAsia="Times New Roman" w:hAnsi="Times New Roman" w:cs="Times New Roman"/>
          <w:b/>
          <w:bCs/>
          <w:kern w:val="36"/>
          <w:sz w:val="24"/>
          <w:szCs w:val="24"/>
          <w:lang w:val="en-US" w:eastAsia="ru-RU"/>
        </w:rPr>
        <w:t xml:space="preserve"> </w:t>
      </w:r>
      <w:r w:rsidRPr="006D278D">
        <w:rPr>
          <w:rFonts w:ascii="Times New Roman" w:eastAsia="Times New Roman" w:hAnsi="Times New Roman" w:cs="Times New Roman"/>
          <w:sz w:val="24"/>
          <w:szCs w:val="24"/>
          <w:lang w:val="en-US" w:eastAsia="ru-RU"/>
        </w:rPr>
        <w:t>Med Sci Monit 2020; 26: e918452.</w:t>
      </w:r>
    </w:p>
    <w:commentRangeEnd w:id="96"/>
    <w:p w:rsidR="006D278D" w:rsidRPr="006D278D" w:rsidRDefault="000A11BD" w:rsidP="006D278D">
      <w:pPr>
        <w:pStyle w:val="ListParagraph"/>
        <w:numPr>
          <w:ilvl w:val="0"/>
          <w:numId w:val="17"/>
        </w:numPr>
        <w:spacing w:after="0" w:line="240" w:lineRule="auto"/>
        <w:jc w:val="both"/>
        <w:outlineLvl w:val="0"/>
        <w:rPr>
          <w:rFonts w:ascii="Times New Roman" w:eastAsia="Times New Roman" w:hAnsi="Times New Roman" w:cs="Times New Roman"/>
          <w:bCs/>
          <w:color w:val="0000FF"/>
          <w:kern w:val="36"/>
          <w:sz w:val="24"/>
          <w:szCs w:val="24"/>
          <w:lang w:eastAsia="ru-RU"/>
        </w:rPr>
      </w:pPr>
      <w:r>
        <w:rPr>
          <w:rStyle w:val="CommentReference"/>
          <w:rFonts w:ascii="Times New Roman" w:eastAsia="Times New Roman" w:hAnsi="Times New Roman" w:cs="Times New Roman"/>
          <w:lang w:eastAsia="ru-RU"/>
        </w:rPr>
        <w:commentReference w:id="96"/>
      </w:r>
      <w:r w:rsidR="006D278D" w:rsidRPr="006D278D">
        <w:rPr>
          <w:rFonts w:ascii="Times New Roman" w:eastAsia="Times New Roman" w:hAnsi="Times New Roman" w:cs="Times New Roman"/>
          <w:bCs/>
          <w:kern w:val="36"/>
          <w:sz w:val="24"/>
          <w:szCs w:val="24"/>
          <w:lang w:eastAsia="ru-RU"/>
        </w:rPr>
        <w:t>Trimboli P, Castellana M, Piccardo A, Romanelli F, Grani G, Giovanella L, Durante C. The ultrasound risk stratification systems for thyroid nodule have been evaluated against papillary carcinoma. A meta-analysis.</w:t>
      </w:r>
      <w:r w:rsidR="006D278D" w:rsidRPr="006D278D">
        <w:rPr>
          <w:rFonts w:ascii="Times New Roman" w:eastAsia="Times New Roman" w:hAnsi="Times New Roman" w:cs="Times New Roman"/>
          <w:b/>
          <w:bCs/>
          <w:kern w:val="36"/>
          <w:sz w:val="24"/>
          <w:szCs w:val="24"/>
          <w:lang w:eastAsia="ru-RU"/>
        </w:rPr>
        <w:t xml:space="preserve"> </w:t>
      </w:r>
      <w:r w:rsidR="006D278D" w:rsidRPr="006D278D">
        <w:rPr>
          <w:rFonts w:ascii="Times New Roman" w:eastAsia="Times New Roman" w:hAnsi="Times New Roman" w:cs="Times New Roman"/>
          <w:sz w:val="24"/>
          <w:szCs w:val="24"/>
          <w:lang w:eastAsia="ru-RU"/>
        </w:rPr>
        <w:t xml:space="preserve">Rev Endocr Metab Disord 2021;22(2):453-460. </w:t>
      </w:r>
    </w:p>
    <w:p w:rsidR="006D278D" w:rsidRPr="006D278D" w:rsidRDefault="006D278D" w:rsidP="006D278D">
      <w:pPr>
        <w:pStyle w:val="ListParagraph"/>
        <w:numPr>
          <w:ilvl w:val="0"/>
          <w:numId w:val="17"/>
        </w:numPr>
        <w:spacing w:after="0" w:line="240" w:lineRule="auto"/>
        <w:jc w:val="both"/>
        <w:outlineLvl w:val="0"/>
        <w:rPr>
          <w:rStyle w:val="Hyperlink"/>
          <w:rFonts w:ascii="Times New Roman" w:eastAsia="Times New Roman" w:hAnsi="Times New Roman"/>
          <w:bCs/>
          <w:kern w:val="36"/>
          <w:sz w:val="24"/>
          <w:szCs w:val="24"/>
          <w:u w:val="none"/>
          <w:lang w:eastAsia="ru-RU"/>
        </w:rPr>
      </w:pPr>
      <w:r w:rsidRPr="006D278D">
        <w:rPr>
          <w:rFonts w:ascii="Times New Roman" w:eastAsia="Times New Roman" w:hAnsi="Times New Roman" w:cs="Times New Roman"/>
          <w:bCs/>
          <w:kern w:val="36"/>
          <w:sz w:val="24"/>
          <w:szCs w:val="24"/>
          <w:lang w:val="en-US" w:eastAsia="ru-RU"/>
        </w:rPr>
        <w:t>Patel SG, Carty SE, Lee AJ. Molecular testing for thyroid nodules including its interpretation and use in clinical practice.</w:t>
      </w:r>
      <w:r w:rsidRPr="006D278D">
        <w:rPr>
          <w:rFonts w:ascii="Times New Roman" w:eastAsia="Times New Roman" w:hAnsi="Times New Roman" w:cs="Times New Roman"/>
          <w:b/>
          <w:bCs/>
          <w:kern w:val="36"/>
          <w:sz w:val="24"/>
          <w:szCs w:val="24"/>
          <w:lang w:val="en-US" w:eastAsia="ru-RU"/>
        </w:rPr>
        <w:t xml:space="preserve"> </w:t>
      </w:r>
      <w:r w:rsidRPr="006D278D">
        <w:rPr>
          <w:rFonts w:ascii="Times New Roman" w:eastAsia="Times New Roman" w:hAnsi="Times New Roman" w:cs="Times New Roman"/>
          <w:sz w:val="24"/>
          <w:szCs w:val="24"/>
          <w:lang w:val="en-US" w:eastAsia="ru-RU"/>
        </w:rPr>
        <w:t xml:space="preserve">Ann Surg Oncol 2021;28(13):8884-8891. </w:t>
      </w:r>
    </w:p>
    <w:p w:rsidR="006D278D" w:rsidRPr="006D278D" w:rsidRDefault="006D278D" w:rsidP="006D278D">
      <w:pPr>
        <w:pStyle w:val="ListParagraph"/>
        <w:numPr>
          <w:ilvl w:val="0"/>
          <w:numId w:val="17"/>
        </w:numPr>
        <w:spacing w:after="0" w:line="240" w:lineRule="auto"/>
        <w:jc w:val="both"/>
        <w:outlineLvl w:val="0"/>
        <w:rPr>
          <w:rFonts w:ascii="Times New Roman" w:eastAsia="Times New Roman" w:hAnsi="Times New Roman" w:cs="Times New Roman"/>
          <w:bCs/>
          <w:kern w:val="36"/>
          <w:sz w:val="24"/>
          <w:szCs w:val="24"/>
          <w:lang w:val="en-US" w:eastAsia="ru-RU"/>
        </w:rPr>
      </w:pPr>
      <w:r w:rsidRPr="006D278D">
        <w:rPr>
          <w:rFonts w:ascii="Times New Roman" w:eastAsia="Times New Roman" w:hAnsi="Times New Roman" w:cs="Times New Roman"/>
          <w:bCs/>
          <w:kern w:val="36"/>
          <w:sz w:val="24"/>
          <w:szCs w:val="24"/>
          <w:lang w:val="en-US" w:eastAsia="ru-RU"/>
        </w:rPr>
        <w:lastRenderedPageBreak/>
        <w:t>Silaghi CA, Lozovanu V, Georgescu CE, Georgescu RD, Susman S, Năsui BA, Dobrean A,</w:t>
      </w:r>
      <w:r w:rsidRPr="006D278D">
        <w:rPr>
          <w:rFonts w:ascii="Times New Roman" w:hAnsi="Times New Roman" w:cs="Times New Roman"/>
          <w:sz w:val="24"/>
          <w:szCs w:val="24"/>
          <w:lang w:val="en-US" w:eastAsia="ru-RU"/>
        </w:rPr>
        <w:t xml:space="preserve"> </w:t>
      </w:r>
      <w:r w:rsidRPr="006D278D">
        <w:rPr>
          <w:rFonts w:ascii="Times New Roman" w:eastAsia="Times New Roman" w:hAnsi="Times New Roman" w:cs="Times New Roman"/>
          <w:bCs/>
          <w:kern w:val="36"/>
          <w:sz w:val="24"/>
          <w:szCs w:val="24"/>
          <w:lang w:val="en-US" w:eastAsia="ru-RU"/>
        </w:rPr>
        <w:t>Silaghi H.  Thyroseq v3, Afirma GSC, and microRNA Panels versus previous molecular tests in the preoperative diagnosis of indeterminate thyroid nodules: a systematic review and meta-analysis.</w:t>
      </w:r>
      <w:r w:rsidRPr="006D278D">
        <w:rPr>
          <w:rFonts w:ascii="Times New Roman" w:eastAsia="Times New Roman" w:hAnsi="Times New Roman" w:cs="Times New Roman"/>
          <w:b/>
          <w:bCs/>
          <w:kern w:val="36"/>
          <w:sz w:val="24"/>
          <w:szCs w:val="24"/>
          <w:lang w:val="en-US" w:eastAsia="ru-RU"/>
        </w:rPr>
        <w:t xml:space="preserve"> </w:t>
      </w:r>
      <w:r w:rsidRPr="006D278D">
        <w:rPr>
          <w:rFonts w:ascii="Times New Roman" w:eastAsia="Times New Roman" w:hAnsi="Times New Roman" w:cs="Times New Roman"/>
          <w:sz w:val="24"/>
          <w:szCs w:val="24"/>
          <w:lang w:val="en-US" w:eastAsia="ru-RU"/>
        </w:rPr>
        <w:t>Front Endocrinol (Lausanne) 2021;12:649522.</w:t>
      </w:r>
    </w:p>
    <w:p w:rsidR="006D278D" w:rsidRPr="006D278D" w:rsidRDefault="006D278D" w:rsidP="006D278D">
      <w:pPr>
        <w:numPr>
          <w:ilvl w:val="0"/>
          <w:numId w:val="17"/>
        </w:numPr>
        <w:overflowPunct w:val="0"/>
        <w:autoSpaceDE w:val="0"/>
        <w:autoSpaceDN w:val="0"/>
        <w:adjustRightInd w:val="0"/>
        <w:textAlignment w:val="baseline"/>
        <w:rPr>
          <w:b/>
          <w:lang w:val="en-US"/>
        </w:rPr>
      </w:pPr>
      <w:r w:rsidRPr="006D278D">
        <w:rPr>
          <w:lang w:val="en-US"/>
        </w:rPr>
        <w:t>Zaichick V. Iodine excess and thyroid cancer. J Trace Elem Exp Med 1998;11(4):508-509.</w:t>
      </w:r>
    </w:p>
    <w:p w:rsidR="006D278D" w:rsidRPr="006D278D" w:rsidRDefault="006D278D" w:rsidP="006D278D">
      <w:pPr>
        <w:numPr>
          <w:ilvl w:val="0"/>
          <w:numId w:val="17"/>
        </w:numPr>
        <w:overflowPunct w:val="0"/>
        <w:autoSpaceDE w:val="0"/>
        <w:autoSpaceDN w:val="0"/>
        <w:adjustRightInd w:val="0"/>
        <w:jc w:val="both"/>
        <w:textAlignment w:val="baseline"/>
        <w:rPr>
          <w:lang w:val="de-DE"/>
        </w:rPr>
      </w:pPr>
      <w:r w:rsidRPr="006D278D">
        <w:rPr>
          <w:lang w:val="en-US"/>
        </w:rPr>
        <w:t xml:space="preserve">Zaichick V, Iljina T. Dietary iodine supplementation effect on the rat thyroid </w:t>
      </w:r>
      <w:r w:rsidRPr="006D278D">
        <w:rPr>
          <w:vertAlign w:val="superscript"/>
          <w:lang w:val="en-US"/>
        </w:rPr>
        <w:t>131</w:t>
      </w:r>
      <w:r w:rsidRPr="006D278D">
        <w:rPr>
          <w:lang w:val="en-US"/>
        </w:rPr>
        <w:t xml:space="preserve">I blastomogenic action. </w:t>
      </w:r>
      <w:r w:rsidRPr="006D278D">
        <w:rPr>
          <w:lang w:val="de-DE"/>
        </w:rPr>
        <w:t>In: Die Bedentung der Mengen- und Spurenelemente. 18. Arbeitstangung. Jena: Friedrich-Schiller-Universität; 1998. p. 294-306.</w:t>
      </w: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eastAsia="ru-RU"/>
        </w:rPr>
        <w:t xml:space="preserve">Kim K, Cho SW, Park YJ, Lee KE, Lee D-W, Park SK. Association between iodine intake, thyroid function, and papillary thyroid cancer: A case-control study. </w:t>
      </w:r>
      <w:r w:rsidRPr="006D278D">
        <w:rPr>
          <w:rFonts w:ascii="Times New Roman" w:eastAsia="Times New Roman" w:hAnsi="Times New Roman" w:cs="Times New Roman"/>
          <w:sz w:val="24"/>
          <w:szCs w:val="24"/>
          <w:lang w:eastAsia="ru-RU"/>
        </w:rPr>
        <w:t>Endocrinol Metab (Seoul) 2021;36(4):790-799</w:t>
      </w:r>
      <w:r w:rsidRPr="006D278D">
        <w:rPr>
          <w:rFonts w:ascii="Times New Roman" w:eastAsia="Times New Roman" w:hAnsi="Times New Roman" w:cs="Times New Roman"/>
          <w:sz w:val="24"/>
          <w:szCs w:val="24"/>
          <w:lang w:val="en-US" w:eastAsia="ru-RU"/>
        </w:rPr>
        <w:t>.</w:t>
      </w: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spacing w:val="1"/>
          <w:sz w:val="24"/>
          <w:szCs w:val="24"/>
          <w:lang w:val="en-GB" w:eastAsia="ru-RU"/>
        </w:rPr>
        <w:t>Stojsavljević</w:t>
      </w:r>
      <w:r w:rsidRPr="006D278D">
        <w:rPr>
          <w:rFonts w:ascii="Times New Roman" w:hAnsi="Times New Roman" w:cs="Times New Roman"/>
          <w:sz w:val="24"/>
          <w:szCs w:val="24"/>
        </w:rPr>
        <w:t xml:space="preserve"> A, </w:t>
      </w:r>
      <w:r w:rsidRPr="006D278D">
        <w:rPr>
          <w:rFonts w:ascii="Times New Roman" w:eastAsia="Times New Roman" w:hAnsi="Times New Roman" w:cs="Times New Roman"/>
          <w:spacing w:val="1"/>
          <w:sz w:val="24"/>
          <w:szCs w:val="24"/>
          <w:lang w:val="en-GB" w:eastAsia="ru-RU"/>
        </w:rPr>
        <w:t>Rovčanin</w:t>
      </w:r>
      <w:r w:rsidRPr="006D278D">
        <w:rPr>
          <w:rFonts w:ascii="Times New Roman" w:hAnsi="Times New Roman" w:cs="Times New Roman"/>
          <w:sz w:val="24"/>
          <w:szCs w:val="24"/>
        </w:rPr>
        <w:t xml:space="preserve"> B, </w:t>
      </w:r>
      <w:r w:rsidRPr="006D278D">
        <w:rPr>
          <w:rFonts w:ascii="Times New Roman" w:eastAsia="Times New Roman" w:hAnsi="Times New Roman" w:cs="Times New Roman"/>
          <w:spacing w:val="1"/>
          <w:sz w:val="24"/>
          <w:szCs w:val="24"/>
          <w:lang w:val="en-GB" w:eastAsia="ru-RU"/>
        </w:rPr>
        <w:t>Krstić</w:t>
      </w:r>
      <w:r w:rsidRPr="006D278D">
        <w:rPr>
          <w:rFonts w:ascii="Times New Roman" w:hAnsi="Times New Roman" w:cs="Times New Roman"/>
          <w:sz w:val="24"/>
          <w:szCs w:val="24"/>
        </w:rPr>
        <w:t xml:space="preserve"> D, </w:t>
      </w:r>
      <w:r w:rsidRPr="006D278D">
        <w:rPr>
          <w:rFonts w:ascii="Times New Roman" w:eastAsia="Times New Roman" w:hAnsi="Times New Roman" w:cs="Times New Roman"/>
          <w:spacing w:val="1"/>
          <w:sz w:val="24"/>
          <w:szCs w:val="24"/>
          <w:lang w:val="en-GB" w:eastAsia="ru-RU"/>
        </w:rPr>
        <w:t>Borković-Mitić</w:t>
      </w:r>
      <w:r w:rsidRPr="006D278D">
        <w:rPr>
          <w:rFonts w:ascii="Times New Roman" w:hAnsi="Times New Roman" w:cs="Times New Roman"/>
          <w:sz w:val="24"/>
          <w:szCs w:val="24"/>
        </w:rPr>
        <w:t xml:space="preserve">  S, </w:t>
      </w:r>
      <w:r w:rsidRPr="006D278D">
        <w:rPr>
          <w:rFonts w:ascii="Times New Roman" w:eastAsia="Times New Roman" w:hAnsi="Times New Roman" w:cs="Times New Roman"/>
          <w:spacing w:val="1"/>
          <w:sz w:val="24"/>
          <w:szCs w:val="24"/>
          <w:lang w:val="en-GB" w:eastAsia="ru-RU"/>
        </w:rPr>
        <w:t>Paunović</w:t>
      </w:r>
      <w:r w:rsidRPr="006D278D">
        <w:rPr>
          <w:rFonts w:ascii="Times New Roman" w:hAnsi="Times New Roman" w:cs="Times New Roman"/>
          <w:sz w:val="24"/>
          <w:szCs w:val="24"/>
        </w:rPr>
        <w:t xml:space="preserve"> I, </w:t>
      </w:r>
      <w:r w:rsidRPr="006D278D">
        <w:rPr>
          <w:rFonts w:ascii="Times New Roman" w:eastAsia="Times New Roman" w:hAnsi="Times New Roman" w:cs="Times New Roman"/>
          <w:spacing w:val="1"/>
          <w:sz w:val="24"/>
          <w:szCs w:val="24"/>
          <w:lang w:val="en-GB" w:eastAsia="ru-RU"/>
        </w:rPr>
        <w:t>Diklić</w:t>
      </w:r>
      <w:r w:rsidRPr="006D278D">
        <w:rPr>
          <w:rFonts w:ascii="Times New Roman" w:hAnsi="Times New Roman" w:cs="Times New Roman"/>
          <w:sz w:val="24"/>
          <w:szCs w:val="24"/>
        </w:rPr>
        <w:t xml:space="preserve"> A, </w:t>
      </w:r>
      <w:r w:rsidRPr="006D278D">
        <w:rPr>
          <w:rFonts w:ascii="Times New Roman" w:eastAsia="Times New Roman" w:hAnsi="Times New Roman" w:cs="Times New Roman"/>
          <w:spacing w:val="1"/>
          <w:sz w:val="24"/>
          <w:szCs w:val="24"/>
          <w:lang w:val="en-GB" w:eastAsia="ru-RU"/>
        </w:rPr>
        <w:t>Gavrović-Jankulović</w:t>
      </w:r>
      <w:r w:rsidRPr="006D278D">
        <w:rPr>
          <w:rFonts w:ascii="Times New Roman" w:hAnsi="Times New Roman" w:cs="Times New Roman"/>
          <w:sz w:val="24"/>
          <w:szCs w:val="24"/>
        </w:rPr>
        <w:t xml:space="preserve"> M, </w:t>
      </w:r>
      <w:r w:rsidRPr="006D278D">
        <w:rPr>
          <w:rFonts w:ascii="Times New Roman" w:eastAsia="Times New Roman" w:hAnsi="Times New Roman" w:cs="Times New Roman"/>
          <w:spacing w:val="1"/>
          <w:sz w:val="24"/>
          <w:szCs w:val="24"/>
          <w:lang w:val="en-GB" w:eastAsia="ru-RU"/>
        </w:rPr>
        <w:t>Manojlović</w:t>
      </w:r>
      <w:r w:rsidRPr="006D278D">
        <w:rPr>
          <w:rFonts w:ascii="Times New Roman" w:hAnsi="Times New Roman" w:cs="Times New Roman"/>
          <w:sz w:val="24"/>
          <w:szCs w:val="24"/>
        </w:rPr>
        <w:t xml:space="preserve"> D. Risk assessment of toxic and essential trace metals on the thyroid health at the tissue level: The significance of lead and selenium for colloid goiter disease. </w:t>
      </w:r>
      <w:r w:rsidRPr="006D278D">
        <w:rPr>
          <w:rFonts w:ascii="Times New Roman" w:eastAsia="Times New Roman" w:hAnsi="Times New Roman" w:cs="Times New Roman"/>
          <w:sz w:val="24"/>
          <w:szCs w:val="24"/>
          <w:lang w:val="en-GB" w:eastAsia="ru-RU"/>
        </w:rPr>
        <w:t>Expo Health 2019.</w:t>
      </w: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eastAsia="ru-RU"/>
        </w:rPr>
        <w:t>Fahim YA, Sharaf NE, Hasani IW, Ragab EA, Abdelhakim HK. Assessment of thyroid function and oxidative stress state in foundry workers exposed to lead.</w:t>
      </w:r>
      <w:r w:rsidRPr="006D278D">
        <w:rPr>
          <w:rFonts w:ascii="Times New Roman" w:eastAsia="Times New Roman" w:hAnsi="Times New Roman" w:cs="Times New Roman"/>
          <w:b/>
          <w:bCs/>
          <w:kern w:val="36"/>
          <w:sz w:val="24"/>
          <w:szCs w:val="24"/>
          <w:lang w:eastAsia="ru-RU"/>
        </w:rPr>
        <w:t xml:space="preserve"> </w:t>
      </w:r>
      <w:r w:rsidRPr="006D278D">
        <w:rPr>
          <w:rFonts w:ascii="Times New Roman" w:eastAsia="Times New Roman" w:hAnsi="Times New Roman" w:cs="Times New Roman"/>
          <w:sz w:val="24"/>
          <w:szCs w:val="24"/>
          <w:lang w:eastAsia="ru-RU"/>
        </w:rPr>
        <w:t>J Health Pollut 2020;10(27):200903.</w:t>
      </w: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Liu M, Song J, Jiang Y, Lin Y, Peng J, Liang H, Wang C, Jiang J, Liu X, Wei W, Peng J, Liu S, Li Y, Xu N, Zhou D, Zhang Q, Zhang J. A case-control study on the association of mineral elements exposure and thyroid tumor and goiter.</w:t>
      </w:r>
      <w:r w:rsidRPr="006D278D">
        <w:rPr>
          <w:rFonts w:ascii="Times New Roman" w:eastAsia="Times New Roman" w:hAnsi="Times New Roman" w:cs="Times New Roman"/>
          <w:b/>
          <w:bCs/>
          <w:kern w:val="36"/>
          <w:sz w:val="24"/>
          <w:szCs w:val="24"/>
          <w:lang w:val="en-US" w:eastAsia="ru-RU"/>
        </w:rPr>
        <w:t xml:space="preserve"> </w:t>
      </w:r>
      <w:r w:rsidRPr="006D278D">
        <w:rPr>
          <w:rFonts w:ascii="Times New Roman" w:eastAsia="Times New Roman" w:hAnsi="Times New Roman" w:cs="Times New Roman"/>
          <w:sz w:val="24"/>
          <w:szCs w:val="24"/>
          <w:lang w:val="en-US" w:eastAsia="ru-RU"/>
        </w:rPr>
        <w:t>Ecotoxicol Environ Saf 2021;208:111615.</w:t>
      </w:r>
    </w:p>
    <w:p w:rsidR="006D278D" w:rsidRPr="006D278D" w:rsidRDefault="006D278D" w:rsidP="006D278D">
      <w:pPr>
        <w:numPr>
          <w:ilvl w:val="0"/>
          <w:numId w:val="17"/>
        </w:numPr>
        <w:overflowPunct w:val="0"/>
        <w:autoSpaceDE w:val="0"/>
        <w:autoSpaceDN w:val="0"/>
        <w:adjustRightInd w:val="0"/>
        <w:jc w:val="both"/>
        <w:textAlignment w:val="baseline"/>
        <w:rPr>
          <w:lang w:val="en-US"/>
        </w:rPr>
      </w:pPr>
      <w:r w:rsidRPr="006D278D">
        <w:rPr>
          <w:lang w:val="en-US"/>
        </w:rPr>
        <w:t>Zaichick V. Medical elementology as a new scientific discipline. J Radioanal Nucl Chem 2006;269:303-309.</w:t>
      </w:r>
    </w:p>
    <w:p w:rsidR="006D278D" w:rsidRPr="006D278D" w:rsidRDefault="006D278D" w:rsidP="006D278D">
      <w:pPr>
        <w:pStyle w:val="ListParagraph"/>
        <w:numPr>
          <w:ilvl w:val="0"/>
          <w:numId w:val="17"/>
        </w:numPr>
        <w:spacing w:after="0" w:line="240" w:lineRule="auto"/>
        <w:jc w:val="both"/>
        <w:rPr>
          <w:rStyle w:val="cit"/>
          <w:rFonts w:ascii="Times New Roman" w:hAnsi="Times New Roman" w:cs="Times New Roman"/>
          <w:sz w:val="24"/>
          <w:szCs w:val="24"/>
          <w:lang w:val="en-US"/>
        </w:rPr>
      </w:pPr>
      <w:r w:rsidRPr="006D278D">
        <w:rPr>
          <w:rStyle w:val="title-text"/>
          <w:rFonts w:ascii="Times New Roman" w:hAnsi="Times New Roman" w:cs="Times New Roman"/>
          <w:sz w:val="24"/>
          <w:szCs w:val="24"/>
        </w:rPr>
        <w:t xml:space="preserve">Moncayo R, Moncayo H. </w:t>
      </w:r>
      <w:r w:rsidRPr="006D278D">
        <w:rPr>
          <w:rFonts w:ascii="Times New Roman" w:hAnsi="Times New Roman" w:cs="Times New Roman"/>
          <w:sz w:val="24"/>
          <w:szCs w:val="24"/>
        </w:rPr>
        <w:t xml:space="preserve">A post-publication analysis of the idealized upper reference value of 2.5 mIU/L for TSH: Time to support the thyroid axis with magnesium and iron especially in the setting of reproduction medicine. </w:t>
      </w:r>
      <w:hyperlink r:id="rId13" w:history="1">
        <w:r w:rsidRPr="006D278D">
          <w:rPr>
            <w:rStyle w:val="Hyperlink"/>
            <w:rFonts w:ascii="Times New Roman" w:hAnsi="Times New Roman"/>
            <w:sz w:val="24"/>
            <w:szCs w:val="24"/>
            <w:u w:val="none"/>
          </w:rPr>
          <w:t>BBA Clin</w:t>
        </w:r>
      </w:hyperlink>
      <w:r w:rsidRPr="006D278D">
        <w:rPr>
          <w:rStyle w:val="cit"/>
          <w:rFonts w:ascii="Times New Roman" w:hAnsi="Times New Roman" w:cs="Times New Roman"/>
          <w:sz w:val="24"/>
          <w:szCs w:val="24"/>
        </w:rPr>
        <w:t xml:space="preserve"> 2017;7:115–119.</w:t>
      </w:r>
    </w:p>
    <w:p w:rsidR="006D278D" w:rsidRPr="006D278D" w:rsidRDefault="00B35097" w:rsidP="006D278D">
      <w:pPr>
        <w:numPr>
          <w:ilvl w:val="0"/>
          <w:numId w:val="17"/>
        </w:numPr>
        <w:autoSpaceDE w:val="0"/>
        <w:autoSpaceDN w:val="0"/>
        <w:adjustRightInd w:val="0"/>
        <w:rPr>
          <w:lang w:val="en-US"/>
        </w:rPr>
      </w:pPr>
      <w:hyperlink r:id="rId14" w:history="1">
        <w:r w:rsidR="006D278D" w:rsidRPr="006D278D">
          <w:rPr>
            <w:rStyle w:val="Hyperlink"/>
            <w:u w:val="none"/>
            <w:lang w:val="en-US"/>
          </w:rPr>
          <w:t>Beyersmann D</w:t>
        </w:r>
      </w:hyperlink>
      <w:r w:rsidR="006D278D" w:rsidRPr="006D278D">
        <w:rPr>
          <w:lang w:val="en-US"/>
        </w:rPr>
        <w:t xml:space="preserve">, </w:t>
      </w:r>
      <w:hyperlink r:id="rId15" w:history="1">
        <w:r w:rsidR="006D278D" w:rsidRPr="006D278D">
          <w:rPr>
            <w:rStyle w:val="Hyperlink"/>
            <w:u w:val="none"/>
            <w:lang w:val="en-US"/>
          </w:rPr>
          <w:t>Hartwig A</w:t>
        </w:r>
      </w:hyperlink>
      <w:r w:rsidR="006D278D" w:rsidRPr="006D278D">
        <w:rPr>
          <w:lang w:val="en-US"/>
        </w:rPr>
        <w:t xml:space="preserve">. Carcinogenic metal compounds: recent insight into molecular and cellular mechanisms. </w:t>
      </w:r>
      <w:hyperlink r:id="rId16" w:anchor="#" w:tooltip="Archives of toxicology." w:history="1">
        <w:r w:rsidR="006D278D" w:rsidRPr="006D278D">
          <w:rPr>
            <w:rStyle w:val="Hyperlink"/>
            <w:u w:val="none"/>
            <w:lang w:val="en-US"/>
          </w:rPr>
          <w:t>Arch Toxicol</w:t>
        </w:r>
      </w:hyperlink>
      <w:r w:rsidR="006D278D" w:rsidRPr="006D278D">
        <w:rPr>
          <w:lang w:val="en-US"/>
        </w:rPr>
        <w:t xml:space="preserve"> 2008;82(8):493-512.</w:t>
      </w:r>
    </w:p>
    <w:p w:rsidR="006D278D" w:rsidRPr="006D278D" w:rsidRDefault="00B35097" w:rsidP="006D278D">
      <w:pPr>
        <w:numPr>
          <w:ilvl w:val="0"/>
          <w:numId w:val="17"/>
        </w:numPr>
        <w:overflowPunct w:val="0"/>
        <w:autoSpaceDE w:val="0"/>
        <w:autoSpaceDN w:val="0"/>
        <w:adjustRightInd w:val="0"/>
        <w:textAlignment w:val="baseline"/>
        <w:rPr>
          <w:b/>
          <w:lang w:val="en-US"/>
        </w:rPr>
      </w:pPr>
      <w:hyperlink r:id="rId17" w:history="1">
        <w:r w:rsidR="006D278D" w:rsidRPr="006D278D">
          <w:rPr>
            <w:rStyle w:val="Hyperlink"/>
            <w:u w:val="none"/>
            <w:lang w:val="pt-BR"/>
          </w:rPr>
          <w:t>Martinez-Zamudio R</w:t>
        </w:r>
      </w:hyperlink>
      <w:r w:rsidR="006D278D" w:rsidRPr="006D278D">
        <w:rPr>
          <w:lang w:val="pt-BR"/>
        </w:rPr>
        <w:t xml:space="preserve">, </w:t>
      </w:r>
      <w:hyperlink r:id="rId18" w:history="1">
        <w:r w:rsidR="006D278D" w:rsidRPr="006D278D">
          <w:rPr>
            <w:rStyle w:val="Hyperlink"/>
            <w:u w:val="none"/>
            <w:lang w:val="pt-BR"/>
          </w:rPr>
          <w:t>Ha HC</w:t>
        </w:r>
      </w:hyperlink>
      <w:r w:rsidR="006D278D" w:rsidRPr="006D278D">
        <w:rPr>
          <w:lang w:val="pt-BR"/>
        </w:rPr>
        <w:t xml:space="preserve">. </w:t>
      </w:r>
      <w:r w:rsidR="006D278D" w:rsidRPr="006D278D">
        <w:rPr>
          <w:lang w:val="en-US"/>
        </w:rPr>
        <w:t xml:space="preserve">Environmental epigenetics in metal exposure. </w:t>
      </w:r>
      <w:hyperlink r:id="rId19" w:anchor="#" w:tooltip="Epigenetics : official journal of the DNA Methylation Society." w:history="1">
        <w:r w:rsidR="006D278D" w:rsidRPr="006D278D">
          <w:rPr>
            <w:rStyle w:val="Hyperlink"/>
            <w:u w:val="none"/>
            <w:lang w:val="en-US"/>
          </w:rPr>
          <w:t>Epigenetics</w:t>
        </w:r>
      </w:hyperlink>
      <w:r w:rsidR="006D278D" w:rsidRPr="006D278D">
        <w:rPr>
          <w:lang w:val="en-US"/>
        </w:rPr>
        <w:t xml:space="preserve"> 2011;6(7):820-827.</w:t>
      </w:r>
    </w:p>
    <w:p w:rsidR="006D278D" w:rsidRPr="006D278D" w:rsidRDefault="006D278D" w:rsidP="006D278D">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Zaĭchik V, Raibukhin YuS, Melnik AD, Cherkashin VI. Neutron-activation analysis in the study of the behavior of iodine in the organism.</w:t>
      </w:r>
      <w:r w:rsidRPr="006D278D">
        <w:rPr>
          <w:rFonts w:ascii="Times New Roman" w:eastAsia="Times New Roman" w:hAnsi="Times New Roman" w:cs="Times New Roman"/>
          <w:b/>
          <w:bCs/>
          <w:kern w:val="36"/>
          <w:sz w:val="24"/>
          <w:szCs w:val="24"/>
          <w:lang w:val="en-US" w:eastAsia="ru-RU"/>
        </w:rPr>
        <w:t xml:space="preserve"> </w:t>
      </w:r>
      <w:r w:rsidRPr="006D278D">
        <w:rPr>
          <w:rFonts w:ascii="Times New Roman" w:eastAsia="Times New Roman" w:hAnsi="Times New Roman" w:cs="Times New Roman"/>
          <w:sz w:val="24"/>
          <w:szCs w:val="24"/>
          <w:lang w:val="en-US" w:eastAsia="ru-RU"/>
        </w:rPr>
        <w:t>Med Radiol (Mosk) 1970;15(1):33-36.</w:t>
      </w: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Zaĭchik V, Matveenko EG, Vtiurin BM, Medvedev VS. Intrathyroid iodine in the diagnosis of thyroid cancer.</w:t>
      </w:r>
      <w:r w:rsidRPr="006D278D">
        <w:rPr>
          <w:rFonts w:ascii="Times New Roman" w:eastAsia="Times New Roman" w:hAnsi="Times New Roman" w:cs="Times New Roman"/>
          <w:b/>
          <w:bCs/>
          <w:kern w:val="36"/>
          <w:sz w:val="24"/>
          <w:szCs w:val="24"/>
          <w:lang w:val="en-US" w:eastAsia="ru-RU"/>
        </w:rPr>
        <w:t xml:space="preserve"> </w:t>
      </w:r>
      <w:r w:rsidRPr="006D278D">
        <w:rPr>
          <w:rFonts w:ascii="Times New Roman" w:eastAsia="Times New Roman" w:hAnsi="Times New Roman" w:cs="Times New Roman"/>
          <w:sz w:val="24"/>
          <w:szCs w:val="24"/>
          <w:lang w:val="en-US" w:eastAsia="ru-RU"/>
        </w:rPr>
        <w:t>Vopr Onkol 1982;28(3):18-24.</w:t>
      </w:r>
    </w:p>
    <w:p w:rsidR="006D278D" w:rsidRPr="006D278D" w:rsidRDefault="006D278D" w:rsidP="006D278D">
      <w:pPr>
        <w:pStyle w:val="ListParagraph"/>
        <w:numPr>
          <w:ilvl w:val="0"/>
          <w:numId w:val="17"/>
        </w:numPr>
        <w:spacing w:after="0" w:line="240" w:lineRule="auto"/>
        <w:ind w:left="357" w:hanging="357"/>
        <w:rPr>
          <w:rFonts w:ascii="Times New Roman" w:hAnsi="Times New Roman" w:cs="Times New Roman"/>
          <w:sz w:val="24"/>
          <w:szCs w:val="24"/>
        </w:rPr>
      </w:pPr>
      <w:r w:rsidRPr="006D278D">
        <w:rPr>
          <w:rStyle w:val="authors-list-item"/>
          <w:rFonts w:ascii="Times New Roman" w:hAnsi="Times New Roman" w:cs="Times New Roman"/>
          <w:sz w:val="24"/>
          <w:szCs w:val="24"/>
        </w:rPr>
        <w:t>Zaichick V</w:t>
      </w:r>
      <w:r w:rsidRPr="006D278D">
        <w:rPr>
          <w:rStyle w:val="comma"/>
          <w:rFonts w:ascii="Times New Roman" w:hAnsi="Times New Roman" w:cs="Times New Roman"/>
          <w:sz w:val="24"/>
          <w:szCs w:val="24"/>
        </w:rPr>
        <w:t>, </w:t>
      </w:r>
      <w:hyperlink r:id="rId20" w:history="1">
        <w:r w:rsidRPr="006D278D">
          <w:rPr>
            <w:rStyle w:val="Hyperlink"/>
            <w:rFonts w:ascii="Times New Roman" w:hAnsi="Times New Roman"/>
            <w:sz w:val="24"/>
            <w:szCs w:val="24"/>
            <w:u w:val="none"/>
          </w:rPr>
          <w:t>Tsyb</w:t>
        </w:r>
      </w:hyperlink>
      <w:r w:rsidRPr="006D278D">
        <w:rPr>
          <w:rStyle w:val="authors-list-item"/>
          <w:rFonts w:ascii="Times New Roman" w:hAnsi="Times New Roman" w:cs="Times New Roman"/>
          <w:sz w:val="24"/>
          <w:szCs w:val="24"/>
        </w:rPr>
        <w:t xml:space="preserve"> AF</w:t>
      </w:r>
      <w:r w:rsidRPr="006D278D">
        <w:rPr>
          <w:rStyle w:val="comma"/>
          <w:rFonts w:ascii="Times New Roman" w:hAnsi="Times New Roman" w:cs="Times New Roman"/>
          <w:sz w:val="24"/>
          <w:szCs w:val="24"/>
        </w:rPr>
        <w:t>, </w:t>
      </w:r>
      <w:hyperlink r:id="rId21" w:history="1">
        <w:r w:rsidRPr="006D278D">
          <w:rPr>
            <w:rStyle w:val="Hyperlink"/>
            <w:rFonts w:ascii="Times New Roman" w:hAnsi="Times New Roman"/>
            <w:sz w:val="24"/>
            <w:szCs w:val="24"/>
            <w:u w:val="none"/>
          </w:rPr>
          <w:t>Vtyurin</w:t>
        </w:r>
      </w:hyperlink>
      <w:r w:rsidRPr="006D278D">
        <w:rPr>
          <w:rStyle w:val="authors-list-item"/>
          <w:rFonts w:ascii="Times New Roman" w:hAnsi="Times New Roman" w:cs="Times New Roman"/>
          <w:sz w:val="24"/>
          <w:szCs w:val="24"/>
        </w:rPr>
        <w:t xml:space="preserve"> BM. </w:t>
      </w:r>
      <w:r w:rsidRPr="006D278D">
        <w:rPr>
          <w:rFonts w:ascii="Times New Roman" w:hAnsi="Times New Roman" w:cs="Times New Roman"/>
          <w:sz w:val="24"/>
          <w:szCs w:val="24"/>
        </w:rPr>
        <w:t>Trace elements and thyroid cancer.</w:t>
      </w:r>
      <w:r w:rsidRPr="006D278D">
        <w:rPr>
          <w:rFonts w:ascii="Times New Roman" w:hAnsi="Times New Roman" w:cs="Times New Roman"/>
          <w:b/>
          <w:sz w:val="24"/>
          <w:szCs w:val="24"/>
        </w:rPr>
        <w:t xml:space="preserve"> </w:t>
      </w:r>
      <w:r w:rsidRPr="006D278D">
        <w:rPr>
          <w:rFonts w:ascii="Times New Roman" w:hAnsi="Times New Roman" w:cs="Times New Roman"/>
          <w:sz w:val="24"/>
          <w:szCs w:val="24"/>
        </w:rPr>
        <w:t xml:space="preserve">Analyst </w:t>
      </w:r>
      <w:r w:rsidRPr="006D278D">
        <w:rPr>
          <w:rStyle w:val="cit"/>
          <w:rFonts w:ascii="Times New Roman" w:hAnsi="Times New Roman" w:cs="Times New Roman"/>
          <w:sz w:val="24"/>
          <w:szCs w:val="24"/>
        </w:rPr>
        <w:t>1995;120(3):817-821.</w:t>
      </w:r>
      <w:r w:rsidRPr="006D278D">
        <w:rPr>
          <w:rFonts w:ascii="Times New Roman" w:hAnsi="Times New Roman" w:cs="Times New Roman"/>
          <w:sz w:val="24"/>
          <w:szCs w:val="24"/>
        </w:rPr>
        <w:t xml:space="preserve"> </w:t>
      </w:r>
    </w:p>
    <w:p w:rsidR="006D278D" w:rsidRPr="006D278D" w:rsidRDefault="006D278D" w:rsidP="006D278D">
      <w:pPr>
        <w:numPr>
          <w:ilvl w:val="0"/>
          <w:numId w:val="17"/>
        </w:numPr>
        <w:overflowPunct w:val="0"/>
        <w:autoSpaceDE w:val="0"/>
        <w:autoSpaceDN w:val="0"/>
        <w:adjustRightInd w:val="0"/>
        <w:textAlignment w:val="baseline"/>
        <w:rPr>
          <w:b/>
          <w:lang w:val="en-US"/>
        </w:rPr>
      </w:pPr>
      <w:r w:rsidRPr="006D278D">
        <w:rPr>
          <w:lang w:val="en-US"/>
        </w:rPr>
        <w:t xml:space="preserve">Zaichick V, Choporov YuYa. Determination of the natural level of human intra-thyroid iodine by instrumental neutron activation analysis. </w:t>
      </w:r>
      <w:r w:rsidRPr="006D278D">
        <w:t>J Radioanal Nucl Chem 1996;207(1):153-161</w:t>
      </w:r>
      <w:r w:rsidRPr="006D278D">
        <w:rPr>
          <w:lang w:val="en-US"/>
        </w:rPr>
        <w:t>.</w:t>
      </w:r>
    </w:p>
    <w:p w:rsidR="006D278D" w:rsidRPr="006D278D" w:rsidRDefault="006D278D" w:rsidP="006D278D">
      <w:pPr>
        <w:numPr>
          <w:ilvl w:val="0"/>
          <w:numId w:val="17"/>
        </w:numPr>
        <w:overflowPunct w:val="0"/>
        <w:autoSpaceDE w:val="0"/>
        <w:autoSpaceDN w:val="0"/>
        <w:adjustRightInd w:val="0"/>
        <w:jc w:val="both"/>
        <w:textAlignment w:val="baseline"/>
        <w:rPr>
          <w:lang w:val="en-GB"/>
        </w:rPr>
      </w:pPr>
      <w:r w:rsidRPr="006D278D">
        <w:rPr>
          <w:lang w:val="en-GB"/>
        </w:rPr>
        <w:t xml:space="preserve">Zaichick V. </w:t>
      </w:r>
      <w:r w:rsidRPr="006D278D">
        <w:rPr>
          <w:i/>
          <w:lang w:val="en-GB"/>
        </w:rPr>
        <w:t>In vivo</w:t>
      </w:r>
      <w:r w:rsidRPr="006D278D">
        <w:rPr>
          <w:lang w:val="en-GB"/>
        </w:rPr>
        <w:t xml:space="preserve"> and </w:t>
      </w:r>
      <w:r w:rsidRPr="006D278D">
        <w:rPr>
          <w:i/>
          <w:lang w:val="en-GB"/>
        </w:rPr>
        <w:t>in vitro</w:t>
      </w:r>
      <w:r w:rsidRPr="006D278D">
        <w:rPr>
          <w:lang w:val="en-GB"/>
        </w:rPr>
        <w:t xml:space="preserve"> application of energy-dispersive XRF in clinical investigations: experience and the future. </w:t>
      </w:r>
      <w:r w:rsidRPr="006D278D">
        <w:t>J Trace Elem Exp Med 1998;11(4):509-510</w:t>
      </w:r>
      <w:r w:rsidRPr="006D278D">
        <w:rPr>
          <w:lang w:val="en-US"/>
        </w:rPr>
        <w:t>.</w:t>
      </w:r>
    </w:p>
    <w:p w:rsidR="006D278D" w:rsidRPr="006D278D" w:rsidRDefault="006D278D" w:rsidP="006D278D">
      <w:pPr>
        <w:numPr>
          <w:ilvl w:val="0"/>
          <w:numId w:val="17"/>
        </w:numPr>
        <w:overflowPunct w:val="0"/>
        <w:autoSpaceDE w:val="0"/>
        <w:autoSpaceDN w:val="0"/>
        <w:adjustRightInd w:val="0"/>
        <w:textAlignment w:val="baseline"/>
        <w:rPr>
          <w:b/>
          <w:lang w:val="en-US"/>
        </w:rPr>
      </w:pPr>
      <w:r w:rsidRPr="006D278D">
        <w:rPr>
          <w:lang w:val="en-US"/>
        </w:rPr>
        <w:t>Zaichick V, Zaichick S. Energy-dispersive X-ray fluorescence of iodine in thyroid puncture biopsy specimens. J Trace  Microprobe Tech 1999;17(2):219-232.</w:t>
      </w:r>
    </w:p>
    <w:p w:rsidR="006D278D" w:rsidRPr="006D278D" w:rsidRDefault="006D278D" w:rsidP="006D278D">
      <w:pPr>
        <w:numPr>
          <w:ilvl w:val="0"/>
          <w:numId w:val="17"/>
        </w:numPr>
        <w:overflowPunct w:val="0"/>
        <w:autoSpaceDE w:val="0"/>
        <w:autoSpaceDN w:val="0"/>
        <w:adjustRightInd w:val="0"/>
        <w:textAlignment w:val="baseline"/>
        <w:rPr>
          <w:b/>
          <w:lang w:val="en-US"/>
        </w:rPr>
      </w:pPr>
      <w:r w:rsidRPr="006D278D">
        <w:rPr>
          <w:lang w:val="en-US"/>
        </w:rPr>
        <w:t xml:space="preserve">Zaichick V. Relevance of, and potentiality for </w:t>
      </w:r>
      <w:commentRangeStart w:id="97"/>
      <w:r w:rsidRPr="006D278D">
        <w:rPr>
          <w:lang w:val="en-US"/>
        </w:rPr>
        <w:t xml:space="preserve">in vivo </w:t>
      </w:r>
      <w:commentRangeEnd w:id="97"/>
      <w:r w:rsidR="006C2BA0">
        <w:rPr>
          <w:rStyle w:val="CommentReference"/>
        </w:rPr>
        <w:commentReference w:id="97"/>
      </w:r>
      <w:r w:rsidRPr="006D278D">
        <w:rPr>
          <w:lang w:val="en-US"/>
        </w:rPr>
        <w:t xml:space="preserve">intrathyroidal iodine determination. </w:t>
      </w:r>
      <w:r w:rsidRPr="006D278D">
        <w:t>Ann N Y Acad Sci 2000;904:630-632</w:t>
      </w:r>
      <w:r w:rsidRPr="006D278D">
        <w:rPr>
          <w:lang w:val="en-US"/>
        </w:rPr>
        <w:t>.</w:t>
      </w:r>
    </w:p>
    <w:p w:rsidR="006D278D" w:rsidRPr="006D278D" w:rsidRDefault="006D278D" w:rsidP="006D278D">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Zaichick V, Zaichick S. Normal human intrathyroidal iodine.</w:t>
      </w:r>
      <w:r w:rsidRPr="006D278D">
        <w:rPr>
          <w:rFonts w:ascii="Times New Roman" w:eastAsia="Times New Roman" w:hAnsi="Times New Roman" w:cs="Times New Roman"/>
          <w:b/>
          <w:bCs/>
          <w:kern w:val="36"/>
          <w:sz w:val="24"/>
          <w:szCs w:val="24"/>
          <w:lang w:val="en-US" w:eastAsia="ru-RU"/>
        </w:rPr>
        <w:t xml:space="preserve"> </w:t>
      </w:r>
      <w:r w:rsidRPr="006D278D">
        <w:rPr>
          <w:rFonts w:ascii="Times New Roman" w:eastAsia="Times New Roman" w:hAnsi="Times New Roman" w:cs="Times New Roman"/>
          <w:sz w:val="24"/>
          <w:szCs w:val="24"/>
          <w:lang w:val="en-US" w:eastAsia="ru-RU"/>
        </w:rPr>
        <w:t>Sci Total Environ 1997;206(1):39-56.</w:t>
      </w:r>
    </w:p>
    <w:p w:rsidR="006D278D" w:rsidRPr="006D278D" w:rsidRDefault="006D278D" w:rsidP="006D278D">
      <w:pPr>
        <w:numPr>
          <w:ilvl w:val="0"/>
          <w:numId w:val="17"/>
        </w:numPr>
        <w:overflowPunct w:val="0"/>
        <w:autoSpaceDE w:val="0"/>
        <w:autoSpaceDN w:val="0"/>
        <w:adjustRightInd w:val="0"/>
        <w:textAlignment w:val="baseline"/>
        <w:rPr>
          <w:b/>
          <w:lang w:val="en-US"/>
        </w:rPr>
      </w:pPr>
      <w:r w:rsidRPr="006D278D">
        <w:rPr>
          <w:lang w:val="en-US"/>
        </w:rPr>
        <w:t>Zaichick V. Human intrathyroidal iodine in health and non-thyroidal disease. In: New aspects of trace element research (Eds: M.Abdulla, M.Bost, S.Gamon, P.Arnaud, G.Chazot). London: Smith-Gordon; and Tokyo: Nishimura; 1999. p.114-119.</w:t>
      </w:r>
    </w:p>
    <w:p w:rsidR="006D278D" w:rsidRPr="006D278D" w:rsidRDefault="006D278D" w:rsidP="006D278D">
      <w:pPr>
        <w:numPr>
          <w:ilvl w:val="0"/>
          <w:numId w:val="17"/>
        </w:numPr>
        <w:rPr>
          <w:lang w:val="en-US"/>
        </w:rPr>
      </w:pPr>
      <w:r w:rsidRPr="006D278D">
        <w:rPr>
          <w:bCs/>
          <w:lang w:val="en-US"/>
        </w:rPr>
        <w:t>Zaichick V, Zaichick S.</w:t>
      </w:r>
      <w:r w:rsidRPr="006D278D">
        <w:rPr>
          <w:lang w:val="en-US"/>
        </w:rPr>
        <w:t xml:space="preserve">  Age-related changes of some trace element contents in intact thyroid of females investigated by </w:t>
      </w:r>
      <w:r w:rsidRPr="006D278D">
        <w:rPr>
          <w:lang w:val="en-GB"/>
        </w:rPr>
        <w:t>energy dispersive X-ray fluorescent analysis.</w:t>
      </w:r>
      <w:r w:rsidRPr="006D278D">
        <w:rPr>
          <w:lang w:val="en-US"/>
        </w:rPr>
        <w:t xml:space="preserve"> Trends Geriatr Healthc 2017;1(1):31-38.</w:t>
      </w:r>
    </w:p>
    <w:p w:rsidR="006D278D" w:rsidRPr="006D278D" w:rsidRDefault="006D278D" w:rsidP="006D278D">
      <w:pPr>
        <w:numPr>
          <w:ilvl w:val="0"/>
          <w:numId w:val="17"/>
        </w:numPr>
      </w:pPr>
      <w:r w:rsidRPr="006D278D">
        <w:rPr>
          <w:bCs/>
          <w:lang w:val="en-US"/>
        </w:rPr>
        <w:t>Zaichick V, Zaichick S.</w:t>
      </w:r>
      <w:r w:rsidRPr="006D278D">
        <w:rPr>
          <w:lang w:val="en-US"/>
        </w:rPr>
        <w:t xml:space="preserve">  Age-related changes of some trace element contents in intact thyroid of males investigated by </w:t>
      </w:r>
      <w:r w:rsidRPr="006D278D">
        <w:rPr>
          <w:lang w:val="en-GB"/>
        </w:rPr>
        <w:t xml:space="preserve">energy dispersive X-ray fluorescent analysis. </w:t>
      </w:r>
      <w:r w:rsidRPr="006D278D">
        <w:t>MOJ Gerontol Ger 2017</w:t>
      </w:r>
      <w:r w:rsidRPr="006D278D">
        <w:rPr>
          <w:lang w:val="en-US"/>
        </w:rPr>
        <w:t>;</w:t>
      </w:r>
      <w:r w:rsidRPr="006D278D">
        <w:t xml:space="preserve">1(5):00028. </w:t>
      </w:r>
    </w:p>
    <w:p w:rsidR="006D278D" w:rsidRPr="006D278D" w:rsidRDefault="006D278D" w:rsidP="006D278D">
      <w:pPr>
        <w:pStyle w:val="Default"/>
        <w:numPr>
          <w:ilvl w:val="0"/>
          <w:numId w:val="17"/>
        </w:numPr>
        <w:rPr>
          <w:rFonts w:ascii="Times New Roman" w:hAnsi="Times New Roman" w:cs="Times New Roman"/>
          <w:color w:val="auto"/>
          <w:lang w:val="en-GB"/>
        </w:rPr>
      </w:pPr>
      <w:r w:rsidRPr="006D278D">
        <w:rPr>
          <w:rFonts w:ascii="Times New Roman" w:hAnsi="Times New Roman" w:cs="Times New Roman"/>
          <w:bCs/>
          <w:color w:val="auto"/>
          <w:lang w:val="en-US"/>
        </w:rPr>
        <w:t>Zaichick V, Zaichick S.</w:t>
      </w:r>
      <w:r w:rsidRPr="006D278D">
        <w:rPr>
          <w:rFonts w:ascii="Times New Roman" w:hAnsi="Times New Roman" w:cs="Times New Roman"/>
          <w:color w:val="auto"/>
          <w:lang w:val="en-US"/>
        </w:rPr>
        <w:t xml:space="preserve">  Age-related changes of Br, Ca, Cl, I, K, Mg, Mn, and Na contents in intact thyroid of females investigated by </w:t>
      </w:r>
      <w:r w:rsidRPr="006D278D">
        <w:rPr>
          <w:rFonts w:ascii="Times New Roman" w:hAnsi="Times New Roman" w:cs="Times New Roman"/>
          <w:color w:val="auto"/>
          <w:lang w:val="en-GB"/>
        </w:rPr>
        <w:t xml:space="preserve">neutron activation analysis. </w:t>
      </w:r>
      <w:r w:rsidRPr="006D278D">
        <w:rPr>
          <w:rFonts w:ascii="Times New Roman" w:hAnsi="Times New Roman" w:cs="Times New Roman"/>
          <w:color w:val="auto"/>
          <w:lang w:val="en-US"/>
        </w:rPr>
        <w:t xml:space="preserve"> Curr Updates Aging 2017;1:5.1.</w:t>
      </w:r>
    </w:p>
    <w:p w:rsidR="006D278D" w:rsidRPr="006D278D" w:rsidRDefault="006D278D" w:rsidP="006D278D">
      <w:pPr>
        <w:numPr>
          <w:ilvl w:val="0"/>
          <w:numId w:val="17"/>
        </w:numPr>
        <w:rPr>
          <w:lang w:val="en-US"/>
        </w:rPr>
      </w:pPr>
      <w:r w:rsidRPr="006D278D">
        <w:rPr>
          <w:bCs/>
          <w:lang w:val="en-US"/>
        </w:rPr>
        <w:lastRenderedPageBreak/>
        <w:t>Zaichick V, Zaichick S.</w:t>
      </w:r>
      <w:r w:rsidRPr="006D278D">
        <w:rPr>
          <w:lang w:val="en-US"/>
        </w:rPr>
        <w:t xml:space="preserve">  Age-related changes of Br, Ca, Cl, I, K, Mg, Mn, and Na contents in intact thyroid of males investigated by </w:t>
      </w:r>
      <w:r w:rsidRPr="006D278D">
        <w:rPr>
          <w:lang w:val="en-GB"/>
        </w:rPr>
        <w:t>neutron activation analysis.</w:t>
      </w:r>
      <w:r w:rsidRPr="006D278D">
        <w:rPr>
          <w:lang w:val="en-US"/>
        </w:rPr>
        <w:t xml:space="preserve"> J Aging Age Relat Dis 2017;1(1):1002. </w:t>
      </w:r>
    </w:p>
    <w:p w:rsidR="006D278D" w:rsidRPr="006D278D" w:rsidRDefault="006D278D" w:rsidP="006D278D">
      <w:pPr>
        <w:numPr>
          <w:ilvl w:val="0"/>
          <w:numId w:val="17"/>
        </w:numPr>
        <w:rPr>
          <w:lang w:val="en-US"/>
        </w:rPr>
      </w:pPr>
      <w:r w:rsidRPr="006D278D">
        <w:rPr>
          <w:bCs/>
          <w:lang w:val="en-US"/>
        </w:rPr>
        <w:t>Zaichick V, Zaichick S.</w:t>
      </w:r>
      <w:r w:rsidRPr="006D278D">
        <w:rPr>
          <w:lang w:val="en-US"/>
        </w:rPr>
        <w:t xml:space="preserve">  Age-related changes of Ag, Co, Cr, Fe, Hg, Rb, Sb, Sc, Se, and Zn contents in intact thyroid of females investigated by </w:t>
      </w:r>
      <w:r w:rsidRPr="006D278D">
        <w:rPr>
          <w:lang w:val="en-GB"/>
        </w:rPr>
        <w:t>neutron activation analysis.</w:t>
      </w:r>
      <w:r w:rsidRPr="006D278D">
        <w:rPr>
          <w:rFonts w:eastAsia="Calibri"/>
          <w:lang w:val="en-US"/>
        </w:rPr>
        <w:t xml:space="preserve"> J Gerontol Geriatr Med 2017;3:015.</w:t>
      </w:r>
    </w:p>
    <w:p w:rsidR="006D278D" w:rsidRPr="006D278D" w:rsidRDefault="006D278D" w:rsidP="006D278D">
      <w:pPr>
        <w:numPr>
          <w:ilvl w:val="0"/>
          <w:numId w:val="17"/>
        </w:numPr>
        <w:rPr>
          <w:lang w:val="en-US"/>
        </w:rPr>
      </w:pPr>
      <w:r w:rsidRPr="006D278D">
        <w:rPr>
          <w:lang w:val="en-US"/>
        </w:rPr>
        <w:t xml:space="preserve">Zaichick V, Zaichick S. Age-related changes of Ag, Co, Cr, Fe, Hg, Rb, Sb, Sc, Se, and Zn contents in intact thyroid of males investigated by neutron activation analysis. </w:t>
      </w:r>
      <w:r w:rsidRPr="006D278D">
        <w:t>Curr Trends Biomedical Eng Biosci 2017;4(4):555644</w:t>
      </w:r>
      <w:r w:rsidRPr="006D278D">
        <w:rPr>
          <w:lang w:val="en-US"/>
        </w:rPr>
        <w:t>.</w:t>
      </w:r>
    </w:p>
    <w:p w:rsidR="006D278D" w:rsidRPr="006D278D" w:rsidRDefault="006D278D" w:rsidP="006D278D">
      <w:pPr>
        <w:numPr>
          <w:ilvl w:val="0"/>
          <w:numId w:val="17"/>
        </w:numPr>
        <w:rPr>
          <w:lang w:val="en-US"/>
        </w:rPr>
      </w:pPr>
      <w:r w:rsidRPr="006D278D">
        <w:rPr>
          <w:lang w:val="en-US"/>
        </w:rPr>
        <w:t xml:space="preserve">Zaichick V, Zaichick S. Effect of age on chemical element contents in female thyroid investigated by some nuclear analytical methods. </w:t>
      </w:r>
      <w:r w:rsidRPr="006D278D">
        <w:rPr>
          <w:iCs/>
          <w:lang w:val="en-US"/>
        </w:rPr>
        <w:t>MicroMedicine</w:t>
      </w:r>
      <w:r w:rsidRPr="006D278D">
        <w:rPr>
          <w:lang w:val="en-US"/>
        </w:rPr>
        <w:t xml:space="preserve"> 2018;</w:t>
      </w:r>
      <w:r w:rsidRPr="006D278D">
        <w:rPr>
          <w:iCs/>
          <w:lang w:val="en-US"/>
        </w:rPr>
        <w:t>6</w:t>
      </w:r>
      <w:r w:rsidRPr="006D278D">
        <w:rPr>
          <w:lang w:val="en-US"/>
        </w:rPr>
        <w:t>(1):47-61.</w:t>
      </w:r>
      <w:r w:rsidRPr="006D278D">
        <w:rPr>
          <w:lang w:val="en-GB"/>
        </w:rPr>
        <w:t xml:space="preserve"> </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Zaichick S.  </w:t>
      </w:r>
      <w:r w:rsidRPr="006D278D">
        <w:rPr>
          <w:rFonts w:ascii="Times New Roman" w:hAnsi="Times New Roman" w:cs="Times New Roman"/>
          <w:sz w:val="24"/>
          <w:szCs w:val="24"/>
          <w:lang w:val="en-GB"/>
        </w:rPr>
        <w:t>Neutron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en-GB"/>
        </w:rPr>
        <w:t>activation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en-GB"/>
        </w:rPr>
        <w:t>and</w:t>
      </w:r>
      <w:r w:rsidRPr="006D278D">
        <w:rPr>
          <w:rFonts w:ascii="Times New Roman" w:hAnsi="Times New Roman" w:cs="Times New Roman"/>
          <w:sz w:val="24"/>
          <w:szCs w:val="24"/>
          <w:lang w:val="en-US"/>
        </w:rPr>
        <w:t xml:space="preserve"> X-ray fluorescent analysis in study of association between age and chemical element contents in thyroid of males.</w:t>
      </w:r>
      <w:r w:rsidRPr="006D278D">
        <w:rPr>
          <w:rFonts w:ascii="Times New Roman" w:hAnsi="Times New Roman" w:cs="Times New Roman"/>
          <w:b/>
          <w:sz w:val="24"/>
          <w:szCs w:val="24"/>
          <w:lang w:val="en-IN"/>
        </w:rPr>
        <w:t xml:space="preserve"> </w:t>
      </w:r>
      <w:r w:rsidRPr="006D278D">
        <w:rPr>
          <w:rFonts w:ascii="Times New Roman" w:hAnsi="Times New Roman" w:cs="Times New Roman"/>
          <w:sz w:val="24"/>
          <w:szCs w:val="24"/>
          <w:lang w:val="en-US"/>
        </w:rPr>
        <w:t>Op Acc J Bio Eng Bio Sci 2018;2(4):202-212.</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Zaichick S. Variation with age of chemical element contents in females’ thyroids investigated by </w:t>
      </w:r>
      <w:r w:rsidRPr="006D278D">
        <w:rPr>
          <w:rFonts w:ascii="Times New Roman" w:hAnsi="Times New Roman" w:cs="Times New Roman"/>
          <w:sz w:val="24"/>
          <w:szCs w:val="24"/>
          <w:lang w:val="en-GB"/>
        </w:rPr>
        <w:t xml:space="preserve">neutron activation analysis and </w:t>
      </w:r>
      <w:r w:rsidRPr="006D278D">
        <w:rPr>
          <w:rFonts w:ascii="Times New Roman" w:hAnsi="Times New Roman" w:cs="Times New Roman"/>
          <w:sz w:val="24"/>
          <w:szCs w:val="24"/>
          <w:lang w:val="en-US"/>
        </w:rPr>
        <w:t>inductively coupled plasma atomic emission spectrometry. J Biochem Analyt Stud 2018;3(1):1-10.</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Zaichick S. Association between age and twenty chemical element contents in intact thyroid of males. SM Gerontol Geriatr Res 2018;2(1):1014. </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 Zaichick S. Associations between age and 50 trace element contents and relationships in intact thyroid of males. Aging Clin Exp Res 2018;30(9):</w:t>
      </w:r>
      <w:r w:rsidRPr="006D278D">
        <w:rPr>
          <w:rStyle w:val="articlecitationpages"/>
          <w:rFonts w:ascii="Times New Roman" w:hAnsi="Times New Roman" w:cs="Times New Roman"/>
          <w:spacing w:val="1"/>
          <w:sz w:val="24"/>
          <w:szCs w:val="24"/>
          <w:lang w:val="en-GB"/>
        </w:rPr>
        <w:t>1059–1070.</w:t>
      </w:r>
      <w:r w:rsidRPr="006D278D">
        <w:rPr>
          <w:rStyle w:val="u-inline-block"/>
          <w:rFonts w:ascii="Times New Roman" w:hAnsi="Times New Roman" w:cs="Times New Roman"/>
          <w:spacing w:val="1"/>
          <w:sz w:val="24"/>
          <w:szCs w:val="24"/>
          <w:lang w:val="en-GB"/>
        </w:rPr>
        <w:t xml:space="preserve"> </w:t>
      </w:r>
    </w:p>
    <w:p w:rsidR="006D278D" w:rsidRPr="006D278D" w:rsidRDefault="006D278D" w:rsidP="006D278D">
      <w:pPr>
        <w:numPr>
          <w:ilvl w:val="0"/>
          <w:numId w:val="17"/>
        </w:numPr>
      </w:pPr>
      <w:r w:rsidRPr="006D278D">
        <w:rPr>
          <w:lang w:val="en-US"/>
        </w:rPr>
        <w:t xml:space="preserve">Zaichick V, Zaichick S.  Possible role of inadequate quantities of intra-thyroidal bromine, rubidium and zinc in the etiology of female </w:t>
      </w:r>
      <w:r w:rsidRPr="006D278D">
        <w:t>subclinical hypothyroidism</w:t>
      </w:r>
      <w:r w:rsidRPr="006D278D">
        <w:rPr>
          <w:lang w:val="en-US"/>
        </w:rPr>
        <w:t xml:space="preserve">. </w:t>
      </w:r>
      <w:r w:rsidRPr="006D278D">
        <w:t xml:space="preserve">EC Gynaecology </w:t>
      </w:r>
      <w:r w:rsidRPr="006D278D">
        <w:rPr>
          <w:iCs/>
        </w:rPr>
        <w:t>2018;</w:t>
      </w:r>
      <w:r w:rsidRPr="006D278D">
        <w:t>7(3):107-115</w:t>
      </w:r>
      <w:r w:rsidRPr="006D278D">
        <w:rPr>
          <w:lang w:val="en-US"/>
        </w:rPr>
        <w:t>.</w:t>
      </w:r>
    </w:p>
    <w:p w:rsidR="006D278D" w:rsidRPr="006D278D" w:rsidRDefault="006D278D" w:rsidP="006D278D">
      <w:pPr>
        <w:numPr>
          <w:ilvl w:val="0"/>
          <w:numId w:val="17"/>
        </w:numPr>
        <w:tabs>
          <w:tab w:val="left" w:pos="426"/>
        </w:tabs>
        <w:rPr>
          <w:rStyle w:val="A1"/>
          <w:rFonts w:cs="Times New Roman"/>
          <w:sz w:val="24"/>
          <w:szCs w:val="24"/>
          <w:lang w:val="en-GB"/>
        </w:rPr>
      </w:pPr>
      <w:r w:rsidRPr="006D278D">
        <w:rPr>
          <w:lang w:val="en-US"/>
        </w:rPr>
        <w:t xml:space="preserve">Zaichick V, Zaichick S. Possible role of inadequate quantities of intra-thyroidal bromine, calcium and magnesium in the etiology of female </w:t>
      </w:r>
      <w:r w:rsidRPr="006D278D">
        <w:t xml:space="preserve">subclinical hypothyroidism. </w:t>
      </w:r>
      <w:r w:rsidRPr="006D278D">
        <w:rPr>
          <w:rStyle w:val="A1"/>
          <w:rFonts w:cs="Times New Roman"/>
          <w:sz w:val="24"/>
          <w:szCs w:val="24"/>
        </w:rPr>
        <w:t>Int Gyn and Women’s Health 2018;1(3):IGWHC.MS.ID.000113.</w:t>
      </w:r>
    </w:p>
    <w:p w:rsidR="006D278D" w:rsidRPr="006D278D" w:rsidRDefault="006D278D" w:rsidP="006D278D">
      <w:pPr>
        <w:numPr>
          <w:ilvl w:val="0"/>
          <w:numId w:val="17"/>
        </w:numPr>
        <w:rPr>
          <w:b/>
          <w:lang w:val="en-US"/>
        </w:rPr>
      </w:pPr>
      <w:r w:rsidRPr="006D278D">
        <w:rPr>
          <w:lang w:val="en-US"/>
        </w:rPr>
        <w:t xml:space="preserve">Zaichick V, Zaichick S.  Possible role of inadequate quantities of intra-thyroidal cobalt, rubidium and zinc in the etiology of female </w:t>
      </w:r>
      <w:r w:rsidRPr="006D278D">
        <w:t>subclinical hypothyroidism.</w:t>
      </w:r>
      <w:r w:rsidRPr="006D278D">
        <w:rPr>
          <w:rStyle w:val="Strong"/>
          <w:lang w:val="en-US"/>
        </w:rPr>
        <w:t xml:space="preserve"> </w:t>
      </w:r>
      <w:r w:rsidRPr="006D278D">
        <w:rPr>
          <w:lang w:val="en-US"/>
        </w:rPr>
        <w:t xml:space="preserve">Womens Health Sci J 2018;2(1):000108. </w:t>
      </w:r>
    </w:p>
    <w:p w:rsidR="006D278D" w:rsidRPr="006D278D" w:rsidRDefault="006D278D" w:rsidP="006D278D">
      <w:pPr>
        <w:pStyle w:val="BodyText"/>
        <w:numPr>
          <w:ilvl w:val="0"/>
          <w:numId w:val="17"/>
        </w:numPr>
        <w:overflowPunct/>
        <w:autoSpaceDE/>
        <w:autoSpaceDN/>
        <w:adjustRightInd/>
        <w:spacing w:after="0"/>
        <w:textAlignment w:val="auto"/>
        <w:rPr>
          <w:color w:val="000000"/>
          <w:sz w:val="24"/>
          <w:szCs w:val="24"/>
          <w:lang w:val="en-US"/>
        </w:rPr>
      </w:pPr>
      <w:r w:rsidRPr="006D278D">
        <w:rPr>
          <w:sz w:val="24"/>
          <w:szCs w:val="24"/>
          <w:lang w:val="en-US"/>
        </w:rPr>
        <w:t xml:space="preserve">Zaichick V, Zaichick S. </w:t>
      </w:r>
      <w:r w:rsidRPr="006D278D">
        <w:rPr>
          <w:sz w:val="24"/>
          <w:szCs w:val="24"/>
          <w:lang w:val="en-IN"/>
        </w:rPr>
        <w:t xml:space="preserve">Association between female subclinical hypothyroidism and inadequate quantities of some intra-thyroidal chemical elements investigated by X-ray fluorescence and neutron activation analysis. </w:t>
      </w:r>
      <w:r w:rsidRPr="006D278D">
        <w:rPr>
          <w:rStyle w:val="m-4316533558507110585m5076704167581948767gmailmsg"/>
          <w:sz w:val="24"/>
          <w:szCs w:val="24"/>
          <w:lang w:val="en-US"/>
        </w:rPr>
        <w:t>Gynaecology and Perinatology 2018;2(4):340-355.</w:t>
      </w:r>
      <w:r w:rsidRPr="006D278D">
        <w:rPr>
          <w:color w:val="000000"/>
          <w:sz w:val="24"/>
          <w:szCs w:val="24"/>
          <w:lang w:val="en-US"/>
        </w:rPr>
        <w:t xml:space="preserve"> </w:t>
      </w:r>
    </w:p>
    <w:p w:rsidR="006D278D" w:rsidRPr="006D278D" w:rsidRDefault="006D278D" w:rsidP="006D278D">
      <w:pPr>
        <w:pStyle w:val="BodyText"/>
        <w:numPr>
          <w:ilvl w:val="0"/>
          <w:numId w:val="17"/>
        </w:numPr>
        <w:overflowPunct/>
        <w:autoSpaceDE/>
        <w:autoSpaceDN/>
        <w:adjustRightInd/>
        <w:spacing w:after="0"/>
        <w:textAlignment w:val="auto"/>
        <w:rPr>
          <w:color w:val="000000"/>
          <w:sz w:val="24"/>
          <w:szCs w:val="24"/>
          <w:lang w:val="en-US"/>
        </w:rPr>
      </w:pPr>
      <w:r w:rsidRPr="006D278D">
        <w:rPr>
          <w:sz w:val="24"/>
          <w:szCs w:val="24"/>
          <w:lang w:val="en-US"/>
        </w:rPr>
        <w:t>Zaichick V, Zaichick S</w:t>
      </w:r>
      <w:r w:rsidRPr="006D278D">
        <w:rPr>
          <w:sz w:val="24"/>
          <w:szCs w:val="24"/>
        </w:rPr>
        <w:t xml:space="preserve">. </w:t>
      </w:r>
      <w:r w:rsidRPr="006D278D">
        <w:rPr>
          <w:sz w:val="24"/>
          <w:szCs w:val="24"/>
          <w:lang w:val="en-US"/>
        </w:rPr>
        <w:t xml:space="preserve">Investigation of association between the high risk of female </w:t>
      </w:r>
      <w:r w:rsidRPr="006D278D">
        <w:rPr>
          <w:sz w:val="24"/>
          <w:szCs w:val="24"/>
        </w:rPr>
        <w:t>subclinical hypothyroidism</w:t>
      </w:r>
      <w:r w:rsidRPr="006D278D">
        <w:rPr>
          <w:sz w:val="24"/>
          <w:szCs w:val="24"/>
          <w:lang w:val="en-US"/>
        </w:rPr>
        <w:t xml:space="preserve"> and inadequate quantities of twenty intra-thyroidal chemical elements.</w:t>
      </w:r>
      <w:r w:rsidRPr="006D278D">
        <w:rPr>
          <w:b/>
          <w:sz w:val="24"/>
          <w:szCs w:val="24"/>
        </w:rPr>
        <w:t xml:space="preserve"> </w:t>
      </w:r>
      <w:r w:rsidRPr="006D278D">
        <w:rPr>
          <w:sz w:val="24"/>
          <w:szCs w:val="24"/>
          <w:lang w:val="en-US"/>
        </w:rPr>
        <w:t>Clin Res: Gynecol Obstet 2018;1(1):1-18.</w:t>
      </w:r>
    </w:p>
    <w:p w:rsidR="006D278D" w:rsidRPr="006D278D" w:rsidRDefault="006D278D" w:rsidP="006D278D">
      <w:pPr>
        <w:pStyle w:val="BodyText"/>
        <w:numPr>
          <w:ilvl w:val="0"/>
          <w:numId w:val="17"/>
        </w:numPr>
        <w:overflowPunct/>
        <w:autoSpaceDE/>
        <w:autoSpaceDN/>
        <w:adjustRightInd/>
        <w:spacing w:after="0"/>
        <w:textAlignment w:val="auto"/>
        <w:rPr>
          <w:color w:val="000000"/>
          <w:sz w:val="24"/>
          <w:szCs w:val="24"/>
          <w:lang w:val="en-US"/>
        </w:rPr>
      </w:pPr>
      <w:r w:rsidRPr="006D278D">
        <w:rPr>
          <w:sz w:val="24"/>
          <w:szCs w:val="24"/>
          <w:lang w:val="en-US"/>
        </w:rPr>
        <w:t>Zaichick V, Zaichick S</w:t>
      </w:r>
      <w:r w:rsidRPr="006D278D">
        <w:rPr>
          <w:sz w:val="24"/>
          <w:szCs w:val="24"/>
        </w:rPr>
        <w:t xml:space="preserve">. </w:t>
      </w:r>
      <w:r w:rsidRPr="006D278D">
        <w:rPr>
          <w:sz w:val="24"/>
          <w:szCs w:val="24"/>
          <w:lang w:val="en-US"/>
        </w:rPr>
        <w:t xml:space="preserve">Investigation of association between the high risk of female </w:t>
      </w:r>
      <w:r w:rsidRPr="006D278D">
        <w:rPr>
          <w:sz w:val="24"/>
          <w:szCs w:val="24"/>
        </w:rPr>
        <w:t>subclinical hypothyroidism</w:t>
      </w:r>
      <w:r w:rsidRPr="006D278D">
        <w:rPr>
          <w:sz w:val="24"/>
          <w:szCs w:val="24"/>
          <w:lang w:val="en-US"/>
        </w:rPr>
        <w:t xml:space="preserve"> and inadequate quantities of intra-thyroidal </w:t>
      </w:r>
      <w:r w:rsidRPr="006D278D">
        <w:rPr>
          <w:rFonts w:eastAsia="Calibri"/>
          <w:sz w:val="24"/>
          <w:szCs w:val="24"/>
          <w:lang w:val="en-US" w:eastAsia="en-US"/>
        </w:rPr>
        <w:t xml:space="preserve">trace elements using neutron activation and inductively coupled plasma mass spectrometry. </w:t>
      </w:r>
      <w:r w:rsidRPr="006D278D">
        <w:rPr>
          <w:rFonts w:eastAsia="Calibri"/>
          <w:iCs/>
          <w:sz w:val="24"/>
          <w:szCs w:val="24"/>
          <w:lang w:val="en-US" w:eastAsia="en-US"/>
        </w:rPr>
        <w:t xml:space="preserve">Acta Scientific Medical Sciences </w:t>
      </w:r>
      <w:r w:rsidRPr="006D278D">
        <w:rPr>
          <w:rFonts w:eastAsia="Calibri"/>
          <w:sz w:val="24"/>
          <w:szCs w:val="24"/>
          <w:lang w:val="en-US" w:eastAsia="en-US"/>
        </w:rPr>
        <w:t>2018;2(9):23-37.</w:t>
      </w:r>
    </w:p>
    <w:p w:rsidR="006D278D" w:rsidRPr="006D278D" w:rsidRDefault="006D278D" w:rsidP="006D278D">
      <w:pPr>
        <w:pStyle w:val="Default"/>
        <w:numPr>
          <w:ilvl w:val="0"/>
          <w:numId w:val="17"/>
        </w:numPr>
        <w:ind w:left="357" w:hanging="357"/>
        <w:rPr>
          <w:rFonts w:ascii="Times New Roman" w:hAnsi="Times New Roman" w:cs="Times New Roman"/>
          <w:lang w:val="en-US"/>
        </w:rPr>
      </w:pPr>
      <w:r w:rsidRPr="006D278D">
        <w:rPr>
          <w:rFonts w:ascii="Times New Roman" w:hAnsi="Times New Roman" w:cs="Times New Roman"/>
          <w:lang w:val="en-US"/>
        </w:rPr>
        <w:t xml:space="preserve">Zaichick V. Comparison between trace element contents in </w:t>
      </w:r>
      <w:r w:rsidRPr="006D278D">
        <w:rPr>
          <w:rFonts w:ascii="Times New Roman" w:hAnsi="Times New Roman" w:cs="Times New Roman"/>
          <w:spacing w:val="1"/>
          <w:lang w:val="en-GB"/>
        </w:rPr>
        <w:t xml:space="preserve">macro and micro follicular colloid </w:t>
      </w:r>
      <w:r w:rsidRPr="006D278D">
        <w:rPr>
          <w:rFonts w:ascii="Times New Roman" w:hAnsi="Times New Roman" w:cs="Times New Roman"/>
          <w:lang w:val="en-US"/>
        </w:rPr>
        <w:t>goiter using energy dispersive X-ray fluorescent analysis.</w:t>
      </w:r>
      <w:r w:rsidRPr="006D278D">
        <w:rPr>
          <w:rFonts w:ascii="Times New Roman" w:hAnsi="Times New Roman" w:cs="Times New Roman"/>
          <w:b/>
          <w:bCs/>
          <w:lang w:val="en-CA"/>
        </w:rPr>
        <w:t xml:space="preserve"> </w:t>
      </w:r>
      <w:r w:rsidRPr="006D278D">
        <w:rPr>
          <w:rFonts w:ascii="Times New Roman" w:hAnsi="Times New Roman" w:cs="Times New Roman"/>
          <w:bCs/>
          <w:lang w:val="en-CA"/>
        </w:rPr>
        <w:t>International Journal of Bioprocess &amp; Biotechnological Advancements 2021;7(5):399-406.</w:t>
      </w:r>
      <w:r w:rsidRPr="006D278D">
        <w:rPr>
          <w:rFonts w:ascii="Times New Roman" w:hAnsi="Times New Roman" w:cs="Times New Roman"/>
          <w:color w:val="auto"/>
          <w:lang w:val="en-US"/>
        </w:rPr>
        <w:t xml:space="preserve"> </w:t>
      </w:r>
    </w:p>
    <w:p w:rsidR="006D278D" w:rsidRPr="006D278D" w:rsidRDefault="006D278D" w:rsidP="006D278D">
      <w:pPr>
        <w:pStyle w:val="Default"/>
        <w:numPr>
          <w:ilvl w:val="0"/>
          <w:numId w:val="17"/>
        </w:numPr>
        <w:ind w:left="357" w:hanging="357"/>
        <w:rPr>
          <w:rStyle w:val="Strong"/>
          <w:rFonts w:ascii="Times New Roman" w:hAnsi="Times New Roman" w:cs="Times New Roman"/>
          <w:b w:val="0"/>
          <w:bCs w:val="0"/>
          <w:lang w:val="en-US"/>
        </w:rPr>
      </w:pPr>
      <w:r w:rsidRPr="006D278D">
        <w:rPr>
          <w:rFonts w:ascii="Times New Roman" w:hAnsi="Times New Roman" w:cs="Times New Roman"/>
          <w:lang w:val="en-US"/>
        </w:rPr>
        <w:t xml:space="preserve">Zaichick V. Trace element contents in </w:t>
      </w:r>
      <w:r w:rsidRPr="006D278D">
        <w:rPr>
          <w:rFonts w:ascii="Times New Roman" w:hAnsi="Times New Roman" w:cs="Times New Roman"/>
          <w:spacing w:val="1"/>
          <w:lang w:val="en-GB"/>
        </w:rPr>
        <w:t xml:space="preserve">thyroid of patients with diagnosed nodular </w:t>
      </w:r>
      <w:r w:rsidRPr="006D278D">
        <w:rPr>
          <w:rFonts w:ascii="Times New Roman" w:hAnsi="Times New Roman" w:cs="Times New Roman"/>
          <w:lang w:val="en-US"/>
        </w:rPr>
        <w:t>goiter determined by energy dispersive X-ray fluorescent analysis. Applied Medical Research 2021;8(2):1-9</w:t>
      </w:r>
      <w:r w:rsidRPr="006D278D">
        <w:rPr>
          <w:rFonts w:ascii="Times New Roman" w:hAnsi="Times New Roman" w:cs="Times New Roman"/>
          <w:color w:val="auto"/>
          <w:lang w:val="en-US"/>
        </w:rPr>
        <w:t>.</w:t>
      </w:r>
      <w:r w:rsidRPr="006D278D">
        <w:rPr>
          <w:rStyle w:val="Strong"/>
          <w:rFonts w:ascii="Times New Roman" w:hAnsi="Times New Roman" w:cs="Times New Roman"/>
          <w:lang w:val="en-US"/>
        </w:rPr>
        <w:t xml:space="preserve"> </w:t>
      </w:r>
    </w:p>
    <w:p w:rsidR="006D278D" w:rsidRPr="006D278D" w:rsidRDefault="006D278D" w:rsidP="006D278D">
      <w:pPr>
        <w:numPr>
          <w:ilvl w:val="0"/>
          <w:numId w:val="17"/>
        </w:numPr>
        <w:rPr>
          <w:rStyle w:val="Strong"/>
          <w:b w:val="0"/>
          <w:bCs w:val="0"/>
          <w:lang w:val="en-US"/>
        </w:rPr>
      </w:pPr>
      <w:r w:rsidRPr="006D278D">
        <w:rPr>
          <w:lang w:val="en-US"/>
        </w:rPr>
        <w:t xml:space="preserve">Zaichick V. </w:t>
      </w:r>
      <w:r w:rsidRPr="006D278D">
        <w:rPr>
          <w:bCs/>
          <w:kern w:val="36"/>
          <w:lang w:val="en-US"/>
        </w:rPr>
        <w:t>Evaluation</w:t>
      </w:r>
      <w:r w:rsidRPr="006D278D">
        <w:rPr>
          <w:lang w:val="en-US"/>
        </w:rPr>
        <w:t xml:space="preserve"> of trace element in </w:t>
      </w:r>
      <w:r w:rsidRPr="006D278D">
        <w:rPr>
          <w:spacing w:val="1"/>
          <w:lang w:val="en-GB"/>
        </w:rPr>
        <w:t xml:space="preserve">thyroid adenomas using </w:t>
      </w:r>
      <w:r w:rsidRPr="006D278D">
        <w:rPr>
          <w:lang w:val="en-US"/>
        </w:rPr>
        <w:t>energy dispersive X-ray fluorescent analysis. Journal of Nanosciences Research &amp; Reports 2021;3(4):1-7.</w:t>
      </w:r>
      <w:r w:rsidRPr="006D278D">
        <w:rPr>
          <w:rStyle w:val="Strong"/>
          <w:lang w:val="en-US"/>
        </w:rPr>
        <w:t xml:space="preserve"> </w:t>
      </w:r>
    </w:p>
    <w:p w:rsidR="006D278D" w:rsidRPr="006D278D" w:rsidRDefault="006D278D" w:rsidP="006D278D">
      <w:pPr>
        <w:pStyle w:val="BodyText"/>
        <w:numPr>
          <w:ilvl w:val="0"/>
          <w:numId w:val="17"/>
        </w:numPr>
        <w:overflowPunct/>
        <w:spacing w:after="0"/>
        <w:textAlignment w:val="auto"/>
        <w:rPr>
          <w:b/>
          <w:color w:val="333333"/>
          <w:sz w:val="24"/>
          <w:szCs w:val="24"/>
          <w:lang w:val="en-US"/>
        </w:rPr>
      </w:pPr>
      <w:r w:rsidRPr="006D278D">
        <w:rPr>
          <w:sz w:val="24"/>
          <w:szCs w:val="24"/>
          <w:lang w:val="en-US"/>
        </w:rPr>
        <w:t>Zaichick V.</w:t>
      </w:r>
      <w:r w:rsidRPr="006D278D">
        <w:rPr>
          <w:b/>
          <w:color w:val="000000"/>
          <w:sz w:val="24"/>
          <w:szCs w:val="24"/>
          <w:lang w:val="en-US"/>
        </w:rPr>
        <w:t xml:space="preserve"> </w:t>
      </w:r>
      <w:r w:rsidRPr="006D278D">
        <w:rPr>
          <w:bCs/>
          <w:kern w:val="36"/>
          <w:sz w:val="24"/>
          <w:szCs w:val="24"/>
          <w:lang w:val="en-US"/>
        </w:rPr>
        <w:t>Evaluation</w:t>
      </w:r>
      <w:r w:rsidRPr="006D278D">
        <w:rPr>
          <w:sz w:val="24"/>
          <w:szCs w:val="24"/>
          <w:lang w:val="en-US"/>
        </w:rPr>
        <w:t xml:space="preserve"> of </w:t>
      </w:r>
      <w:r w:rsidRPr="006D278D">
        <w:rPr>
          <w:spacing w:val="1"/>
          <w:sz w:val="24"/>
          <w:szCs w:val="24"/>
          <w:lang w:val="en-GB"/>
        </w:rPr>
        <w:t xml:space="preserve">thyroid </w:t>
      </w:r>
      <w:r w:rsidRPr="006D278D">
        <w:rPr>
          <w:sz w:val="24"/>
          <w:szCs w:val="24"/>
          <w:lang w:val="en-US"/>
        </w:rPr>
        <w:t>trace element in Hashimoto's thyroiditis</w:t>
      </w:r>
      <w:r w:rsidRPr="006D278D">
        <w:rPr>
          <w:spacing w:val="1"/>
          <w:sz w:val="24"/>
          <w:szCs w:val="24"/>
          <w:lang w:val="en-GB"/>
        </w:rPr>
        <w:t xml:space="preserve"> using method of </w:t>
      </w:r>
      <w:r w:rsidRPr="006D278D">
        <w:rPr>
          <w:sz w:val="24"/>
          <w:szCs w:val="24"/>
          <w:lang w:val="en-US"/>
        </w:rPr>
        <w:t>X-ray fluorescence.</w:t>
      </w:r>
      <w:r w:rsidRPr="006D278D">
        <w:rPr>
          <w:rStyle w:val="hps"/>
          <w:iCs/>
          <w:sz w:val="24"/>
          <w:szCs w:val="24"/>
          <w:lang w:val="en-US"/>
        </w:rPr>
        <w:t xml:space="preserve"> </w:t>
      </w:r>
      <w:r w:rsidRPr="006D278D">
        <w:rPr>
          <w:rStyle w:val="Strong"/>
          <w:b w:val="0"/>
          <w:iCs/>
          <w:sz w:val="24"/>
          <w:szCs w:val="24"/>
          <w:lang w:val="en-US"/>
        </w:rPr>
        <w:t>International Journal of Integrated Medical Research 2021;8(4):1-9</w:t>
      </w:r>
      <w:r w:rsidRPr="006D278D">
        <w:rPr>
          <w:b/>
          <w:iCs/>
          <w:sz w:val="24"/>
          <w:szCs w:val="24"/>
          <w:lang w:val="en-US"/>
        </w:rPr>
        <w:t>.</w:t>
      </w:r>
      <w:r w:rsidRPr="006D278D">
        <w:rPr>
          <w:b/>
          <w:bCs/>
          <w:sz w:val="24"/>
          <w:szCs w:val="24"/>
          <w:lang w:val="en-IN"/>
        </w:rPr>
        <w:t xml:space="preserve"> </w:t>
      </w:r>
    </w:p>
    <w:p w:rsidR="006D278D" w:rsidRPr="006D278D" w:rsidRDefault="006D278D" w:rsidP="006D278D">
      <w:pPr>
        <w:numPr>
          <w:ilvl w:val="0"/>
          <w:numId w:val="17"/>
        </w:numPr>
        <w:rPr>
          <w:lang w:val="en-US"/>
        </w:rPr>
      </w:pPr>
      <w:r w:rsidRPr="006D278D">
        <w:rPr>
          <w:lang w:val="en-US"/>
        </w:rPr>
        <w:t>Zaichick V.</w:t>
      </w:r>
      <w:r w:rsidRPr="006D278D">
        <w:rPr>
          <w:b/>
          <w:color w:val="000000"/>
          <w:lang w:val="en-US"/>
        </w:rPr>
        <w:t xml:space="preserve"> </w:t>
      </w:r>
      <w:r w:rsidRPr="006D278D">
        <w:rPr>
          <w:bCs/>
          <w:kern w:val="36"/>
          <w:lang w:val="en-US"/>
        </w:rPr>
        <w:t>Evaluation</w:t>
      </w:r>
      <w:r w:rsidRPr="006D278D">
        <w:rPr>
          <w:lang w:val="en-US"/>
        </w:rPr>
        <w:t xml:space="preserve"> of trace elements in </w:t>
      </w:r>
      <w:r w:rsidRPr="006D278D">
        <w:rPr>
          <w:bCs/>
          <w:kern w:val="36"/>
          <w:lang w:val="en-US"/>
        </w:rPr>
        <w:t>Riedel’s Struma</w:t>
      </w:r>
      <w:r w:rsidRPr="006D278D">
        <w:rPr>
          <w:spacing w:val="1"/>
          <w:lang w:val="en-GB"/>
        </w:rPr>
        <w:t xml:space="preserve"> using energy dispersive </w:t>
      </w:r>
      <w:r w:rsidRPr="006D278D">
        <w:rPr>
          <w:lang w:val="en-US"/>
        </w:rPr>
        <w:t xml:space="preserve">X-ray fluorescence analysis. </w:t>
      </w:r>
      <w:r w:rsidRPr="006D278D">
        <w:t xml:space="preserve">International Journal of Radiology Sciences </w:t>
      </w:r>
      <w:r w:rsidRPr="006D278D">
        <w:rPr>
          <w:lang w:val="en-US"/>
        </w:rPr>
        <w:t>2021;3(1):30-34.</w:t>
      </w:r>
    </w:p>
    <w:p w:rsidR="006D278D" w:rsidRPr="006D278D" w:rsidRDefault="006D278D" w:rsidP="006D278D">
      <w:pPr>
        <w:numPr>
          <w:ilvl w:val="0"/>
          <w:numId w:val="17"/>
        </w:numPr>
        <w:rPr>
          <w:lang w:val="en-US"/>
        </w:rPr>
      </w:pPr>
      <w:r w:rsidRPr="006D278D">
        <w:rPr>
          <w:lang w:val="en-US"/>
        </w:rPr>
        <w:t>Zaichick V. Zaichick S. Trace element contents in thyroid cancer investigated by energy dispersive X-Ray fluorescent analysis.</w:t>
      </w:r>
      <w:r w:rsidRPr="006D278D">
        <w:rPr>
          <w:rStyle w:val="BodyTextChar"/>
          <w:rFonts w:eastAsiaTheme="minorHAnsi"/>
          <w:sz w:val="24"/>
          <w:szCs w:val="24"/>
          <w:lang w:val="en-US"/>
        </w:rPr>
        <w:t xml:space="preserve"> </w:t>
      </w:r>
      <w:hyperlink r:id="rId22" w:tgtFrame="_blank" w:history="1">
        <w:r w:rsidRPr="006D278D">
          <w:rPr>
            <w:rStyle w:val="Hyperlink"/>
            <w:bCs/>
            <w:u w:val="none"/>
            <w:lang w:val="en-US"/>
          </w:rPr>
          <w:t>American Journal of Cancer Research and Reviews</w:t>
        </w:r>
      </w:hyperlink>
      <w:r w:rsidRPr="006D278D">
        <w:rPr>
          <w:rStyle w:val="Strong"/>
          <w:lang w:val="en-US"/>
        </w:rPr>
        <w:t xml:space="preserve"> </w:t>
      </w:r>
      <w:r w:rsidRPr="006D278D">
        <w:rPr>
          <w:lang w:val="en-US"/>
        </w:rPr>
        <w:t>2018;2(5):1-11.</w:t>
      </w:r>
    </w:p>
    <w:p w:rsidR="006D278D" w:rsidRPr="006D278D" w:rsidRDefault="006D278D" w:rsidP="006D278D">
      <w:pPr>
        <w:numPr>
          <w:ilvl w:val="0"/>
          <w:numId w:val="17"/>
        </w:numPr>
        <w:rPr>
          <w:lang w:val="en-US"/>
        </w:rPr>
      </w:pPr>
      <w:r w:rsidRPr="006D278D">
        <w:rPr>
          <w:lang w:val="en-US"/>
        </w:rPr>
        <w:t>Zaichick V.</w:t>
      </w:r>
      <w:r w:rsidRPr="006D278D">
        <w:rPr>
          <w:bCs/>
          <w:kern w:val="36"/>
          <w:lang w:val="en-US"/>
        </w:rPr>
        <w:t xml:space="preserve"> Content</w:t>
      </w:r>
      <w:r w:rsidRPr="006D278D">
        <w:rPr>
          <w:lang w:val="en-US"/>
        </w:rPr>
        <w:t xml:space="preserve"> of copper, iron, iodine, rubidium, strontium and zinc in </w:t>
      </w:r>
      <w:r w:rsidRPr="006D278D">
        <w:rPr>
          <w:spacing w:val="1"/>
          <w:lang w:val="en-GB"/>
        </w:rPr>
        <w:t>thyroid benign nodules</w:t>
      </w:r>
      <w:r w:rsidRPr="006D278D">
        <w:rPr>
          <w:lang w:val="en-US"/>
        </w:rPr>
        <w:t xml:space="preserve"> and </w:t>
      </w:r>
      <w:r w:rsidRPr="006D278D">
        <w:rPr>
          <w:spacing w:val="1"/>
          <w:lang w:val="en-GB"/>
        </w:rPr>
        <w:t>tissue adjacent to nodules.</w:t>
      </w:r>
      <w:r w:rsidRPr="006D278D">
        <w:rPr>
          <w:b/>
          <w:bCs/>
          <w:lang w:val="en-US"/>
        </w:rPr>
        <w:t xml:space="preserve"> </w:t>
      </w:r>
      <w:r w:rsidRPr="006D278D">
        <w:rPr>
          <w:bCs/>
          <w:lang w:val="en-US"/>
        </w:rPr>
        <w:t>International Journal of Medical and Public Health Research and Review</w:t>
      </w:r>
      <w:r w:rsidRPr="006D278D">
        <w:rPr>
          <w:lang w:val="en-US"/>
        </w:rPr>
        <w:t xml:space="preserve"> 2021;1(1):30-42.</w:t>
      </w:r>
    </w:p>
    <w:p w:rsidR="006D278D" w:rsidRPr="006D278D" w:rsidRDefault="006D278D" w:rsidP="006D278D">
      <w:pPr>
        <w:pStyle w:val="BodyText"/>
        <w:numPr>
          <w:ilvl w:val="0"/>
          <w:numId w:val="17"/>
        </w:numPr>
        <w:overflowPunct/>
        <w:snapToGrid w:val="0"/>
        <w:spacing w:after="0"/>
        <w:textAlignment w:val="auto"/>
        <w:rPr>
          <w:sz w:val="24"/>
          <w:szCs w:val="24"/>
          <w:lang w:val="en-US"/>
        </w:rPr>
      </w:pPr>
      <w:r w:rsidRPr="006D278D">
        <w:rPr>
          <w:bCs/>
          <w:sz w:val="24"/>
          <w:szCs w:val="24"/>
          <w:lang w:val="en-IN"/>
        </w:rPr>
        <w:lastRenderedPageBreak/>
        <w:t xml:space="preserve"> </w:t>
      </w:r>
      <w:r w:rsidRPr="006D278D">
        <w:rPr>
          <w:sz w:val="24"/>
          <w:szCs w:val="24"/>
          <w:lang w:val="en-US"/>
        </w:rPr>
        <w:t>Zaichick V, Zaichick S. Instrumental effect on the contamination of biomedical samples in the course of sampling. The Journal of Analytical Chemistry 1996;51(12):1200-1205.</w:t>
      </w:r>
    </w:p>
    <w:p w:rsidR="006D278D" w:rsidRPr="006D278D" w:rsidRDefault="006D278D" w:rsidP="006D278D">
      <w:pPr>
        <w:numPr>
          <w:ilvl w:val="0"/>
          <w:numId w:val="17"/>
        </w:numPr>
        <w:overflowPunct w:val="0"/>
        <w:autoSpaceDE w:val="0"/>
        <w:autoSpaceDN w:val="0"/>
        <w:adjustRightInd w:val="0"/>
        <w:jc w:val="both"/>
        <w:textAlignment w:val="baseline"/>
        <w:rPr>
          <w:lang w:val="en-US"/>
        </w:rPr>
      </w:pPr>
      <w:r w:rsidRPr="006D278D">
        <w:rPr>
          <w:lang w:val="en-US"/>
        </w:rPr>
        <w:t xml:space="preserve">Zaichick V, Zaichick S. </w:t>
      </w:r>
      <w:r w:rsidRPr="006D278D">
        <w:rPr>
          <w:lang w:val="en-GB"/>
        </w:rPr>
        <w:t xml:space="preserve">A search for losses of chemical elements during freeze-drying of biological materials. </w:t>
      </w:r>
      <w:r w:rsidRPr="006D278D">
        <w:rPr>
          <w:lang w:val="en-US"/>
        </w:rPr>
        <w:t xml:space="preserve">J Radioanal Nucl Chem </w:t>
      </w:r>
      <w:r w:rsidRPr="006D278D">
        <w:rPr>
          <w:lang w:val="en-GB"/>
        </w:rPr>
        <w:t>1997;218(2):249-253.</w:t>
      </w:r>
    </w:p>
    <w:p w:rsidR="006D278D" w:rsidRPr="006D278D" w:rsidRDefault="006D278D" w:rsidP="006D278D">
      <w:pPr>
        <w:numPr>
          <w:ilvl w:val="0"/>
          <w:numId w:val="17"/>
        </w:numPr>
        <w:overflowPunct w:val="0"/>
        <w:autoSpaceDE w:val="0"/>
        <w:autoSpaceDN w:val="0"/>
        <w:adjustRightInd w:val="0"/>
        <w:textAlignment w:val="baseline"/>
        <w:rPr>
          <w:bCs/>
          <w:lang w:val="en-US"/>
        </w:rPr>
      </w:pPr>
      <w:r w:rsidRPr="006D278D">
        <w:rPr>
          <w:lang w:val="en-GB"/>
        </w:rPr>
        <w:t>Zaichick V. Applications of synthetic reference materials in the medical Radiological Research Centre. Fresenius J Anal Chem 1995;352:219-223.</w:t>
      </w:r>
    </w:p>
    <w:p w:rsidR="006D278D" w:rsidRPr="006D278D" w:rsidRDefault="006D278D" w:rsidP="006D278D">
      <w:pPr>
        <w:numPr>
          <w:ilvl w:val="0"/>
          <w:numId w:val="17"/>
        </w:numPr>
        <w:rPr>
          <w:lang w:val="en-US"/>
        </w:rPr>
      </w:pPr>
      <w:r w:rsidRPr="006D278D">
        <w:t>Zaichick S., Zaichick V. The Br, Fe, Rb, Sr, and Zn contents and interrelation in intact and morphologic normal prostate tissue of adult men investigated by energy-dispersive X-ray fluorescent analysis. X-Ray Spectrom 2011;40(6):464-469.</w:t>
      </w:r>
    </w:p>
    <w:p w:rsidR="006D278D" w:rsidRPr="006D278D" w:rsidRDefault="006D278D" w:rsidP="006D278D">
      <w:pPr>
        <w:numPr>
          <w:ilvl w:val="0"/>
          <w:numId w:val="17"/>
        </w:numPr>
        <w:ind w:left="357" w:hanging="357"/>
        <w:rPr>
          <w:lang w:val="en-US"/>
        </w:rPr>
      </w:pPr>
      <w:r w:rsidRPr="006D278D">
        <w:rPr>
          <w:lang w:val="en-US"/>
        </w:rPr>
        <w:t>Handl J, Pfau A, Huth FW. Measurements of 129I in human and bovine thyroids in Europe-transfer of 129I into the food chain. Health Phys 1990;</w:t>
      </w:r>
      <w:r w:rsidRPr="006D278D">
        <w:rPr>
          <w:bCs/>
          <w:lang w:val="en-US"/>
        </w:rPr>
        <w:t>58</w:t>
      </w:r>
      <w:r w:rsidRPr="006D278D">
        <w:rPr>
          <w:lang w:val="en-US"/>
        </w:rPr>
        <w:t>(5):609-618.</w:t>
      </w:r>
    </w:p>
    <w:p w:rsidR="006D278D" w:rsidRPr="006D278D" w:rsidRDefault="006D278D" w:rsidP="006D278D">
      <w:pPr>
        <w:pStyle w:val="ListParagraph"/>
        <w:numPr>
          <w:ilvl w:val="0"/>
          <w:numId w:val="17"/>
        </w:numPr>
        <w:spacing w:after="0" w:line="240" w:lineRule="auto"/>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Aeschimann S, Buergi U, Wagner HE, Kaempf J, Lauber K, Studer H. Low intrathyroidal iodine concentration in non-endemic human goiters: a consequence rather than a cause of autonomous goiter growth. J Endocrinol 1994; </w:t>
      </w:r>
      <w:r w:rsidRPr="006D278D">
        <w:rPr>
          <w:rFonts w:ascii="Times New Roman" w:hAnsi="Times New Roman" w:cs="Times New Roman"/>
          <w:bCs/>
          <w:sz w:val="24"/>
          <w:szCs w:val="24"/>
          <w:lang w:val="en-US"/>
        </w:rPr>
        <w:t>140</w:t>
      </w:r>
      <w:r w:rsidRPr="006D278D">
        <w:rPr>
          <w:rFonts w:ascii="Times New Roman" w:hAnsi="Times New Roman" w:cs="Times New Roman"/>
          <w:sz w:val="24"/>
          <w:szCs w:val="24"/>
          <w:lang w:val="en-US"/>
        </w:rPr>
        <w:t xml:space="preserve">(1):156-164. </w:t>
      </w:r>
    </w:p>
    <w:p w:rsidR="006D278D" w:rsidRPr="006D278D" w:rsidRDefault="00B35097" w:rsidP="006D278D">
      <w:pPr>
        <w:pStyle w:val="ListParagraph"/>
        <w:numPr>
          <w:ilvl w:val="0"/>
          <w:numId w:val="17"/>
        </w:numPr>
        <w:spacing w:after="0" w:line="240" w:lineRule="auto"/>
        <w:ind w:left="357" w:hanging="357"/>
        <w:rPr>
          <w:rFonts w:ascii="Times New Roman" w:hAnsi="Times New Roman" w:cs="Times New Roman"/>
          <w:sz w:val="24"/>
          <w:szCs w:val="24"/>
          <w:lang w:val="en-US"/>
        </w:rPr>
      </w:pPr>
      <w:hyperlink r:id="rId23" w:tooltip="Show author details" w:history="1">
        <w:r w:rsidR="006D278D" w:rsidRPr="006D278D">
          <w:rPr>
            <w:rStyle w:val="Hyperlink"/>
            <w:rFonts w:ascii="Times New Roman" w:hAnsi="Times New Roman"/>
            <w:sz w:val="24"/>
            <w:szCs w:val="24"/>
            <w:u w:val="none"/>
            <w:lang w:val="en-US"/>
          </w:rPr>
          <w:t>Boulyga, S.F.</w:t>
        </w:r>
      </w:hyperlink>
      <w:r w:rsidR="006D278D" w:rsidRPr="006D278D">
        <w:rPr>
          <w:rFonts w:ascii="Times New Roman" w:hAnsi="Times New Roman" w:cs="Times New Roman"/>
          <w:sz w:val="24"/>
          <w:szCs w:val="24"/>
          <w:lang w:val="en-US"/>
        </w:rPr>
        <w:t>,</w:t>
      </w:r>
      <w:r w:rsidR="006D278D" w:rsidRPr="006D278D">
        <w:rPr>
          <w:rStyle w:val="apple-converted-space"/>
          <w:rFonts w:ascii="Times New Roman" w:hAnsi="Times New Roman" w:cs="Times New Roman"/>
          <w:sz w:val="24"/>
          <w:szCs w:val="24"/>
          <w:lang w:val="en-US"/>
        </w:rPr>
        <w:t> </w:t>
      </w:r>
      <w:hyperlink r:id="rId24" w:tooltip="Show author details" w:history="1">
        <w:r w:rsidR="006D278D" w:rsidRPr="006D278D">
          <w:rPr>
            <w:rStyle w:val="Hyperlink"/>
            <w:rFonts w:ascii="Times New Roman" w:hAnsi="Times New Roman"/>
            <w:sz w:val="24"/>
            <w:szCs w:val="24"/>
            <w:u w:val="none"/>
            <w:lang w:val="en-US"/>
          </w:rPr>
          <w:t>Zhuk, I.V.</w:t>
        </w:r>
      </w:hyperlink>
      <w:r w:rsidR="006D278D" w:rsidRPr="006D278D">
        <w:rPr>
          <w:rFonts w:ascii="Times New Roman" w:hAnsi="Times New Roman" w:cs="Times New Roman"/>
          <w:sz w:val="24"/>
          <w:szCs w:val="24"/>
          <w:lang w:val="en-US"/>
        </w:rPr>
        <w:t>,</w:t>
      </w:r>
      <w:hyperlink r:id="rId25" w:tooltip="Show author details" w:history="1">
        <w:r w:rsidR="006D278D" w:rsidRPr="006D278D">
          <w:rPr>
            <w:rStyle w:val="Hyperlink"/>
            <w:rFonts w:ascii="Times New Roman" w:hAnsi="Times New Roman"/>
            <w:sz w:val="24"/>
            <w:szCs w:val="24"/>
            <w:u w:val="none"/>
            <w:lang w:val="en-US"/>
          </w:rPr>
          <w:t>Lomonosova, E.M.</w:t>
        </w:r>
      </w:hyperlink>
      <w:r w:rsidR="006D278D" w:rsidRPr="006D278D">
        <w:rPr>
          <w:rFonts w:ascii="Times New Roman" w:hAnsi="Times New Roman" w:cs="Times New Roman"/>
          <w:sz w:val="24"/>
          <w:szCs w:val="24"/>
          <w:lang w:val="en-US"/>
        </w:rPr>
        <w:t xml:space="preserve">, </w:t>
      </w:r>
      <w:hyperlink r:id="rId26" w:tooltip="Show author details" w:history="1">
        <w:r w:rsidR="006D278D" w:rsidRPr="006D278D">
          <w:rPr>
            <w:rStyle w:val="Hyperlink"/>
            <w:rFonts w:ascii="Times New Roman" w:hAnsi="Times New Roman"/>
            <w:sz w:val="24"/>
            <w:szCs w:val="24"/>
            <w:u w:val="none"/>
            <w:lang w:val="en-US"/>
          </w:rPr>
          <w:t>Kanash, N.V.</w:t>
        </w:r>
      </w:hyperlink>
      <w:r w:rsidR="006D278D" w:rsidRPr="006D278D">
        <w:rPr>
          <w:rFonts w:ascii="Times New Roman" w:hAnsi="Times New Roman" w:cs="Times New Roman"/>
          <w:sz w:val="24"/>
          <w:szCs w:val="24"/>
          <w:lang w:val="en-US"/>
        </w:rPr>
        <w:t>,</w:t>
      </w:r>
      <w:r w:rsidR="006D278D" w:rsidRPr="006D278D">
        <w:rPr>
          <w:rStyle w:val="apple-converted-space"/>
          <w:rFonts w:ascii="Times New Roman" w:hAnsi="Times New Roman" w:cs="Times New Roman"/>
          <w:sz w:val="24"/>
          <w:szCs w:val="24"/>
          <w:lang w:val="en-US"/>
        </w:rPr>
        <w:t> Bazhanova, N.N.</w:t>
      </w:r>
      <w:r w:rsidR="006D278D" w:rsidRPr="006D278D">
        <w:rPr>
          <w:rFonts w:ascii="Times New Roman" w:hAnsi="Times New Roman" w:cs="Times New Roman"/>
          <w:sz w:val="24"/>
          <w:szCs w:val="24"/>
          <w:lang w:val="en-US"/>
        </w:rPr>
        <w:t xml:space="preserve"> </w:t>
      </w:r>
      <w:r w:rsidR="006D278D" w:rsidRPr="006D278D">
        <w:rPr>
          <w:rStyle w:val="apple-converted-space"/>
          <w:rFonts w:ascii="Times New Roman" w:hAnsi="Times New Roman" w:cs="Times New Roman"/>
          <w:sz w:val="24"/>
          <w:szCs w:val="24"/>
          <w:lang w:val="en-US"/>
        </w:rPr>
        <w:t xml:space="preserve">Determination of microelements in thyroids of the inhabitants of Belarus by neutron activation analysis using the k0-method. </w:t>
      </w:r>
      <w:r w:rsidR="006D278D" w:rsidRPr="006D278D">
        <w:rPr>
          <w:rFonts w:ascii="Times New Roman" w:hAnsi="Times New Roman" w:cs="Times New Roman"/>
          <w:sz w:val="24"/>
          <w:szCs w:val="24"/>
          <w:lang w:val="en-US"/>
        </w:rPr>
        <w:t>J Radioanal Nucl Chem 1997;222(1-2):11-14</w:t>
      </w:r>
    </w:p>
    <w:p w:rsidR="006D278D" w:rsidRPr="006D278D" w:rsidRDefault="006D278D" w:rsidP="006D278D">
      <w:pPr>
        <w:pStyle w:val="ListParagraph"/>
        <w:numPr>
          <w:ilvl w:val="0"/>
          <w:numId w:val="17"/>
        </w:numPr>
        <w:spacing w:after="0" w:line="240" w:lineRule="auto"/>
        <w:ind w:left="357" w:hanging="357"/>
        <w:rPr>
          <w:rFonts w:ascii="Times New Roman" w:hAnsi="Times New Roman" w:cs="Times New Roman"/>
          <w:sz w:val="24"/>
          <w:szCs w:val="24"/>
          <w:shd w:val="clear" w:color="auto" w:fill="FFFFFF"/>
          <w:lang w:val="en-US"/>
        </w:rPr>
      </w:pPr>
      <w:r w:rsidRPr="006D278D">
        <w:rPr>
          <w:rFonts w:ascii="Times New Roman" w:hAnsi="Times New Roman" w:cs="Times New Roman"/>
          <w:sz w:val="24"/>
          <w:szCs w:val="24"/>
          <w:lang w:val="en-US"/>
        </w:rPr>
        <w:t>Boulyga SF, Petri H, Zhuk IV, Kanash NV, Malenchenko AF. Neutron-activation analysis of trace elements in thyroids. J Radioanal Nucl Chem 1999;</w:t>
      </w:r>
      <w:r w:rsidRPr="006D278D">
        <w:rPr>
          <w:rFonts w:ascii="Times New Roman" w:hAnsi="Times New Roman" w:cs="Times New Roman"/>
          <w:bCs/>
          <w:sz w:val="24"/>
          <w:szCs w:val="24"/>
          <w:lang w:val="en-US"/>
        </w:rPr>
        <w:t>242</w:t>
      </w:r>
      <w:r w:rsidRPr="006D278D">
        <w:rPr>
          <w:rFonts w:ascii="Times New Roman" w:hAnsi="Times New Roman" w:cs="Times New Roman"/>
          <w:sz w:val="24"/>
          <w:szCs w:val="24"/>
          <w:lang w:val="en-US"/>
        </w:rPr>
        <w:t>(2):335-340.</w:t>
      </w:r>
    </w:p>
    <w:p w:rsidR="006D278D" w:rsidRPr="006D278D" w:rsidRDefault="006D278D" w:rsidP="006D278D">
      <w:pPr>
        <w:pStyle w:val="ListParagraph"/>
        <w:numPr>
          <w:ilvl w:val="0"/>
          <w:numId w:val="17"/>
        </w:numPr>
        <w:spacing w:after="0" w:line="240" w:lineRule="auto"/>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Reddy SB, </w:t>
      </w:r>
      <w:r w:rsidRPr="006D278D">
        <w:rPr>
          <w:rFonts w:ascii="Times New Roman" w:hAnsi="Times New Roman" w:cs="Times New Roman"/>
          <w:bCs/>
          <w:sz w:val="24"/>
          <w:szCs w:val="24"/>
          <w:lang w:val="en-US"/>
        </w:rPr>
        <w:t>Charles</w:t>
      </w:r>
      <w:hyperlink r:id="rId27" w:anchor="aff1#aff1" w:history="1"/>
      <w:r w:rsidRPr="006D278D">
        <w:rPr>
          <w:rFonts w:ascii="Times New Roman" w:hAnsi="Times New Roman" w:cs="Times New Roman"/>
          <w:bCs/>
          <w:sz w:val="24"/>
          <w:szCs w:val="24"/>
          <w:lang w:val="en-US"/>
        </w:rPr>
        <w:t xml:space="preserve"> MJ, Kumar</w:t>
      </w:r>
      <w:hyperlink r:id="rId28" w:anchor="aff1#aff1" w:history="1"/>
      <w:r w:rsidRPr="006D278D">
        <w:rPr>
          <w:rFonts w:ascii="Times New Roman" w:hAnsi="Times New Roman" w:cs="Times New Roman"/>
          <w:bCs/>
          <w:sz w:val="24"/>
          <w:szCs w:val="24"/>
          <w:lang w:val="en-US"/>
        </w:rPr>
        <w:t xml:space="preserve"> MR, </w:t>
      </w:r>
      <w:r w:rsidRPr="006D278D">
        <w:rPr>
          <w:rFonts w:ascii="Times New Roman" w:hAnsi="Times New Roman" w:cs="Times New Roman"/>
          <w:sz w:val="24"/>
          <w:szCs w:val="24"/>
          <w:lang w:val="en-US"/>
        </w:rPr>
        <w:t xml:space="preserve">Reddy BS, </w:t>
      </w:r>
      <w:r w:rsidRPr="006D278D">
        <w:rPr>
          <w:rFonts w:ascii="Times New Roman" w:hAnsi="Times New Roman" w:cs="Times New Roman"/>
          <w:bCs/>
          <w:sz w:val="24"/>
          <w:szCs w:val="24"/>
          <w:lang w:val="pt-BR"/>
        </w:rPr>
        <w:t>Anjaneyulu</w:t>
      </w:r>
      <w:hyperlink r:id="rId29" w:anchor="aff1#aff1" w:history="1"/>
      <w:r w:rsidRPr="006D278D">
        <w:rPr>
          <w:rFonts w:ascii="Times New Roman" w:hAnsi="Times New Roman" w:cs="Times New Roman"/>
          <w:bCs/>
          <w:sz w:val="24"/>
          <w:szCs w:val="24"/>
          <w:lang w:val="en-US"/>
        </w:rPr>
        <w:t xml:space="preserve"> Ch, </w:t>
      </w:r>
      <w:r w:rsidRPr="006D278D">
        <w:rPr>
          <w:rFonts w:ascii="Times New Roman" w:hAnsi="Times New Roman" w:cs="Times New Roman"/>
          <w:bCs/>
          <w:sz w:val="24"/>
          <w:szCs w:val="24"/>
          <w:lang w:val="pt-BR"/>
        </w:rPr>
        <w:t>Raju</w:t>
      </w:r>
      <w:hyperlink r:id="rId30" w:anchor="aff1#aff1" w:history="1"/>
      <w:r w:rsidRPr="006D278D">
        <w:rPr>
          <w:rFonts w:ascii="Times New Roman" w:hAnsi="Times New Roman" w:cs="Times New Roman"/>
          <w:bCs/>
          <w:sz w:val="24"/>
          <w:szCs w:val="24"/>
          <w:lang w:val="en-US"/>
        </w:rPr>
        <w:t xml:space="preserve"> GJN, </w:t>
      </w:r>
      <w:r w:rsidRPr="006D278D">
        <w:rPr>
          <w:rFonts w:ascii="Times New Roman" w:hAnsi="Times New Roman" w:cs="Times New Roman"/>
          <w:bCs/>
          <w:sz w:val="24"/>
          <w:szCs w:val="24"/>
          <w:lang w:val="pt-BR"/>
        </w:rPr>
        <w:t>Sundareswar</w:t>
      </w:r>
      <w:r w:rsidRPr="006D278D">
        <w:rPr>
          <w:rFonts w:ascii="Times New Roman" w:hAnsi="Times New Roman" w:cs="Times New Roman"/>
          <w:bCs/>
          <w:sz w:val="24"/>
          <w:szCs w:val="24"/>
          <w:lang w:val="en-US"/>
        </w:rPr>
        <w:t xml:space="preserve"> </w:t>
      </w:r>
      <w:r w:rsidRPr="006D278D">
        <w:rPr>
          <w:rFonts w:ascii="Times New Roman" w:hAnsi="Times New Roman" w:cs="Times New Roman"/>
          <w:bCs/>
          <w:sz w:val="24"/>
          <w:szCs w:val="24"/>
          <w:lang w:val="pt-BR"/>
        </w:rPr>
        <w:t>B</w:t>
      </w:r>
      <w:r w:rsidRPr="006D278D">
        <w:rPr>
          <w:rFonts w:ascii="Times New Roman" w:hAnsi="Times New Roman" w:cs="Times New Roman"/>
          <w:bCs/>
          <w:sz w:val="24"/>
          <w:szCs w:val="24"/>
          <w:lang w:val="en-US"/>
        </w:rPr>
        <w:t xml:space="preserve">, </w:t>
      </w:r>
      <w:r w:rsidRPr="006D278D">
        <w:rPr>
          <w:rFonts w:ascii="Times New Roman" w:hAnsi="Times New Roman" w:cs="Times New Roman"/>
          <w:bCs/>
          <w:sz w:val="24"/>
          <w:szCs w:val="24"/>
          <w:lang w:val="pt-BR"/>
        </w:rPr>
        <w:t>Vijayan</w:t>
      </w:r>
      <w:r w:rsidRPr="006D278D">
        <w:rPr>
          <w:rFonts w:ascii="Times New Roman" w:hAnsi="Times New Roman" w:cs="Times New Roman"/>
          <w:sz w:val="24"/>
          <w:szCs w:val="24"/>
          <w:lang w:val="en-US"/>
        </w:rPr>
        <w:t xml:space="preserve"> V. Trace elemental analysis of adenoma and carcinoma thyroid by PIXE method. </w:t>
      </w:r>
      <w:hyperlink r:id="rId31" w:history="1">
        <w:r w:rsidRPr="006D278D">
          <w:rPr>
            <w:rFonts w:ascii="Times New Roman" w:hAnsi="Times New Roman" w:cs="Times New Roman"/>
            <w:bCs/>
            <w:sz w:val="24"/>
            <w:szCs w:val="24"/>
            <w:lang w:val="en-US"/>
          </w:rPr>
          <w:t>Nuclear Instruments and Methods in Physics Research Section B: Beam Interactions with Materials and Atoms</w:t>
        </w:r>
      </w:hyperlink>
      <w:r w:rsidRPr="006D278D">
        <w:rPr>
          <w:rFonts w:ascii="Times New Roman" w:hAnsi="Times New Roman" w:cs="Times New Roman"/>
          <w:sz w:val="24"/>
          <w:szCs w:val="24"/>
          <w:lang w:val="en-US"/>
        </w:rPr>
        <w:t>. 2002;</w:t>
      </w:r>
      <w:hyperlink r:id="rId32" w:history="1">
        <w:r w:rsidRPr="006D278D">
          <w:rPr>
            <w:rFonts w:ascii="Times New Roman" w:hAnsi="Times New Roman" w:cs="Times New Roman"/>
            <w:sz w:val="24"/>
            <w:szCs w:val="24"/>
            <w:lang w:val="en-US"/>
          </w:rPr>
          <w:t>196(3-4</w:t>
        </w:r>
      </w:hyperlink>
      <w:r w:rsidRPr="006D278D">
        <w:rPr>
          <w:rFonts w:ascii="Times New Roman" w:hAnsi="Times New Roman" w:cs="Times New Roman"/>
          <w:sz w:val="24"/>
          <w:szCs w:val="24"/>
          <w:lang w:val="en-US"/>
        </w:rPr>
        <w:t>):333-339.</w:t>
      </w:r>
    </w:p>
    <w:p w:rsidR="006D278D" w:rsidRPr="006D278D" w:rsidRDefault="006D278D" w:rsidP="006D278D">
      <w:pPr>
        <w:pStyle w:val="ListParagraph"/>
        <w:numPr>
          <w:ilvl w:val="0"/>
          <w:numId w:val="17"/>
        </w:numPr>
        <w:spacing w:after="0" w:line="240" w:lineRule="auto"/>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Wang J, Chen R, Zhu H. Study in China on ingestion and organs content of trace elements of importance in radiological protection. Food and Nutrition Bulletin 2002;23(3 Suppl):217-221</w:t>
      </w:r>
    </w:p>
    <w:p w:rsidR="006D278D" w:rsidRPr="006D278D" w:rsidRDefault="006D278D" w:rsidP="006D278D">
      <w:pPr>
        <w:pStyle w:val="ListParagraph"/>
        <w:numPr>
          <w:ilvl w:val="0"/>
          <w:numId w:val="17"/>
        </w:numPr>
        <w:spacing w:after="0" w:line="240" w:lineRule="auto"/>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pt-BR"/>
        </w:rPr>
        <w:t>Murillo</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M</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Carrion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Quintana</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M</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Sanabria</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G</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Rios</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M</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Duarte</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L</w:t>
      </w:r>
      <w:r w:rsidRPr="006D278D">
        <w:rPr>
          <w:rFonts w:ascii="Times New Roman" w:hAnsi="Times New Roman" w:cs="Times New Roman"/>
          <w:sz w:val="24"/>
          <w:szCs w:val="24"/>
          <w:lang w:val="en-US"/>
        </w:rPr>
        <w:t xml:space="preserve">, Ablan F. </w:t>
      </w:r>
      <w:r w:rsidRPr="006D278D">
        <w:rPr>
          <w:rFonts w:ascii="Times New Roman" w:hAnsi="Times New Roman" w:cs="Times New Roman"/>
          <w:sz w:val="24"/>
          <w:szCs w:val="24"/>
          <w:lang w:val="pt-BR"/>
        </w:rPr>
        <w:t>Determination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of</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selenium</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and</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iodine</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in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human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thyroids</w:t>
      </w:r>
      <w:r w:rsidRPr="006D278D">
        <w:rPr>
          <w:rFonts w:ascii="Times New Roman" w:hAnsi="Times New Roman" w:cs="Times New Roman"/>
          <w:sz w:val="24"/>
          <w:szCs w:val="24"/>
          <w:lang w:val="en-US"/>
        </w:rPr>
        <w:t>. J Trace Elem Med Biol 2005;19:23-27.</w:t>
      </w:r>
    </w:p>
    <w:p w:rsidR="006D278D" w:rsidRPr="006D278D" w:rsidRDefault="00B35097" w:rsidP="006D278D">
      <w:pPr>
        <w:pStyle w:val="ListParagraph"/>
        <w:numPr>
          <w:ilvl w:val="0"/>
          <w:numId w:val="17"/>
        </w:numPr>
        <w:spacing w:after="0" w:line="240" w:lineRule="auto"/>
        <w:ind w:left="357" w:hanging="357"/>
        <w:rPr>
          <w:rFonts w:ascii="Times New Roman" w:hAnsi="Times New Roman" w:cs="Times New Roman"/>
          <w:sz w:val="24"/>
          <w:szCs w:val="24"/>
          <w:lang w:val="en-US"/>
        </w:rPr>
      </w:pPr>
      <w:hyperlink r:id="rId33" w:history="1">
        <w:r w:rsidR="006D278D" w:rsidRPr="006D278D">
          <w:rPr>
            <w:rStyle w:val="Hyperlink"/>
            <w:rFonts w:ascii="Times New Roman" w:hAnsi="Times New Roman"/>
            <w:sz w:val="24"/>
            <w:szCs w:val="24"/>
            <w:u w:val="none"/>
            <w:lang w:val="en-US"/>
          </w:rPr>
          <w:t>Hansson M</w:t>
        </w:r>
      </w:hyperlink>
      <w:r w:rsidR="006D278D" w:rsidRPr="006D278D">
        <w:rPr>
          <w:rFonts w:ascii="Times New Roman" w:hAnsi="Times New Roman" w:cs="Times New Roman"/>
          <w:sz w:val="24"/>
          <w:szCs w:val="24"/>
          <w:lang w:val="en-US"/>
        </w:rPr>
        <w:t xml:space="preserve">, </w:t>
      </w:r>
      <w:hyperlink r:id="rId34" w:history="1">
        <w:r w:rsidR="006D278D" w:rsidRPr="006D278D">
          <w:rPr>
            <w:rStyle w:val="Hyperlink"/>
            <w:rFonts w:ascii="Times New Roman" w:hAnsi="Times New Roman"/>
            <w:sz w:val="24"/>
            <w:szCs w:val="24"/>
            <w:u w:val="none"/>
            <w:lang w:val="en-US"/>
          </w:rPr>
          <w:t>Grunditz T</w:t>
        </w:r>
      </w:hyperlink>
      <w:r w:rsidR="006D278D" w:rsidRPr="006D278D">
        <w:rPr>
          <w:rFonts w:ascii="Times New Roman" w:hAnsi="Times New Roman" w:cs="Times New Roman"/>
          <w:sz w:val="24"/>
          <w:szCs w:val="24"/>
          <w:lang w:val="en-US"/>
        </w:rPr>
        <w:t xml:space="preserve">, </w:t>
      </w:r>
      <w:hyperlink r:id="rId35" w:history="1">
        <w:r w:rsidR="006D278D" w:rsidRPr="006D278D">
          <w:rPr>
            <w:rStyle w:val="Hyperlink"/>
            <w:rFonts w:ascii="Times New Roman" w:hAnsi="Times New Roman"/>
            <w:sz w:val="24"/>
            <w:szCs w:val="24"/>
            <w:u w:val="none"/>
            <w:lang w:val="en-US"/>
          </w:rPr>
          <w:t>Isaksson M</w:t>
        </w:r>
      </w:hyperlink>
      <w:r w:rsidR="006D278D" w:rsidRPr="006D278D">
        <w:rPr>
          <w:rFonts w:ascii="Times New Roman" w:hAnsi="Times New Roman" w:cs="Times New Roman"/>
          <w:sz w:val="24"/>
          <w:szCs w:val="24"/>
          <w:lang w:val="en-US"/>
        </w:rPr>
        <w:t xml:space="preserve">, </w:t>
      </w:r>
      <w:hyperlink r:id="rId36" w:history="1">
        <w:r w:rsidR="006D278D" w:rsidRPr="006D278D">
          <w:rPr>
            <w:rStyle w:val="Hyperlink"/>
            <w:rFonts w:ascii="Times New Roman" w:hAnsi="Times New Roman"/>
            <w:sz w:val="24"/>
            <w:szCs w:val="24"/>
            <w:u w:val="none"/>
            <w:lang w:val="en-US"/>
          </w:rPr>
          <w:t>Jansson S</w:t>
        </w:r>
      </w:hyperlink>
      <w:r w:rsidR="006D278D" w:rsidRPr="006D278D">
        <w:rPr>
          <w:rFonts w:ascii="Times New Roman" w:hAnsi="Times New Roman" w:cs="Times New Roman"/>
          <w:sz w:val="24"/>
          <w:szCs w:val="24"/>
          <w:lang w:val="en-US"/>
        </w:rPr>
        <w:t xml:space="preserve">, </w:t>
      </w:r>
      <w:hyperlink r:id="rId37" w:history="1">
        <w:r w:rsidR="006D278D" w:rsidRPr="006D278D">
          <w:rPr>
            <w:rStyle w:val="Hyperlink"/>
            <w:rFonts w:ascii="Times New Roman" w:hAnsi="Times New Roman"/>
            <w:sz w:val="24"/>
            <w:szCs w:val="24"/>
            <w:u w:val="none"/>
            <w:lang w:val="en-US"/>
          </w:rPr>
          <w:t>Lausmaa J</w:t>
        </w:r>
      </w:hyperlink>
      <w:r w:rsidR="006D278D" w:rsidRPr="006D278D">
        <w:rPr>
          <w:rFonts w:ascii="Times New Roman" w:hAnsi="Times New Roman" w:cs="Times New Roman"/>
          <w:sz w:val="24"/>
          <w:szCs w:val="24"/>
          <w:lang w:val="en-US"/>
        </w:rPr>
        <w:t xml:space="preserve">, </w:t>
      </w:r>
      <w:hyperlink r:id="rId38" w:history="1">
        <w:r w:rsidR="006D278D" w:rsidRPr="006D278D">
          <w:rPr>
            <w:rStyle w:val="Hyperlink"/>
            <w:rFonts w:ascii="Times New Roman" w:hAnsi="Times New Roman"/>
            <w:sz w:val="24"/>
            <w:szCs w:val="24"/>
            <w:u w:val="none"/>
            <w:lang w:val="en-US"/>
          </w:rPr>
          <w:t>Mölne J</w:t>
        </w:r>
      </w:hyperlink>
      <w:r w:rsidR="006D278D" w:rsidRPr="006D278D">
        <w:rPr>
          <w:rFonts w:ascii="Times New Roman" w:hAnsi="Times New Roman" w:cs="Times New Roman"/>
          <w:sz w:val="24"/>
          <w:szCs w:val="24"/>
          <w:lang w:val="en-US"/>
        </w:rPr>
        <w:t xml:space="preserve">, </w:t>
      </w:r>
      <w:hyperlink r:id="rId39" w:history="1">
        <w:r w:rsidR="006D278D" w:rsidRPr="006D278D">
          <w:rPr>
            <w:rStyle w:val="Hyperlink"/>
            <w:rFonts w:ascii="Times New Roman" w:hAnsi="Times New Roman"/>
            <w:sz w:val="24"/>
            <w:szCs w:val="24"/>
            <w:u w:val="none"/>
            <w:lang w:val="en-US"/>
          </w:rPr>
          <w:t>Berg G</w:t>
        </w:r>
      </w:hyperlink>
      <w:r w:rsidR="006D278D" w:rsidRPr="006D278D">
        <w:rPr>
          <w:rFonts w:ascii="Times New Roman" w:hAnsi="Times New Roman" w:cs="Times New Roman"/>
          <w:sz w:val="24"/>
          <w:szCs w:val="24"/>
          <w:lang w:val="en-US"/>
        </w:rPr>
        <w:t>. Iodine content and distribution in extratumoral and tumor thyroid tissue analyzed with X-ray fluorescence and time-of-flight secondary ion mass spectrometry. Thyroid 2008;18(11):1215-1220.</w:t>
      </w:r>
    </w:p>
    <w:p w:rsidR="006D278D" w:rsidRPr="006D278D" w:rsidRDefault="006D278D" w:rsidP="006D278D">
      <w:pPr>
        <w:pStyle w:val="ListParagraph"/>
        <w:numPr>
          <w:ilvl w:val="0"/>
          <w:numId w:val="17"/>
        </w:numPr>
        <w:spacing w:after="0" w:line="240" w:lineRule="auto"/>
        <w:ind w:left="357" w:hanging="357"/>
        <w:rPr>
          <w:rFonts w:ascii="Times New Roman" w:eastAsia="Arial Unicode MS" w:hAnsi="Times New Roman" w:cs="Times New Roman"/>
          <w:sz w:val="24"/>
          <w:szCs w:val="24"/>
          <w:lang w:val="en-US"/>
        </w:rPr>
      </w:pPr>
      <w:r w:rsidRPr="006D278D">
        <w:rPr>
          <w:rFonts w:ascii="Times New Roman" w:hAnsi="Times New Roman" w:cs="Times New Roman"/>
          <w:sz w:val="24"/>
          <w:szCs w:val="24"/>
          <w:lang w:val="en-US"/>
        </w:rPr>
        <w:t>Zabala J, Carrion N, Murillo M, Quintana M, Chirinos J, Seijas N, Duarte L, Brätter P. Determination of normal human intrathyroidal iodine in Caracas population. J Trace Elem Med Bio 2009;23(1):9-14.</w:t>
      </w:r>
    </w:p>
    <w:p w:rsidR="006D278D" w:rsidRPr="006D278D" w:rsidRDefault="006D278D" w:rsidP="006D278D">
      <w:pPr>
        <w:pStyle w:val="ListParagraph"/>
        <w:numPr>
          <w:ilvl w:val="0"/>
          <w:numId w:val="17"/>
        </w:numPr>
        <w:spacing w:after="0" w:line="240" w:lineRule="auto"/>
        <w:ind w:left="357" w:hanging="357"/>
        <w:rPr>
          <w:rFonts w:ascii="Times New Roman" w:eastAsia="GulliverRM" w:hAnsi="Times New Roman" w:cs="Times New Roman"/>
          <w:sz w:val="24"/>
          <w:szCs w:val="24"/>
          <w:lang w:val="en-US"/>
        </w:rPr>
      </w:pPr>
      <w:r w:rsidRPr="006D278D">
        <w:rPr>
          <w:rFonts w:ascii="Times New Roman" w:hAnsi="Times New Roman" w:cs="Times New Roman"/>
          <w:sz w:val="24"/>
          <w:szCs w:val="24"/>
          <w:lang w:val="en-US"/>
        </w:rPr>
        <w:t xml:space="preserve">Zhu H, Wang N, Zhang Y, Wu Q, Chen R, Gao J, Chang P, Liu Q, Fan T, Li J, Wang J, Wang J. Element contents in organs and tissues of Chinese adult men. </w:t>
      </w:r>
      <w:r w:rsidRPr="006D278D">
        <w:rPr>
          <w:rFonts w:ascii="Times New Roman" w:hAnsi="Times New Roman" w:cs="Times New Roman"/>
          <w:bCs/>
          <w:sz w:val="24"/>
          <w:szCs w:val="24"/>
          <w:lang w:val="en-US"/>
        </w:rPr>
        <w:t xml:space="preserve">Health Phys 2010;98(1):61-73. </w:t>
      </w:r>
    </w:p>
    <w:p w:rsidR="006D278D" w:rsidRPr="006D278D" w:rsidRDefault="00B35097" w:rsidP="006D278D">
      <w:pPr>
        <w:pStyle w:val="ListParagraph"/>
        <w:numPr>
          <w:ilvl w:val="0"/>
          <w:numId w:val="17"/>
        </w:numPr>
        <w:spacing w:after="0" w:line="240" w:lineRule="auto"/>
        <w:ind w:left="357" w:hanging="357"/>
        <w:rPr>
          <w:rFonts w:ascii="Times New Roman" w:eastAsia="GulliverRM" w:hAnsi="Times New Roman" w:cs="Times New Roman"/>
          <w:sz w:val="24"/>
          <w:szCs w:val="24"/>
          <w:lang w:val="en-US"/>
        </w:rPr>
      </w:pPr>
      <w:hyperlink r:id="rId40" w:history="1">
        <w:r w:rsidR="006D278D" w:rsidRPr="006D278D">
          <w:rPr>
            <w:rStyle w:val="Hyperlink"/>
            <w:rFonts w:ascii="Times New Roman" w:hAnsi="Times New Roman"/>
            <w:sz w:val="24"/>
            <w:szCs w:val="24"/>
            <w:u w:val="none"/>
            <w:lang w:val="en-US"/>
          </w:rPr>
          <w:t>Błazewicz A</w:t>
        </w:r>
      </w:hyperlink>
      <w:r w:rsidR="006D278D" w:rsidRPr="006D278D">
        <w:rPr>
          <w:rFonts w:ascii="Times New Roman" w:hAnsi="Times New Roman" w:cs="Times New Roman"/>
          <w:sz w:val="24"/>
          <w:szCs w:val="24"/>
          <w:lang w:val="en-US"/>
        </w:rPr>
        <w:t>,</w:t>
      </w:r>
      <w:r w:rsidR="006D278D" w:rsidRPr="006D278D">
        <w:rPr>
          <w:rStyle w:val="apple-converted-space"/>
          <w:rFonts w:ascii="Times New Roman" w:hAnsi="Times New Roman" w:cs="Times New Roman"/>
          <w:sz w:val="24"/>
          <w:szCs w:val="24"/>
          <w:lang w:val="en-US"/>
        </w:rPr>
        <w:t> </w:t>
      </w:r>
      <w:hyperlink r:id="rId41" w:history="1">
        <w:r w:rsidR="006D278D" w:rsidRPr="006D278D">
          <w:rPr>
            <w:rStyle w:val="Hyperlink"/>
            <w:rFonts w:ascii="Times New Roman" w:hAnsi="Times New Roman"/>
            <w:sz w:val="24"/>
            <w:szCs w:val="24"/>
            <w:u w:val="none"/>
            <w:lang w:val="en-US"/>
          </w:rPr>
          <w:t>Orlicz-Szczesna G</w:t>
        </w:r>
      </w:hyperlink>
      <w:r w:rsidR="006D278D" w:rsidRPr="006D278D">
        <w:rPr>
          <w:rFonts w:ascii="Times New Roman" w:hAnsi="Times New Roman" w:cs="Times New Roman"/>
          <w:sz w:val="24"/>
          <w:szCs w:val="24"/>
          <w:lang w:val="en-US"/>
        </w:rPr>
        <w:t xml:space="preserve">, </w:t>
      </w:r>
      <w:r w:rsidR="006D278D" w:rsidRPr="006D278D">
        <w:rPr>
          <w:rFonts w:ascii="Times New Roman" w:eastAsia="GulliverRM" w:hAnsi="Times New Roman" w:cs="Times New Roman"/>
          <w:sz w:val="24"/>
          <w:szCs w:val="24"/>
          <w:lang w:val="en-US"/>
        </w:rPr>
        <w:t>Szczesny P, Prystupa A, Grzywa-Celinska A, Trojnar M. A comparative analytical assessment of iodides in healthy and pathological human thyroids based on IC-PAD method preceded by microwave digestion. Journal of Chromatography B 2011;879:573-578.</w:t>
      </w:r>
    </w:p>
    <w:p w:rsidR="006D278D" w:rsidRPr="006D278D" w:rsidRDefault="006D278D" w:rsidP="006D278D">
      <w:pPr>
        <w:pStyle w:val="ListParagraph"/>
        <w:numPr>
          <w:ilvl w:val="0"/>
          <w:numId w:val="17"/>
        </w:numPr>
        <w:spacing w:after="0" w:line="240" w:lineRule="auto"/>
        <w:ind w:left="357" w:hanging="357"/>
        <w:rPr>
          <w:rFonts w:ascii="Times New Roman" w:eastAsia="ArialMT" w:hAnsi="Times New Roman" w:cs="Times New Roman"/>
          <w:sz w:val="24"/>
          <w:szCs w:val="24"/>
          <w:lang w:val="en-US"/>
        </w:rPr>
      </w:pPr>
      <w:r w:rsidRPr="006D278D">
        <w:rPr>
          <w:rFonts w:ascii="Times New Roman" w:hAnsi="Times New Roman" w:cs="Times New Roman"/>
          <w:sz w:val="24"/>
          <w:szCs w:val="24"/>
          <w:lang w:val="en-US"/>
        </w:rPr>
        <w:t xml:space="preserve">Zaichick V, Zaichick S. </w:t>
      </w:r>
      <w:r w:rsidRPr="006D278D">
        <w:rPr>
          <w:rFonts w:ascii="Times New Roman" w:eastAsia="ArialMT" w:hAnsi="Times New Roman" w:cs="Times New Roman"/>
          <w:sz w:val="24"/>
          <w:szCs w:val="24"/>
          <w:lang w:val="en-US"/>
        </w:rPr>
        <w:t xml:space="preserve">Variation in Selected Chemical Element Contents Associated with Malignant Tumors of Human Thyroid Gland. </w:t>
      </w:r>
      <w:r w:rsidRPr="006D278D">
        <w:rPr>
          <w:rFonts w:ascii="Times New Roman" w:eastAsia="ArialMT" w:hAnsi="Times New Roman" w:cs="Times New Roman"/>
          <w:iCs/>
          <w:sz w:val="24"/>
          <w:szCs w:val="24"/>
          <w:lang w:val="en-US"/>
        </w:rPr>
        <w:t>Cancer Studies</w:t>
      </w:r>
      <w:r w:rsidRPr="006D278D">
        <w:rPr>
          <w:rFonts w:ascii="Times New Roman" w:eastAsia="ArialMT" w:hAnsi="Times New Roman" w:cs="Times New Roman"/>
          <w:sz w:val="24"/>
          <w:szCs w:val="24"/>
          <w:lang w:val="en-US"/>
        </w:rPr>
        <w:t>. 2018a; 2(1):2, pp. 1-12.</w:t>
      </w:r>
    </w:p>
    <w:p w:rsidR="006D278D" w:rsidRPr="006D278D" w:rsidRDefault="006D278D" w:rsidP="006D278D">
      <w:pPr>
        <w:pStyle w:val="ListParagraph"/>
        <w:numPr>
          <w:ilvl w:val="0"/>
          <w:numId w:val="17"/>
        </w:numPr>
        <w:spacing w:after="0" w:line="240" w:lineRule="auto"/>
        <w:ind w:left="357" w:hanging="357"/>
        <w:rPr>
          <w:rStyle w:val="Strong"/>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Zaichick S. Twenty Chemical Element Contents in Normal and Cancerous Thyroid. </w:t>
      </w:r>
      <w:r w:rsidRPr="006D278D">
        <w:rPr>
          <w:rFonts w:ascii="Times New Roman" w:hAnsi="Times New Roman" w:cs="Times New Roman"/>
          <w:iCs/>
          <w:sz w:val="24"/>
          <w:szCs w:val="24"/>
          <w:lang w:val="en-US"/>
        </w:rPr>
        <w:t>Int J Hematol Blo Dis</w:t>
      </w:r>
      <w:r w:rsidRPr="006D278D">
        <w:rPr>
          <w:rFonts w:ascii="Times New Roman" w:hAnsi="Times New Roman" w:cs="Times New Roman"/>
          <w:i/>
          <w:iCs/>
          <w:sz w:val="24"/>
          <w:szCs w:val="24"/>
          <w:lang w:val="en-US"/>
        </w:rPr>
        <w:t xml:space="preserve"> </w:t>
      </w:r>
      <w:r w:rsidRPr="006D278D">
        <w:rPr>
          <w:rFonts w:ascii="Times New Roman" w:hAnsi="Times New Roman" w:cs="Times New Roman"/>
          <w:iCs/>
          <w:sz w:val="24"/>
          <w:szCs w:val="24"/>
          <w:lang w:val="en-US"/>
        </w:rPr>
        <w:t>2018b;3(2):1-13</w:t>
      </w:r>
      <w:r w:rsidRPr="006D278D">
        <w:rPr>
          <w:rStyle w:val="Strong"/>
          <w:rFonts w:ascii="Times New Roman" w:hAnsi="Times New Roman" w:cs="Times New Roman"/>
          <w:sz w:val="24"/>
          <w:szCs w:val="24"/>
          <w:lang w:val="en-US"/>
        </w:rPr>
        <w:t xml:space="preserve"> </w:t>
      </w:r>
    </w:p>
    <w:p w:rsidR="006D278D" w:rsidRPr="006D278D" w:rsidRDefault="006D278D" w:rsidP="006D278D">
      <w:pPr>
        <w:pStyle w:val="ListParagraph"/>
        <w:numPr>
          <w:ilvl w:val="0"/>
          <w:numId w:val="17"/>
        </w:numPr>
        <w:spacing w:after="0" w:line="240" w:lineRule="auto"/>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Zaichick V, Zaichick S. Levels of chemical element contents in thyroid as potential biomarkers for cancer diagnosis (a preliminary study). J Cancer Metastasis Treat 2018c;4:60.</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Determination </w:t>
      </w:r>
      <w:r w:rsidRPr="006D278D">
        <w:rPr>
          <w:rFonts w:ascii="Times New Roman" w:hAnsi="Times New Roman" w:cs="Times New Roman"/>
          <w:spacing w:val="1"/>
          <w:sz w:val="24"/>
          <w:szCs w:val="24"/>
          <w:lang w:val="en-GB"/>
        </w:rPr>
        <w:t>the content of</w:t>
      </w:r>
      <w:r w:rsidRPr="006D278D">
        <w:rPr>
          <w:rFonts w:ascii="Times New Roman" w:hAnsi="Times New Roman" w:cs="Times New Roman"/>
          <w:sz w:val="24"/>
          <w:szCs w:val="24"/>
          <w:lang w:val="en-US"/>
        </w:rPr>
        <w:t xml:space="preserve"> bromine, </w:t>
      </w:r>
      <w:r w:rsidRPr="006D278D">
        <w:rPr>
          <w:rStyle w:val="hps"/>
          <w:rFonts w:ascii="Times New Roman" w:hAnsi="Times New Roman"/>
          <w:sz w:val="24"/>
          <w:szCs w:val="24"/>
          <w:lang w:val="en-US"/>
        </w:rPr>
        <w:t>calcium, chlorine, iodine, potassium, magnesium, manganese, and sodium in</w:t>
      </w:r>
      <w:r w:rsidRPr="006D278D">
        <w:rPr>
          <w:rFonts w:ascii="Times New Roman" w:hAnsi="Times New Roman" w:cs="Times New Roman"/>
          <w:sz w:val="24"/>
          <w:szCs w:val="24"/>
          <w:lang w:val="en-US"/>
        </w:rPr>
        <w:t xml:space="preserve"> </w:t>
      </w:r>
      <w:r w:rsidRPr="006D278D">
        <w:rPr>
          <w:rFonts w:ascii="Times New Roman" w:hAnsi="Times New Roman" w:cs="Times New Roman"/>
          <w:spacing w:val="1"/>
          <w:sz w:val="24"/>
          <w:szCs w:val="24"/>
          <w:lang w:val="en-GB"/>
        </w:rPr>
        <w:t xml:space="preserve">the nodular </w:t>
      </w:r>
      <w:r w:rsidRPr="006D278D">
        <w:rPr>
          <w:rFonts w:ascii="Times New Roman" w:hAnsi="Times New Roman" w:cs="Times New Roman"/>
          <w:sz w:val="24"/>
          <w:szCs w:val="24"/>
          <w:lang w:val="en-US"/>
        </w:rPr>
        <w:t>goiter of human thyroid gland using neutron activation analysis</w:t>
      </w:r>
      <w:r w:rsidRPr="006D278D">
        <w:rPr>
          <w:rFonts w:ascii="Times New Roman" w:hAnsi="Times New Roman" w:cs="Times New Roman"/>
          <w:b/>
          <w:sz w:val="24"/>
          <w:szCs w:val="24"/>
          <w:lang w:val="en-US"/>
        </w:rPr>
        <w:t xml:space="preserve">. </w:t>
      </w:r>
      <w:r w:rsidRPr="006D278D">
        <w:rPr>
          <w:rFonts w:ascii="Times New Roman" w:hAnsi="Times New Roman" w:cs="Times New Roman"/>
          <w:sz w:val="24"/>
          <w:szCs w:val="24"/>
          <w:lang w:val="en-US"/>
        </w:rPr>
        <w:t>Aditum Journal of Clinical and Biomedical Research 2021a; 3(3): 1-8,</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Evaluation of bromine, </w:t>
      </w:r>
      <w:r w:rsidRPr="006D278D">
        <w:rPr>
          <w:rStyle w:val="hps"/>
          <w:rFonts w:ascii="Times New Roman" w:hAnsi="Times New Roman"/>
          <w:sz w:val="24"/>
          <w:szCs w:val="24"/>
          <w:lang w:val="en-US"/>
        </w:rPr>
        <w:t>calcium, chlorine, iodine, potassium, magnesium, manganese, and sodium</w:t>
      </w:r>
      <w:r w:rsidRPr="006D278D">
        <w:rPr>
          <w:rFonts w:ascii="Times New Roman" w:hAnsi="Times New Roman" w:cs="Times New Roman"/>
          <w:sz w:val="24"/>
          <w:szCs w:val="24"/>
          <w:lang w:val="en-US"/>
        </w:rPr>
        <w:t xml:space="preserve"> content in the thyroid adenomas using neutron activation analysis. J Carcinog Mutagen 2021b;12:366.</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Comparison bromine, </w:t>
      </w:r>
      <w:r w:rsidRPr="006D278D">
        <w:rPr>
          <w:rStyle w:val="hps"/>
          <w:rFonts w:ascii="Times New Roman" w:hAnsi="Times New Roman"/>
          <w:sz w:val="24"/>
          <w:szCs w:val="24"/>
          <w:lang w:val="en-US"/>
        </w:rPr>
        <w:t>calcium, chlorine, iodine, potassium, magnesium, manganese, and sodium</w:t>
      </w:r>
      <w:r w:rsidRPr="006D278D">
        <w:rPr>
          <w:rFonts w:ascii="Times New Roman" w:hAnsi="Times New Roman" w:cs="Times New Roman"/>
          <w:sz w:val="24"/>
          <w:szCs w:val="24"/>
          <w:lang w:val="en-US"/>
        </w:rPr>
        <w:t xml:space="preserve"> contents in normal thyroid and thyroid with Hashimoto’s thyroiditis. J Clin Res Oncol 2021c;4(1):21-27.</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Comparison between bromine, </w:t>
      </w:r>
      <w:r w:rsidRPr="006D278D">
        <w:rPr>
          <w:rStyle w:val="hps"/>
          <w:rFonts w:ascii="Times New Roman" w:hAnsi="Times New Roman"/>
          <w:sz w:val="24"/>
          <w:szCs w:val="24"/>
          <w:lang w:val="en-US"/>
        </w:rPr>
        <w:t>calcium, chlorine, iodine, potassium, magnesium, manganese, and sodium</w:t>
      </w:r>
      <w:r w:rsidRPr="006D278D">
        <w:rPr>
          <w:rFonts w:ascii="Times New Roman" w:hAnsi="Times New Roman" w:cs="Times New Roman"/>
          <w:sz w:val="24"/>
          <w:szCs w:val="24"/>
          <w:lang w:val="en-US"/>
        </w:rPr>
        <w:t xml:space="preserve"> contents in normal thyroid and Riedel’s Struma. Journal of Biotechnology and Bioinformatics Research. 2021;3(4):1-6</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lastRenderedPageBreak/>
        <w:t>Zaichick V. Comparison of twenty chemical element contents in</w:t>
      </w:r>
      <w:r w:rsidRPr="006D278D">
        <w:rPr>
          <w:rFonts w:ascii="Times New Roman" w:hAnsi="Times New Roman" w:cs="Times New Roman"/>
          <w:b/>
          <w:sz w:val="24"/>
          <w:szCs w:val="24"/>
          <w:lang w:val="en-US"/>
        </w:rPr>
        <w:t xml:space="preserve"> </w:t>
      </w:r>
      <w:r w:rsidRPr="006D278D">
        <w:rPr>
          <w:rStyle w:val="y2iqfc"/>
          <w:rFonts w:ascii="Times New Roman" w:hAnsi="Times New Roman" w:cs="Times New Roman"/>
          <w:sz w:val="24"/>
          <w:szCs w:val="24"/>
          <w:lang w:val="en-US"/>
        </w:rPr>
        <w:t>normal thyroid tissue and hypertrophic thyroid tissue.</w:t>
      </w:r>
      <w:r w:rsidRPr="006D278D">
        <w:rPr>
          <w:rFonts w:ascii="Times New Roman" w:hAnsi="Times New Roman" w:cs="Times New Roman"/>
          <w:b/>
          <w:sz w:val="24"/>
          <w:szCs w:val="24"/>
          <w:lang w:val="en-US"/>
        </w:rPr>
        <w:t xml:space="preserve"> </w:t>
      </w:r>
      <w:r w:rsidRPr="006D278D">
        <w:rPr>
          <w:rFonts w:ascii="Times New Roman" w:hAnsi="Times New Roman" w:cs="Times New Roman"/>
          <w:sz w:val="24"/>
          <w:szCs w:val="24"/>
          <w:lang w:val="en-US"/>
        </w:rPr>
        <w:t>Universal Journal of Pharmaceutical Research 2021; 6(4): 32-42</w:t>
      </w:r>
    </w:p>
    <w:p w:rsidR="006D278D" w:rsidRPr="006D278D" w:rsidRDefault="006D278D" w:rsidP="006D278D">
      <w:pPr>
        <w:numPr>
          <w:ilvl w:val="0"/>
          <w:numId w:val="17"/>
        </w:numPr>
        <w:ind w:left="357" w:hanging="357"/>
        <w:rPr>
          <w:lang w:val="en-US"/>
        </w:rPr>
      </w:pPr>
      <w:r w:rsidRPr="006D278D">
        <w:rPr>
          <w:lang w:val="en-US"/>
        </w:rPr>
        <w:t>Zaichick V. Evaluation</w:t>
      </w:r>
      <w:r w:rsidRPr="006D278D">
        <w:rPr>
          <w:spacing w:val="1"/>
          <w:lang w:val="en-GB"/>
        </w:rPr>
        <w:t xml:space="preserve"> </w:t>
      </w:r>
      <w:r w:rsidRPr="006D278D">
        <w:rPr>
          <w:lang w:val="en-US"/>
        </w:rPr>
        <w:t>of twenty chemical element contents in thyroid adenomas using neutron activation analysis and inductively coupled plasma atomic emission spectrometry</w:t>
      </w:r>
      <w:r w:rsidRPr="006D278D">
        <w:rPr>
          <w:b/>
          <w:lang w:val="en-US"/>
        </w:rPr>
        <w:t>.</w:t>
      </w:r>
      <w:r w:rsidRPr="006D278D">
        <w:rPr>
          <w:b/>
          <w:bdr w:val="none" w:sz="0" w:space="0" w:color="auto" w:frame="1"/>
          <w:lang w:val="en-US" w:eastAsia="en-MY"/>
        </w:rPr>
        <w:t xml:space="preserve"> </w:t>
      </w:r>
      <w:r w:rsidRPr="006D278D">
        <w:rPr>
          <w:bCs/>
          <w:lang w:val="en-US"/>
        </w:rPr>
        <w:t xml:space="preserve">World Journal of Advanced Research and Reviews </w:t>
      </w:r>
      <w:r w:rsidRPr="006D278D">
        <w:rPr>
          <w:lang w:val="en-US"/>
        </w:rPr>
        <w:t>2021;11(03):242–257</w:t>
      </w:r>
    </w:p>
    <w:p w:rsidR="006D278D" w:rsidRPr="006D278D" w:rsidRDefault="006D278D" w:rsidP="006D278D">
      <w:pPr>
        <w:pStyle w:val="BodyText"/>
        <w:numPr>
          <w:ilvl w:val="0"/>
          <w:numId w:val="17"/>
        </w:numPr>
        <w:overflowPunct/>
        <w:autoSpaceDE/>
        <w:autoSpaceDN/>
        <w:adjustRightInd/>
        <w:spacing w:after="0"/>
        <w:ind w:left="357" w:hanging="357"/>
        <w:textAlignment w:val="auto"/>
        <w:rPr>
          <w:bCs/>
          <w:iCs/>
          <w:sz w:val="24"/>
          <w:szCs w:val="24"/>
          <w:lang w:val="en-US"/>
        </w:rPr>
      </w:pPr>
      <w:r w:rsidRPr="006D278D">
        <w:rPr>
          <w:sz w:val="24"/>
          <w:szCs w:val="24"/>
          <w:lang w:val="en-US"/>
        </w:rPr>
        <w:t>Nishita M, Sakurai H, Tezuka U, Kawada J, Koyama M, Takada J. Alteration in manganese and iodide contents in human thyroid tumors; a correlation between the contents of essential trace elements and the states of malignancy. Clin Chem Acta</w:t>
      </w:r>
      <w:r w:rsidRPr="006D278D">
        <w:rPr>
          <w:sz w:val="24"/>
          <w:szCs w:val="24"/>
        </w:rPr>
        <w:t xml:space="preserve"> 1990</w:t>
      </w:r>
      <w:r w:rsidRPr="006D278D">
        <w:rPr>
          <w:sz w:val="24"/>
          <w:szCs w:val="24"/>
          <w:lang w:val="en-US"/>
        </w:rPr>
        <w:t>;</w:t>
      </w:r>
      <w:r w:rsidRPr="006D278D">
        <w:rPr>
          <w:bCs/>
          <w:sz w:val="24"/>
          <w:szCs w:val="24"/>
        </w:rPr>
        <w:t>187</w:t>
      </w:r>
      <w:r w:rsidRPr="006D278D">
        <w:rPr>
          <w:sz w:val="24"/>
          <w:szCs w:val="24"/>
          <w:lang w:val="en-US"/>
        </w:rPr>
        <w:t>(</w:t>
      </w:r>
      <w:r w:rsidRPr="006D278D">
        <w:rPr>
          <w:sz w:val="24"/>
          <w:szCs w:val="24"/>
        </w:rPr>
        <w:t>2</w:t>
      </w:r>
      <w:r w:rsidRPr="006D278D">
        <w:rPr>
          <w:sz w:val="24"/>
          <w:szCs w:val="24"/>
          <w:lang w:val="en-US"/>
        </w:rPr>
        <w:t>):</w:t>
      </w:r>
      <w:r w:rsidRPr="006D278D">
        <w:rPr>
          <w:sz w:val="24"/>
          <w:szCs w:val="24"/>
        </w:rPr>
        <w:t>181-188.</w:t>
      </w:r>
    </w:p>
    <w:p w:rsidR="006D278D" w:rsidRPr="006D278D" w:rsidRDefault="006D278D" w:rsidP="006D278D">
      <w:pPr>
        <w:numPr>
          <w:ilvl w:val="0"/>
          <w:numId w:val="17"/>
        </w:numPr>
        <w:jc w:val="both"/>
        <w:rPr>
          <w:lang w:val="en-US"/>
        </w:rPr>
      </w:pPr>
      <w:r w:rsidRPr="006D278D">
        <w:rPr>
          <w:lang w:val="en-US"/>
        </w:rPr>
        <w:t xml:space="preserve">Bellisola G, Bratter P, Cinque C, Francia G, Galassini S, Gawlik D, </w:t>
      </w:r>
      <w:hyperlink r:id="rId42" w:history="1">
        <w:r w:rsidRPr="006D278D">
          <w:rPr>
            <w:rStyle w:val="Hyperlink"/>
            <w:u w:val="none"/>
          </w:rPr>
          <w:t>Negretti de Brätter</w:t>
        </w:r>
      </w:hyperlink>
      <w:r w:rsidRPr="006D278D">
        <w:rPr>
          <w:rStyle w:val="authors-list-item"/>
        </w:rPr>
        <w:t xml:space="preserve"> VE, </w:t>
      </w:r>
      <w:hyperlink r:id="rId43" w:history="1">
        <w:r w:rsidRPr="006D278D">
          <w:rPr>
            <w:rStyle w:val="Hyperlink"/>
            <w:u w:val="none"/>
          </w:rPr>
          <w:t>Azzolina</w:t>
        </w:r>
      </w:hyperlink>
      <w:r w:rsidRPr="006D278D">
        <w:rPr>
          <w:rStyle w:val="authors-list-item"/>
        </w:rPr>
        <w:t xml:space="preserve"> L</w:t>
      </w:r>
      <w:r w:rsidRPr="006D278D">
        <w:rPr>
          <w:lang w:val="en-US"/>
        </w:rPr>
        <w:t>. The TSH-dependent variation of the essential elements iodine, selenium, and zinc within human thyroid tissue. J Trace Elem Med Biol 1998;12:177-182.</w:t>
      </w:r>
    </w:p>
    <w:p w:rsidR="006D278D" w:rsidRPr="006D278D" w:rsidRDefault="006D278D" w:rsidP="006D278D">
      <w:pPr>
        <w:pStyle w:val="ListParagraph"/>
        <w:numPr>
          <w:ilvl w:val="0"/>
          <w:numId w:val="17"/>
        </w:numPr>
        <w:spacing w:after="0" w:line="240" w:lineRule="auto"/>
        <w:rPr>
          <w:rFonts w:ascii="Times New Roman" w:hAnsi="Times New Roman" w:cs="Times New Roman"/>
          <w:b/>
          <w:bCs/>
          <w:spacing w:val="10"/>
          <w:sz w:val="24"/>
          <w:szCs w:val="24"/>
          <w:lang w:val="en-US"/>
        </w:rPr>
      </w:pPr>
      <w:r w:rsidRPr="006D278D">
        <w:rPr>
          <w:rFonts w:ascii="Times New Roman" w:hAnsi="Times New Roman" w:cs="Times New Roman"/>
          <w:sz w:val="24"/>
          <w:szCs w:val="24"/>
          <w:lang w:val="en-US"/>
        </w:rPr>
        <w:t>Zaichick V.. Determination of Twenty Chemical Element Contents in</w:t>
      </w:r>
      <w:r w:rsidRPr="006D278D">
        <w:rPr>
          <w:rFonts w:ascii="Times New Roman" w:hAnsi="Times New Roman" w:cs="Times New Roman"/>
          <w:b/>
          <w:sz w:val="24"/>
          <w:szCs w:val="24"/>
          <w:lang w:val="en-US"/>
        </w:rPr>
        <w:t xml:space="preserve"> </w:t>
      </w:r>
      <w:r w:rsidRPr="006D278D">
        <w:rPr>
          <w:rFonts w:ascii="Times New Roman" w:hAnsi="Times New Roman" w:cs="Times New Roman"/>
          <w:sz w:val="24"/>
          <w:szCs w:val="24"/>
          <w:lang w:val="en-US"/>
        </w:rPr>
        <w:t>Normal and Goitrous Thyroid using X-Ray Fluorescent and Neutron Activation Analysis.</w:t>
      </w:r>
      <w:r w:rsidRPr="006D278D">
        <w:rPr>
          <w:rFonts w:ascii="Times New Roman" w:hAnsi="Times New Roman" w:cs="Times New Roman"/>
          <w:b/>
          <w:bCs/>
          <w:sz w:val="24"/>
          <w:szCs w:val="24"/>
          <w:lang w:val="en-US"/>
        </w:rPr>
        <w:t xml:space="preserve"> </w:t>
      </w:r>
      <w:r w:rsidRPr="006D278D">
        <w:rPr>
          <w:rFonts w:ascii="Times New Roman" w:hAnsi="Times New Roman" w:cs="Times New Roman"/>
          <w:bCs/>
          <w:sz w:val="24"/>
          <w:szCs w:val="24"/>
          <w:lang w:val="en-US"/>
        </w:rPr>
        <w:t xml:space="preserve">World Journal of Advanced Research and Reviews </w:t>
      </w:r>
      <w:r w:rsidRPr="006D278D">
        <w:rPr>
          <w:rFonts w:ascii="Times New Roman" w:hAnsi="Times New Roman" w:cs="Times New Roman"/>
          <w:sz w:val="24"/>
          <w:szCs w:val="24"/>
          <w:lang w:val="en-US"/>
        </w:rPr>
        <w:t>2021; 11(02): 130–146</w:t>
      </w:r>
      <w:r w:rsidRPr="006D278D">
        <w:rPr>
          <w:rFonts w:ascii="Times New Roman" w:hAnsi="Times New Roman" w:cs="Times New Roman"/>
          <w:b/>
          <w:bCs/>
          <w:spacing w:val="10"/>
          <w:sz w:val="24"/>
          <w:szCs w:val="24"/>
          <w:lang w:val="en-US"/>
        </w:rPr>
        <w:t>.</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 Evaluation of Twenty Chemical Element Contents in Thyroid Adenomas using X-Ray Fluorescent and Neutron Activation Analysis. J Cell Mol Onco 2021;1(3):007.</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 Evaluation of Twenty Chemical Elements in Thyroid with Hashimoto’s thyroiditis using X-Ray Fluorescent and Neutron Activation Analysis. Journal of Medical Research and Health Sciences. 2021;2(10):1500−1510.</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 Comparison of Nineteen Chemical Element Contents in Normal Thyroid and Thyroid with Riedel’s Struma. Journal of Medical Research and Health Sciences. 2021;4(11):1529−1538.</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w:t>
      </w:r>
      <w:r w:rsidRPr="006D278D">
        <w:rPr>
          <w:rFonts w:ascii="Times New Roman" w:hAnsi="Times New Roman" w:cs="Times New Roman"/>
          <w:sz w:val="24"/>
          <w:szCs w:val="24"/>
          <w:lang w:val="en-US"/>
        </w:rPr>
        <w:t xml:space="preserve"> of Copper, Iron, Iodine, Rubidium, Strontium and Zinc in </w:t>
      </w:r>
      <w:r w:rsidRPr="006D278D">
        <w:rPr>
          <w:rFonts w:ascii="Times New Roman" w:hAnsi="Times New Roman" w:cs="Times New Roman"/>
          <w:spacing w:val="1"/>
          <w:sz w:val="24"/>
          <w:szCs w:val="24"/>
          <w:lang w:val="en-GB"/>
        </w:rPr>
        <w:t>Thyroid Benign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Tissue adjacent to Nodules.</w:t>
      </w:r>
      <w:r w:rsidRPr="006D278D">
        <w:rPr>
          <w:rFonts w:ascii="Times New Roman" w:hAnsi="Times New Roman" w:cs="Times New Roman"/>
          <w:b/>
          <w:bCs/>
          <w:sz w:val="24"/>
          <w:szCs w:val="24"/>
          <w:lang w:val="en-US"/>
        </w:rPr>
        <w:t xml:space="preserve"> </w:t>
      </w:r>
      <w:r w:rsidRPr="006D278D">
        <w:rPr>
          <w:rFonts w:ascii="Times New Roman" w:hAnsi="Times New Roman" w:cs="Times New Roman"/>
          <w:bCs/>
          <w:sz w:val="24"/>
          <w:szCs w:val="24"/>
          <w:lang w:val="en-US"/>
        </w:rPr>
        <w:t>International Journal of Medical and Public Health Research and Review</w:t>
      </w:r>
      <w:r w:rsidRPr="006D278D">
        <w:rPr>
          <w:rFonts w:ascii="Times New Roman" w:hAnsi="Times New Roman" w:cs="Times New Roman"/>
          <w:sz w:val="24"/>
          <w:szCs w:val="24"/>
          <w:lang w:val="en-US"/>
        </w:rPr>
        <w:t xml:space="preserve"> 2021; 1(1): 30-42.</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Contents</w:t>
      </w:r>
      <w:r w:rsidRPr="006D278D">
        <w:rPr>
          <w:rFonts w:ascii="Times New Roman" w:hAnsi="Times New Roman" w:cs="Times New Roman"/>
          <w:sz w:val="24"/>
          <w:szCs w:val="24"/>
          <w:lang w:val="en-US"/>
        </w:rPr>
        <w:t xml:space="preserve"> of Nineteen Chemical Elements in </w:t>
      </w:r>
      <w:r w:rsidRPr="006D278D">
        <w:rPr>
          <w:rFonts w:ascii="Times New Roman" w:hAnsi="Times New Roman" w:cs="Times New Roman"/>
          <w:spacing w:val="1"/>
          <w:sz w:val="24"/>
          <w:szCs w:val="24"/>
          <w:lang w:val="en-GB"/>
        </w:rPr>
        <w:t>Thyroid Benign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Tissue adjacent to Nodules investigated using </w:t>
      </w:r>
      <w:r w:rsidRPr="006D278D">
        <w:rPr>
          <w:rFonts w:ascii="Times New Roman" w:hAnsi="Times New Roman" w:cs="Times New Roman"/>
          <w:sz w:val="24"/>
          <w:szCs w:val="24"/>
          <w:lang w:val="en-US"/>
        </w:rPr>
        <w:t>Neutron Activation Analysis and Inductively Coupled Plasma Atomic Emission Spectrometry. Research and Reviews on Healthcare: Open Access Journal 2022;7(3):719-727</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w:t>
      </w:r>
      <w:r w:rsidRPr="006D278D">
        <w:rPr>
          <w:rFonts w:ascii="Times New Roman" w:hAnsi="Times New Roman" w:cs="Times New Roman"/>
          <w:sz w:val="24"/>
          <w:szCs w:val="24"/>
          <w:lang w:val="en-US"/>
        </w:rPr>
        <w:t xml:space="preserve"> of Copper, Iron, Iodine, Rubidium, Strontium and Zinc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Thyroid Tissue adjacent to Nodules.</w:t>
      </w:r>
      <w:r w:rsidRPr="006D278D">
        <w:rPr>
          <w:rFonts w:ascii="Times New Roman" w:hAnsi="Times New Roman" w:cs="Times New Roman"/>
          <w:b/>
          <w:sz w:val="24"/>
          <w:szCs w:val="24"/>
          <w:lang w:val="en-US"/>
        </w:rPr>
        <w:t xml:space="preserve"> </w:t>
      </w:r>
      <w:r w:rsidRPr="006D278D">
        <w:rPr>
          <w:rFonts w:ascii="Times New Roman" w:hAnsi="Times New Roman" w:cs="Times New Roman"/>
          <w:sz w:val="24"/>
          <w:szCs w:val="24"/>
          <w:lang w:val="en-US"/>
        </w:rPr>
        <w:t>Journal of Clinical and Diagnostic Pathology 2022a;1(4):7-17.</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Contents</w:t>
      </w:r>
      <w:r w:rsidRPr="006D278D">
        <w:rPr>
          <w:rFonts w:ascii="Times New Roman" w:hAnsi="Times New Roman" w:cs="Times New Roman"/>
          <w:sz w:val="24"/>
          <w:szCs w:val="24"/>
          <w:lang w:val="en-US"/>
        </w:rPr>
        <w:t xml:space="preserve"> of </w:t>
      </w:r>
      <w:r w:rsidRPr="006D278D">
        <w:rPr>
          <w:rStyle w:val="hps"/>
          <w:rFonts w:ascii="Times New Roman" w:hAnsi="Times New Roman"/>
          <w:sz w:val="24"/>
          <w:szCs w:val="24"/>
          <w:lang w:val="en-US"/>
        </w:rPr>
        <w:t xml:space="preserve">Calcium, Chlorine, Iodine, Potassium, Magnesium, Manganese, and Sodium </w:t>
      </w:r>
      <w:r w:rsidRPr="006D278D">
        <w:rPr>
          <w:rFonts w:ascii="Times New Roman" w:hAnsi="Times New Roman" w:cs="Times New Roman"/>
          <w:sz w:val="24"/>
          <w:szCs w:val="24"/>
          <w:lang w:val="en-US"/>
        </w:rPr>
        <w:t xml:space="preserve">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Thyroid </w:t>
      </w:r>
      <w:r w:rsidRPr="006D278D">
        <w:rPr>
          <w:rFonts w:ascii="Times New Roman" w:hAnsi="Times New Roman" w:cs="Times New Roman"/>
          <w:spacing w:val="1"/>
          <w:sz w:val="24"/>
          <w:szCs w:val="24"/>
          <w:lang w:val="en-GB"/>
        </w:rPr>
        <w:t>Tissue adjacent to Nodules</w:t>
      </w:r>
      <w:r w:rsidRPr="006D278D">
        <w:rPr>
          <w:rFonts w:ascii="Times New Roman" w:hAnsi="Times New Roman" w:cs="Times New Roman"/>
          <w:b/>
          <w:bCs/>
          <w:sz w:val="24"/>
          <w:szCs w:val="24"/>
          <w:lang w:val="en-US"/>
        </w:rPr>
        <w:t xml:space="preserve"> </w:t>
      </w:r>
      <w:r w:rsidRPr="006D278D">
        <w:rPr>
          <w:rFonts w:ascii="Times New Roman" w:hAnsi="Times New Roman" w:cs="Times New Roman"/>
          <w:sz w:val="24"/>
          <w:szCs w:val="24"/>
          <w:lang w:val="en-US"/>
        </w:rPr>
        <w:t>J Med Case Rep Rev 2022b;5(2):1068-1078.</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w:t>
      </w:r>
      <w:r w:rsidRPr="006D278D">
        <w:rPr>
          <w:rFonts w:ascii="Times New Roman" w:hAnsi="Times New Roman" w:cs="Times New Roman"/>
          <w:sz w:val="24"/>
          <w:szCs w:val="24"/>
          <w:lang w:val="en-US"/>
        </w:rPr>
        <w:t xml:space="preserve"> of Eleven Trace Elements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Thyroid Tissue adjacent to Nodules. </w:t>
      </w:r>
      <w:r w:rsidRPr="006D278D">
        <w:rPr>
          <w:rFonts w:ascii="Times New Roman" w:hAnsi="Times New Roman" w:cs="Times New Roman"/>
          <w:sz w:val="24"/>
          <w:szCs w:val="24"/>
          <w:lang w:val="en-US"/>
        </w:rPr>
        <w:t>Interventions in Gynaecology and Women Health Care 2022c;5(1):468-476</w:t>
      </w:r>
    </w:p>
    <w:p w:rsidR="006D278D" w:rsidRPr="006D278D" w:rsidRDefault="006D278D" w:rsidP="006D278D">
      <w:pPr>
        <w:pStyle w:val="ListParagraph"/>
        <w:numPr>
          <w:ilvl w:val="0"/>
          <w:numId w:val="17"/>
        </w:numPr>
        <w:spacing w:after="0" w:line="240" w:lineRule="auto"/>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Contents</w:t>
      </w:r>
      <w:r w:rsidRPr="006D278D">
        <w:rPr>
          <w:rFonts w:ascii="Times New Roman" w:hAnsi="Times New Roman" w:cs="Times New Roman"/>
          <w:sz w:val="24"/>
          <w:szCs w:val="24"/>
          <w:lang w:val="en-US"/>
        </w:rPr>
        <w:t xml:space="preserve"> of Nineteen Chemical Elements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Thyroid Tissue adjacent to Nodules investigated using X-Ray Fluorescence and </w:t>
      </w:r>
      <w:r w:rsidRPr="006D278D">
        <w:rPr>
          <w:rFonts w:ascii="Times New Roman" w:hAnsi="Times New Roman" w:cs="Times New Roman"/>
          <w:sz w:val="24"/>
          <w:szCs w:val="24"/>
          <w:lang w:val="en-US"/>
        </w:rPr>
        <w:t>Neutron Activation Analysis.</w:t>
      </w:r>
      <w:r w:rsidRPr="006D278D">
        <w:rPr>
          <w:rFonts w:ascii="Times New Roman" w:hAnsi="Times New Roman" w:cs="Times New Roman"/>
          <w:spacing w:val="1"/>
          <w:sz w:val="24"/>
          <w:szCs w:val="24"/>
          <w:lang w:val="en-GB"/>
        </w:rPr>
        <w:t xml:space="preserve"> </w:t>
      </w:r>
      <w:r w:rsidRPr="006D278D">
        <w:rPr>
          <w:rFonts w:ascii="Times New Roman" w:hAnsi="Times New Roman" w:cs="Times New Roman"/>
          <w:bCs/>
          <w:sz w:val="24"/>
          <w:szCs w:val="24"/>
          <w:lang w:val="en-US"/>
        </w:rPr>
        <w:t>Journal of Medical Research and Health Sciences 2022d;5(1):1663-1677.</w:t>
      </w:r>
    </w:p>
    <w:p w:rsidR="006D278D" w:rsidRPr="006D278D" w:rsidRDefault="006D278D" w:rsidP="006D278D">
      <w:pPr>
        <w:pStyle w:val="ListParagraph"/>
        <w:numPr>
          <w:ilvl w:val="0"/>
          <w:numId w:val="17"/>
        </w:numPr>
        <w:spacing w:after="0" w:line="240" w:lineRule="auto"/>
        <w:rPr>
          <w:rFonts w:ascii="Times New Roman" w:hAnsi="Times New Roman" w:cs="Times New Roman"/>
          <w:bCs/>
          <w:sz w:val="24"/>
          <w:szCs w:val="24"/>
          <w:shd w:val="clear" w:color="auto" w:fill="FFFF00"/>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w:t>
      </w:r>
      <w:r w:rsidRPr="006D278D">
        <w:rPr>
          <w:rFonts w:ascii="Times New Roman" w:hAnsi="Times New Roman" w:cs="Times New Roman"/>
          <w:sz w:val="24"/>
          <w:szCs w:val="24"/>
          <w:lang w:val="en-US"/>
        </w:rPr>
        <w:t xml:space="preserve">Contents of Nineteen Chemical Elements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Thyroid Tissue adjacent to Nodules using </w:t>
      </w:r>
      <w:r w:rsidRPr="006D278D">
        <w:rPr>
          <w:rFonts w:ascii="Times New Roman" w:hAnsi="Times New Roman" w:cs="Times New Roman"/>
          <w:sz w:val="24"/>
          <w:szCs w:val="24"/>
          <w:lang w:val="en-US"/>
        </w:rPr>
        <w:t xml:space="preserve">Neutron Activation Analysis and Inductively Coupled Plasma Atomic Emission Spectrometry. </w:t>
      </w:r>
      <w:r w:rsidRPr="006D278D">
        <w:rPr>
          <w:rFonts w:ascii="Times New Roman" w:hAnsi="Times New Roman" w:cs="Times New Roman"/>
          <w:bCs/>
          <w:sz w:val="24"/>
          <w:szCs w:val="24"/>
          <w:shd w:val="clear" w:color="auto" w:fill="FFFF00"/>
          <w:lang w:val="en-US"/>
        </w:rPr>
        <w:t>Saudi Journal of Biomedical Research 2022e;7(1):45-56.</w:t>
      </w:r>
    </w:p>
    <w:p w:rsidR="006D278D" w:rsidRPr="006D278D" w:rsidRDefault="006D278D" w:rsidP="006D278D">
      <w:pPr>
        <w:pStyle w:val="Text"/>
        <w:numPr>
          <w:ilvl w:val="0"/>
          <w:numId w:val="17"/>
        </w:numPr>
        <w:adjustRightInd w:val="0"/>
        <w:snapToGrid w:val="0"/>
        <w:spacing w:line="240" w:lineRule="auto"/>
        <w:rPr>
          <w:sz w:val="24"/>
          <w:szCs w:val="24"/>
        </w:rPr>
      </w:pPr>
      <w:r w:rsidRPr="006D278D">
        <w:rPr>
          <w:sz w:val="24"/>
          <w:szCs w:val="24"/>
        </w:rPr>
        <w:t xml:space="preserve">Katoh Y, Sato T, Yamamoto Y. Determination of multielement concentrations in normal human organs from the Japanese. </w:t>
      </w:r>
      <w:hyperlink r:id="rId44" w:tooltip="Link to the Journal of this Article" w:history="1">
        <w:r w:rsidRPr="006D278D">
          <w:rPr>
            <w:rStyle w:val="Hyperlink"/>
            <w:sz w:val="24"/>
            <w:szCs w:val="24"/>
            <w:u w:val="none"/>
          </w:rPr>
          <w:t>Biol Trace Elem Res</w:t>
        </w:r>
      </w:hyperlink>
      <w:r w:rsidRPr="006D278D">
        <w:rPr>
          <w:sz w:val="24"/>
          <w:szCs w:val="24"/>
        </w:rPr>
        <w:t xml:space="preserve"> </w:t>
      </w:r>
      <w:hyperlink r:id="rId45" w:tooltip="Link to the Issue of this Article" w:history="1">
        <w:r w:rsidRPr="006D278D">
          <w:rPr>
            <w:sz w:val="24"/>
            <w:szCs w:val="24"/>
          </w:rPr>
          <w:t>2002;</w:t>
        </w:r>
        <w:r w:rsidRPr="006D278D">
          <w:rPr>
            <w:rStyle w:val="Hyperlink"/>
            <w:sz w:val="24"/>
            <w:szCs w:val="24"/>
            <w:u w:val="none"/>
          </w:rPr>
          <w:t>90(1-3</w:t>
        </w:r>
      </w:hyperlink>
      <w:r w:rsidRPr="006D278D">
        <w:rPr>
          <w:sz w:val="24"/>
          <w:szCs w:val="24"/>
        </w:rPr>
        <w:t>):</w:t>
      </w:r>
      <w:r w:rsidRPr="006D278D">
        <w:rPr>
          <w:rStyle w:val="pagination"/>
          <w:sz w:val="24"/>
          <w:szCs w:val="24"/>
        </w:rPr>
        <w:t>57-70</w:t>
      </w:r>
      <w:r w:rsidRPr="006D278D">
        <w:rPr>
          <w:rStyle w:val="doi"/>
          <w:sz w:val="24"/>
          <w:szCs w:val="24"/>
        </w:rPr>
        <w:t>.</w:t>
      </w:r>
    </w:p>
    <w:p w:rsidR="006D278D" w:rsidRPr="006D278D" w:rsidRDefault="006D278D" w:rsidP="006D278D">
      <w:pPr>
        <w:pStyle w:val="BodyText"/>
        <w:numPr>
          <w:ilvl w:val="0"/>
          <w:numId w:val="17"/>
        </w:numPr>
        <w:overflowPunct/>
        <w:autoSpaceDE/>
        <w:autoSpaceDN/>
        <w:adjustRightInd/>
        <w:spacing w:after="0"/>
        <w:textAlignment w:val="auto"/>
        <w:rPr>
          <w:bCs/>
          <w:iCs/>
          <w:sz w:val="24"/>
          <w:szCs w:val="24"/>
          <w:lang w:val="en-US"/>
        </w:rPr>
      </w:pPr>
      <w:r w:rsidRPr="006D278D">
        <w:rPr>
          <w:sz w:val="24"/>
          <w:szCs w:val="24"/>
          <w:lang w:val="en-US"/>
        </w:rPr>
        <w:t>Schroeder HA, Tipton IH, Nason AP. Trace metals in man: strontium and barium. J Chron Dis 1972;</w:t>
      </w:r>
      <w:r w:rsidRPr="006D278D">
        <w:rPr>
          <w:bCs/>
          <w:sz w:val="24"/>
          <w:szCs w:val="24"/>
          <w:lang w:val="en-US"/>
        </w:rPr>
        <w:t>25</w:t>
      </w:r>
      <w:r w:rsidRPr="006D278D">
        <w:rPr>
          <w:sz w:val="24"/>
          <w:szCs w:val="24"/>
          <w:lang w:val="en-US"/>
        </w:rPr>
        <w:t>(9):491-517.</w:t>
      </w:r>
    </w:p>
    <w:p w:rsidR="006D278D" w:rsidRPr="006D278D" w:rsidRDefault="006D278D" w:rsidP="006D278D">
      <w:pPr>
        <w:numPr>
          <w:ilvl w:val="0"/>
          <w:numId w:val="17"/>
        </w:numPr>
        <w:jc w:val="both"/>
        <w:rPr>
          <w:lang w:val="en-US"/>
        </w:rPr>
      </w:pPr>
      <w:r w:rsidRPr="006D278D">
        <w:rPr>
          <w:lang w:val="en-US"/>
        </w:rPr>
        <w:t>Genes VS. Simple methods for cybernetic data treatment of diagnostic and physiological studies. Moscow:Nauka; 1967.</w:t>
      </w:r>
    </w:p>
    <w:p w:rsidR="006D278D" w:rsidRPr="006D278D" w:rsidRDefault="006D278D" w:rsidP="006D278D">
      <w:pPr>
        <w:numPr>
          <w:ilvl w:val="0"/>
          <w:numId w:val="17"/>
        </w:numPr>
        <w:ind w:left="357"/>
        <w:rPr>
          <w:lang w:val="en-US"/>
        </w:rPr>
      </w:pPr>
      <w:r w:rsidRPr="006D278D">
        <w:rPr>
          <w:lang w:val="en-GB"/>
        </w:rPr>
        <w:t>Zaichick V. Sampling, sample storage and preparation of biomaterials for INAA in clinical medicine, occupational and environmental health. In: Harmonization of Health-Related Environmental Measurements Using Nuclear and Isotopic Techniques. Vienna: IAEA; 1997. p.123</w:t>
      </w:r>
      <w:r w:rsidRPr="006D278D">
        <w:rPr>
          <w:lang w:val="en-US"/>
        </w:rPr>
        <w:t>-1</w:t>
      </w:r>
      <w:r w:rsidRPr="006D278D">
        <w:rPr>
          <w:lang w:val="en-GB"/>
        </w:rPr>
        <w:t xml:space="preserve">33. </w:t>
      </w:r>
    </w:p>
    <w:p w:rsidR="006D278D" w:rsidRPr="006D278D" w:rsidRDefault="006D278D" w:rsidP="006D278D">
      <w:pPr>
        <w:numPr>
          <w:ilvl w:val="0"/>
          <w:numId w:val="17"/>
        </w:numPr>
        <w:ind w:left="357"/>
        <w:rPr>
          <w:lang w:val="en-US"/>
        </w:rPr>
      </w:pPr>
      <w:r w:rsidRPr="006D278D">
        <w:rPr>
          <w:lang w:val="en-GB"/>
        </w:rPr>
        <w:t>Zaichick V, Zaichick S. A search for losses of chemical elements during freeze-drying of biological materials. J Radioanal Nucl Chem 1997;218(2):249-253.</w:t>
      </w:r>
    </w:p>
    <w:p w:rsidR="006D278D" w:rsidRPr="006D278D" w:rsidRDefault="006D278D" w:rsidP="006D278D">
      <w:pPr>
        <w:pStyle w:val="BodyText"/>
        <w:numPr>
          <w:ilvl w:val="0"/>
          <w:numId w:val="17"/>
        </w:numPr>
        <w:overflowPunct/>
        <w:autoSpaceDE/>
        <w:autoSpaceDN/>
        <w:adjustRightInd/>
        <w:spacing w:after="0"/>
        <w:ind w:left="357"/>
        <w:textAlignment w:val="auto"/>
        <w:rPr>
          <w:bCs/>
          <w:iCs/>
          <w:sz w:val="24"/>
          <w:szCs w:val="24"/>
        </w:rPr>
      </w:pPr>
      <w:r w:rsidRPr="006D278D">
        <w:rPr>
          <w:sz w:val="24"/>
          <w:szCs w:val="24"/>
          <w:lang w:val="en-US"/>
        </w:rPr>
        <w:lastRenderedPageBreak/>
        <w:t>Zaichick V. Losses of chemical elements in biological samples under the dry aching process. Trace Elements in Medicine 2004;5(3):17–22.</w:t>
      </w:r>
    </w:p>
    <w:p w:rsidR="006D278D" w:rsidRPr="006D278D" w:rsidRDefault="006D278D" w:rsidP="006D278D">
      <w:pPr>
        <w:pStyle w:val="BodyText"/>
        <w:numPr>
          <w:ilvl w:val="0"/>
          <w:numId w:val="17"/>
        </w:numPr>
        <w:overflowPunct/>
        <w:autoSpaceDE/>
        <w:autoSpaceDN/>
        <w:adjustRightInd/>
        <w:spacing w:after="0"/>
        <w:ind w:left="357"/>
        <w:textAlignment w:val="auto"/>
        <w:rPr>
          <w:bCs/>
          <w:iCs/>
          <w:sz w:val="24"/>
          <w:szCs w:val="24"/>
        </w:rPr>
      </w:pPr>
      <w:r w:rsidRPr="006D278D">
        <w:rPr>
          <w:rStyle w:val="A2"/>
          <w:sz w:val="24"/>
          <w:szCs w:val="24"/>
          <w:lang w:val="en-US"/>
        </w:rPr>
        <w:t>Rossmann M, Zaichick S, Zaichick V. Determination of key chemical elements by energy dispersive X-Ray fluorescence analysis in commercially available infant and toddler formulas consumed in UK. Nutr Food Technol Open Access 2016;2(4):1-7.</w:t>
      </w:r>
    </w:p>
    <w:p w:rsidR="00CE1DC1" w:rsidRDefault="00CE1DC1" w:rsidP="00CE1DC1">
      <w:pPr>
        <w:spacing w:after="200" w:line="276" w:lineRule="auto"/>
        <w:rPr>
          <w:b/>
          <w:bCs/>
          <w:lang w:val="en-US"/>
        </w:rPr>
      </w:pPr>
    </w:p>
    <w:sectPr w:rsidR="00CE1DC1" w:rsidSect="006C2BA0">
      <w:headerReference w:type="even" r:id="rId46"/>
      <w:headerReference w:type="default" r:id="rId47"/>
      <w:headerReference w:type="first" r:id="rId48"/>
      <w:pgSz w:w="11906" w:h="16838"/>
      <w:pgMar w:top="270" w:right="851" w:bottom="360" w:left="1418" w:header="180" w:footer="27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3-23T22:51:00Z" w:initials="K">
    <w:p w:rsidR="00660ECC" w:rsidRDefault="00660ECC" w:rsidP="000A11BD">
      <w:pPr>
        <w:pStyle w:val="CommentText"/>
      </w:pPr>
      <w:r>
        <w:rPr>
          <w:rStyle w:val="CommentReference"/>
        </w:rPr>
        <w:annotationRef/>
      </w:r>
      <w:r w:rsidRPr="00D71AAA">
        <w:rPr>
          <w:rStyle w:val="y2iqfc"/>
          <w:rFonts w:asciiTheme="majorBidi" w:hAnsiTheme="majorBidi" w:cstheme="majorBidi"/>
          <w:sz w:val="24"/>
          <w:szCs w:val="24"/>
        </w:rPr>
        <w:t xml:space="preserve"> </w:t>
      </w:r>
      <w:r>
        <w:rPr>
          <w:rStyle w:val="y2iqfc"/>
          <w:rFonts w:asciiTheme="majorBidi" w:hAnsiTheme="majorBidi" w:cstheme="majorBidi"/>
          <w:sz w:val="24"/>
          <w:szCs w:val="24"/>
          <w:lang w:val="en-US"/>
        </w:rPr>
        <w:t>T</w:t>
      </w:r>
      <w:r w:rsidRPr="00D71AAA">
        <w:rPr>
          <w:rStyle w:val="y2iqfc"/>
          <w:rFonts w:asciiTheme="majorBidi" w:hAnsiTheme="majorBidi" w:cstheme="majorBidi"/>
          <w:sz w:val="24"/>
          <w:szCs w:val="24"/>
        </w:rPr>
        <w:t>his is a pace of original research full of exhilarating science that benefits all of humanity, and as he wrote in the title “Authors” he is the only author on this study, really Professor Dr. Vladimir Zaicek is not one but equal to a thousand professors to me The Arabic proverb says, "A man can equal a thousand men."</w:t>
      </w:r>
    </w:p>
    <w:p w:rsidR="00660ECC" w:rsidRDefault="00660ECC">
      <w:pPr>
        <w:pStyle w:val="CommentText"/>
      </w:pPr>
    </w:p>
  </w:comment>
  <w:comment w:id="1" w:author="Kapil" w:date="2022-03-23T22:54:00Z" w:initials="K">
    <w:p w:rsidR="00660ECC" w:rsidRPr="000F0FBB" w:rsidRDefault="00660ECC" w:rsidP="00660ECC">
      <w:pPr>
        <w:numPr>
          <w:ilvl w:val="0"/>
          <w:numId w:val="28"/>
        </w:numPr>
        <w:spacing w:before="100" w:beforeAutospacing="1" w:after="100" w:afterAutospacing="1"/>
      </w:pPr>
      <w:r>
        <w:rPr>
          <w:rStyle w:val="CommentReference"/>
        </w:rPr>
        <w:annotationRef/>
      </w:r>
      <w:r w:rsidRPr="000F0FBB">
        <w:t>Since the study encompassed with human organs (though deceased), it attracts human ethical research clearance approval.</w:t>
      </w:r>
    </w:p>
    <w:p w:rsidR="00660ECC" w:rsidRPr="000F0FBB" w:rsidRDefault="00660ECC" w:rsidP="00660ECC">
      <w:pPr>
        <w:numPr>
          <w:ilvl w:val="0"/>
          <w:numId w:val="28"/>
        </w:numPr>
        <w:spacing w:before="100" w:beforeAutospacing="1" w:after="100" w:afterAutospacing="1"/>
      </w:pPr>
      <w:r w:rsidRPr="000F0FBB">
        <w:t>The author was able to corroborate the trace element (Iodine) only with thyroid nodule development and failed to provide sufficient literatures in the early introduction pertain to other trace elements presented in the study.</w:t>
      </w:r>
    </w:p>
    <w:p w:rsidR="00660ECC" w:rsidRDefault="00660ECC">
      <w:pPr>
        <w:pStyle w:val="CommentText"/>
      </w:pPr>
    </w:p>
  </w:comment>
  <w:comment w:id="3" w:author="DELL" w:date="2022-03-21T15:59:00Z" w:initials="D">
    <w:p w:rsidR="00660ECC" w:rsidRPr="006A4A1A" w:rsidRDefault="00660ECC">
      <w:pPr>
        <w:pStyle w:val="CommentText"/>
        <w:rPr>
          <w:lang w:val="en-US"/>
        </w:rPr>
      </w:pPr>
      <w:r>
        <w:rPr>
          <w:rStyle w:val="CommentReference"/>
        </w:rPr>
        <w:annotationRef/>
      </w:r>
      <w:r>
        <w:rPr>
          <w:lang w:val="en-US"/>
        </w:rPr>
        <w:t xml:space="preserve">Change to: </w:t>
      </w:r>
      <w:r>
        <w:rPr>
          <w:rStyle w:val="y2iqfc"/>
          <w:rFonts w:ascii="inherit" w:hAnsi="inherit"/>
          <w:color w:val="202124"/>
          <w:sz w:val="28"/>
          <w:szCs w:val="28"/>
        </w:rPr>
        <w:t xml:space="preserve">Benign (TBN) and malignant (TMN) thyroid </w:t>
      </w:r>
      <w:r w:rsidRPr="00A22840">
        <w:rPr>
          <w:rStyle w:val="y2iqfc"/>
          <w:rFonts w:ascii="inherit" w:hAnsi="inherit"/>
          <w:color w:val="202124"/>
          <w:sz w:val="28"/>
          <w:szCs w:val="28"/>
        </w:rPr>
        <w:t>nodules are common</w:t>
      </w:r>
      <w:r>
        <w:rPr>
          <w:rStyle w:val="y2iqfc"/>
          <w:rFonts w:ascii="inherit" w:hAnsi="inherit"/>
          <w:color w:val="202124"/>
          <w:sz w:val="28"/>
          <w:szCs w:val="28"/>
        </w:rPr>
        <w:t xml:space="preserve"> thyroid </w:t>
      </w:r>
      <w:r w:rsidRPr="00A22840">
        <w:rPr>
          <w:rStyle w:val="y2iqfc"/>
          <w:rFonts w:ascii="inherit" w:hAnsi="inherit"/>
          <w:color w:val="202124"/>
          <w:sz w:val="28"/>
          <w:szCs w:val="28"/>
        </w:rPr>
        <w:t>lesions.</w:t>
      </w:r>
    </w:p>
  </w:comment>
  <w:comment w:id="4" w:author="DELL" w:date="2022-03-21T16:10:00Z" w:initials="D">
    <w:p w:rsidR="00660ECC" w:rsidRPr="00AC7BB5" w:rsidRDefault="00660ECC" w:rsidP="00AC7BB5">
      <w:pPr>
        <w:pStyle w:val="HTMLPreformatted"/>
        <w:shd w:val="clear" w:color="auto" w:fill="F8F9FA"/>
        <w:spacing w:line="360" w:lineRule="atLeast"/>
        <w:rPr>
          <w:rFonts w:ascii="inherit" w:hAnsi="inherit"/>
          <w:color w:val="202124"/>
          <w:sz w:val="28"/>
          <w:szCs w:val="28"/>
        </w:rPr>
      </w:pPr>
      <w:r>
        <w:rPr>
          <w:rStyle w:val="CommentReference"/>
        </w:rPr>
        <w:annotationRef/>
      </w:r>
      <w:r w:rsidRPr="00AC7BB5">
        <w:rPr>
          <w:highlight w:val="yellow"/>
        </w:rPr>
        <w:t>Is this right? If yes please change</w:t>
      </w:r>
      <w:r>
        <w:t xml:space="preserve">: </w:t>
      </w:r>
      <w:r>
        <w:rPr>
          <w:rStyle w:val="y2iqfc"/>
          <w:rFonts w:ascii="inherit" w:hAnsi="inherit"/>
          <w:color w:val="202124"/>
          <w:sz w:val="28"/>
          <w:szCs w:val="28"/>
        </w:rPr>
        <w:t>The aim of this study is to evaluate the possibilities of using differences in trace element contents (TEs) in nodular tissue to diagnose thyroid malignancies and to determine the sensitivity and specificity of TEs (I level) in the diagnosis of TMN.</w:t>
      </w:r>
    </w:p>
  </w:comment>
  <w:comment w:id="5" w:author="DELL" w:date="2022-03-21T16:20:00Z" w:initials="D">
    <w:p w:rsidR="00660ECC" w:rsidRPr="00A60D04" w:rsidRDefault="00660ECC" w:rsidP="00A60D04">
      <w:pPr>
        <w:jc w:val="both"/>
        <w:rPr>
          <w:lang w:val="en-US"/>
        </w:rPr>
      </w:pPr>
      <w:r>
        <w:rPr>
          <w:rStyle w:val="CommentReference"/>
        </w:rPr>
        <w:annotationRef/>
      </w:r>
      <w:r w:rsidRPr="00A60D04">
        <w:rPr>
          <w:highlight w:val="yellow"/>
          <w:lang w:val="en-US"/>
        </w:rPr>
        <w:t>How did you determine specificity, etc in short?.</w:t>
      </w:r>
      <w:r w:rsidRPr="00A60D04">
        <w:t xml:space="preserve"> Sensitivity”, “Specificity” and “Accuracy” of TMN identification using the I level in the needle biopsy of affected thyroid tissue was significantly higher than that using US examination and cytological test of fine needle aspiration biopsy.</w:t>
      </w:r>
      <w:r w:rsidRPr="00A60D04">
        <w:rPr>
          <w:lang w:val="en-US"/>
        </w:rPr>
        <w:t xml:space="preserve"> </w:t>
      </w:r>
    </w:p>
    <w:p w:rsidR="00660ECC" w:rsidRPr="00A60D04" w:rsidRDefault="00660ECC" w:rsidP="00A60D04">
      <w:pPr>
        <w:jc w:val="both"/>
        <w:rPr>
          <w:lang w:val="en-US"/>
        </w:rPr>
      </w:pPr>
      <w:r w:rsidRPr="00A60D04">
        <w:rPr>
          <w:lang w:val="en-US"/>
        </w:rPr>
        <w:t xml:space="preserve">Line described the method of </w:t>
      </w:r>
      <w:r w:rsidRPr="00A60D04">
        <w:rPr>
          <w:lang w:val="en-US" w:eastAsia="en-US"/>
        </w:rPr>
        <w:t>energy-dispersive X-ray fluorescent</w:t>
      </w:r>
      <w:r w:rsidRPr="00A60D04">
        <w:rPr>
          <w:lang w:val="en-GB"/>
        </w:rPr>
        <w:t xml:space="preserve"> analysis</w:t>
      </w:r>
    </w:p>
    <w:p w:rsidR="00660ECC" w:rsidRPr="00A60D04" w:rsidRDefault="00660ECC" w:rsidP="00A60D04">
      <w:pPr>
        <w:pStyle w:val="HTMLPreformatted"/>
        <w:shd w:val="clear" w:color="auto" w:fill="F8F9FA"/>
        <w:spacing w:line="360" w:lineRule="atLeast"/>
        <w:rPr>
          <w:rFonts w:ascii="inherit" w:hAnsi="inherit"/>
          <w:sz w:val="24"/>
          <w:szCs w:val="24"/>
        </w:rPr>
      </w:pPr>
      <w:r w:rsidRPr="00A60D04">
        <w:rPr>
          <w:rStyle w:val="y2iqfc"/>
          <w:rFonts w:ascii="inherit" w:hAnsi="inherit"/>
          <w:sz w:val="24"/>
          <w:szCs w:val="24"/>
        </w:rPr>
        <w:t>Describe in one sentence the method of fluorescent analysis of energy-dispersive X-rays, if possible.</w:t>
      </w:r>
    </w:p>
    <w:p w:rsidR="00660ECC" w:rsidRPr="00A60D04" w:rsidRDefault="00660ECC">
      <w:pPr>
        <w:pStyle w:val="CommentText"/>
        <w:rPr>
          <w:lang w:val="en-US"/>
        </w:rPr>
      </w:pPr>
    </w:p>
  </w:comment>
  <w:comment w:id="6" w:author="DELL" w:date="2022-03-21T16:44:00Z" w:initials="D">
    <w:p w:rsidR="00660ECC" w:rsidRPr="002D7A86" w:rsidRDefault="00660ECC">
      <w:pPr>
        <w:pStyle w:val="CommentText"/>
        <w:rPr>
          <w:lang w:val="en-US"/>
        </w:rPr>
      </w:pPr>
      <w:r>
        <w:rPr>
          <w:rStyle w:val="CommentReference"/>
        </w:rPr>
        <w:annotationRef/>
      </w:r>
      <w:r>
        <w:rPr>
          <w:lang w:val="en-US"/>
        </w:rPr>
        <w:t>This section need numbers??</w:t>
      </w:r>
    </w:p>
  </w:comment>
  <w:comment w:id="7" w:author="DELL" w:date="2022-03-21T16:42:00Z" w:initials="D">
    <w:p w:rsidR="00660ECC" w:rsidRPr="00B42BA4" w:rsidRDefault="00660ECC" w:rsidP="003D7025">
      <w:pPr>
        <w:pStyle w:val="CommentText"/>
        <w:rPr>
          <w:lang w:val="en-US"/>
        </w:rPr>
      </w:pPr>
      <w:r>
        <w:rPr>
          <w:rStyle w:val="CommentReference"/>
        </w:rPr>
        <w:annotationRef/>
      </w:r>
      <w:r>
        <w:rPr>
          <w:lang w:val="en-US"/>
        </w:rPr>
        <w:t xml:space="preserve">the I contents in nodular </w:t>
      </w:r>
    </w:p>
  </w:comment>
  <w:comment w:id="8" w:author="DELL" w:date="2022-03-21T16:37:00Z" w:initials="D">
    <w:p w:rsidR="00660ECC" w:rsidRPr="00B42BA4" w:rsidRDefault="00660ECC" w:rsidP="00B42BA4">
      <w:pPr>
        <w:pStyle w:val="Body"/>
        <w:spacing w:after="0"/>
        <w:rPr>
          <w:rFonts w:ascii="Times New Roman" w:hAnsi="Times New Roman"/>
          <w:sz w:val="24"/>
          <w:szCs w:val="24"/>
          <w:lang w:eastAsia="ru-RU"/>
        </w:rPr>
      </w:pPr>
      <w:r>
        <w:rPr>
          <w:rStyle w:val="CommentReference"/>
        </w:rPr>
        <w:annotationRef/>
      </w:r>
      <w:r w:rsidRPr="00B42BA4">
        <w:rPr>
          <w:highlight w:val="yellow"/>
        </w:rPr>
        <w:t>Is this better?:</w:t>
      </w:r>
      <w:r>
        <w:t xml:space="preserve"> </w:t>
      </w:r>
      <w:r w:rsidRPr="00B42BA4">
        <w:rPr>
          <w:rStyle w:val="y2iqfc"/>
          <w:rFonts w:ascii="inherit" w:hAnsi="inherit"/>
          <w:sz w:val="28"/>
          <w:szCs w:val="28"/>
        </w:rPr>
        <w:t>It was found that the 'sensitivity', 'specificity', and 'accuracy' of TMN identification using</w:t>
      </w:r>
      <w:r>
        <w:rPr>
          <w:rStyle w:val="y2iqfc"/>
          <w:rFonts w:ascii="inherit" w:hAnsi="inherit"/>
          <w:sz w:val="28"/>
          <w:szCs w:val="28"/>
        </w:rPr>
        <w:t xml:space="preserve"> I</w:t>
      </w:r>
      <w:r w:rsidRPr="00B42BA4">
        <w:rPr>
          <w:rStyle w:val="y2iqfc"/>
          <w:rFonts w:ascii="inherit" w:hAnsi="inherit"/>
          <w:sz w:val="28"/>
          <w:szCs w:val="28"/>
        </w:rPr>
        <w:t xml:space="preserve"> level in needle biopsy of affected thyroid tissue were significantly higher than that made using the US screening and cytological test of fine needle aspiration biopsy where </w:t>
      </w:r>
      <w:r>
        <w:rPr>
          <w:rStyle w:val="y2iqfc"/>
          <w:rFonts w:ascii="inherit" w:hAnsi="inherit"/>
          <w:sz w:val="28"/>
          <w:szCs w:val="28"/>
        </w:rPr>
        <w:t>they were</w:t>
      </w:r>
      <w:r w:rsidRPr="00B42BA4">
        <w:rPr>
          <w:rStyle w:val="y2iqfc"/>
          <w:rFonts w:ascii="inherit" w:hAnsi="inherit"/>
          <w:sz w:val="28"/>
          <w:szCs w:val="28"/>
        </w:rPr>
        <w:t xml:space="preserve"> 87 ± 5% , 96 ± 2% and 94 ± 2%, respectively.</w:t>
      </w:r>
    </w:p>
    <w:p w:rsidR="00660ECC" w:rsidRPr="00B42BA4" w:rsidRDefault="00660ECC">
      <w:pPr>
        <w:pStyle w:val="CommentText"/>
        <w:rPr>
          <w:lang w:val="en-US"/>
        </w:rPr>
      </w:pPr>
    </w:p>
  </w:comment>
  <w:comment w:id="9" w:author="DELL" w:date="2022-03-21T16:47:00Z" w:initials="D">
    <w:p w:rsidR="00660ECC" w:rsidRPr="002D7A86" w:rsidRDefault="00660ECC">
      <w:pPr>
        <w:pStyle w:val="CommentText"/>
        <w:rPr>
          <w:lang w:val="en-US"/>
        </w:rPr>
      </w:pPr>
      <w:r>
        <w:rPr>
          <w:rStyle w:val="CommentReference"/>
        </w:rPr>
        <w:annotationRef/>
      </w:r>
      <w:r w:rsidRPr="002D7A86">
        <w:rPr>
          <w:highlight w:val="yellow"/>
          <w:lang w:val="en-US"/>
        </w:rPr>
        <w:t>Change to:</w:t>
      </w:r>
      <w:r>
        <w:rPr>
          <w:lang w:val="en-US"/>
        </w:rPr>
        <w:t xml:space="preserve"> determination </w:t>
      </w:r>
    </w:p>
  </w:comment>
  <w:comment w:id="10" w:author="DELL" w:date="2022-03-21T16:48:00Z" w:initials="D">
    <w:p w:rsidR="00660ECC" w:rsidRPr="002D7A86" w:rsidRDefault="00660ECC">
      <w:pPr>
        <w:pStyle w:val="CommentText"/>
        <w:rPr>
          <w:lang w:val="en-US"/>
        </w:rPr>
      </w:pPr>
      <w:r>
        <w:rPr>
          <w:rStyle w:val="CommentReference"/>
        </w:rPr>
        <w:annotationRef/>
      </w:r>
      <w:r>
        <w:rPr>
          <w:lang w:val="en-US"/>
        </w:rPr>
        <w:t xml:space="preserve">Delete </w:t>
      </w:r>
    </w:p>
  </w:comment>
  <w:comment w:id="11" w:author="DELL" w:date="2022-03-21T16:49:00Z" w:initials="D">
    <w:p w:rsidR="00660ECC" w:rsidRPr="002D7A86" w:rsidRDefault="00660ECC">
      <w:pPr>
        <w:pStyle w:val="CommentText"/>
        <w:rPr>
          <w:lang w:val="en-US"/>
        </w:rPr>
      </w:pPr>
      <w:r>
        <w:rPr>
          <w:rStyle w:val="CommentReference"/>
        </w:rPr>
        <w:annotationRef/>
      </w:r>
      <w:r>
        <w:rPr>
          <w:lang w:val="en-US"/>
        </w:rPr>
        <w:t>delete</w:t>
      </w:r>
    </w:p>
  </w:comment>
  <w:comment w:id="12" w:author="DELL" w:date="2022-03-21T16:49:00Z" w:initials="D">
    <w:p w:rsidR="00660ECC" w:rsidRPr="002D7A86" w:rsidRDefault="00660ECC">
      <w:pPr>
        <w:pStyle w:val="CommentText"/>
        <w:rPr>
          <w:lang w:val="en-US"/>
        </w:rPr>
      </w:pPr>
      <w:r>
        <w:rPr>
          <w:rStyle w:val="CommentReference"/>
        </w:rPr>
        <w:annotationRef/>
      </w:r>
      <w:r>
        <w:rPr>
          <w:lang w:val="en-US"/>
        </w:rPr>
        <w:t>delete</w:t>
      </w:r>
    </w:p>
  </w:comment>
  <w:comment w:id="13" w:author="DELL" w:date="2022-03-21T16:49:00Z" w:initials="D">
    <w:p w:rsidR="00660ECC" w:rsidRPr="002D7A86" w:rsidRDefault="00660ECC">
      <w:pPr>
        <w:pStyle w:val="CommentText"/>
        <w:rPr>
          <w:lang w:val="en-US"/>
        </w:rPr>
      </w:pPr>
      <w:r>
        <w:rPr>
          <w:rStyle w:val="CommentReference"/>
        </w:rPr>
        <w:annotationRef/>
      </w:r>
      <w:r>
        <w:rPr>
          <w:lang w:val="en-US"/>
        </w:rPr>
        <w:t>delete</w:t>
      </w:r>
    </w:p>
  </w:comment>
  <w:comment w:id="14" w:author="DELL" w:date="2022-03-21T16:53:00Z" w:initials="D">
    <w:p w:rsidR="00660ECC" w:rsidRPr="00025DD9" w:rsidRDefault="00660ECC">
      <w:pPr>
        <w:pStyle w:val="CommentText"/>
        <w:rPr>
          <w:lang w:val="en-US"/>
        </w:rPr>
      </w:pPr>
      <w:r>
        <w:rPr>
          <w:rStyle w:val="CommentReference"/>
        </w:rPr>
        <w:annotationRef/>
      </w:r>
      <w:r>
        <w:rPr>
          <w:lang w:val="en-US"/>
        </w:rPr>
        <w:t>(EDXRF)</w:t>
      </w:r>
    </w:p>
  </w:comment>
  <w:comment w:id="15" w:author="DELL" w:date="2022-03-21T16:53:00Z" w:initials="D">
    <w:p w:rsidR="00660ECC" w:rsidRPr="00025DD9" w:rsidRDefault="00660ECC">
      <w:pPr>
        <w:pStyle w:val="CommentText"/>
        <w:rPr>
          <w:lang w:val="en-US"/>
        </w:rPr>
      </w:pPr>
      <w:r>
        <w:rPr>
          <w:rStyle w:val="CommentReference"/>
        </w:rPr>
        <w:annotationRef/>
      </w:r>
      <w:r>
        <w:rPr>
          <w:lang w:val="en-US"/>
        </w:rPr>
        <w:t>delete</w:t>
      </w:r>
    </w:p>
  </w:comment>
  <w:comment w:id="16" w:author="Kapil" w:date="2022-03-23T22:55:00Z" w:initials="K">
    <w:p w:rsidR="000B24C3" w:rsidRPr="000F0FBB" w:rsidRDefault="000B24C3" w:rsidP="000B24C3">
      <w:pPr>
        <w:spacing w:before="100" w:beforeAutospacing="1" w:after="100" w:afterAutospacing="1"/>
      </w:pPr>
      <w:r>
        <w:rPr>
          <w:rStyle w:val="CommentReference"/>
        </w:rPr>
        <w:annotationRef/>
      </w:r>
      <w:r w:rsidRPr="000F0FBB">
        <w:t>Can we claim that having low level of specific trace element, will it be a diagnostic parameter for thyroid malignancy?</w:t>
      </w:r>
    </w:p>
    <w:p w:rsidR="000B24C3" w:rsidRDefault="000B24C3">
      <w:pPr>
        <w:pStyle w:val="CommentText"/>
      </w:pPr>
    </w:p>
  </w:comment>
  <w:comment w:id="18" w:author="DELL" w:date="2022-03-21T16:58:00Z" w:initials="D">
    <w:p w:rsidR="00660ECC" w:rsidRDefault="00660ECC">
      <w:pPr>
        <w:pStyle w:val="CommentText"/>
      </w:pPr>
      <w:r>
        <w:rPr>
          <w:rStyle w:val="CommentReference"/>
        </w:rPr>
        <w:annotationRef/>
      </w:r>
      <w:r>
        <w:t xml:space="preserve">Superscript </w:t>
      </w:r>
      <w:r>
        <w:rPr>
          <w:rStyle w:val="y2iqfc"/>
          <w:rFonts w:ascii="inherit" w:hAnsi="inherit"/>
          <w:color w:val="202124"/>
          <w:sz w:val="32"/>
          <w:szCs w:val="32"/>
        </w:rPr>
        <w:t>without brackets</w:t>
      </w:r>
    </w:p>
  </w:comment>
  <w:comment w:id="19" w:author="DELL" w:date="2022-03-21T16:59:00Z" w:initials="D">
    <w:p w:rsidR="00660ECC" w:rsidRDefault="00660ECC">
      <w:pPr>
        <w:pStyle w:val="CommentText"/>
      </w:pPr>
      <w:r>
        <w:rPr>
          <w:rStyle w:val="CommentReference"/>
        </w:rPr>
        <w:annotationRef/>
      </w:r>
      <w:r>
        <w:t xml:space="preserve">Superscript </w:t>
      </w:r>
      <w:r>
        <w:rPr>
          <w:rStyle w:val="y2iqfc"/>
          <w:rFonts w:ascii="inherit" w:hAnsi="inherit"/>
          <w:color w:val="202124"/>
          <w:sz w:val="32"/>
          <w:szCs w:val="32"/>
        </w:rPr>
        <w:t>without brackets</w:t>
      </w:r>
    </w:p>
  </w:comment>
  <w:comment w:id="20" w:author="DELL" w:date="2022-03-21T16:59:00Z" w:initials="D">
    <w:p w:rsidR="00660ECC" w:rsidRPr="00021808" w:rsidRDefault="00660ECC">
      <w:pPr>
        <w:pStyle w:val="CommentText"/>
        <w:rPr>
          <w:lang w:val="en-US"/>
        </w:rPr>
      </w:pPr>
      <w:r>
        <w:rPr>
          <w:rStyle w:val="CommentReference"/>
        </w:rPr>
        <w:annotationRef/>
      </w:r>
      <w:r>
        <w:rPr>
          <w:lang w:val="en-US"/>
        </w:rPr>
        <w:t>As above</w:t>
      </w:r>
    </w:p>
  </w:comment>
  <w:comment w:id="17" w:author="Dr. Kapil Kumar" w:date="2022-05-09T14:32:00Z" w:initials="DKK">
    <w:p w:rsidR="00BA548B" w:rsidRDefault="00BA548B" w:rsidP="00BA548B">
      <w:pPr>
        <w:rPr>
          <w:rFonts w:ascii="Bookman Old Style" w:hAnsi="Bookman Old Style"/>
        </w:rPr>
      </w:pPr>
      <w:r>
        <w:rPr>
          <w:rStyle w:val="CommentReference"/>
        </w:rPr>
        <w:annotationRef/>
      </w:r>
      <w:r w:rsidRPr="00EF03F5">
        <w:rPr>
          <w:rFonts w:ascii="Bookman Old Style" w:hAnsi="Bookman Old Style"/>
        </w:rPr>
        <w:t>Acceptable but needs to emphasis more on the value of the problem that leads all those researchers to evaluate the technique</w:t>
      </w:r>
      <w:r>
        <w:rPr>
          <w:rFonts w:ascii="Bookman Old Style" w:hAnsi="Bookman Old Style"/>
        </w:rPr>
        <w:t>.</w:t>
      </w:r>
    </w:p>
    <w:p w:rsidR="00BA548B" w:rsidRDefault="00BA548B">
      <w:pPr>
        <w:pStyle w:val="CommentText"/>
      </w:pPr>
    </w:p>
  </w:comment>
  <w:comment w:id="21" w:author="DELL" w:date="2022-03-21T17:01:00Z" w:initials="D">
    <w:p w:rsidR="00660ECC" w:rsidRPr="00D4162C" w:rsidRDefault="00660ECC">
      <w:pPr>
        <w:pStyle w:val="CommentText"/>
        <w:rPr>
          <w:lang w:val="en-US"/>
        </w:rPr>
      </w:pPr>
      <w:r>
        <w:rPr>
          <w:rStyle w:val="CommentReference"/>
        </w:rPr>
        <w:annotationRef/>
      </w:r>
      <w:r>
        <w:rPr>
          <w:lang w:val="en-US"/>
        </w:rPr>
        <w:t>As above</w:t>
      </w:r>
    </w:p>
  </w:comment>
  <w:comment w:id="23" w:author="DELL" w:date="2022-03-21T17:02:00Z" w:initials="D">
    <w:p w:rsidR="00660ECC" w:rsidRPr="00D4162C" w:rsidRDefault="00660ECC">
      <w:pPr>
        <w:pStyle w:val="CommentText"/>
        <w:rPr>
          <w:lang w:val="en-US"/>
        </w:rPr>
      </w:pPr>
      <w:r>
        <w:rPr>
          <w:rStyle w:val="CommentReference"/>
        </w:rPr>
        <w:annotationRef/>
      </w:r>
      <w:r>
        <w:rPr>
          <w:lang w:val="en-US"/>
        </w:rPr>
        <w:t>As above</w:t>
      </w:r>
    </w:p>
  </w:comment>
  <w:comment w:id="24" w:author="DELL" w:date="2022-03-21T17:02:00Z" w:initials="D">
    <w:p w:rsidR="00660ECC" w:rsidRPr="00AA5685" w:rsidRDefault="00660ECC">
      <w:pPr>
        <w:pStyle w:val="CommentText"/>
        <w:rPr>
          <w:lang w:val="en-US"/>
        </w:rPr>
      </w:pPr>
      <w:r>
        <w:rPr>
          <w:rStyle w:val="CommentReference"/>
        </w:rPr>
        <w:annotationRef/>
      </w:r>
      <w:r>
        <w:rPr>
          <w:lang w:val="en-US"/>
        </w:rPr>
        <w:t>As above</w:t>
      </w:r>
    </w:p>
  </w:comment>
  <w:comment w:id="22" w:author="Dr. Kapil Kumar" w:date="2022-05-09T14:32:00Z" w:initials="DKK">
    <w:p w:rsidR="00BA548B" w:rsidRDefault="00BA548B" w:rsidP="00BA548B">
      <w:pPr>
        <w:rPr>
          <w:rFonts w:ascii="Bookman Old Style" w:hAnsi="Bookman Old Style"/>
        </w:rPr>
      </w:pPr>
      <w:r>
        <w:rPr>
          <w:rStyle w:val="CommentReference"/>
        </w:rPr>
        <w:annotationRef/>
      </w:r>
      <w:r w:rsidRPr="00073C62">
        <w:rPr>
          <w:rFonts w:ascii="Bookman Old Style" w:hAnsi="Bookman Old Style"/>
        </w:rPr>
        <w:t xml:space="preserve">The </w:t>
      </w:r>
      <w:r>
        <w:rPr>
          <w:rFonts w:ascii="Bookman Old Style" w:hAnsi="Bookman Old Style"/>
        </w:rPr>
        <w:t>content</w:t>
      </w:r>
      <w:r w:rsidRPr="00073C62">
        <w:rPr>
          <w:rFonts w:ascii="Bookman Old Style" w:hAnsi="Bookman Old Style"/>
        </w:rPr>
        <w:t xml:space="preserve"> relevantly addressed the research problems, is comprehensive, and well-organised</w:t>
      </w:r>
      <w:r>
        <w:rPr>
          <w:rFonts w:ascii="Bookman Old Style" w:hAnsi="Bookman Old Style"/>
        </w:rPr>
        <w:t xml:space="preserve"> </w:t>
      </w:r>
      <w:r w:rsidRPr="00073C62">
        <w:rPr>
          <w:rFonts w:ascii="Bookman Old Style" w:hAnsi="Bookman Old Style"/>
        </w:rPr>
        <w:t>in sequence that facilitate better unders</w:t>
      </w:r>
      <w:r>
        <w:rPr>
          <w:rFonts w:ascii="Bookman Old Style" w:hAnsi="Bookman Old Style"/>
        </w:rPr>
        <w:t>tanding of the research issues</w:t>
      </w:r>
      <w:r w:rsidRPr="00073C62">
        <w:rPr>
          <w:rFonts w:ascii="Bookman Old Style" w:hAnsi="Bookman Old Style"/>
        </w:rPr>
        <w:t xml:space="preserve">. </w:t>
      </w:r>
    </w:p>
    <w:p w:rsidR="00BA548B" w:rsidRDefault="00BA548B">
      <w:pPr>
        <w:pStyle w:val="CommentText"/>
      </w:pPr>
    </w:p>
  </w:comment>
  <w:comment w:id="26" w:author="Kapil" w:date="2022-03-23T22:54:00Z" w:initials="K">
    <w:p w:rsidR="00660ECC" w:rsidRPr="000F0FBB" w:rsidRDefault="00660ECC" w:rsidP="00660ECC">
      <w:pPr>
        <w:spacing w:before="100" w:beforeAutospacing="1" w:after="100" w:afterAutospacing="1"/>
      </w:pPr>
      <w:r>
        <w:rPr>
          <w:rStyle w:val="CommentReference"/>
        </w:rPr>
        <w:annotationRef/>
      </w:r>
      <w:r w:rsidRPr="000F0FBB">
        <w:rPr>
          <w:highlight w:val="yellow"/>
        </w:rPr>
        <w:t>References 6,7,8 found missing.</w:t>
      </w:r>
    </w:p>
    <w:p w:rsidR="00660ECC" w:rsidRDefault="00660ECC">
      <w:pPr>
        <w:pStyle w:val="CommentText"/>
      </w:pPr>
    </w:p>
  </w:comment>
  <w:comment w:id="27" w:author="DELL" w:date="2022-03-21T17:03:00Z" w:initials="D">
    <w:p w:rsidR="00660ECC" w:rsidRPr="00AA5685" w:rsidRDefault="00660ECC">
      <w:pPr>
        <w:pStyle w:val="CommentText"/>
        <w:rPr>
          <w:lang w:val="en-US"/>
        </w:rPr>
      </w:pPr>
      <w:r>
        <w:rPr>
          <w:rStyle w:val="CommentReference"/>
        </w:rPr>
        <w:annotationRef/>
      </w:r>
      <w:r>
        <w:rPr>
          <w:lang w:val="en-US"/>
        </w:rPr>
        <w:t>As above</w:t>
      </w:r>
    </w:p>
  </w:comment>
  <w:comment w:id="28" w:author="DELL" w:date="2022-03-21T17:03:00Z" w:initials="D">
    <w:p w:rsidR="00660ECC" w:rsidRPr="00D449AC" w:rsidRDefault="00660ECC">
      <w:pPr>
        <w:pStyle w:val="CommentText"/>
        <w:rPr>
          <w:lang w:val="en-US"/>
        </w:rPr>
      </w:pPr>
      <w:r>
        <w:rPr>
          <w:rStyle w:val="CommentReference"/>
        </w:rPr>
        <w:annotationRef/>
      </w:r>
      <w:r>
        <w:rPr>
          <w:lang w:val="en-US"/>
        </w:rPr>
        <w:t>As above</w:t>
      </w:r>
    </w:p>
  </w:comment>
  <w:comment w:id="29" w:author="DELL" w:date="2022-03-21T17:04:00Z" w:initials="D">
    <w:p w:rsidR="00660ECC" w:rsidRPr="00D449AC" w:rsidRDefault="00660ECC">
      <w:pPr>
        <w:pStyle w:val="CommentText"/>
        <w:rPr>
          <w:lang w:val="en-US"/>
        </w:rPr>
      </w:pPr>
      <w:r>
        <w:rPr>
          <w:rStyle w:val="CommentReference"/>
        </w:rPr>
        <w:annotationRef/>
      </w:r>
      <w:r>
        <w:rPr>
          <w:lang w:val="en-US"/>
        </w:rPr>
        <w:t>As above</w:t>
      </w:r>
    </w:p>
  </w:comment>
  <w:comment w:id="30" w:author="DELL" w:date="2022-03-21T17:04:00Z" w:initials="D">
    <w:p w:rsidR="00660ECC" w:rsidRPr="00D449AC" w:rsidRDefault="00660ECC">
      <w:pPr>
        <w:pStyle w:val="CommentText"/>
        <w:rPr>
          <w:lang w:val="en-US"/>
        </w:rPr>
      </w:pPr>
      <w:r>
        <w:rPr>
          <w:rStyle w:val="CommentReference"/>
        </w:rPr>
        <w:annotationRef/>
      </w:r>
      <w:r>
        <w:rPr>
          <w:lang w:val="en-US"/>
        </w:rPr>
        <w:t>As above</w:t>
      </w:r>
    </w:p>
  </w:comment>
  <w:comment w:id="25" w:author="Dr. Kapil Kumar" w:date="2022-05-09T14:32:00Z" w:initials="DKK">
    <w:p w:rsidR="00BA548B" w:rsidRDefault="00BA548B" w:rsidP="00BA548B">
      <w:pPr>
        <w:rPr>
          <w:rFonts w:ascii="Bookman Old Style" w:hAnsi="Bookman Old Style"/>
        </w:rPr>
      </w:pPr>
      <w:r>
        <w:rPr>
          <w:rStyle w:val="CommentReference"/>
        </w:rPr>
        <w:annotationRef/>
      </w:r>
      <w:r>
        <w:rPr>
          <w:rFonts w:ascii="Bookman Old Style" w:hAnsi="Bookman Old Style"/>
        </w:rPr>
        <w:t>It is b</w:t>
      </w:r>
      <w:r w:rsidRPr="00C63BB9">
        <w:rPr>
          <w:rFonts w:ascii="Bookman Old Style" w:hAnsi="Bookman Old Style"/>
        </w:rPr>
        <w:t>ased on obvious knowledge known in the literature</w:t>
      </w:r>
      <w:r>
        <w:rPr>
          <w:rFonts w:ascii="Bookman Old Style" w:hAnsi="Bookman Old Style"/>
        </w:rPr>
        <w:t xml:space="preserve"> and is impressive</w:t>
      </w:r>
      <w:r w:rsidRPr="00C63BB9">
        <w:rPr>
          <w:rFonts w:ascii="Bookman Old Style" w:hAnsi="Bookman Old Style"/>
        </w:rPr>
        <w:t>.</w:t>
      </w:r>
    </w:p>
    <w:p w:rsidR="00BA548B" w:rsidRDefault="00BA548B">
      <w:pPr>
        <w:pStyle w:val="CommentText"/>
      </w:pPr>
    </w:p>
  </w:comment>
  <w:comment w:id="31" w:author="DELL" w:date="2022-03-21T17:05:00Z" w:initials="D">
    <w:p w:rsidR="00660ECC" w:rsidRPr="00D449AC" w:rsidRDefault="00660ECC">
      <w:pPr>
        <w:pStyle w:val="CommentText"/>
        <w:rPr>
          <w:lang w:val="en-US"/>
        </w:rPr>
      </w:pPr>
      <w:r>
        <w:rPr>
          <w:rStyle w:val="CommentReference"/>
        </w:rPr>
        <w:annotationRef/>
      </w:r>
      <w:r>
        <w:rPr>
          <w:lang w:val="en-US"/>
        </w:rPr>
        <w:t>As above</w:t>
      </w:r>
    </w:p>
  </w:comment>
  <w:comment w:id="33" w:author="DELL" w:date="2022-03-21T17:05:00Z" w:initials="D">
    <w:p w:rsidR="00660ECC" w:rsidRPr="00D449AC" w:rsidRDefault="00660ECC">
      <w:pPr>
        <w:pStyle w:val="CommentText"/>
        <w:rPr>
          <w:lang w:val="en-US"/>
        </w:rPr>
      </w:pPr>
      <w:r>
        <w:rPr>
          <w:rStyle w:val="CommentReference"/>
        </w:rPr>
        <w:annotationRef/>
      </w:r>
      <w:r>
        <w:rPr>
          <w:lang w:val="en-US"/>
        </w:rPr>
        <w:t>As above</w:t>
      </w:r>
    </w:p>
  </w:comment>
  <w:comment w:id="34" w:author="DELL" w:date="2022-03-21T17:05:00Z" w:initials="D">
    <w:p w:rsidR="00660ECC" w:rsidRPr="00D449AC" w:rsidRDefault="00660ECC">
      <w:pPr>
        <w:pStyle w:val="CommentText"/>
        <w:rPr>
          <w:lang w:val="en-US"/>
        </w:rPr>
      </w:pPr>
      <w:r>
        <w:rPr>
          <w:rStyle w:val="CommentReference"/>
        </w:rPr>
        <w:annotationRef/>
      </w:r>
      <w:r>
        <w:rPr>
          <w:lang w:val="en-US"/>
        </w:rPr>
        <w:t>As above</w:t>
      </w:r>
    </w:p>
  </w:comment>
  <w:comment w:id="32" w:author="Dr. Kapil Kumar" w:date="2022-05-09T14:32:00Z" w:initials="DKK">
    <w:p w:rsidR="00BA548B" w:rsidRDefault="00BA548B" w:rsidP="00BA548B">
      <w:pPr>
        <w:rPr>
          <w:rFonts w:ascii="Bookman Old Style" w:hAnsi="Bookman Old Style"/>
        </w:rPr>
      </w:pPr>
      <w:r>
        <w:rPr>
          <w:rStyle w:val="CommentReference"/>
        </w:rPr>
        <w:annotationRef/>
      </w:r>
      <w:r w:rsidRPr="00487DDD">
        <w:rPr>
          <w:rFonts w:ascii="Bookman Old Style" w:hAnsi="Bookman Old Style"/>
        </w:rPr>
        <w:t>The introduction is written in a pertinent and coherent way with the research carried out; and contains a number of appropriate references to the topic.</w:t>
      </w:r>
    </w:p>
    <w:p w:rsidR="00BA548B" w:rsidRDefault="00BA548B">
      <w:pPr>
        <w:pStyle w:val="CommentText"/>
      </w:pPr>
    </w:p>
  </w:comment>
  <w:comment w:id="35" w:author="DELL" w:date="2022-03-21T17:06:00Z" w:initials="D">
    <w:p w:rsidR="00660ECC" w:rsidRPr="00D449AC" w:rsidRDefault="00660ECC">
      <w:pPr>
        <w:pStyle w:val="CommentText"/>
        <w:rPr>
          <w:lang w:val="en-US"/>
        </w:rPr>
      </w:pPr>
      <w:r>
        <w:rPr>
          <w:rStyle w:val="CommentReference"/>
        </w:rPr>
        <w:annotationRef/>
      </w:r>
      <w:r>
        <w:rPr>
          <w:lang w:val="en-US"/>
        </w:rPr>
        <w:t>As above</w:t>
      </w:r>
    </w:p>
  </w:comment>
  <w:comment w:id="36" w:author="DELL" w:date="2022-03-21T17:08:00Z" w:initials="D">
    <w:p w:rsidR="00660ECC" w:rsidRPr="006B3D4B" w:rsidRDefault="00660ECC">
      <w:pPr>
        <w:pStyle w:val="CommentText"/>
        <w:rPr>
          <w:lang w:val="en-US"/>
        </w:rPr>
      </w:pPr>
      <w:r>
        <w:rPr>
          <w:rStyle w:val="CommentReference"/>
        </w:rPr>
        <w:annotationRef/>
      </w:r>
      <w:r>
        <w:rPr>
          <w:lang w:val="en-US"/>
        </w:rPr>
        <w:t>As above</w:t>
      </w:r>
    </w:p>
  </w:comment>
  <w:comment w:id="37" w:author="DELL" w:date="2022-03-21T17:15:00Z" w:initials="D">
    <w:p w:rsidR="00660ECC" w:rsidRDefault="00660ECC" w:rsidP="00BB3823">
      <w:pPr>
        <w:pStyle w:val="HTMLPreformatted"/>
        <w:shd w:val="clear" w:color="auto" w:fill="F8F9FA"/>
        <w:spacing w:line="360" w:lineRule="atLeast"/>
      </w:pPr>
      <w:r>
        <w:rPr>
          <w:rStyle w:val="CommentReference"/>
        </w:rPr>
        <w:annotationRef/>
      </w:r>
      <w:r w:rsidRPr="00BB3823">
        <w:rPr>
          <w:highlight w:val="yellow"/>
        </w:rPr>
        <w:t>Is this better</w:t>
      </w:r>
      <w:r>
        <w:t>?</w:t>
      </w:r>
    </w:p>
    <w:p w:rsidR="00660ECC" w:rsidRPr="00BB3823" w:rsidRDefault="00660ECC" w:rsidP="00BB3823">
      <w:pPr>
        <w:pStyle w:val="HTMLPreformatted"/>
        <w:shd w:val="clear" w:color="auto" w:fill="F8F9FA"/>
        <w:spacing w:line="360" w:lineRule="atLeast"/>
      </w:pPr>
      <w:r>
        <w:t xml:space="preserve"> </w:t>
      </w:r>
      <w:r w:rsidRPr="00BB3823">
        <w:rPr>
          <w:rStyle w:val="y2iqfc"/>
          <w:rFonts w:asciiTheme="majorBidi" w:hAnsiTheme="majorBidi" w:cstheme="majorBidi"/>
          <w:sz w:val="24"/>
          <w:szCs w:val="24"/>
        </w:rPr>
        <w:t xml:space="preserve">The aim of this study is to evaluate the possibilities of using differences in trace element contents (TEs) in nodular tissue to diagnose thyroid malignancies and to determine the sensitivity and specificity of TEs (I level) in the diagnosis of TMN </w:t>
      </w:r>
      <w:r w:rsidRPr="00BB3823">
        <w:rPr>
          <w:rFonts w:asciiTheme="majorBidi" w:hAnsiTheme="majorBidi" w:cstheme="majorBidi"/>
          <w:sz w:val="24"/>
          <w:szCs w:val="24"/>
        </w:rPr>
        <w:t xml:space="preserve">using a combination of non-destructive </w:t>
      </w:r>
      <w:r w:rsidRPr="00BB3823">
        <w:rPr>
          <w:rFonts w:asciiTheme="majorBidi" w:hAnsiTheme="majorBidi" w:cstheme="majorBidi"/>
          <w:sz w:val="24"/>
          <w:szCs w:val="24"/>
          <w:vertAlign w:val="superscript"/>
          <w:lang w:val="en-GB"/>
        </w:rPr>
        <w:t>109</w:t>
      </w:r>
      <w:r w:rsidRPr="00BB3823">
        <w:rPr>
          <w:rFonts w:asciiTheme="majorBidi" w:hAnsiTheme="majorBidi" w:cstheme="majorBidi"/>
          <w:sz w:val="24"/>
          <w:szCs w:val="24"/>
          <w:lang w:val="en-GB"/>
        </w:rPr>
        <w:t>Cd (</w:t>
      </w:r>
      <w:r w:rsidRPr="00BB3823">
        <w:rPr>
          <w:rFonts w:asciiTheme="majorBidi" w:hAnsiTheme="majorBidi" w:cstheme="majorBidi"/>
          <w:sz w:val="24"/>
          <w:szCs w:val="24"/>
          <w:vertAlign w:val="superscript"/>
          <w:lang w:val="en-GB"/>
        </w:rPr>
        <w:t>109</w:t>
      </w:r>
      <w:r w:rsidRPr="00BB3823">
        <w:rPr>
          <w:rFonts w:asciiTheme="majorBidi" w:hAnsiTheme="majorBidi" w:cstheme="majorBidi"/>
          <w:sz w:val="24"/>
          <w:szCs w:val="24"/>
          <w:lang w:val="en-GB"/>
        </w:rPr>
        <w:t xml:space="preserve">Cd-EDXRF) and </w:t>
      </w:r>
      <w:r w:rsidRPr="00BB3823">
        <w:rPr>
          <w:rFonts w:asciiTheme="majorBidi" w:hAnsiTheme="majorBidi" w:cstheme="majorBidi"/>
          <w:sz w:val="24"/>
          <w:szCs w:val="24"/>
          <w:vertAlign w:val="superscript"/>
          <w:lang w:val="en-GB"/>
        </w:rPr>
        <w:t>241</w:t>
      </w:r>
      <w:r w:rsidRPr="00BB3823">
        <w:rPr>
          <w:rFonts w:asciiTheme="majorBidi" w:hAnsiTheme="majorBidi" w:cstheme="majorBidi"/>
          <w:sz w:val="24"/>
          <w:szCs w:val="24"/>
          <w:lang w:val="en-GB"/>
        </w:rPr>
        <w:t xml:space="preserve">Am radionuclide-induced </w:t>
      </w:r>
      <w:r w:rsidRPr="00BB3823">
        <w:rPr>
          <w:rFonts w:asciiTheme="majorBidi" w:hAnsiTheme="majorBidi" w:cstheme="majorBidi"/>
          <w:sz w:val="24"/>
          <w:szCs w:val="24"/>
        </w:rPr>
        <w:t>energy-dispersive X-ray fluorescent</w:t>
      </w:r>
      <w:r w:rsidRPr="00BB3823">
        <w:rPr>
          <w:rFonts w:asciiTheme="majorBidi" w:hAnsiTheme="majorBidi" w:cstheme="majorBidi"/>
          <w:sz w:val="24"/>
          <w:szCs w:val="24"/>
          <w:lang w:val="en-GB"/>
        </w:rPr>
        <w:t xml:space="preserve"> analysis (</w:t>
      </w:r>
      <w:r w:rsidRPr="00BB3823">
        <w:rPr>
          <w:rFonts w:asciiTheme="majorBidi" w:hAnsiTheme="majorBidi" w:cstheme="majorBidi"/>
          <w:sz w:val="24"/>
          <w:szCs w:val="24"/>
          <w:vertAlign w:val="superscript"/>
          <w:lang w:val="en-GB"/>
        </w:rPr>
        <w:t>241</w:t>
      </w:r>
      <w:r w:rsidRPr="00BB3823">
        <w:rPr>
          <w:rFonts w:asciiTheme="majorBidi" w:hAnsiTheme="majorBidi" w:cstheme="majorBidi"/>
          <w:sz w:val="24"/>
          <w:szCs w:val="24"/>
          <w:lang w:val="en-GB"/>
        </w:rPr>
        <w:t>Am-EDXRF)</w:t>
      </w:r>
      <w:r w:rsidRPr="00BB3823">
        <w:rPr>
          <w:rFonts w:asciiTheme="majorBidi" w:hAnsiTheme="majorBidi" w:cstheme="majorBidi"/>
          <w:sz w:val="24"/>
          <w:szCs w:val="24"/>
        </w:rPr>
        <w:t>.</w:t>
      </w:r>
    </w:p>
  </w:comment>
  <w:comment w:id="38" w:author="DELL" w:date="2022-03-21T17:32:00Z" w:initials="D">
    <w:p w:rsidR="00660ECC" w:rsidRPr="00D27928" w:rsidRDefault="00660ECC">
      <w:pPr>
        <w:pStyle w:val="CommentText"/>
        <w:rPr>
          <w:lang w:val="en-US"/>
        </w:rPr>
      </w:pPr>
      <w:r>
        <w:rPr>
          <w:rStyle w:val="CommentReference"/>
        </w:rPr>
        <w:annotationRef/>
      </w:r>
      <w:r>
        <w:rPr>
          <w:lang w:val="en-US"/>
        </w:rPr>
        <w:t xml:space="preserve">I think we need subtitles. </w:t>
      </w:r>
    </w:p>
  </w:comment>
  <w:comment w:id="40" w:author="DELL" w:date="2022-03-21T17:18:00Z" w:initials="D">
    <w:p w:rsidR="00660ECC" w:rsidRPr="00E50AA4" w:rsidRDefault="00660ECC">
      <w:pPr>
        <w:pStyle w:val="CommentText"/>
        <w:rPr>
          <w:lang w:val="en-US"/>
        </w:rPr>
      </w:pPr>
      <w:r>
        <w:rPr>
          <w:rStyle w:val="CommentReference"/>
        </w:rPr>
        <w:annotationRef/>
      </w:r>
      <w:r>
        <w:rPr>
          <w:lang w:val="en-US"/>
        </w:rPr>
        <w:t>2-87 years</w:t>
      </w:r>
    </w:p>
  </w:comment>
  <w:comment w:id="41" w:author="DELL" w:date="2022-03-21T17:19:00Z" w:initials="D">
    <w:p w:rsidR="00660ECC" w:rsidRPr="00E50AA4" w:rsidRDefault="00660ECC">
      <w:pPr>
        <w:pStyle w:val="CommentText"/>
        <w:rPr>
          <w:lang w:val="en-US"/>
        </w:rPr>
      </w:pPr>
      <w:r>
        <w:rPr>
          <w:rStyle w:val="CommentReference"/>
        </w:rPr>
        <w:annotationRef/>
      </w:r>
      <w:r>
        <w:rPr>
          <w:lang w:val="en-US"/>
        </w:rPr>
        <w:t>delete</w:t>
      </w:r>
    </w:p>
  </w:comment>
  <w:comment w:id="39" w:author="DELL" w:date="2022-03-21T17:34:00Z" w:initials="D">
    <w:p w:rsidR="00660ECC" w:rsidRPr="00D27928" w:rsidRDefault="00660ECC">
      <w:pPr>
        <w:pStyle w:val="CommentText"/>
        <w:rPr>
          <w:lang w:val="en-US"/>
        </w:rPr>
      </w:pPr>
      <w:r>
        <w:rPr>
          <w:rStyle w:val="CommentReference"/>
        </w:rPr>
        <w:annotationRef/>
      </w:r>
      <w:r>
        <w:rPr>
          <w:lang w:val="en-US"/>
        </w:rPr>
        <w:t>Site of the study</w:t>
      </w:r>
    </w:p>
  </w:comment>
  <w:comment w:id="43" w:author="DELL" w:date="2022-03-21T17:19:00Z" w:initials="D">
    <w:p w:rsidR="00660ECC" w:rsidRPr="00E50AA4" w:rsidRDefault="00660ECC">
      <w:pPr>
        <w:pStyle w:val="CommentText"/>
        <w:rPr>
          <w:lang w:val="en-US"/>
        </w:rPr>
      </w:pPr>
      <w:r>
        <w:rPr>
          <w:rStyle w:val="CommentReference"/>
        </w:rPr>
        <w:annotationRef/>
      </w:r>
      <w:r>
        <w:rPr>
          <w:lang w:val="en-US"/>
        </w:rPr>
        <w:t>22-64 years</w:t>
      </w:r>
    </w:p>
  </w:comment>
  <w:comment w:id="44" w:author="DELL" w:date="2022-03-21T17:20:00Z" w:initials="D">
    <w:p w:rsidR="00660ECC" w:rsidRPr="00377E19" w:rsidRDefault="00660ECC">
      <w:pPr>
        <w:pStyle w:val="CommentText"/>
        <w:rPr>
          <w:lang w:val="en-US"/>
        </w:rPr>
      </w:pPr>
      <w:r>
        <w:rPr>
          <w:rStyle w:val="CommentReference"/>
        </w:rPr>
        <w:annotationRef/>
      </w:r>
      <w:r>
        <w:rPr>
          <w:lang w:val="en-US"/>
        </w:rPr>
        <w:t>years</w:t>
      </w:r>
    </w:p>
  </w:comment>
  <w:comment w:id="42" w:author="DELL" w:date="2022-03-21T17:35:00Z" w:initials="D">
    <w:p w:rsidR="00660ECC" w:rsidRPr="00D27928" w:rsidRDefault="00660ECC" w:rsidP="00D27928">
      <w:pPr>
        <w:pStyle w:val="CommentText"/>
        <w:rPr>
          <w:lang w:val="en-US"/>
        </w:rPr>
      </w:pPr>
      <w:r>
        <w:rPr>
          <w:rStyle w:val="CommentReference"/>
        </w:rPr>
        <w:annotationRef/>
      </w:r>
      <w:r>
        <w:rPr>
          <w:lang w:val="en-US"/>
        </w:rPr>
        <w:t>Specimens and patients</w:t>
      </w:r>
    </w:p>
  </w:comment>
  <w:comment w:id="45" w:author="DELL" w:date="2022-03-21T17:36:00Z" w:initials="D">
    <w:p w:rsidR="00660ECC" w:rsidRDefault="00660ECC" w:rsidP="00D27928">
      <w:pPr>
        <w:pStyle w:val="CommentText"/>
      </w:pPr>
      <w:r>
        <w:rPr>
          <w:rStyle w:val="CommentReference"/>
        </w:rPr>
        <w:annotationRef/>
      </w:r>
      <w:r>
        <w:rPr>
          <w:lang w:val="en-US"/>
        </w:rPr>
        <w:t xml:space="preserve">Ethical </w:t>
      </w:r>
      <w:r w:rsidRPr="004B5231">
        <w:rPr>
          <w:lang w:val="en-US"/>
        </w:rPr>
        <w:t>approv</w:t>
      </w:r>
      <w:r>
        <w:rPr>
          <w:lang w:val="en-US"/>
        </w:rPr>
        <w:t>al</w:t>
      </w:r>
    </w:p>
  </w:comment>
  <w:comment w:id="48" w:author="DELL" w:date="2022-03-21T18:03:00Z" w:initials="D">
    <w:p w:rsidR="00660ECC" w:rsidRPr="00392DB2" w:rsidRDefault="00660ECC">
      <w:pPr>
        <w:pStyle w:val="CommentText"/>
        <w:rPr>
          <w:lang w:val="en-US"/>
        </w:rPr>
      </w:pPr>
      <w:r>
        <w:rPr>
          <w:rStyle w:val="CommentReference"/>
        </w:rPr>
        <w:annotationRef/>
      </w:r>
      <w:r>
        <w:rPr>
          <w:lang w:val="en-US"/>
        </w:rPr>
        <w:t>As above</w:t>
      </w:r>
    </w:p>
  </w:comment>
  <w:comment w:id="49" w:author="DELL" w:date="2022-03-21T18:03:00Z" w:initials="D">
    <w:p w:rsidR="00660ECC" w:rsidRPr="00392DB2" w:rsidRDefault="00660ECC">
      <w:pPr>
        <w:pStyle w:val="CommentText"/>
        <w:rPr>
          <w:lang w:val="en-US"/>
        </w:rPr>
      </w:pPr>
      <w:r>
        <w:rPr>
          <w:rStyle w:val="CommentReference"/>
        </w:rPr>
        <w:annotationRef/>
      </w:r>
      <w:r>
        <w:rPr>
          <w:lang w:val="en-US"/>
        </w:rPr>
        <w:t>As above</w:t>
      </w:r>
    </w:p>
  </w:comment>
  <w:comment w:id="47" w:author="Dr. Kapil Kumar" w:date="2022-05-09T14:33:00Z" w:initials="DKK">
    <w:p w:rsidR="00BA548B" w:rsidRDefault="00BA548B" w:rsidP="00BA548B">
      <w:pPr>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BA548B" w:rsidRDefault="00BA548B">
      <w:pPr>
        <w:pStyle w:val="CommentText"/>
      </w:pPr>
    </w:p>
  </w:comment>
  <w:comment w:id="51" w:author="DELL" w:date="2022-03-21T18:04:00Z" w:initials="D">
    <w:p w:rsidR="00660ECC" w:rsidRPr="00392DB2" w:rsidRDefault="00660ECC">
      <w:pPr>
        <w:pStyle w:val="CommentText"/>
        <w:rPr>
          <w:lang w:val="en-US"/>
        </w:rPr>
      </w:pPr>
      <w:r>
        <w:rPr>
          <w:rStyle w:val="CommentReference"/>
        </w:rPr>
        <w:annotationRef/>
      </w:r>
      <w:r>
        <w:rPr>
          <w:lang w:val="en-US"/>
        </w:rPr>
        <w:t>As above</w:t>
      </w:r>
    </w:p>
  </w:comment>
  <w:comment w:id="52" w:author="DELL" w:date="2022-03-21T18:03:00Z" w:initials="D">
    <w:p w:rsidR="00660ECC" w:rsidRPr="00392DB2" w:rsidRDefault="00660ECC">
      <w:pPr>
        <w:pStyle w:val="CommentText"/>
        <w:rPr>
          <w:lang w:val="en-US"/>
        </w:rPr>
      </w:pPr>
      <w:r>
        <w:rPr>
          <w:rStyle w:val="CommentReference"/>
        </w:rPr>
        <w:annotationRef/>
      </w:r>
      <w:r>
        <w:rPr>
          <w:lang w:val="en-US"/>
        </w:rPr>
        <w:t>As above</w:t>
      </w:r>
    </w:p>
  </w:comment>
  <w:comment w:id="46" w:author="DELL" w:date="2022-03-21T17:38:00Z" w:initials="D">
    <w:p w:rsidR="00660ECC" w:rsidRPr="00D27928" w:rsidRDefault="00660ECC">
      <w:pPr>
        <w:pStyle w:val="CommentText"/>
        <w:rPr>
          <w:lang w:val="en-US"/>
        </w:rPr>
      </w:pPr>
      <w:r>
        <w:rPr>
          <w:rStyle w:val="CommentReference"/>
        </w:rPr>
        <w:annotationRef/>
      </w:r>
      <w:r>
        <w:rPr>
          <w:lang w:val="en-US"/>
        </w:rPr>
        <w:t>Laboratory methods</w:t>
      </w:r>
    </w:p>
  </w:comment>
  <w:comment w:id="50" w:author="Dr. Kapil Kumar" w:date="2022-05-09T14:33:00Z" w:initials="DKK">
    <w:p w:rsidR="00BA548B" w:rsidRDefault="00BA548B" w:rsidP="00BA548B">
      <w:r>
        <w:rPr>
          <w:rStyle w:val="CommentReference"/>
        </w:rPr>
        <w:annotationRef/>
      </w:r>
      <w:r w:rsidRPr="005B1C95">
        <w:t>The data or information collected for analysis and testing is appropriately and clearly analysed.</w:t>
      </w:r>
    </w:p>
    <w:p w:rsidR="00BA548B" w:rsidRDefault="00BA548B">
      <w:pPr>
        <w:pStyle w:val="CommentText"/>
      </w:pPr>
    </w:p>
  </w:comment>
  <w:comment w:id="53" w:author="DELL" w:date="2022-03-21T17:38:00Z" w:initials="D">
    <w:p w:rsidR="00660ECC" w:rsidRPr="00D27928" w:rsidRDefault="00660ECC">
      <w:pPr>
        <w:pStyle w:val="CommentText"/>
        <w:rPr>
          <w:lang w:val="en-US"/>
        </w:rPr>
      </w:pPr>
      <w:r>
        <w:rPr>
          <w:rStyle w:val="CommentReference"/>
        </w:rPr>
        <w:annotationRef/>
      </w:r>
      <w:r>
        <w:rPr>
          <w:lang w:val="en-US"/>
        </w:rPr>
        <w:t>Data analysis</w:t>
      </w:r>
    </w:p>
  </w:comment>
  <w:comment w:id="54" w:author="DELL" w:date="2022-03-21T18:59:00Z" w:initials="D">
    <w:p w:rsidR="00660ECC" w:rsidRDefault="00660ECC">
      <w:pPr>
        <w:pStyle w:val="CommentText"/>
        <w:rPr>
          <w:lang w:val="en-US"/>
        </w:rPr>
      </w:pPr>
      <w:r>
        <w:rPr>
          <w:rStyle w:val="CommentReference"/>
        </w:rPr>
        <w:annotationRef/>
      </w:r>
      <w:r>
        <w:rPr>
          <w:lang w:val="en-US"/>
        </w:rPr>
        <w:t xml:space="preserve">Please write this section. </w:t>
      </w:r>
    </w:p>
    <w:p w:rsidR="00660ECC" w:rsidRPr="00133D49" w:rsidRDefault="00660ECC" w:rsidP="00133D49">
      <w:pPr>
        <w:jc w:val="both"/>
        <w:rPr>
          <w:lang w:val="en-US"/>
        </w:rPr>
      </w:pPr>
      <w:r w:rsidRPr="00133D49">
        <w:rPr>
          <w:rStyle w:val="y2iqfc"/>
          <w:rFonts w:asciiTheme="majorBidi" w:hAnsiTheme="majorBidi" w:cstheme="majorBidi"/>
        </w:rPr>
        <w:t>From Table 2, it is observed that in TMN tissues, the mass fractions of I and Zn are significantly lower while the mass fraction of Rb is higher than in NT and TBN tissues. However, as shown in Figure 1, the first content is the most informative parameter for diagnosing TMN (Figure 1). If the first level of 145 mg/kg dry tissue (about M + SD) was chosen as the upper limit (cut) of TMN tissue (Fig. 1), the resulting determination of 'malignant or non-malignant' from the obtained results would be as follows :</w:t>
      </w:r>
    </w:p>
    <w:p w:rsidR="00660ECC" w:rsidRDefault="00660ECC" w:rsidP="00133D49">
      <w:pPr>
        <w:autoSpaceDE w:val="0"/>
        <w:autoSpaceDN w:val="0"/>
        <w:adjustRightInd w:val="0"/>
        <w:ind w:firstLine="340"/>
        <w:jc w:val="both"/>
        <w:rPr>
          <w:lang w:val="en-US"/>
        </w:rPr>
      </w:pPr>
      <w:r>
        <w:rPr>
          <w:lang w:val="en-US"/>
        </w:rPr>
        <w:t>Sensitivity = {correct positive test (CPT)/[CPT + false negative test (FNT)]}×100% = 87</w:t>
      </w:r>
      <w:r>
        <w:rPr>
          <w:lang w:val="en-US"/>
        </w:rPr>
        <w:sym w:font="Symbol" w:char="F0B1"/>
      </w:r>
      <w:r>
        <w:rPr>
          <w:lang w:val="en-US"/>
        </w:rPr>
        <w:t>5%;</w:t>
      </w:r>
    </w:p>
    <w:p w:rsidR="00660ECC" w:rsidRDefault="00660ECC" w:rsidP="00133D49">
      <w:pPr>
        <w:autoSpaceDE w:val="0"/>
        <w:autoSpaceDN w:val="0"/>
        <w:adjustRightInd w:val="0"/>
        <w:ind w:firstLine="340"/>
        <w:jc w:val="both"/>
        <w:rPr>
          <w:lang w:val="en-US"/>
        </w:rPr>
      </w:pPr>
      <w:r>
        <w:rPr>
          <w:lang w:val="en-US"/>
        </w:rPr>
        <w:t>Specificity = {correct negative test (CNT)/[CNT + false positive test (FPT)]}</w:t>
      </w:r>
      <w:r w:rsidRPr="007D15CC">
        <w:rPr>
          <w:lang w:val="en-US"/>
        </w:rPr>
        <w:t xml:space="preserve"> </w:t>
      </w:r>
      <w:r>
        <w:rPr>
          <w:lang w:val="en-US"/>
        </w:rPr>
        <w:t>×100% = 96</w:t>
      </w:r>
      <w:r>
        <w:rPr>
          <w:lang w:val="en-US"/>
        </w:rPr>
        <w:sym w:font="Symbol" w:char="F0B1"/>
      </w:r>
      <w:r>
        <w:rPr>
          <w:lang w:val="en-US"/>
        </w:rPr>
        <w:t>2%;</w:t>
      </w:r>
    </w:p>
    <w:p w:rsidR="00660ECC" w:rsidRDefault="00660ECC" w:rsidP="00133D49">
      <w:pPr>
        <w:autoSpaceDE w:val="0"/>
        <w:autoSpaceDN w:val="0"/>
        <w:adjustRightInd w:val="0"/>
        <w:ind w:firstLine="340"/>
        <w:jc w:val="both"/>
        <w:rPr>
          <w:lang w:val="en-US"/>
        </w:rPr>
      </w:pPr>
      <w:r>
        <w:rPr>
          <w:lang w:val="en-US"/>
        </w:rPr>
        <w:t>Accuracy = [(CPT+CNT)/(CPT+FNT+CNT+FPT)] ×100% = 94</w:t>
      </w:r>
      <w:r>
        <w:rPr>
          <w:lang w:val="en-US"/>
        </w:rPr>
        <w:sym w:font="Symbol" w:char="F0B1"/>
      </w:r>
      <w:r>
        <w:rPr>
          <w:lang w:val="en-US"/>
        </w:rPr>
        <w:t>2%.</w:t>
      </w:r>
    </w:p>
    <w:p w:rsidR="00660ECC" w:rsidRDefault="00660ECC" w:rsidP="00A539BD">
      <w:pPr>
        <w:tabs>
          <w:tab w:val="left" w:pos="4111"/>
          <w:tab w:val="left" w:pos="9923"/>
        </w:tabs>
        <w:jc w:val="both"/>
        <w:rPr>
          <w:lang w:val="en-US"/>
        </w:rPr>
      </w:pPr>
      <w:r w:rsidRPr="003E7D1B">
        <w:rPr>
          <w:lang w:val="en-US"/>
        </w:rPr>
        <w:t>The number of people</w:t>
      </w:r>
      <w:r w:rsidRPr="00477C52">
        <w:rPr>
          <w:lang w:val="en-US"/>
        </w:rPr>
        <w:t xml:space="preserve"> </w:t>
      </w:r>
      <w:r w:rsidRPr="003E7D1B">
        <w:rPr>
          <w:lang w:val="en-US"/>
        </w:rPr>
        <w:t>examined was t</w:t>
      </w:r>
      <w:r>
        <w:rPr>
          <w:lang w:val="en-US"/>
        </w:rPr>
        <w:t>aken into account for calculation of confidence</w:t>
      </w:r>
      <w:r w:rsidRPr="003E7D1B">
        <w:rPr>
          <w:lang w:val="en-US"/>
        </w:rPr>
        <w:t xml:space="preserve"> intervals </w:t>
      </w:r>
      <w:r>
        <w:rPr>
          <w:lang w:val="en-US"/>
        </w:rPr>
        <w:t>[88]</w:t>
      </w:r>
      <w:r w:rsidRPr="003E7D1B">
        <w:rPr>
          <w:lang w:val="en-US"/>
        </w:rPr>
        <w:t xml:space="preserve">. In other words, if </w:t>
      </w:r>
      <w:r>
        <w:rPr>
          <w:lang w:val="en-US"/>
        </w:rPr>
        <w:t>I</w:t>
      </w:r>
      <w:r w:rsidRPr="003E7D1B">
        <w:rPr>
          <w:lang w:val="en-US"/>
        </w:rPr>
        <w:t xml:space="preserve"> contents in a </w:t>
      </w:r>
      <w:r>
        <w:rPr>
          <w:lang w:val="en-US"/>
        </w:rPr>
        <w:t>nodule</w:t>
      </w:r>
      <w:r w:rsidRPr="003E7D1B">
        <w:rPr>
          <w:lang w:val="en-US"/>
        </w:rPr>
        <w:t xml:space="preserve"> biopsy sample do not exceed </w:t>
      </w:r>
      <w:r>
        <w:rPr>
          <w:lang w:val="en-US"/>
        </w:rPr>
        <w:t>145</w:t>
      </w:r>
      <w:r w:rsidRPr="003E7D1B">
        <w:rPr>
          <w:lang w:val="en-US"/>
        </w:rPr>
        <w:t xml:space="preserve"> mg/kg dry tissue, one could diagnose a malignant tumor with an accuracy of 9</w:t>
      </w:r>
      <w:r>
        <w:rPr>
          <w:lang w:val="en-US"/>
        </w:rPr>
        <w:t>4</w:t>
      </w:r>
      <w:r w:rsidRPr="003E7D1B">
        <w:rPr>
          <w:lang w:val="en-US"/>
        </w:rPr>
        <w:sym w:font="Symbol" w:char="F0B1"/>
      </w:r>
      <w:r w:rsidRPr="003E7D1B">
        <w:rPr>
          <w:lang w:val="en-US"/>
        </w:rPr>
        <w:t>2%</w:t>
      </w:r>
      <w:r>
        <w:rPr>
          <w:lang w:val="en-US"/>
        </w:rPr>
        <w:t>. U</w:t>
      </w:r>
      <w:r w:rsidRPr="003E7D1B">
        <w:rPr>
          <w:lang w:val="en-US"/>
        </w:rPr>
        <w:t xml:space="preserve">sing the </w:t>
      </w:r>
      <w:r>
        <w:rPr>
          <w:lang w:val="en-US"/>
        </w:rPr>
        <w:t>I</w:t>
      </w:r>
      <w:r w:rsidRPr="003E7D1B">
        <w:rPr>
          <w:lang w:val="en-US"/>
        </w:rPr>
        <w:t xml:space="preserve">-test makes it possible to diagnose </w:t>
      </w:r>
      <w:r>
        <w:rPr>
          <w:lang w:val="en-US"/>
        </w:rPr>
        <w:t>thyroid malignancy</w:t>
      </w:r>
      <w:r w:rsidRPr="003E7D1B">
        <w:rPr>
          <w:lang w:val="en-US"/>
        </w:rPr>
        <w:t xml:space="preserve"> in </w:t>
      </w:r>
      <w:r>
        <w:rPr>
          <w:lang w:val="en-US"/>
        </w:rPr>
        <w:t>87</w:t>
      </w:r>
      <w:r w:rsidRPr="003E7D1B">
        <w:rPr>
          <w:lang w:val="en-US"/>
        </w:rPr>
        <w:sym w:font="Symbol" w:char="F0B1"/>
      </w:r>
      <w:r>
        <w:rPr>
          <w:lang w:val="en-US"/>
        </w:rPr>
        <w:t>5</w:t>
      </w:r>
      <w:r w:rsidRPr="003E7D1B">
        <w:rPr>
          <w:lang w:val="en-US"/>
        </w:rPr>
        <w:t>% cases (sensitivity).</w:t>
      </w:r>
    </w:p>
    <w:p w:rsidR="00660ECC" w:rsidRPr="00694368" w:rsidRDefault="00660ECC">
      <w:pPr>
        <w:pStyle w:val="CommentText"/>
        <w:rPr>
          <w:lang w:val="en-US"/>
        </w:rPr>
      </w:pPr>
    </w:p>
  </w:comment>
  <w:comment w:id="55" w:author="Dr. Kapil Kumar" w:date="2022-05-09T14:33:00Z" w:initials="DKK">
    <w:p w:rsidR="00BA548B" w:rsidRDefault="00BA548B">
      <w:pPr>
        <w:pStyle w:val="CommentText"/>
      </w:pPr>
      <w:r>
        <w:rPr>
          <w:rStyle w:val="CommentReference"/>
        </w:rPr>
        <w:annotationRef/>
      </w:r>
      <w:r w:rsidRPr="002B3F14">
        <w:rPr>
          <w:rFonts w:ascii="Bookman Old Style" w:hAnsi="Bookman Old Style"/>
        </w:rPr>
        <w:t>The authors present your results in logical sequence in the text and</w:t>
      </w:r>
      <w:r>
        <w:rPr>
          <w:rFonts w:ascii="Bookman Old Style" w:hAnsi="Bookman Old Style"/>
        </w:rPr>
        <w:t xml:space="preserve"> </w:t>
      </w:r>
      <w:r w:rsidRPr="002B3F14">
        <w:rPr>
          <w:rFonts w:ascii="Bookman Old Style" w:hAnsi="Bookman Old Style"/>
        </w:rPr>
        <w:t>tables, giving the main or most important findings first.</w:t>
      </w:r>
    </w:p>
  </w:comment>
  <w:comment w:id="56" w:author="DELL" w:date="2022-03-21T17:54:00Z" w:initials="D">
    <w:p w:rsidR="00660ECC" w:rsidRDefault="00660ECC">
      <w:pPr>
        <w:pStyle w:val="CommentText"/>
        <w:rPr>
          <w:lang w:val="en-US"/>
        </w:rPr>
      </w:pPr>
      <w:r>
        <w:rPr>
          <w:rStyle w:val="CommentReference"/>
        </w:rPr>
        <w:annotationRef/>
      </w:r>
      <w:r>
        <w:rPr>
          <w:lang w:val="en-US"/>
        </w:rPr>
        <w:t xml:space="preserve">Change to </w:t>
      </w:r>
    </w:p>
    <w:p w:rsidR="00660ECC" w:rsidRPr="00392DB2" w:rsidRDefault="00660ECC">
      <w:pPr>
        <w:pStyle w:val="CommentText"/>
        <w:rPr>
          <w:lang w:val="en-US"/>
        </w:rPr>
      </w:pPr>
      <w:r>
        <w:rPr>
          <w:lang w:val="en-US"/>
        </w:rPr>
        <w:t xml:space="preserve">* significant differences </w:t>
      </w:r>
    </w:p>
  </w:comment>
  <w:comment w:id="57" w:author="DELL" w:date="2022-03-21T17:57:00Z" w:initials="D">
    <w:p w:rsidR="00660ECC" w:rsidRPr="00392DB2" w:rsidRDefault="00660ECC">
      <w:pPr>
        <w:pStyle w:val="CommentText"/>
        <w:rPr>
          <w:lang w:val="en-US"/>
        </w:rPr>
      </w:pPr>
      <w:r>
        <w:rPr>
          <w:rStyle w:val="CommentReference"/>
        </w:rPr>
        <w:annotationRef/>
      </w:r>
      <w:r>
        <w:rPr>
          <w:lang w:val="en-US"/>
        </w:rPr>
        <w:t>Please describe in materials and methods how did you get these results?</w:t>
      </w:r>
    </w:p>
  </w:comment>
  <w:comment w:id="58" w:author="Dr. Kapil Kumar" w:date="2022-05-09T14:35:00Z" w:initials="DKK">
    <w:p w:rsidR="00BA548B" w:rsidRPr="00FC146C" w:rsidRDefault="00BA548B" w:rsidP="00BA548B">
      <w:pPr>
        <w:rPr>
          <w:rFonts w:ascii="Bookman Old Style" w:hAnsi="Bookman Old Style"/>
          <w:sz w:val="22"/>
          <w:szCs w:val="22"/>
          <w:lang w:val="en-US" w:eastAsia="en-US"/>
        </w:rPr>
      </w:pPr>
      <w:r>
        <w:rPr>
          <w:rStyle w:val="CommentReference"/>
        </w:rPr>
        <w:annotationRef/>
      </w:r>
      <w:r>
        <w:rPr>
          <w:rFonts w:ascii="Bookman Old Style" w:hAnsi="Bookman Old Style"/>
        </w:rPr>
        <w:t>current</w:t>
      </w:r>
    </w:p>
    <w:p w:rsidR="00BA548B" w:rsidRPr="00712EAB" w:rsidRDefault="00BA548B" w:rsidP="00BA548B">
      <w:pPr>
        <w:pStyle w:val="NormalWeb"/>
        <w:spacing w:after="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BA548B" w:rsidRDefault="00BA548B">
      <w:pPr>
        <w:pStyle w:val="CommentText"/>
      </w:pPr>
    </w:p>
  </w:comment>
  <w:comment w:id="59" w:author="DELL" w:date="2022-03-21T17:57:00Z" w:initials="D">
    <w:p w:rsidR="00660ECC" w:rsidRPr="00392DB2" w:rsidRDefault="00660ECC">
      <w:pPr>
        <w:pStyle w:val="CommentText"/>
        <w:rPr>
          <w:lang w:val="en-US"/>
        </w:rPr>
      </w:pPr>
      <w:r>
        <w:rPr>
          <w:rStyle w:val="CommentReference"/>
        </w:rPr>
        <w:annotationRef/>
      </w:r>
      <w:r>
        <w:rPr>
          <w:lang w:val="en-US"/>
        </w:rPr>
        <w:t>As above</w:t>
      </w:r>
    </w:p>
  </w:comment>
  <w:comment w:id="60" w:author="DELL" w:date="2022-03-21T17:57:00Z" w:initials="D">
    <w:p w:rsidR="00660ECC" w:rsidRPr="00392DB2" w:rsidRDefault="00660ECC">
      <w:pPr>
        <w:pStyle w:val="CommentText"/>
        <w:rPr>
          <w:lang w:val="en-US"/>
        </w:rPr>
      </w:pPr>
      <w:r>
        <w:rPr>
          <w:rStyle w:val="CommentReference"/>
        </w:rPr>
        <w:annotationRef/>
      </w:r>
      <w:r>
        <w:rPr>
          <w:lang w:val="en-US"/>
        </w:rPr>
        <w:t>As above</w:t>
      </w:r>
    </w:p>
  </w:comment>
  <w:comment w:id="61" w:author="DELL" w:date="2022-03-21T17:58:00Z" w:initials="D">
    <w:p w:rsidR="00660ECC" w:rsidRPr="00392DB2" w:rsidRDefault="00660ECC">
      <w:pPr>
        <w:pStyle w:val="CommentText"/>
        <w:rPr>
          <w:lang w:val="en-US"/>
        </w:rPr>
      </w:pPr>
      <w:r>
        <w:rPr>
          <w:rStyle w:val="CommentReference"/>
        </w:rPr>
        <w:annotationRef/>
      </w:r>
      <w:r>
        <w:rPr>
          <w:lang w:val="en-US"/>
        </w:rPr>
        <w:t>As above</w:t>
      </w:r>
    </w:p>
  </w:comment>
  <w:comment w:id="62" w:author="Dr. Kapil Kumar" w:date="2022-05-09T14:34:00Z" w:initials="DKK">
    <w:p w:rsidR="00BA548B" w:rsidRDefault="00BA548B">
      <w:pPr>
        <w:pStyle w:val="CommentText"/>
      </w:pPr>
      <w:r>
        <w:rPr>
          <w:rStyle w:val="CommentReference"/>
        </w:rPr>
        <w:annotationRef/>
      </w:r>
      <w:r w:rsidRPr="002B3F14">
        <w:rPr>
          <w:rFonts w:ascii="Bookman Old Style" w:hAnsi="Bookman Old Style"/>
        </w:rPr>
        <w:t>When data are summarized in the Results section, you give numeric</w:t>
      </w:r>
      <w:r>
        <w:rPr>
          <w:rFonts w:ascii="Bookman Old Style" w:hAnsi="Bookman Old Style"/>
        </w:rPr>
        <w:t xml:space="preserve"> </w:t>
      </w:r>
      <w:r w:rsidRPr="002B3F14">
        <w:rPr>
          <w:rFonts w:ascii="Bookman Old Style" w:hAnsi="Bookman Old Style"/>
        </w:rPr>
        <w:t>results as derivatives (for example, percentages) but also as the absolute</w:t>
      </w:r>
    </w:p>
  </w:comment>
  <w:comment w:id="63" w:author="DELL" w:date="2022-03-21T17:58:00Z" w:initials="D">
    <w:p w:rsidR="00660ECC" w:rsidRPr="00392DB2" w:rsidRDefault="00660ECC">
      <w:pPr>
        <w:pStyle w:val="CommentText"/>
        <w:rPr>
          <w:lang w:val="en-US"/>
        </w:rPr>
      </w:pPr>
      <w:r>
        <w:rPr>
          <w:rStyle w:val="CommentReference"/>
        </w:rPr>
        <w:annotationRef/>
      </w:r>
      <w:r>
        <w:rPr>
          <w:lang w:val="en-US"/>
        </w:rPr>
        <w:t>As above</w:t>
      </w:r>
    </w:p>
  </w:comment>
  <w:comment w:id="64" w:author="DELL" w:date="2022-03-21T17:59:00Z" w:initials="D">
    <w:p w:rsidR="00660ECC" w:rsidRPr="00392DB2" w:rsidRDefault="00660ECC">
      <w:pPr>
        <w:pStyle w:val="CommentText"/>
        <w:rPr>
          <w:lang w:val="en-US"/>
        </w:rPr>
      </w:pPr>
      <w:r>
        <w:rPr>
          <w:rStyle w:val="CommentReference"/>
        </w:rPr>
        <w:annotationRef/>
      </w:r>
      <w:r>
        <w:rPr>
          <w:lang w:val="en-US"/>
        </w:rPr>
        <w:t>As above</w:t>
      </w:r>
    </w:p>
  </w:comment>
  <w:comment w:id="65" w:author="Kapil" w:date="2022-03-23T23:00:00Z" w:initials="K">
    <w:p w:rsidR="006C2BA0" w:rsidRPr="006C2BA0" w:rsidRDefault="006C2BA0">
      <w:pPr>
        <w:pStyle w:val="CommentText"/>
        <w:rPr>
          <w:i/>
        </w:rPr>
      </w:pPr>
      <w:r>
        <w:rPr>
          <w:rStyle w:val="CommentReference"/>
        </w:rPr>
        <w:annotationRef/>
      </w:r>
      <w:r w:rsidRPr="006C2BA0">
        <w:rPr>
          <w:i/>
          <w:lang w:val="en-US"/>
        </w:rPr>
        <w:t>et al.</w:t>
      </w:r>
      <w:r>
        <w:rPr>
          <w:i/>
          <w:lang w:val="en-US"/>
        </w:rPr>
        <w:t xml:space="preserve">  </w:t>
      </w:r>
      <w:r w:rsidRPr="006C2BA0">
        <w:rPr>
          <w:lang w:val="en-US"/>
        </w:rPr>
        <w:t>modify in whole article</w:t>
      </w:r>
    </w:p>
  </w:comment>
  <w:comment w:id="66" w:author="DELL" w:date="2022-03-21T20:02:00Z" w:initials="D">
    <w:p w:rsidR="00660ECC" w:rsidRPr="007163D7" w:rsidRDefault="00660ECC" w:rsidP="007163D7">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 xml:space="preserve">without brackets. All references </w:t>
      </w:r>
    </w:p>
  </w:comment>
  <w:comment w:id="67" w:author="DELL" w:date="2022-03-21T20:01:00Z" w:initials="D">
    <w:p w:rsidR="00660ECC" w:rsidRPr="007163D7" w:rsidRDefault="00660ECC" w:rsidP="007163D7">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68" w:author="DELL" w:date="2022-03-21T18:00:00Z" w:initials="D">
    <w:p w:rsidR="00660ECC" w:rsidRPr="00392DB2" w:rsidRDefault="00660ECC">
      <w:pPr>
        <w:pStyle w:val="CommentText"/>
        <w:rPr>
          <w:lang w:val="en-US"/>
        </w:rPr>
      </w:pPr>
      <w:r>
        <w:rPr>
          <w:rStyle w:val="CommentReference"/>
        </w:rPr>
        <w:annotationRef/>
      </w:r>
      <w:r>
        <w:rPr>
          <w:lang w:val="en-US"/>
        </w:rPr>
        <w:t xml:space="preserve">1841 </w:t>
      </w:r>
      <w:r w:rsidRPr="00975152">
        <w:rPr>
          <w:lang w:val="en-US"/>
        </w:rPr>
        <w:t xml:space="preserve">mg/kg </w:t>
      </w:r>
      <w:r>
        <w:rPr>
          <w:lang w:val="en-US"/>
        </w:rPr>
        <w:t>dry</w:t>
      </w:r>
      <w:r w:rsidRPr="00975152">
        <w:rPr>
          <w:lang w:val="en-US"/>
        </w:rPr>
        <w:t xml:space="preserve"> tissue</w:t>
      </w:r>
    </w:p>
  </w:comment>
  <w:comment w:id="69" w:author="DELL" w:date="2022-03-21T18:01:00Z" w:initials="D">
    <w:p w:rsidR="00660ECC" w:rsidRDefault="00660ECC" w:rsidP="00392DB2">
      <w:pPr>
        <w:pStyle w:val="CommentText"/>
      </w:pPr>
      <w:r>
        <w:rPr>
          <w:rStyle w:val="CommentReference"/>
        </w:rPr>
        <w:annotationRef/>
      </w:r>
      <w:r>
        <w:rPr>
          <w:lang w:val="en-US"/>
        </w:rPr>
        <w:t>601</w:t>
      </w:r>
      <w:r w:rsidRPr="002C324B">
        <w:t xml:space="preserve"> – </w:t>
      </w:r>
      <w:r>
        <w:rPr>
          <w:lang w:val="en-US"/>
        </w:rPr>
        <w:t>5772</w:t>
      </w:r>
      <w:r w:rsidRPr="002C324B">
        <w:t xml:space="preserve"> </w:t>
      </w:r>
      <w:r w:rsidRPr="00975152">
        <w:rPr>
          <w:lang w:val="en-US"/>
        </w:rPr>
        <w:t xml:space="preserve">mg/kg </w:t>
      </w:r>
      <w:r>
        <w:rPr>
          <w:lang w:val="en-US"/>
        </w:rPr>
        <w:t>dry</w:t>
      </w:r>
      <w:r w:rsidRPr="00975152">
        <w:rPr>
          <w:lang w:val="en-US"/>
        </w:rPr>
        <w:t xml:space="preserve"> tissue</w:t>
      </w:r>
      <w:r w:rsidRPr="002C324B">
        <w:t xml:space="preserve"> </w:t>
      </w:r>
    </w:p>
  </w:comment>
  <w:comment w:id="70" w:author="Kapil" w:date="2022-03-23T22:55:00Z" w:initials="K">
    <w:p w:rsidR="000B24C3" w:rsidRPr="000F0FBB" w:rsidRDefault="000B24C3" w:rsidP="000B24C3">
      <w:pPr>
        <w:numPr>
          <w:ilvl w:val="0"/>
          <w:numId w:val="31"/>
        </w:numPr>
        <w:spacing w:before="100" w:beforeAutospacing="1" w:after="100" w:afterAutospacing="1"/>
      </w:pPr>
      <w:r>
        <w:rPr>
          <w:rStyle w:val="CommentReference"/>
        </w:rPr>
        <w:annotationRef/>
      </w:r>
      <w:r w:rsidRPr="000F0FBB">
        <w:t>Please check the sentence in Disc</w:t>
      </w:r>
      <w:r w:rsidRPr="000F0FBB">
        <w:rPr>
          <w:u w:val="single"/>
        </w:rPr>
        <w:t>ussion (</w:t>
      </w:r>
      <w:r w:rsidRPr="000F0FBB">
        <w:t>As was shown before….)</w:t>
      </w:r>
    </w:p>
    <w:p w:rsidR="000B24C3" w:rsidRDefault="000B24C3">
      <w:pPr>
        <w:pStyle w:val="CommentText"/>
      </w:pPr>
    </w:p>
  </w:comment>
  <w:comment w:id="71" w:author="Kapil" w:date="2022-03-23T22:56:00Z" w:initials="K">
    <w:p w:rsidR="000B24C3" w:rsidRPr="000B24C3" w:rsidRDefault="000B24C3">
      <w:pPr>
        <w:pStyle w:val="CommentText"/>
        <w:rPr>
          <w:lang w:val="en-US"/>
        </w:rPr>
      </w:pPr>
      <w:r>
        <w:rPr>
          <w:rStyle w:val="CommentReference"/>
        </w:rPr>
        <w:annotationRef/>
      </w:r>
      <w:r>
        <w:rPr>
          <w:sz w:val="24"/>
          <w:szCs w:val="24"/>
        </w:rPr>
        <w:t xml:space="preserve">Please </w:t>
      </w:r>
      <w:r>
        <w:rPr>
          <w:sz w:val="24"/>
          <w:szCs w:val="24"/>
          <w:lang w:val="en-US"/>
        </w:rPr>
        <w:t>rephrase this sentence</w:t>
      </w:r>
    </w:p>
  </w:comment>
  <w:comment w:id="72" w:author="DELL" w:date="2022-03-21T18:27:00Z" w:initials="D">
    <w:p w:rsidR="00660ECC" w:rsidRPr="006659B8" w:rsidRDefault="00660ECC" w:rsidP="006659B8">
      <w:pPr>
        <w:jc w:val="both"/>
        <w:rPr>
          <w:rFonts w:asciiTheme="majorBidi" w:hAnsiTheme="majorBidi" w:cstheme="majorBidi"/>
          <w:lang w:val="en-US"/>
        </w:rPr>
      </w:pPr>
      <w:r>
        <w:rPr>
          <w:rStyle w:val="CommentReference"/>
        </w:rPr>
        <w:annotationRef/>
      </w:r>
      <w:r>
        <w:rPr>
          <w:lang w:val="en-US"/>
        </w:rPr>
        <w:t xml:space="preserve">Change to: </w:t>
      </w:r>
      <w:r w:rsidRPr="006659B8">
        <w:rPr>
          <w:rStyle w:val="y2iqfc"/>
          <w:rFonts w:asciiTheme="majorBidi" w:hAnsiTheme="majorBidi" w:cstheme="majorBidi"/>
        </w:rPr>
        <w:t xml:space="preserve">The results of the present study of the contents of Br, Cu, Fe, I, Rb, Sr and Zn in </w:t>
      </w:r>
      <w:r w:rsidRPr="006659B8">
        <w:rPr>
          <w:rFonts w:asciiTheme="majorBidi" w:hAnsiTheme="majorBidi" w:cstheme="majorBidi"/>
          <w:lang w:val="en-US"/>
        </w:rPr>
        <w:t xml:space="preserve">CRM IAEA H-4 </w:t>
      </w:r>
      <w:r w:rsidRPr="006659B8">
        <w:rPr>
          <w:rStyle w:val="y2iqfc"/>
          <w:rFonts w:asciiTheme="majorBidi" w:hAnsiTheme="majorBidi" w:cstheme="majorBidi"/>
        </w:rPr>
        <w:t xml:space="preserve"> samples analyzed by EDXRF (Tables 1-6) are consistent with the previously reported results [21,25,26,47,52]. </w:t>
      </w:r>
    </w:p>
    <w:p w:rsidR="00660ECC" w:rsidRPr="006659B8" w:rsidRDefault="00660ECC">
      <w:pPr>
        <w:pStyle w:val="CommentText"/>
        <w:rPr>
          <w:lang w:val="en-US"/>
        </w:rPr>
      </w:pPr>
    </w:p>
  </w:comment>
  <w:comment w:id="73" w:author="DELL" w:date="2022-03-21T19:04:00Z" w:initials="D">
    <w:p w:rsidR="00660ECC" w:rsidRPr="00115BD2" w:rsidRDefault="00660ECC">
      <w:pPr>
        <w:pStyle w:val="CommentText"/>
        <w:rPr>
          <w:lang w:val="en-US"/>
        </w:rPr>
      </w:pPr>
      <w:r>
        <w:rPr>
          <w:rStyle w:val="CommentReference"/>
        </w:rPr>
        <w:annotationRef/>
      </w:r>
      <w:r>
        <w:rPr>
          <w:lang w:val="en-US"/>
        </w:rPr>
        <w:t xml:space="preserve">Remove it to the section of sensitivity, sp, acu </w:t>
      </w:r>
    </w:p>
  </w:comment>
  <w:comment w:id="74" w:author="DELL" w:date="2022-03-21T19:06:00Z" w:initials="D">
    <w:p w:rsidR="00660ECC" w:rsidRPr="00115BD2" w:rsidRDefault="00660ECC">
      <w:pPr>
        <w:pStyle w:val="CommentText"/>
        <w:rPr>
          <w:lang w:val="en-US"/>
        </w:rPr>
      </w:pPr>
      <w:r>
        <w:rPr>
          <w:rStyle w:val="CommentReference"/>
        </w:rPr>
        <w:annotationRef/>
      </w:r>
      <w:r>
        <w:rPr>
          <w:lang w:val="en-US"/>
        </w:rPr>
        <w:t xml:space="preserve">Add this sentence. </w:t>
      </w:r>
    </w:p>
  </w:comment>
  <w:comment w:id="76" w:author="DELL" w:date="2022-03-21T19:07:00Z" w:initials="D">
    <w:p w:rsidR="00660ECC" w:rsidRPr="00115BD2" w:rsidRDefault="00660ECC">
      <w:pPr>
        <w:pStyle w:val="CommentText"/>
        <w:rPr>
          <w:lang w:val="en-US"/>
        </w:rPr>
      </w:pPr>
      <w:r>
        <w:rPr>
          <w:rStyle w:val="CommentReference"/>
        </w:rPr>
        <w:annotationRef/>
      </w:r>
      <w:r>
        <w:rPr>
          <w:lang w:val="en-US"/>
        </w:rPr>
        <w:t>As above</w:t>
      </w:r>
    </w:p>
  </w:comment>
  <w:comment w:id="75" w:author="Dr. Kapil Kumar" w:date="2022-05-09T14:34:00Z" w:initials="DKK">
    <w:p w:rsidR="00BA548B" w:rsidRPr="00780F05" w:rsidRDefault="00BA548B" w:rsidP="00BA548B">
      <w:pPr>
        <w:rPr>
          <w:rFonts w:ascii="Bookman Old Style" w:hAnsi="Bookman Old Style"/>
        </w:rPr>
      </w:pPr>
      <w:r>
        <w:rPr>
          <w:rStyle w:val="CommentReference"/>
        </w:rPr>
        <w:annotationRef/>
      </w:r>
      <w:r w:rsidRPr="00780F05">
        <w:rPr>
          <w:rFonts w:ascii="Bookman Old Style" w:hAnsi="Bookman Old Style"/>
        </w:rPr>
        <w:t>The vocabulary and grammar are precise, consistent and standardized</w:t>
      </w:r>
      <w:r>
        <w:rPr>
          <w:rFonts w:ascii="Bookman Old Style" w:hAnsi="Bookman Old Style"/>
        </w:rPr>
        <w:t>.</w:t>
      </w:r>
    </w:p>
    <w:p w:rsidR="00BA548B" w:rsidRDefault="00BA548B">
      <w:pPr>
        <w:pStyle w:val="CommentText"/>
      </w:pPr>
    </w:p>
  </w:comment>
  <w:comment w:id="77" w:author="DELL" w:date="2022-03-21T19:08:00Z" w:initials="D">
    <w:p w:rsidR="00660ECC" w:rsidRPr="00115BD2" w:rsidRDefault="00660ECC">
      <w:pPr>
        <w:pStyle w:val="CommentText"/>
        <w:rPr>
          <w:lang w:val="en-US"/>
        </w:rPr>
      </w:pPr>
      <w:r>
        <w:rPr>
          <w:rStyle w:val="CommentReference"/>
        </w:rPr>
        <w:annotationRef/>
      </w:r>
      <w:r>
        <w:rPr>
          <w:lang w:val="en-US"/>
        </w:rPr>
        <w:t>94%</w:t>
      </w:r>
    </w:p>
  </w:comment>
  <w:comment w:id="78" w:author="DELL" w:date="2022-03-21T19:08:00Z" w:initials="D">
    <w:p w:rsidR="00660ECC" w:rsidRPr="00115BD2" w:rsidRDefault="00660ECC">
      <w:pPr>
        <w:pStyle w:val="CommentText"/>
        <w:rPr>
          <w:lang w:val="en-US"/>
        </w:rPr>
      </w:pPr>
      <w:r>
        <w:rPr>
          <w:rStyle w:val="CommentReference"/>
        </w:rPr>
        <w:annotationRef/>
      </w:r>
      <w:r>
        <w:rPr>
          <w:lang w:val="en-US"/>
        </w:rPr>
        <w:t>96%</w:t>
      </w:r>
    </w:p>
  </w:comment>
  <w:comment w:id="79" w:author="DELL" w:date="2022-03-21T19:08:00Z" w:initials="D">
    <w:p w:rsidR="00660ECC" w:rsidRPr="00115BD2" w:rsidRDefault="00660ECC">
      <w:pPr>
        <w:pStyle w:val="CommentText"/>
        <w:rPr>
          <w:lang w:val="en-US"/>
        </w:rPr>
      </w:pPr>
      <w:r>
        <w:rPr>
          <w:rStyle w:val="CommentReference"/>
        </w:rPr>
        <w:annotationRef/>
      </w:r>
      <w:r>
        <w:rPr>
          <w:lang w:val="en-US"/>
        </w:rPr>
        <w:t>87%</w:t>
      </w:r>
    </w:p>
  </w:comment>
  <w:comment w:id="80" w:author="DELL" w:date="2022-03-21T19:09:00Z" w:initials="D">
    <w:p w:rsidR="00660ECC" w:rsidRPr="00115BD2" w:rsidRDefault="00660ECC">
      <w:pPr>
        <w:pStyle w:val="CommentText"/>
        <w:rPr>
          <w:lang w:val="en-US"/>
        </w:rPr>
      </w:pPr>
      <w:r>
        <w:rPr>
          <w:rStyle w:val="CommentReference"/>
        </w:rPr>
        <w:annotationRef/>
      </w:r>
      <w:r>
        <w:rPr>
          <w:lang w:val="en-US"/>
        </w:rPr>
        <w:t>As above</w:t>
      </w:r>
    </w:p>
  </w:comment>
  <w:comment w:id="81" w:author="DELL" w:date="2022-03-21T19:09:00Z" w:initials="D">
    <w:p w:rsidR="00660ECC" w:rsidRPr="00115BD2" w:rsidRDefault="00660ECC">
      <w:pPr>
        <w:pStyle w:val="CommentText"/>
        <w:rPr>
          <w:lang w:val="en-US"/>
        </w:rPr>
      </w:pPr>
      <w:r>
        <w:rPr>
          <w:rStyle w:val="CommentReference"/>
        </w:rPr>
        <w:annotationRef/>
      </w:r>
      <w:r>
        <w:rPr>
          <w:lang w:val="en-US"/>
        </w:rPr>
        <w:t>As above</w:t>
      </w:r>
    </w:p>
  </w:comment>
  <w:comment w:id="82" w:author="DELL" w:date="2022-03-21T19:18:00Z" w:initials="D">
    <w:p w:rsidR="00660ECC" w:rsidRPr="00CE39EF" w:rsidRDefault="00660ECC" w:rsidP="00CE39EF">
      <w:pPr>
        <w:pStyle w:val="CommentText"/>
        <w:rPr>
          <w:lang w:val="en-US"/>
        </w:rPr>
      </w:pPr>
      <w:r>
        <w:rPr>
          <w:rStyle w:val="CommentReference"/>
        </w:rPr>
        <w:annotationRef/>
      </w:r>
      <w:r>
        <w:rPr>
          <w:lang w:val="en-US"/>
        </w:rPr>
        <w:t>the period</w:t>
      </w:r>
    </w:p>
  </w:comment>
  <w:comment w:id="83" w:author="DELL" w:date="2022-03-21T19:18:00Z" w:initials="D">
    <w:p w:rsidR="00660ECC" w:rsidRPr="000922D2" w:rsidRDefault="00660ECC">
      <w:pPr>
        <w:pStyle w:val="CommentText"/>
        <w:rPr>
          <w:lang w:val="en-US"/>
        </w:rPr>
      </w:pPr>
      <w:r>
        <w:rPr>
          <w:rStyle w:val="CommentReference"/>
        </w:rPr>
        <w:annotationRef/>
      </w:r>
      <w:r>
        <w:rPr>
          <w:lang w:val="en-US"/>
        </w:rPr>
        <w:t>delete</w:t>
      </w:r>
    </w:p>
  </w:comment>
  <w:comment w:id="84" w:author="DELL" w:date="2022-03-21T19:19:00Z" w:initials="D">
    <w:p w:rsidR="00660ECC" w:rsidRPr="000922D2" w:rsidRDefault="00660ECC">
      <w:pPr>
        <w:pStyle w:val="CommentText"/>
        <w:rPr>
          <w:lang w:val="en-US"/>
        </w:rPr>
      </w:pPr>
      <w:r>
        <w:rPr>
          <w:rStyle w:val="CommentReference"/>
        </w:rPr>
        <w:annotationRef/>
      </w:r>
      <w:r>
        <w:rPr>
          <w:lang w:val="en-US"/>
        </w:rPr>
        <w:t>delete</w:t>
      </w:r>
    </w:p>
  </w:comment>
  <w:comment w:id="85" w:author="DELL" w:date="2022-03-21T19:30:00Z" w:initials="D">
    <w:p w:rsidR="00660ECC" w:rsidRDefault="00660ECC" w:rsidP="0073315D">
      <w:pPr>
        <w:jc w:val="both"/>
        <w:rPr>
          <w:rStyle w:val="y2iqfc"/>
          <w:rFonts w:ascii="inherit" w:hAnsi="inherit"/>
        </w:rPr>
      </w:pPr>
      <w:r>
        <w:rPr>
          <w:rStyle w:val="CommentReference"/>
        </w:rPr>
        <w:annotationRef/>
      </w:r>
      <w:r w:rsidRPr="0073315D">
        <w:rPr>
          <w:rStyle w:val="y2iqfc"/>
          <w:rFonts w:ascii="inherit" w:hAnsi="inherit"/>
        </w:rPr>
        <w:t>you can change to:</w:t>
      </w:r>
      <w:r>
        <w:rPr>
          <w:rStyle w:val="y2iqfc"/>
          <w:rFonts w:ascii="inherit" w:hAnsi="inherit"/>
        </w:rPr>
        <w:t xml:space="preserve">   </w:t>
      </w:r>
    </w:p>
    <w:p w:rsidR="00660ECC" w:rsidRDefault="00660ECC" w:rsidP="0073315D">
      <w:pPr>
        <w:jc w:val="both"/>
        <w:rPr>
          <w:rStyle w:val="y2iqfc"/>
          <w:rFonts w:ascii="inherit" w:hAnsi="inherit"/>
        </w:rPr>
      </w:pPr>
    </w:p>
    <w:p w:rsidR="00660ECC" w:rsidRPr="000922D2" w:rsidRDefault="00660ECC" w:rsidP="0073315D">
      <w:pPr>
        <w:jc w:val="both"/>
        <w:rPr>
          <w:lang w:val="en-US"/>
        </w:rPr>
      </w:pPr>
      <w:r w:rsidRPr="000922D2">
        <w:rPr>
          <w:rStyle w:val="y2iqfc"/>
          <w:rFonts w:ascii="inherit" w:hAnsi="inherit"/>
        </w:rPr>
        <w:t xml:space="preserve">The range of </w:t>
      </w:r>
      <w:r>
        <w:rPr>
          <w:rStyle w:val="y2iqfc"/>
          <w:rFonts w:ascii="inherit" w:hAnsi="inherit"/>
        </w:rPr>
        <w:t xml:space="preserve">I </w:t>
      </w:r>
      <w:r w:rsidRPr="000922D2">
        <w:rPr>
          <w:rStyle w:val="y2iqfc"/>
          <w:rFonts w:ascii="inherit" w:hAnsi="inherit"/>
        </w:rPr>
        <w:t>Level means reported in the literature for NT, TBN, and TMN varies greatly (Tables 4-6). This discrepancy can be explained by the dependence of the iodine content on many factors, including age, gender, race, body mass and stage of diseases, as not all of these factors were precisely controlled in previous studies. However, in our opinion, the main reasons for the inter-observer discrepancy can be attributed to the accuracy of analytical techniques and sample preparation methods and the inability to take standardized samples from affected tissues.</w:t>
      </w:r>
    </w:p>
    <w:p w:rsidR="00660ECC" w:rsidRPr="0073315D" w:rsidRDefault="00660ECC">
      <w:pPr>
        <w:pStyle w:val="CommentText"/>
        <w:rPr>
          <w:lang w:val="en-US"/>
        </w:rPr>
      </w:pPr>
    </w:p>
  </w:comment>
  <w:comment w:id="86" w:author="DELL" w:date="2022-03-21T19:31:00Z" w:initials="D">
    <w:p w:rsidR="00660ECC" w:rsidRPr="0073315D" w:rsidRDefault="00660ECC">
      <w:pPr>
        <w:pStyle w:val="CommentText"/>
        <w:rPr>
          <w:lang w:val="en-US"/>
        </w:rPr>
      </w:pPr>
      <w:r>
        <w:rPr>
          <w:rStyle w:val="CommentReference"/>
        </w:rPr>
        <w:annotationRef/>
      </w:r>
      <w:r>
        <w:rPr>
          <w:lang w:val="en-US"/>
        </w:rPr>
        <w:t>As above</w:t>
      </w:r>
    </w:p>
  </w:comment>
  <w:comment w:id="87" w:author="Dr. Kapil Kumar" w:date="2022-05-09T14:34:00Z" w:initials="DKK">
    <w:p w:rsidR="00BA548B" w:rsidRDefault="00BA548B" w:rsidP="00BA548B">
      <w:pPr>
        <w:rPr>
          <w:rFonts w:ascii="Bookman Old Style" w:hAnsi="Bookman Old Style"/>
        </w:rPr>
      </w:pPr>
      <w:r>
        <w:rPr>
          <w:rStyle w:val="CommentReference"/>
        </w:rPr>
        <w:annotationRef/>
      </w:r>
      <w:r w:rsidRPr="00567272">
        <w:rPr>
          <w:rFonts w:ascii="Bookman Old Style" w:hAnsi="Bookman Old Style"/>
        </w:rPr>
        <w:t>The structure is compact, sequential and logical.</w:t>
      </w:r>
    </w:p>
    <w:p w:rsidR="00BA548B" w:rsidRDefault="00BA548B">
      <w:pPr>
        <w:pStyle w:val="CommentText"/>
      </w:pPr>
    </w:p>
  </w:comment>
  <w:comment w:id="88" w:author="DELL" w:date="2022-03-21T19:33:00Z" w:initials="D">
    <w:p w:rsidR="00660ECC" w:rsidRPr="0016172A" w:rsidRDefault="00660ECC">
      <w:pPr>
        <w:pStyle w:val="CommentText"/>
        <w:rPr>
          <w:lang w:val="en-US"/>
        </w:rPr>
      </w:pPr>
      <w:r>
        <w:rPr>
          <w:rStyle w:val="CommentReference"/>
        </w:rPr>
        <w:annotationRef/>
      </w:r>
      <w:r>
        <w:rPr>
          <w:lang w:val="en-US"/>
        </w:rPr>
        <w:t xml:space="preserve">Add Reference </w:t>
      </w:r>
    </w:p>
  </w:comment>
  <w:comment w:id="90" w:author="DELL" w:date="2022-03-21T19:34:00Z" w:initials="D">
    <w:p w:rsidR="00660ECC" w:rsidRPr="0016172A" w:rsidRDefault="00660ECC">
      <w:pPr>
        <w:pStyle w:val="CommentText"/>
        <w:rPr>
          <w:lang w:val="en-US"/>
        </w:rPr>
      </w:pPr>
      <w:r>
        <w:rPr>
          <w:rStyle w:val="CommentReference"/>
        </w:rPr>
        <w:annotationRef/>
      </w:r>
      <w:r>
        <w:rPr>
          <w:lang w:val="en-US"/>
        </w:rPr>
        <w:t>As above</w:t>
      </w:r>
    </w:p>
  </w:comment>
  <w:comment w:id="89" w:author="Dr. Kapil Kumar" w:date="2022-05-09T14:34:00Z" w:initials="DKK">
    <w:p w:rsidR="00BA548B" w:rsidRDefault="00BA548B" w:rsidP="00BA548B">
      <w:pPr>
        <w:rPr>
          <w:rFonts w:ascii="Bookman Old Style" w:hAnsi="Bookman Old Style"/>
        </w:rPr>
      </w:pPr>
      <w:r>
        <w:rPr>
          <w:rStyle w:val="CommentReference"/>
        </w:rPr>
        <w:annotationRef/>
      </w:r>
      <w:r w:rsidRPr="004C681D">
        <w:rPr>
          <w:rFonts w:ascii="Bookman Old Style" w:hAnsi="Bookman Old Style"/>
        </w:rPr>
        <w:t xml:space="preserve">Related published current studies </w:t>
      </w:r>
      <w:r>
        <w:rPr>
          <w:rFonts w:ascii="Bookman Old Style" w:hAnsi="Bookman Old Style"/>
        </w:rPr>
        <w:t>are</w:t>
      </w:r>
      <w:r w:rsidRPr="004C681D">
        <w:rPr>
          <w:rFonts w:ascii="Bookman Old Style" w:hAnsi="Bookman Old Style"/>
        </w:rPr>
        <w:t xml:space="preserve"> discussed with the results of this manuscript and referred properly.</w:t>
      </w:r>
    </w:p>
    <w:p w:rsidR="00BA548B" w:rsidRDefault="00BA548B">
      <w:pPr>
        <w:pStyle w:val="CommentText"/>
      </w:pPr>
    </w:p>
  </w:comment>
  <w:comment w:id="91" w:author="DELL" w:date="2022-03-21T19:34:00Z" w:initials="D">
    <w:p w:rsidR="00660ECC" w:rsidRPr="0016172A" w:rsidRDefault="00660ECC">
      <w:pPr>
        <w:pStyle w:val="CommentText"/>
        <w:rPr>
          <w:lang w:val="en-US"/>
        </w:rPr>
      </w:pPr>
      <w:r>
        <w:rPr>
          <w:rStyle w:val="CommentReference"/>
        </w:rPr>
        <w:annotationRef/>
      </w:r>
      <w:r>
        <w:rPr>
          <w:lang w:val="en-US"/>
        </w:rPr>
        <w:t>As above</w:t>
      </w:r>
    </w:p>
  </w:comment>
  <w:comment w:id="92" w:author="DELL" w:date="2022-03-21T19:45:00Z" w:initials="D">
    <w:p w:rsidR="00660ECC" w:rsidRPr="00247C7A" w:rsidRDefault="00660ECC" w:rsidP="00247C7A">
      <w:pPr>
        <w:jc w:val="both"/>
        <w:rPr>
          <w:rFonts w:asciiTheme="majorBidi" w:hAnsiTheme="majorBidi" w:cstheme="majorBidi"/>
          <w:lang w:val="en-US"/>
        </w:rPr>
      </w:pPr>
      <w:r>
        <w:rPr>
          <w:rStyle w:val="CommentReference"/>
        </w:rPr>
        <w:annotationRef/>
      </w:r>
      <w:r>
        <w:rPr>
          <w:lang w:val="en-US"/>
        </w:rPr>
        <w:t xml:space="preserve">Change to: </w:t>
      </w:r>
      <w:r w:rsidRPr="00247C7A">
        <w:rPr>
          <w:rStyle w:val="y2iqfc"/>
          <w:rFonts w:asciiTheme="majorBidi" w:hAnsiTheme="majorBidi" w:cstheme="majorBidi"/>
        </w:rPr>
        <w:t>We conclude from this study that EDXRF is a suitable analytical tool for the determination of the content of Br, Cu, Fe, I, Rb, Sr, and Zn in human thyroid tissue samples, including needle biopsy material. It was observed that in TMN tissue, the mean mass fractions for I and Zn were lower while the mean mass fraction for Rb was higher than in NT and TBN tissues. Also, the nodular tissue content has been proven to be the most useful parameter for diagnosing malignant tumors of the thyroid gland.</w:t>
      </w:r>
    </w:p>
    <w:p w:rsidR="00660ECC" w:rsidRPr="00247C7A" w:rsidRDefault="00660ECC">
      <w:pPr>
        <w:pStyle w:val="CommentText"/>
        <w:rPr>
          <w:lang w:val="en-US"/>
        </w:rPr>
      </w:pPr>
    </w:p>
  </w:comment>
  <w:comment w:id="93" w:author="DELL" w:date="2022-03-21T19:52:00Z" w:initials="D">
    <w:p w:rsidR="00660ECC" w:rsidRPr="00B273B0" w:rsidRDefault="00660ECC" w:rsidP="00B273B0">
      <w:pPr>
        <w:jc w:val="both"/>
        <w:rPr>
          <w:lang w:val="en-US"/>
        </w:rPr>
      </w:pPr>
      <w:r>
        <w:rPr>
          <w:rStyle w:val="CommentReference"/>
        </w:rPr>
        <w:annotationRef/>
      </w:r>
      <w:r>
        <w:rPr>
          <w:lang w:val="en-US"/>
        </w:rPr>
        <w:t xml:space="preserve">Change to: </w:t>
      </w:r>
      <w:r w:rsidRPr="00B273B0">
        <w:rPr>
          <w:rStyle w:val="y2iqfc"/>
          <w:rFonts w:asciiTheme="majorBidi" w:hAnsiTheme="majorBidi" w:cstheme="majorBidi"/>
        </w:rPr>
        <w:t xml:space="preserve">It was found that the 'sensitivity', 'specificity', and 'accuracy' of TMN determination using iodine level determination by needle biopsy of affected thyroid tissue were significantly higher than those using </w:t>
      </w:r>
      <w:r>
        <w:rPr>
          <w:rStyle w:val="y2iqfc"/>
          <w:rFonts w:asciiTheme="majorBidi" w:hAnsiTheme="majorBidi" w:cstheme="majorBidi"/>
        </w:rPr>
        <w:t>US</w:t>
      </w:r>
      <w:r w:rsidRPr="00B273B0">
        <w:rPr>
          <w:rStyle w:val="y2iqfc"/>
          <w:rFonts w:asciiTheme="majorBidi" w:hAnsiTheme="majorBidi" w:cstheme="majorBidi"/>
        </w:rPr>
        <w:t xml:space="preserve"> examination and cytological testing of fine needle biopsy. Finally, we conclude that the study of iodine level in needle biopsy of TNs, obtained using EDXRF, is a fast, reliable and informative diagnostic tool that can be successfully used as an additional test to identify thyroid malignancy.</w:t>
      </w:r>
    </w:p>
    <w:p w:rsidR="00660ECC" w:rsidRPr="00B273B0" w:rsidRDefault="00660ECC">
      <w:pPr>
        <w:pStyle w:val="CommentText"/>
        <w:rPr>
          <w:lang w:val="en-US"/>
        </w:rPr>
      </w:pPr>
    </w:p>
  </w:comment>
  <w:comment w:id="94" w:author="Kapil" w:date="2022-03-23T22:49:00Z" w:initials="K">
    <w:p w:rsidR="00660ECC" w:rsidRDefault="00660ECC" w:rsidP="000A11BD">
      <w:pPr>
        <w:pStyle w:val="CommentText"/>
      </w:pPr>
      <w:r>
        <w:rPr>
          <w:rStyle w:val="CommentReference"/>
        </w:rPr>
        <w:annotationRef/>
      </w:r>
      <w:r w:rsidRPr="008E2CB3">
        <w:rPr>
          <w:rFonts w:ascii="Bookman Old Style" w:hAnsi="Bookman Old Style"/>
        </w:rPr>
        <w:t>Please add this section</w:t>
      </w:r>
    </w:p>
  </w:comment>
  <w:comment w:id="95" w:author="DELL" w:date="2022-03-21T19:54:00Z" w:initials="D">
    <w:p w:rsidR="00660ECC" w:rsidRDefault="00660ECC" w:rsidP="00292B93">
      <w:pPr>
        <w:pStyle w:val="CommentText"/>
      </w:pPr>
      <w:r>
        <w:rPr>
          <w:rStyle w:val="CommentReference"/>
        </w:rPr>
        <w:annotationRef/>
      </w:r>
      <w:r>
        <w:t>They should be change as journal instaurations:</w:t>
      </w:r>
    </w:p>
    <w:p w:rsidR="00660ECC" w:rsidRDefault="00660ECC" w:rsidP="00292B93">
      <w:pPr>
        <w:autoSpaceDE w:val="0"/>
        <w:autoSpaceDN w:val="0"/>
        <w:adjustRightInd w:val="0"/>
        <w:spacing w:after="13"/>
        <w:rPr>
          <w:color w:val="000000"/>
          <w:sz w:val="16"/>
          <w:szCs w:val="16"/>
        </w:rPr>
      </w:pPr>
    </w:p>
    <w:p w:rsidR="00660ECC" w:rsidRPr="00123A36" w:rsidRDefault="00660ECC" w:rsidP="00292B93">
      <w:pPr>
        <w:autoSpaceDE w:val="0"/>
        <w:autoSpaceDN w:val="0"/>
        <w:adjustRightInd w:val="0"/>
        <w:spacing w:after="13"/>
        <w:rPr>
          <w:color w:val="000000"/>
          <w:sz w:val="16"/>
          <w:szCs w:val="16"/>
        </w:rPr>
      </w:pPr>
      <w:r w:rsidRPr="00123A36">
        <w:rPr>
          <w:color w:val="000000"/>
          <w:sz w:val="16"/>
          <w:szCs w:val="16"/>
        </w:rPr>
        <w:t xml:space="preserve">24. Abbas AM, Al-Kibsi TAM, Al-Akwa AAY, AL-Haddad KA, Al-Shamahy HA, Al-labani MA. Characterization and antibiotic sensitivity of bacteria in orofacial abscesses of odontogenic origin. Universal J Pharm Res 2020; 5(6):36-42. </w:t>
      </w:r>
      <w:r w:rsidRPr="00123A36">
        <w:rPr>
          <w:i/>
          <w:iCs/>
          <w:color w:val="000000"/>
          <w:sz w:val="16"/>
          <w:szCs w:val="16"/>
        </w:rPr>
        <w:t xml:space="preserve">https://doi.org/10.22270/ujpr.v5i6.510 </w:t>
      </w:r>
    </w:p>
    <w:p w:rsidR="00660ECC" w:rsidRDefault="00660ECC" w:rsidP="00292B93">
      <w:pPr>
        <w:pStyle w:val="CommentText"/>
      </w:pPr>
    </w:p>
    <w:p w:rsidR="00660ECC" w:rsidRDefault="00660ECC">
      <w:pPr>
        <w:pStyle w:val="CommentText"/>
      </w:pPr>
    </w:p>
  </w:comment>
  <w:comment w:id="96" w:author="Kapil" w:date="2022-03-23T22:49:00Z" w:initials="K">
    <w:p w:rsidR="00660ECC" w:rsidRDefault="00660ECC">
      <w:pPr>
        <w:pStyle w:val="CommentText"/>
      </w:pPr>
      <w:r>
        <w:rPr>
          <w:rStyle w:val="CommentReference"/>
        </w:rPr>
        <w:annotationRef/>
      </w:r>
      <w:r w:rsidRPr="00AA42E1">
        <w:rPr>
          <w:rFonts w:ascii="Bookman Old Style" w:hAnsi="Bookman Old Style"/>
          <w:highlight w:val="yellow"/>
        </w:rPr>
        <w:t>Please add DOI to articles if available</w:t>
      </w:r>
      <w:r>
        <w:rPr>
          <w:rFonts w:ascii="Bookman Old Style" w:hAnsi="Bookman Old Style"/>
        </w:rPr>
        <w:t>.</w:t>
      </w:r>
    </w:p>
  </w:comment>
  <w:comment w:id="97" w:author="Kapil" w:date="2022-03-23T22:58:00Z" w:initials="K">
    <w:p w:rsidR="006C2BA0" w:rsidRPr="006C2BA0" w:rsidRDefault="006C2BA0">
      <w:pPr>
        <w:pStyle w:val="CommentText"/>
        <w:rPr>
          <w:lang w:val="en-US"/>
        </w:rPr>
      </w:pPr>
      <w:r>
        <w:rPr>
          <w:rStyle w:val="CommentReference"/>
        </w:rPr>
        <w:annotationRef/>
      </w:r>
      <w:r>
        <w:rPr>
          <w:lang w:val="en-US"/>
        </w:rPr>
        <w:t>It should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F0" w:rsidRDefault="008445F0" w:rsidP="006C2BA0">
      <w:r>
        <w:separator/>
      </w:r>
    </w:p>
  </w:endnote>
  <w:endnote w:type="continuationSeparator" w:id="1">
    <w:p w:rsidR="008445F0" w:rsidRDefault="008445F0" w:rsidP="006C2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dvP4DF60E">
    <w:altName w:val="Arial Unicode MS"/>
    <w:panose1 w:val="00000000000000000000"/>
    <w:charset w:val="80"/>
    <w:family w:val="auto"/>
    <w:notTrueType/>
    <w:pitch w:val="default"/>
    <w:sig w:usb0="00000001" w:usb1="08070000" w:usb2="00000010" w:usb3="00000000" w:csb0="00020000" w:csb1="00000000"/>
  </w:font>
  <w:font w:name="GulliverRM">
    <w:altName w:val="Arial Unicode MS"/>
    <w:panose1 w:val="00000000000000000000"/>
    <w:charset w:val="80"/>
    <w:family w:val="auto"/>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3" w:usb1="08070000" w:usb2="00000010" w:usb3="00000000" w:csb0="00020001" w:csb1="00000000"/>
  </w:font>
  <w:font w:name="Myriad-Roman">
    <w:altName w:val="Cambria"/>
    <w:panose1 w:val="00000000000000000000"/>
    <w:charset w:val="00"/>
    <w:family w:val="swiss"/>
    <w:notTrueType/>
    <w:pitch w:val="default"/>
    <w:sig w:usb0="00000003" w:usb1="00000000" w:usb2="00000000" w:usb3="00000000" w:csb0="00000001" w:csb1="00000000"/>
  </w:font>
  <w:font w:name="MinionPro-Regular">
    <w:altName w:val="Arial Unicode MS"/>
    <w:panose1 w:val="00000000000000000000"/>
    <w:charset w:val="81"/>
    <w:family w:val="auto"/>
    <w:notTrueType/>
    <w:pitch w:val="default"/>
    <w:sig w:usb0="00000201" w:usb1="09060000" w:usb2="00000010" w:usb3="00000000" w:csb0="00080004" w:csb1="00000000"/>
  </w:font>
  <w:font w:name="Courier">
    <w:altName w:val="Courier New"/>
    <w:panose1 w:val="02070409020205020404"/>
    <w:charset w:val="00"/>
    <w:family w:val="modern"/>
    <w:notTrueType/>
    <w:pitch w:val="fixed"/>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F0" w:rsidRDefault="008445F0" w:rsidP="006C2BA0">
      <w:r>
        <w:separator/>
      </w:r>
    </w:p>
  </w:footnote>
  <w:footnote w:type="continuationSeparator" w:id="1">
    <w:p w:rsidR="008445F0" w:rsidRDefault="008445F0" w:rsidP="006C2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A0" w:rsidRDefault="00B35097">
    <w:pPr>
      <w:pStyle w:val="Header"/>
    </w:pPr>
    <w:r w:rsidRPr="00B350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719" o:spid="_x0000_s5122"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A0" w:rsidRDefault="00B35097">
    <w:pPr>
      <w:pStyle w:val="Header"/>
    </w:pPr>
    <w:r w:rsidRPr="00B350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720" o:spid="_x0000_s5123"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A0" w:rsidRDefault="00B35097">
    <w:pPr>
      <w:pStyle w:val="Header"/>
    </w:pPr>
    <w:r w:rsidRPr="00B350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718" o:spid="_x0000_s5121"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556"/>
    <w:multiLevelType w:val="multilevel"/>
    <w:tmpl w:val="9F02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A424A"/>
    <w:multiLevelType w:val="singleLevel"/>
    <w:tmpl w:val="0D90A9FA"/>
    <w:lvl w:ilvl="0">
      <w:start w:val="1"/>
      <w:numFmt w:val="decimal"/>
      <w:lvlText w:val="%1."/>
      <w:legacy w:legacy="1" w:legacySpace="0" w:legacyIndent="567"/>
      <w:lvlJc w:val="left"/>
      <w:pPr>
        <w:ind w:left="567" w:hanging="567"/>
      </w:pPr>
    </w:lvl>
  </w:abstractNum>
  <w:abstractNum w:abstractNumId="2">
    <w:nsid w:val="06FD4009"/>
    <w:multiLevelType w:val="hybridMultilevel"/>
    <w:tmpl w:val="9F82A7DE"/>
    <w:lvl w:ilvl="0" w:tplc="7FE4B92A">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5E5B92"/>
    <w:multiLevelType w:val="hybridMultilevel"/>
    <w:tmpl w:val="9B047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CC5CC9"/>
    <w:multiLevelType w:val="hybridMultilevel"/>
    <w:tmpl w:val="E3C6C79A"/>
    <w:lvl w:ilvl="0" w:tplc="02AE0DA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D1F1F6E"/>
    <w:multiLevelType w:val="hybridMultilevel"/>
    <w:tmpl w:val="EC7CF3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8C2CF8"/>
    <w:multiLevelType w:val="hybridMultilevel"/>
    <w:tmpl w:val="D7E4C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383F48"/>
    <w:multiLevelType w:val="multilevel"/>
    <w:tmpl w:val="9F02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2A0F4B"/>
    <w:multiLevelType w:val="hybridMultilevel"/>
    <w:tmpl w:val="B7DAA3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E962378"/>
    <w:multiLevelType w:val="hybridMultilevel"/>
    <w:tmpl w:val="9CFC168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1F474C"/>
    <w:multiLevelType w:val="hybridMultilevel"/>
    <w:tmpl w:val="EE501BBC"/>
    <w:lvl w:ilvl="0" w:tplc="66AC52F4">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25974AE3"/>
    <w:multiLevelType w:val="hybridMultilevel"/>
    <w:tmpl w:val="3CEE0166"/>
    <w:lvl w:ilvl="0" w:tplc="0419000F">
      <w:start w:val="9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CB0800"/>
    <w:multiLevelType w:val="multilevel"/>
    <w:tmpl w:val="0C9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E5156"/>
    <w:multiLevelType w:val="multilevel"/>
    <w:tmpl w:val="0FF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F6940"/>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F26B4"/>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C0C1E"/>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9A3DCD"/>
    <w:multiLevelType w:val="hybridMultilevel"/>
    <w:tmpl w:val="C4661644"/>
    <w:lvl w:ilvl="0" w:tplc="6F6A9D48">
      <w:start w:val="1"/>
      <w:numFmt w:val="decimal"/>
      <w:lvlText w:val="%1."/>
      <w:lvlJc w:val="left"/>
      <w:pPr>
        <w:ind w:left="360" w:hanging="360"/>
      </w:pPr>
      <w:rPr>
        <w:rFonts w:ascii="Times New Roman" w:hAnsi="Times New Roman" w:cs="Times New Roman" w:hint="default"/>
        <w:b w:val="0"/>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3FD01FE"/>
    <w:multiLevelType w:val="hybridMultilevel"/>
    <w:tmpl w:val="4C40AE0C"/>
    <w:lvl w:ilvl="0" w:tplc="7A2206C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E23D07"/>
    <w:multiLevelType w:val="singleLevel"/>
    <w:tmpl w:val="22B4C19A"/>
    <w:lvl w:ilvl="0">
      <w:start w:val="1"/>
      <w:numFmt w:val="decimal"/>
      <w:lvlText w:val="%1."/>
      <w:legacy w:legacy="1" w:legacySpace="0" w:legacyIndent="454"/>
      <w:lvlJc w:val="left"/>
      <w:pPr>
        <w:ind w:left="454" w:hanging="454"/>
      </w:pPr>
      <w:rPr>
        <w:rFonts w:ascii="Times New Roman" w:hAnsi="Times New Roman" w:cs="Times New Roman" w:hint="default"/>
        <w:b w:val="0"/>
        <w:sz w:val="22"/>
        <w:szCs w:val="22"/>
      </w:rPr>
    </w:lvl>
  </w:abstractNum>
  <w:abstractNum w:abstractNumId="20">
    <w:nsid w:val="4DFF7124"/>
    <w:multiLevelType w:val="multilevel"/>
    <w:tmpl w:val="9F02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7A0106"/>
    <w:multiLevelType w:val="hybridMultilevel"/>
    <w:tmpl w:val="9112E7AE"/>
    <w:lvl w:ilvl="0" w:tplc="9EAC9F7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3A477E4"/>
    <w:multiLevelType w:val="multilevel"/>
    <w:tmpl w:val="539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47769"/>
    <w:multiLevelType w:val="hybridMultilevel"/>
    <w:tmpl w:val="81FAF89C"/>
    <w:lvl w:ilvl="0" w:tplc="20B28E26">
      <w:start w:val="84"/>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94738C5"/>
    <w:multiLevelType w:val="hybridMultilevel"/>
    <w:tmpl w:val="D072552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BD2617D"/>
    <w:multiLevelType w:val="multilevel"/>
    <w:tmpl w:val="9F02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A96F2E"/>
    <w:multiLevelType w:val="hybridMultilevel"/>
    <w:tmpl w:val="E9B42614"/>
    <w:lvl w:ilvl="0" w:tplc="5A7CDE3A">
      <w:start w:val="1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AFF7ACF"/>
    <w:multiLevelType w:val="hybridMultilevel"/>
    <w:tmpl w:val="8A38E722"/>
    <w:lvl w:ilvl="0" w:tplc="B85637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0571B1"/>
    <w:multiLevelType w:val="multilevel"/>
    <w:tmpl w:val="BEC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9D09E0"/>
    <w:multiLevelType w:val="multilevel"/>
    <w:tmpl w:val="F79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54822"/>
    <w:multiLevelType w:val="hybridMultilevel"/>
    <w:tmpl w:val="FF1C815C"/>
    <w:lvl w:ilvl="0" w:tplc="32ECDA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9"/>
  </w:num>
  <w:num w:numId="3">
    <w:abstractNumId w:val="9"/>
  </w:num>
  <w:num w:numId="4">
    <w:abstractNumId w:val="26"/>
  </w:num>
  <w:num w:numId="5">
    <w:abstractNumId w:val="10"/>
  </w:num>
  <w:num w:numId="6">
    <w:abstractNumId w:val="24"/>
  </w:num>
  <w:num w:numId="7">
    <w:abstractNumId w:val="1"/>
    <w:lvlOverride w:ilvl="0">
      <w:lvl w:ilvl="0">
        <w:start w:val="1"/>
        <w:numFmt w:val="decimal"/>
        <w:lvlText w:val="%1."/>
        <w:legacy w:legacy="1" w:legacySpace="0" w:legacyIndent="454"/>
        <w:lvlJc w:val="left"/>
        <w:pPr>
          <w:ind w:left="454" w:hanging="454"/>
        </w:pPr>
        <w:rPr>
          <w:rFonts w:ascii="Times New Roman" w:hAnsi="Times New Roman" w:cs="Times New Roman" w:hint="default"/>
          <w:b w:val="0"/>
          <w:sz w:val="22"/>
          <w:szCs w:val="22"/>
        </w:rPr>
      </w:lvl>
    </w:lvlOverride>
  </w:num>
  <w:num w:numId="8">
    <w:abstractNumId w:val="2"/>
  </w:num>
  <w:num w:numId="9">
    <w:abstractNumId w:val="4"/>
  </w:num>
  <w:num w:numId="10">
    <w:abstractNumId w:val="8"/>
  </w:num>
  <w:num w:numId="11">
    <w:abstractNumId w:val="21"/>
  </w:num>
  <w:num w:numId="12">
    <w:abstractNumId w:val="27"/>
  </w:num>
  <w:num w:numId="13">
    <w:abstractNumId w:val="30"/>
  </w:num>
  <w:num w:numId="14">
    <w:abstractNumId w:val="14"/>
  </w:num>
  <w:num w:numId="15">
    <w:abstractNumId w:val="5"/>
  </w:num>
  <w:num w:numId="16">
    <w:abstractNumId w:val="23"/>
  </w:num>
  <w:num w:numId="17">
    <w:abstractNumId w:val="17"/>
  </w:num>
  <w:num w:numId="18">
    <w:abstractNumId w:val="15"/>
  </w:num>
  <w:num w:numId="19">
    <w:abstractNumId w:val="16"/>
  </w:num>
  <w:num w:numId="20">
    <w:abstractNumId w:val="6"/>
  </w:num>
  <w:num w:numId="21">
    <w:abstractNumId w:val="3"/>
  </w:num>
  <w:num w:numId="22">
    <w:abstractNumId w:val="29"/>
  </w:num>
  <w:num w:numId="23">
    <w:abstractNumId w:val="13"/>
  </w:num>
  <w:num w:numId="24">
    <w:abstractNumId w:val="22"/>
  </w:num>
  <w:num w:numId="25">
    <w:abstractNumId w:val="12"/>
  </w:num>
  <w:num w:numId="26">
    <w:abstractNumId w:val="28"/>
  </w:num>
  <w:num w:numId="27">
    <w:abstractNumId w:val="11"/>
  </w:num>
  <w:num w:numId="28">
    <w:abstractNumId w:val="20"/>
  </w:num>
  <w:num w:numId="29">
    <w:abstractNumId w:val="25"/>
  </w:num>
  <w:num w:numId="30">
    <w:abstractNumId w:val="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DA4B51"/>
    <w:rsid w:val="00020E2D"/>
    <w:rsid w:val="00021808"/>
    <w:rsid w:val="00023981"/>
    <w:rsid w:val="00025DD9"/>
    <w:rsid w:val="000269A4"/>
    <w:rsid w:val="00031002"/>
    <w:rsid w:val="00036A0E"/>
    <w:rsid w:val="000376C7"/>
    <w:rsid w:val="00040F28"/>
    <w:rsid w:val="0004429F"/>
    <w:rsid w:val="00053AF7"/>
    <w:rsid w:val="00054DB1"/>
    <w:rsid w:val="00057B47"/>
    <w:rsid w:val="0006037A"/>
    <w:rsid w:val="00064AFB"/>
    <w:rsid w:val="00065392"/>
    <w:rsid w:val="0006544E"/>
    <w:rsid w:val="000665F7"/>
    <w:rsid w:val="00073191"/>
    <w:rsid w:val="00073E1A"/>
    <w:rsid w:val="00076EB0"/>
    <w:rsid w:val="000864D3"/>
    <w:rsid w:val="000922D2"/>
    <w:rsid w:val="00093554"/>
    <w:rsid w:val="000A11BD"/>
    <w:rsid w:val="000A2E06"/>
    <w:rsid w:val="000A3B56"/>
    <w:rsid w:val="000B24C3"/>
    <w:rsid w:val="000B6C1A"/>
    <w:rsid w:val="000C1B59"/>
    <w:rsid w:val="000C31EA"/>
    <w:rsid w:val="000C541A"/>
    <w:rsid w:val="000E0790"/>
    <w:rsid w:val="000E3121"/>
    <w:rsid w:val="000E3DB1"/>
    <w:rsid w:val="000E652A"/>
    <w:rsid w:val="000F1BF8"/>
    <w:rsid w:val="000F2588"/>
    <w:rsid w:val="000F5EDA"/>
    <w:rsid w:val="000F65CE"/>
    <w:rsid w:val="000F6CAF"/>
    <w:rsid w:val="00104A5B"/>
    <w:rsid w:val="0010540A"/>
    <w:rsid w:val="001103BA"/>
    <w:rsid w:val="00114AF0"/>
    <w:rsid w:val="00115BD2"/>
    <w:rsid w:val="00117063"/>
    <w:rsid w:val="001205B1"/>
    <w:rsid w:val="00121E01"/>
    <w:rsid w:val="00122CC1"/>
    <w:rsid w:val="00122DD0"/>
    <w:rsid w:val="00122F44"/>
    <w:rsid w:val="00133D49"/>
    <w:rsid w:val="00137EA5"/>
    <w:rsid w:val="00141451"/>
    <w:rsid w:val="00141DC4"/>
    <w:rsid w:val="001552E1"/>
    <w:rsid w:val="0015574A"/>
    <w:rsid w:val="00156B1D"/>
    <w:rsid w:val="00161312"/>
    <w:rsid w:val="0016172A"/>
    <w:rsid w:val="00162190"/>
    <w:rsid w:val="001645FB"/>
    <w:rsid w:val="00172DF0"/>
    <w:rsid w:val="001768D7"/>
    <w:rsid w:val="00180E90"/>
    <w:rsid w:val="00180F27"/>
    <w:rsid w:val="0018215F"/>
    <w:rsid w:val="00184ED3"/>
    <w:rsid w:val="00186844"/>
    <w:rsid w:val="00196847"/>
    <w:rsid w:val="001A422C"/>
    <w:rsid w:val="001A5CFD"/>
    <w:rsid w:val="001A67CD"/>
    <w:rsid w:val="001B7142"/>
    <w:rsid w:val="001C1234"/>
    <w:rsid w:val="001C31B2"/>
    <w:rsid w:val="001C528D"/>
    <w:rsid w:val="001C7483"/>
    <w:rsid w:val="001D2847"/>
    <w:rsid w:val="001E3345"/>
    <w:rsid w:val="001E4F02"/>
    <w:rsid w:val="001E570E"/>
    <w:rsid w:val="001F35A3"/>
    <w:rsid w:val="00201C2B"/>
    <w:rsid w:val="0020634B"/>
    <w:rsid w:val="00207A6E"/>
    <w:rsid w:val="00214272"/>
    <w:rsid w:val="002209B6"/>
    <w:rsid w:val="002241F6"/>
    <w:rsid w:val="00237CFD"/>
    <w:rsid w:val="00247C7A"/>
    <w:rsid w:val="00255151"/>
    <w:rsid w:val="00263B4F"/>
    <w:rsid w:val="00264EEE"/>
    <w:rsid w:val="00265E82"/>
    <w:rsid w:val="00266E58"/>
    <w:rsid w:val="00267B36"/>
    <w:rsid w:val="00272B31"/>
    <w:rsid w:val="0027310D"/>
    <w:rsid w:val="0027465C"/>
    <w:rsid w:val="002752D6"/>
    <w:rsid w:val="0027710E"/>
    <w:rsid w:val="00277AD4"/>
    <w:rsid w:val="00281D4C"/>
    <w:rsid w:val="00284F5D"/>
    <w:rsid w:val="0028758E"/>
    <w:rsid w:val="00292B93"/>
    <w:rsid w:val="00295866"/>
    <w:rsid w:val="0029611F"/>
    <w:rsid w:val="002970D7"/>
    <w:rsid w:val="002A0518"/>
    <w:rsid w:val="002A2B11"/>
    <w:rsid w:val="002A3937"/>
    <w:rsid w:val="002B1789"/>
    <w:rsid w:val="002B617A"/>
    <w:rsid w:val="002B6C58"/>
    <w:rsid w:val="002B73CF"/>
    <w:rsid w:val="002B7550"/>
    <w:rsid w:val="002C06C5"/>
    <w:rsid w:val="002C24CF"/>
    <w:rsid w:val="002C2CB9"/>
    <w:rsid w:val="002D0497"/>
    <w:rsid w:val="002D2873"/>
    <w:rsid w:val="002D5DD3"/>
    <w:rsid w:val="002D7A86"/>
    <w:rsid w:val="002D7BF9"/>
    <w:rsid w:val="002E156C"/>
    <w:rsid w:val="002E26E9"/>
    <w:rsid w:val="002E34DB"/>
    <w:rsid w:val="002F4758"/>
    <w:rsid w:val="002F5A27"/>
    <w:rsid w:val="002F74EF"/>
    <w:rsid w:val="00301E0C"/>
    <w:rsid w:val="00302AD2"/>
    <w:rsid w:val="003118BD"/>
    <w:rsid w:val="0031771B"/>
    <w:rsid w:val="003239B3"/>
    <w:rsid w:val="00331788"/>
    <w:rsid w:val="00335577"/>
    <w:rsid w:val="0034320B"/>
    <w:rsid w:val="00356DBD"/>
    <w:rsid w:val="00360FE0"/>
    <w:rsid w:val="0036163B"/>
    <w:rsid w:val="00361B42"/>
    <w:rsid w:val="003648D1"/>
    <w:rsid w:val="003648FB"/>
    <w:rsid w:val="00364A08"/>
    <w:rsid w:val="00364AB5"/>
    <w:rsid w:val="00366B7A"/>
    <w:rsid w:val="003673EB"/>
    <w:rsid w:val="0037373F"/>
    <w:rsid w:val="00373B95"/>
    <w:rsid w:val="003742EB"/>
    <w:rsid w:val="003747AA"/>
    <w:rsid w:val="00377E19"/>
    <w:rsid w:val="00382115"/>
    <w:rsid w:val="00383B93"/>
    <w:rsid w:val="00391A12"/>
    <w:rsid w:val="00392DB2"/>
    <w:rsid w:val="00394B2A"/>
    <w:rsid w:val="003A13F7"/>
    <w:rsid w:val="003B4BAC"/>
    <w:rsid w:val="003C1CA0"/>
    <w:rsid w:val="003D0920"/>
    <w:rsid w:val="003D1ABA"/>
    <w:rsid w:val="003D50DC"/>
    <w:rsid w:val="003D7025"/>
    <w:rsid w:val="003E0CCA"/>
    <w:rsid w:val="003E3D7E"/>
    <w:rsid w:val="003E51AC"/>
    <w:rsid w:val="003F03B5"/>
    <w:rsid w:val="003F3B83"/>
    <w:rsid w:val="003F4E0D"/>
    <w:rsid w:val="003F6577"/>
    <w:rsid w:val="00400624"/>
    <w:rsid w:val="00402FA7"/>
    <w:rsid w:val="0040592A"/>
    <w:rsid w:val="00407E7A"/>
    <w:rsid w:val="00410FCA"/>
    <w:rsid w:val="0041400A"/>
    <w:rsid w:val="00414C7B"/>
    <w:rsid w:val="00425DF1"/>
    <w:rsid w:val="004307FA"/>
    <w:rsid w:val="00434BD7"/>
    <w:rsid w:val="00442024"/>
    <w:rsid w:val="00444A66"/>
    <w:rsid w:val="004550F8"/>
    <w:rsid w:val="00456FC1"/>
    <w:rsid w:val="00457335"/>
    <w:rsid w:val="00457733"/>
    <w:rsid w:val="00473C5E"/>
    <w:rsid w:val="00475DBE"/>
    <w:rsid w:val="00493B0B"/>
    <w:rsid w:val="00493DE5"/>
    <w:rsid w:val="004966FC"/>
    <w:rsid w:val="00497DAB"/>
    <w:rsid w:val="004A2E18"/>
    <w:rsid w:val="004B414F"/>
    <w:rsid w:val="004C04CD"/>
    <w:rsid w:val="004C0C3B"/>
    <w:rsid w:val="004C251E"/>
    <w:rsid w:val="004C7641"/>
    <w:rsid w:val="004D09A9"/>
    <w:rsid w:val="004D0DB8"/>
    <w:rsid w:val="004D26EB"/>
    <w:rsid w:val="004E3F6D"/>
    <w:rsid w:val="004E4064"/>
    <w:rsid w:val="004F32D8"/>
    <w:rsid w:val="004F477C"/>
    <w:rsid w:val="00500604"/>
    <w:rsid w:val="0050244F"/>
    <w:rsid w:val="0050587E"/>
    <w:rsid w:val="00506016"/>
    <w:rsid w:val="00506D07"/>
    <w:rsid w:val="0050717D"/>
    <w:rsid w:val="00513F73"/>
    <w:rsid w:val="00523EB8"/>
    <w:rsid w:val="005318BB"/>
    <w:rsid w:val="00533833"/>
    <w:rsid w:val="00533B57"/>
    <w:rsid w:val="00536849"/>
    <w:rsid w:val="0055093C"/>
    <w:rsid w:val="00555E10"/>
    <w:rsid w:val="005636BE"/>
    <w:rsid w:val="00564375"/>
    <w:rsid w:val="0057223C"/>
    <w:rsid w:val="00574B2E"/>
    <w:rsid w:val="00577E42"/>
    <w:rsid w:val="00582520"/>
    <w:rsid w:val="0058296F"/>
    <w:rsid w:val="005859D5"/>
    <w:rsid w:val="0059244A"/>
    <w:rsid w:val="005960FF"/>
    <w:rsid w:val="005A132C"/>
    <w:rsid w:val="005B03E7"/>
    <w:rsid w:val="005C3D8C"/>
    <w:rsid w:val="005C3DBC"/>
    <w:rsid w:val="005C51D8"/>
    <w:rsid w:val="005D6327"/>
    <w:rsid w:val="005E23EB"/>
    <w:rsid w:val="005E260B"/>
    <w:rsid w:val="005E3255"/>
    <w:rsid w:val="005F1EFC"/>
    <w:rsid w:val="005F6629"/>
    <w:rsid w:val="0060166E"/>
    <w:rsid w:val="0060246C"/>
    <w:rsid w:val="00605943"/>
    <w:rsid w:val="006061BF"/>
    <w:rsid w:val="0061095E"/>
    <w:rsid w:val="00616C40"/>
    <w:rsid w:val="00620B76"/>
    <w:rsid w:val="00622C78"/>
    <w:rsid w:val="0063176C"/>
    <w:rsid w:val="00632143"/>
    <w:rsid w:val="00635AAF"/>
    <w:rsid w:val="006371E3"/>
    <w:rsid w:val="00637AF6"/>
    <w:rsid w:val="0064225F"/>
    <w:rsid w:val="00645F90"/>
    <w:rsid w:val="006544DE"/>
    <w:rsid w:val="00655AF0"/>
    <w:rsid w:val="00660ECC"/>
    <w:rsid w:val="006623C0"/>
    <w:rsid w:val="00664688"/>
    <w:rsid w:val="00664F8D"/>
    <w:rsid w:val="006659B8"/>
    <w:rsid w:val="006707E4"/>
    <w:rsid w:val="00670B46"/>
    <w:rsid w:val="00674647"/>
    <w:rsid w:val="00676F0A"/>
    <w:rsid w:val="00677FDD"/>
    <w:rsid w:val="00682E89"/>
    <w:rsid w:val="00690093"/>
    <w:rsid w:val="00692CFE"/>
    <w:rsid w:val="00693ECA"/>
    <w:rsid w:val="00694368"/>
    <w:rsid w:val="00694A8A"/>
    <w:rsid w:val="00695239"/>
    <w:rsid w:val="006A0E90"/>
    <w:rsid w:val="006A1FD6"/>
    <w:rsid w:val="006A42C1"/>
    <w:rsid w:val="006A4A1A"/>
    <w:rsid w:val="006A5599"/>
    <w:rsid w:val="006B28EE"/>
    <w:rsid w:val="006B2D8F"/>
    <w:rsid w:val="006B3D4B"/>
    <w:rsid w:val="006B4006"/>
    <w:rsid w:val="006C2BA0"/>
    <w:rsid w:val="006C5B6D"/>
    <w:rsid w:val="006D115F"/>
    <w:rsid w:val="006D278D"/>
    <w:rsid w:val="006D7C61"/>
    <w:rsid w:val="006E1E62"/>
    <w:rsid w:val="006E2402"/>
    <w:rsid w:val="006E2518"/>
    <w:rsid w:val="006E3AC5"/>
    <w:rsid w:val="006E48CF"/>
    <w:rsid w:val="006E5CA9"/>
    <w:rsid w:val="006E6ADB"/>
    <w:rsid w:val="006E7428"/>
    <w:rsid w:val="006F1B47"/>
    <w:rsid w:val="006F442B"/>
    <w:rsid w:val="006F5310"/>
    <w:rsid w:val="007019F4"/>
    <w:rsid w:val="00705713"/>
    <w:rsid w:val="00706679"/>
    <w:rsid w:val="00710051"/>
    <w:rsid w:val="007163D7"/>
    <w:rsid w:val="00721998"/>
    <w:rsid w:val="007315D5"/>
    <w:rsid w:val="0073315D"/>
    <w:rsid w:val="0073598F"/>
    <w:rsid w:val="00736A71"/>
    <w:rsid w:val="007432E1"/>
    <w:rsid w:val="00743611"/>
    <w:rsid w:val="00746097"/>
    <w:rsid w:val="0075040C"/>
    <w:rsid w:val="00757305"/>
    <w:rsid w:val="00757E74"/>
    <w:rsid w:val="00762322"/>
    <w:rsid w:val="0076258F"/>
    <w:rsid w:val="0076553E"/>
    <w:rsid w:val="00766173"/>
    <w:rsid w:val="00781135"/>
    <w:rsid w:val="00784925"/>
    <w:rsid w:val="007859BF"/>
    <w:rsid w:val="00787443"/>
    <w:rsid w:val="007940A6"/>
    <w:rsid w:val="00794B5C"/>
    <w:rsid w:val="00795CD2"/>
    <w:rsid w:val="007A5470"/>
    <w:rsid w:val="007B2F45"/>
    <w:rsid w:val="007B4465"/>
    <w:rsid w:val="007B5047"/>
    <w:rsid w:val="007B6321"/>
    <w:rsid w:val="007C2A39"/>
    <w:rsid w:val="007C665C"/>
    <w:rsid w:val="007C68C8"/>
    <w:rsid w:val="007C7064"/>
    <w:rsid w:val="007C7C13"/>
    <w:rsid w:val="007D5F91"/>
    <w:rsid w:val="007D7D42"/>
    <w:rsid w:val="007E0B03"/>
    <w:rsid w:val="007E454D"/>
    <w:rsid w:val="007E6A19"/>
    <w:rsid w:val="007F09AB"/>
    <w:rsid w:val="007F46E7"/>
    <w:rsid w:val="007F6AC7"/>
    <w:rsid w:val="007F79BA"/>
    <w:rsid w:val="00800D29"/>
    <w:rsid w:val="0080233D"/>
    <w:rsid w:val="00802ECF"/>
    <w:rsid w:val="008037A9"/>
    <w:rsid w:val="00806D0B"/>
    <w:rsid w:val="00811C59"/>
    <w:rsid w:val="00820ED3"/>
    <w:rsid w:val="00823D31"/>
    <w:rsid w:val="00830B9D"/>
    <w:rsid w:val="008337A3"/>
    <w:rsid w:val="008358A4"/>
    <w:rsid w:val="00842094"/>
    <w:rsid w:val="0084241F"/>
    <w:rsid w:val="00843FDC"/>
    <w:rsid w:val="008445F0"/>
    <w:rsid w:val="00847688"/>
    <w:rsid w:val="00850381"/>
    <w:rsid w:val="00873F25"/>
    <w:rsid w:val="0088215C"/>
    <w:rsid w:val="008834C5"/>
    <w:rsid w:val="0088585E"/>
    <w:rsid w:val="00887E43"/>
    <w:rsid w:val="00890132"/>
    <w:rsid w:val="00893C5E"/>
    <w:rsid w:val="00894A87"/>
    <w:rsid w:val="008961CB"/>
    <w:rsid w:val="008962A6"/>
    <w:rsid w:val="008A0BD7"/>
    <w:rsid w:val="008A2848"/>
    <w:rsid w:val="008A3FD5"/>
    <w:rsid w:val="008C0E58"/>
    <w:rsid w:val="008C15E1"/>
    <w:rsid w:val="008C7277"/>
    <w:rsid w:val="008D1FBE"/>
    <w:rsid w:val="008D3BBB"/>
    <w:rsid w:val="008E0956"/>
    <w:rsid w:val="008F09BA"/>
    <w:rsid w:val="008F1B49"/>
    <w:rsid w:val="008F1DD0"/>
    <w:rsid w:val="008F20E9"/>
    <w:rsid w:val="008F28C2"/>
    <w:rsid w:val="008F34F1"/>
    <w:rsid w:val="008F7DF0"/>
    <w:rsid w:val="00905B5D"/>
    <w:rsid w:val="009079E0"/>
    <w:rsid w:val="009107FA"/>
    <w:rsid w:val="00911819"/>
    <w:rsid w:val="00911DA4"/>
    <w:rsid w:val="00912B6C"/>
    <w:rsid w:val="00924C79"/>
    <w:rsid w:val="009306C2"/>
    <w:rsid w:val="009321D4"/>
    <w:rsid w:val="00933753"/>
    <w:rsid w:val="00935499"/>
    <w:rsid w:val="009432E5"/>
    <w:rsid w:val="00954103"/>
    <w:rsid w:val="00961EFD"/>
    <w:rsid w:val="009624E9"/>
    <w:rsid w:val="00964F3B"/>
    <w:rsid w:val="00965420"/>
    <w:rsid w:val="009726A6"/>
    <w:rsid w:val="00973E5F"/>
    <w:rsid w:val="00975098"/>
    <w:rsid w:val="009822A2"/>
    <w:rsid w:val="00983CEC"/>
    <w:rsid w:val="00987A6A"/>
    <w:rsid w:val="00990D02"/>
    <w:rsid w:val="00990D8D"/>
    <w:rsid w:val="009930D1"/>
    <w:rsid w:val="009A1C10"/>
    <w:rsid w:val="009A5CA0"/>
    <w:rsid w:val="009A6629"/>
    <w:rsid w:val="009B0F00"/>
    <w:rsid w:val="009B5D65"/>
    <w:rsid w:val="009B6234"/>
    <w:rsid w:val="009B7162"/>
    <w:rsid w:val="009D370C"/>
    <w:rsid w:val="009D59CC"/>
    <w:rsid w:val="009D5AA4"/>
    <w:rsid w:val="009D72F2"/>
    <w:rsid w:val="009E027C"/>
    <w:rsid w:val="009E0579"/>
    <w:rsid w:val="009E229C"/>
    <w:rsid w:val="009E398C"/>
    <w:rsid w:val="00A00A9A"/>
    <w:rsid w:val="00A00E12"/>
    <w:rsid w:val="00A01313"/>
    <w:rsid w:val="00A07B8E"/>
    <w:rsid w:val="00A07FE9"/>
    <w:rsid w:val="00A13B26"/>
    <w:rsid w:val="00A21585"/>
    <w:rsid w:val="00A22840"/>
    <w:rsid w:val="00A2522F"/>
    <w:rsid w:val="00A255FB"/>
    <w:rsid w:val="00A3254C"/>
    <w:rsid w:val="00A3332B"/>
    <w:rsid w:val="00A36E5D"/>
    <w:rsid w:val="00A37A0A"/>
    <w:rsid w:val="00A42943"/>
    <w:rsid w:val="00A501DA"/>
    <w:rsid w:val="00A50312"/>
    <w:rsid w:val="00A510F9"/>
    <w:rsid w:val="00A539BD"/>
    <w:rsid w:val="00A55951"/>
    <w:rsid w:val="00A60D04"/>
    <w:rsid w:val="00A610C2"/>
    <w:rsid w:val="00A61A54"/>
    <w:rsid w:val="00A677E3"/>
    <w:rsid w:val="00A70D10"/>
    <w:rsid w:val="00A70FE9"/>
    <w:rsid w:val="00A72FC3"/>
    <w:rsid w:val="00A87846"/>
    <w:rsid w:val="00AA03D5"/>
    <w:rsid w:val="00AA442F"/>
    <w:rsid w:val="00AA5685"/>
    <w:rsid w:val="00AA7700"/>
    <w:rsid w:val="00AB1335"/>
    <w:rsid w:val="00AB3F3F"/>
    <w:rsid w:val="00AC2E8A"/>
    <w:rsid w:val="00AC48E6"/>
    <w:rsid w:val="00AC6234"/>
    <w:rsid w:val="00AC6C70"/>
    <w:rsid w:val="00AC7BB5"/>
    <w:rsid w:val="00AD3962"/>
    <w:rsid w:val="00AD6CEF"/>
    <w:rsid w:val="00AE06DD"/>
    <w:rsid w:val="00AE2D71"/>
    <w:rsid w:val="00AE3A03"/>
    <w:rsid w:val="00AE696E"/>
    <w:rsid w:val="00AE7237"/>
    <w:rsid w:val="00AE7806"/>
    <w:rsid w:val="00AF2BE3"/>
    <w:rsid w:val="00B0077F"/>
    <w:rsid w:val="00B12A4A"/>
    <w:rsid w:val="00B12B57"/>
    <w:rsid w:val="00B2733F"/>
    <w:rsid w:val="00B273B0"/>
    <w:rsid w:val="00B325BC"/>
    <w:rsid w:val="00B35097"/>
    <w:rsid w:val="00B42BA4"/>
    <w:rsid w:val="00B444B8"/>
    <w:rsid w:val="00B44A6E"/>
    <w:rsid w:val="00B450D6"/>
    <w:rsid w:val="00B65FA3"/>
    <w:rsid w:val="00B70AA8"/>
    <w:rsid w:val="00B86BBB"/>
    <w:rsid w:val="00B939F4"/>
    <w:rsid w:val="00B93B23"/>
    <w:rsid w:val="00B96191"/>
    <w:rsid w:val="00B96704"/>
    <w:rsid w:val="00B979E0"/>
    <w:rsid w:val="00BA548B"/>
    <w:rsid w:val="00BA6636"/>
    <w:rsid w:val="00BB3144"/>
    <w:rsid w:val="00BB3823"/>
    <w:rsid w:val="00BB6A9F"/>
    <w:rsid w:val="00BB6AA2"/>
    <w:rsid w:val="00BB744D"/>
    <w:rsid w:val="00BC116F"/>
    <w:rsid w:val="00BC48BA"/>
    <w:rsid w:val="00BC5222"/>
    <w:rsid w:val="00BD5E09"/>
    <w:rsid w:val="00BD6734"/>
    <w:rsid w:val="00BE0AE3"/>
    <w:rsid w:val="00BE6305"/>
    <w:rsid w:val="00BE7071"/>
    <w:rsid w:val="00BF2D18"/>
    <w:rsid w:val="00C03201"/>
    <w:rsid w:val="00C13A1A"/>
    <w:rsid w:val="00C17C03"/>
    <w:rsid w:val="00C26AA9"/>
    <w:rsid w:val="00C27747"/>
    <w:rsid w:val="00C32A16"/>
    <w:rsid w:val="00C37CA7"/>
    <w:rsid w:val="00C40318"/>
    <w:rsid w:val="00C406A1"/>
    <w:rsid w:val="00C45CFE"/>
    <w:rsid w:val="00C63DFF"/>
    <w:rsid w:val="00C64E62"/>
    <w:rsid w:val="00C670EB"/>
    <w:rsid w:val="00C720C1"/>
    <w:rsid w:val="00C744D1"/>
    <w:rsid w:val="00C83FAD"/>
    <w:rsid w:val="00C840A7"/>
    <w:rsid w:val="00C853FD"/>
    <w:rsid w:val="00C85E82"/>
    <w:rsid w:val="00C91C62"/>
    <w:rsid w:val="00CA5901"/>
    <w:rsid w:val="00CB620C"/>
    <w:rsid w:val="00CC01B4"/>
    <w:rsid w:val="00CC371C"/>
    <w:rsid w:val="00CC5727"/>
    <w:rsid w:val="00CE1DC1"/>
    <w:rsid w:val="00CE2040"/>
    <w:rsid w:val="00CE2093"/>
    <w:rsid w:val="00CE39EF"/>
    <w:rsid w:val="00CE425C"/>
    <w:rsid w:val="00D249D5"/>
    <w:rsid w:val="00D27928"/>
    <w:rsid w:val="00D306D9"/>
    <w:rsid w:val="00D33086"/>
    <w:rsid w:val="00D33CAD"/>
    <w:rsid w:val="00D340E8"/>
    <w:rsid w:val="00D4162C"/>
    <w:rsid w:val="00D421AA"/>
    <w:rsid w:val="00D449AC"/>
    <w:rsid w:val="00D463CB"/>
    <w:rsid w:val="00D515C2"/>
    <w:rsid w:val="00D51615"/>
    <w:rsid w:val="00D51FB6"/>
    <w:rsid w:val="00D53A12"/>
    <w:rsid w:val="00D564D2"/>
    <w:rsid w:val="00D61090"/>
    <w:rsid w:val="00D6643B"/>
    <w:rsid w:val="00D669F3"/>
    <w:rsid w:val="00D71003"/>
    <w:rsid w:val="00D71AAA"/>
    <w:rsid w:val="00D74508"/>
    <w:rsid w:val="00D74B8B"/>
    <w:rsid w:val="00D9039E"/>
    <w:rsid w:val="00D97433"/>
    <w:rsid w:val="00D97B2C"/>
    <w:rsid w:val="00DA1B9D"/>
    <w:rsid w:val="00DA4B51"/>
    <w:rsid w:val="00DA7907"/>
    <w:rsid w:val="00DB381C"/>
    <w:rsid w:val="00DB3D94"/>
    <w:rsid w:val="00DC0A4A"/>
    <w:rsid w:val="00DC4D31"/>
    <w:rsid w:val="00DC6D5E"/>
    <w:rsid w:val="00DC7A9A"/>
    <w:rsid w:val="00DD1C3F"/>
    <w:rsid w:val="00DD6636"/>
    <w:rsid w:val="00DD6858"/>
    <w:rsid w:val="00DD6A7D"/>
    <w:rsid w:val="00DE0ED6"/>
    <w:rsid w:val="00DE125E"/>
    <w:rsid w:val="00DE4BF3"/>
    <w:rsid w:val="00DE582E"/>
    <w:rsid w:val="00DE68B3"/>
    <w:rsid w:val="00DF116B"/>
    <w:rsid w:val="00DF7B93"/>
    <w:rsid w:val="00E04601"/>
    <w:rsid w:val="00E04C17"/>
    <w:rsid w:val="00E05136"/>
    <w:rsid w:val="00E05154"/>
    <w:rsid w:val="00E143B1"/>
    <w:rsid w:val="00E14779"/>
    <w:rsid w:val="00E17D41"/>
    <w:rsid w:val="00E25E91"/>
    <w:rsid w:val="00E3386C"/>
    <w:rsid w:val="00E3630D"/>
    <w:rsid w:val="00E43D5A"/>
    <w:rsid w:val="00E47DFB"/>
    <w:rsid w:val="00E50AA4"/>
    <w:rsid w:val="00E51D3D"/>
    <w:rsid w:val="00E54529"/>
    <w:rsid w:val="00E54F77"/>
    <w:rsid w:val="00E66A8E"/>
    <w:rsid w:val="00E75864"/>
    <w:rsid w:val="00E80410"/>
    <w:rsid w:val="00E90D21"/>
    <w:rsid w:val="00E95848"/>
    <w:rsid w:val="00EA0339"/>
    <w:rsid w:val="00EA581B"/>
    <w:rsid w:val="00EA6442"/>
    <w:rsid w:val="00EA75C4"/>
    <w:rsid w:val="00EB1FD7"/>
    <w:rsid w:val="00EB5A02"/>
    <w:rsid w:val="00EB6B5E"/>
    <w:rsid w:val="00EC12D6"/>
    <w:rsid w:val="00EC765B"/>
    <w:rsid w:val="00ED054C"/>
    <w:rsid w:val="00ED63EE"/>
    <w:rsid w:val="00ED7C71"/>
    <w:rsid w:val="00EE1D74"/>
    <w:rsid w:val="00EE3437"/>
    <w:rsid w:val="00EE46D3"/>
    <w:rsid w:val="00EE63B6"/>
    <w:rsid w:val="00EF2A22"/>
    <w:rsid w:val="00EF42AA"/>
    <w:rsid w:val="00EF42BE"/>
    <w:rsid w:val="00F103DD"/>
    <w:rsid w:val="00F21B1A"/>
    <w:rsid w:val="00F22087"/>
    <w:rsid w:val="00F2230C"/>
    <w:rsid w:val="00F2243A"/>
    <w:rsid w:val="00F23564"/>
    <w:rsid w:val="00F30E5E"/>
    <w:rsid w:val="00F4724D"/>
    <w:rsid w:val="00F5756B"/>
    <w:rsid w:val="00F67C3F"/>
    <w:rsid w:val="00F71DEE"/>
    <w:rsid w:val="00F82A7E"/>
    <w:rsid w:val="00F82D00"/>
    <w:rsid w:val="00F85995"/>
    <w:rsid w:val="00F90418"/>
    <w:rsid w:val="00F94C13"/>
    <w:rsid w:val="00FA0A4E"/>
    <w:rsid w:val="00FA0DEE"/>
    <w:rsid w:val="00FA45B6"/>
    <w:rsid w:val="00FA58BA"/>
    <w:rsid w:val="00FB084F"/>
    <w:rsid w:val="00FB59DF"/>
    <w:rsid w:val="00FC16EB"/>
    <w:rsid w:val="00FC7F49"/>
    <w:rsid w:val="00FD54C5"/>
    <w:rsid w:val="00FD7756"/>
    <w:rsid w:val="00FE42CD"/>
    <w:rsid w:val="00FF2CF7"/>
    <w:rsid w:val="00FF31B5"/>
    <w:rsid w:val="00FF508C"/>
    <w:rsid w:val="00FF5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DA4B51"/>
    <w:pPr>
      <w:keepNext/>
      <w:outlineLvl w:val="0"/>
    </w:pPr>
    <w:rPr>
      <w:rFonts w:eastAsia="Arial Unicode MS"/>
      <w:b/>
      <w:bCs/>
      <w:lang w:val="en-US"/>
    </w:rPr>
  </w:style>
  <w:style w:type="paragraph" w:styleId="Heading2">
    <w:name w:val="heading 2"/>
    <w:basedOn w:val="Normal"/>
    <w:next w:val="Normal"/>
    <w:link w:val="Heading2Char"/>
    <w:qFormat/>
    <w:rsid w:val="00DA4B51"/>
    <w:pPr>
      <w:keepNext/>
      <w:spacing w:before="240" w:after="60"/>
      <w:outlineLvl w:val="1"/>
    </w:pPr>
    <w:rPr>
      <w:rFonts w:ascii="Arial" w:hAnsi="Arial" w:cs="Arial"/>
      <w:b/>
      <w:bCs/>
      <w:i/>
      <w:iCs/>
      <w:sz w:val="28"/>
      <w:szCs w:val="2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B51"/>
    <w:rPr>
      <w:rFonts w:ascii="Times New Roman" w:eastAsia="Arial Unicode MS" w:hAnsi="Times New Roman" w:cs="Times New Roman"/>
      <w:b/>
      <w:bCs/>
      <w:sz w:val="24"/>
      <w:szCs w:val="24"/>
      <w:lang w:val="en-US" w:eastAsia="ru-RU"/>
    </w:rPr>
  </w:style>
  <w:style w:type="character" w:customStyle="1" w:styleId="Heading2Char">
    <w:name w:val="Heading 2 Char"/>
    <w:basedOn w:val="DefaultParagraphFont"/>
    <w:link w:val="Heading2"/>
    <w:rsid w:val="00DA4B51"/>
    <w:rPr>
      <w:rFonts w:ascii="Arial" w:eastAsia="Times New Roman" w:hAnsi="Arial" w:cs="Arial"/>
      <w:b/>
      <w:bCs/>
      <w:i/>
      <w:iCs/>
      <w:sz w:val="28"/>
      <w:szCs w:val="28"/>
      <w:lang w:val="el-GR" w:eastAsia="el-GR"/>
    </w:rPr>
  </w:style>
  <w:style w:type="paragraph" w:styleId="BodyText">
    <w:name w:val="Body Text"/>
    <w:basedOn w:val="Normal"/>
    <w:link w:val="BodyTextChar"/>
    <w:rsid w:val="00DA4B51"/>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DA4B51"/>
    <w:rPr>
      <w:rFonts w:ascii="Times New Roman" w:eastAsia="Times New Roman" w:hAnsi="Times New Roman" w:cs="Times New Roman"/>
      <w:sz w:val="20"/>
      <w:szCs w:val="20"/>
      <w:lang w:eastAsia="ru-RU"/>
    </w:rPr>
  </w:style>
  <w:style w:type="character" w:styleId="Hyperlink">
    <w:name w:val="Hyperlink"/>
    <w:basedOn w:val="DefaultParagraphFont"/>
    <w:uiPriority w:val="99"/>
    <w:qFormat/>
    <w:rsid w:val="00DA4B51"/>
    <w:rPr>
      <w:rFonts w:cs="Times New Roman"/>
      <w:color w:val="0000FF"/>
      <w:u w:val="single"/>
    </w:rPr>
  </w:style>
  <w:style w:type="paragraph" w:styleId="BodyTextIndent">
    <w:name w:val="Body Text Indent"/>
    <w:basedOn w:val="Normal"/>
    <w:link w:val="BodyTextIndentChar"/>
    <w:rsid w:val="00DA4B51"/>
    <w:pPr>
      <w:spacing w:after="120"/>
      <w:ind w:left="283"/>
    </w:pPr>
  </w:style>
  <w:style w:type="character" w:customStyle="1" w:styleId="BodyTextIndentChar">
    <w:name w:val="Body Text Indent Char"/>
    <w:basedOn w:val="DefaultParagraphFont"/>
    <w:link w:val="BodyTextIndent"/>
    <w:rsid w:val="00DA4B5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A4B51"/>
    <w:rPr>
      <w:rFonts w:cs="Times New Roman"/>
      <w:b/>
      <w:bCs/>
    </w:rPr>
  </w:style>
  <w:style w:type="character" w:customStyle="1" w:styleId="hps">
    <w:name w:val="hps"/>
    <w:basedOn w:val="DefaultParagraphFont"/>
    <w:rsid w:val="00DA4B51"/>
    <w:rPr>
      <w:rFonts w:cs="Times New Roman"/>
    </w:rPr>
  </w:style>
  <w:style w:type="character" w:customStyle="1" w:styleId="longtext1">
    <w:name w:val="long_text1"/>
    <w:basedOn w:val="DefaultParagraphFont"/>
    <w:rsid w:val="00DA4B51"/>
    <w:rPr>
      <w:rFonts w:cs="Times New Roman"/>
      <w:sz w:val="13"/>
      <w:szCs w:val="13"/>
    </w:rPr>
  </w:style>
  <w:style w:type="character" w:customStyle="1" w:styleId="pagination">
    <w:name w:val="pagination"/>
    <w:basedOn w:val="DefaultParagraphFont"/>
    <w:rsid w:val="00DA4B51"/>
  </w:style>
  <w:style w:type="paragraph" w:styleId="BodyTextIndent3">
    <w:name w:val="Body Text Indent 3"/>
    <w:basedOn w:val="Normal"/>
    <w:link w:val="BodyTextIndent3Char"/>
    <w:rsid w:val="00DA4B51"/>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DA4B51"/>
    <w:rPr>
      <w:rFonts w:ascii="Times New Roman" w:eastAsia="Times New Roman" w:hAnsi="Times New Roman" w:cs="Times New Roman"/>
      <w:sz w:val="16"/>
      <w:szCs w:val="16"/>
      <w:lang w:eastAsia="ru-RU"/>
    </w:rPr>
  </w:style>
  <w:style w:type="character" w:customStyle="1" w:styleId="citation-flpages">
    <w:name w:val="citation-flpages"/>
    <w:basedOn w:val="DefaultParagraphFont"/>
    <w:rsid w:val="00DA4B51"/>
  </w:style>
  <w:style w:type="character" w:customStyle="1" w:styleId="journaltitle">
    <w:name w:val="journaltitle"/>
    <w:basedOn w:val="DefaultParagraphFont"/>
    <w:rsid w:val="00DA4B51"/>
  </w:style>
  <w:style w:type="character" w:customStyle="1" w:styleId="articlecitationyear">
    <w:name w:val="articlecitation_year"/>
    <w:basedOn w:val="DefaultParagraphFont"/>
    <w:rsid w:val="00DA4B51"/>
  </w:style>
  <w:style w:type="character" w:customStyle="1" w:styleId="articlecitationvolume">
    <w:name w:val="articlecitation_volume"/>
    <w:basedOn w:val="DefaultParagraphFont"/>
    <w:rsid w:val="00DA4B51"/>
  </w:style>
  <w:style w:type="character" w:customStyle="1" w:styleId="articlecitationpages">
    <w:name w:val="articlecitation_pages"/>
    <w:basedOn w:val="DefaultParagraphFont"/>
    <w:rsid w:val="00DA4B51"/>
  </w:style>
  <w:style w:type="character" w:customStyle="1" w:styleId="authorname">
    <w:name w:val="authorname"/>
    <w:basedOn w:val="DefaultParagraphFont"/>
    <w:rsid w:val="00DA4B51"/>
  </w:style>
  <w:style w:type="character" w:customStyle="1" w:styleId="doi">
    <w:name w:val="doi"/>
    <w:basedOn w:val="DefaultParagraphFont"/>
    <w:rsid w:val="00DA4B51"/>
  </w:style>
  <w:style w:type="character" w:customStyle="1" w:styleId="value">
    <w:name w:val="value"/>
    <w:basedOn w:val="DefaultParagraphFont"/>
    <w:rsid w:val="00DA4B51"/>
  </w:style>
  <w:style w:type="character" w:customStyle="1" w:styleId="label1">
    <w:name w:val="label1"/>
    <w:basedOn w:val="DefaultParagraphFont"/>
    <w:rsid w:val="00DA4B51"/>
  </w:style>
  <w:style w:type="paragraph" w:styleId="BodyTextIndent2">
    <w:name w:val="Body Text Indent 2"/>
    <w:basedOn w:val="Normal"/>
    <w:link w:val="BodyTextIndent2Char"/>
    <w:rsid w:val="00DA4B51"/>
    <w:pPr>
      <w:spacing w:after="120" w:line="480" w:lineRule="auto"/>
      <w:ind w:left="283"/>
    </w:pPr>
  </w:style>
  <w:style w:type="character" w:customStyle="1" w:styleId="BodyTextIndent2Char">
    <w:name w:val="Body Text Indent 2 Char"/>
    <w:basedOn w:val="DefaultParagraphFont"/>
    <w:link w:val="BodyTextIndent2"/>
    <w:rsid w:val="00DA4B5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4B51"/>
    <w:rPr>
      <w:b/>
      <w:bCs/>
    </w:rPr>
  </w:style>
  <w:style w:type="character" w:customStyle="1" w:styleId="A0">
    <w:name w:val="A0"/>
    <w:rsid w:val="00DA4B51"/>
    <w:rPr>
      <w:rFonts w:cs="Century Gothic"/>
      <w:color w:val="000000"/>
      <w:sz w:val="14"/>
      <w:szCs w:val="14"/>
    </w:rPr>
  </w:style>
  <w:style w:type="paragraph" w:styleId="ListParagraph">
    <w:name w:val="List Paragraph"/>
    <w:basedOn w:val="Normal"/>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DefaultParagraphFont"/>
    <w:rsid w:val="007859BF"/>
  </w:style>
  <w:style w:type="character" w:customStyle="1" w:styleId="previewtxt">
    <w:name w:val="previewtxt"/>
    <w:basedOn w:val="DefaultParagraphFont"/>
    <w:rsid w:val="007859BF"/>
  </w:style>
  <w:style w:type="character" w:customStyle="1" w:styleId="st1">
    <w:name w:val="st1"/>
    <w:basedOn w:val="DefaultParagraphFont"/>
    <w:rsid w:val="007859BF"/>
  </w:style>
  <w:style w:type="paragraph" w:customStyle="1" w:styleId="Text">
    <w:name w:val="Text"/>
    <w:basedOn w:val="Normal"/>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DefaultParagraphFont"/>
    <w:rsid w:val="00E54F77"/>
  </w:style>
  <w:style w:type="character" w:customStyle="1" w:styleId="refdoctitle">
    <w:name w:val="refdoctitle"/>
    <w:basedOn w:val="DefaultParagraphFont"/>
    <w:rsid w:val="00E54F77"/>
  </w:style>
  <w:style w:type="character" w:customStyle="1" w:styleId="ref-journal">
    <w:name w:val="ref-journal"/>
    <w:basedOn w:val="DefaultParagraphFont"/>
    <w:rsid w:val="00A00A9A"/>
  </w:style>
  <w:style w:type="character" w:customStyle="1" w:styleId="ref-title">
    <w:name w:val="ref-title"/>
    <w:basedOn w:val="DefaultParagraphFont"/>
    <w:rsid w:val="00A00A9A"/>
  </w:style>
  <w:style w:type="paragraph" w:styleId="NormalWeb">
    <w:name w:val="Normal (Web)"/>
    <w:basedOn w:val="Normal"/>
    <w:unhideWhenUsed/>
    <w:rsid w:val="00574B2E"/>
    <w:pPr>
      <w:spacing w:after="150"/>
    </w:pPr>
  </w:style>
  <w:style w:type="character" w:customStyle="1" w:styleId="title-text">
    <w:name w:val="title-text"/>
    <w:basedOn w:val="DefaultParagraphFont"/>
    <w:rsid w:val="00574B2E"/>
  </w:style>
  <w:style w:type="character" w:customStyle="1" w:styleId="citation">
    <w:name w:val="citation"/>
    <w:basedOn w:val="DefaultParagraphFont"/>
    <w:rsid w:val="00C63DFF"/>
  </w:style>
  <w:style w:type="paragraph" w:customStyle="1" w:styleId="-1">
    <w:name w:val="正文-1"/>
    <w:basedOn w:val="Normal"/>
    <w:link w:val="-1Char"/>
    <w:rsid w:val="00054DB1"/>
    <w:pPr>
      <w:ind w:firstLineChars="100" w:firstLine="100"/>
      <w:jc w:val="both"/>
    </w:pPr>
    <w:rPr>
      <w:rFonts w:eastAsia="SimSun"/>
      <w:sz w:val="21"/>
      <w:szCs w:val="18"/>
      <w:lang w:val="en-US" w:eastAsia="en-US"/>
    </w:rPr>
  </w:style>
  <w:style w:type="character" w:customStyle="1" w:styleId="-1Char">
    <w:name w:val="正文-1 Char"/>
    <w:basedOn w:val="DefaultParagraphFont"/>
    <w:link w:val="-1"/>
    <w:locked/>
    <w:rsid w:val="00054DB1"/>
    <w:rPr>
      <w:rFonts w:ascii="Times New Roman" w:eastAsia="SimSun" w:hAnsi="Times New Roman" w:cs="Times New Roman"/>
      <w:sz w:val="21"/>
      <w:szCs w:val="18"/>
      <w:lang w:val="en-US"/>
    </w:rPr>
  </w:style>
  <w:style w:type="paragraph" w:customStyle="1" w:styleId="Body">
    <w:name w:val="Body"/>
    <w:basedOn w:val="Normal"/>
    <w:rsid w:val="00301E0C"/>
    <w:pPr>
      <w:spacing w:after="240"/>
      <w:jc w:val="both"/>
    </w:pPr>
    <w:rPr>
      <w:rFonts w:ascii="Helvetica" w:hAnsi="Helvetica"/>
      <w:sz w:val="20"/>
      <w:szCs w:val="20"/>
      <w:lang w:val="en-US" w:eastAsia="en-US"/>
    </w:rPr>
  </w:style>
  <w:style w:type="paragraph" w:customStyle="1" w:styleId="ConcHead">
    <w:name w:val="Conc Head"/>
    <w:basedOn w:val="Normal"/>
    <w:rsid w:val="00301E0C"/>
    <w:pPr>
      <w:keepNext/>
      <w:spacing w:after="240"/>
    </w:pPr>
    <w:rPr>
      <w:rFonts w:ascii="Helvetica" w:hAnsi="Helvetica"/>
      <w:b/>
      <w:caps/>
      <w:sz w:val="22"/>
      <w:szCs w:val="20"/>
      <w:lang w:val="en-US" w:eastAsia="en-US"/>
    </w:rPr>
  </w:style>
  <w:style w:type="paragraph" w:customStyle="1" w:styleId="p">
    <w:name w:val="p"/>
    <w:basedOn w:val="Normal"/>
    <w:rsid w:val="009A6629"/>
    <w:pPr>
      <w:spacing w:before="100" w:beforeAutospacing="1" w:after="100" w:afterAutospacing="1"/>
    </w:pPr>
  </w:style>
  <w:style w:type="character" w:customStyle="1" w:styleId="cit">
    <w:name w:val="cit"/>
    <w:basedOn w:val="DefaultParagraphFont"/>
    <w:rsid w:val="00196847"/>
  </w:style>
  <w:style w:type="paragraph" w:styleId="NoSpacing">
    <w:name w:val="No Spacing"/>
    <w:uiPriority w:val="1"/>
    <w:qFormat/>
    <w:rsid w:val="007F6AC7"/>
    <w:pPr>
      <w:spacing w:after="0" w:line="240" w:lineRule="auto"/>
    </w:pPr>
    <w:rPr>
      <w:rFonts w:ascii="Calibri" w:eastAsia="Calibri" w:hAnsi="Calibri" w:cs="Times New Roman"/>
    </w:rPr>
  </w:style>
  <w:style w:type="character" w:customStyle="1" w:styleId="keyword1">
    <w:name w:val="keyword1"/>
    <w:basedOn w:val="DefaultParagraphFont"/>
    <w:rsid w:val="00CE2040"/>
    <w:rPr>
      <w:shd w:val="clear" w:color="auto" w:fill="F2F2F2"/>
    </w:rPr>
  </w:style>
  <w:style w:type="character" w:customStyle="1" w:styleId="authors-list-item">
    <w:name w:val="authors-list-item"/>
    <w:basedOn w:val="DefaultParagraphFont"/>
    <w:rsid w:val="00983CEC"/>
  </w:style>
  <w:style w:type="character" w:customStyle="1" w:styleId="comma">
    <w:name w:val="comma"/>
    <w:basedOn w:val="DefaultParagraphFont"/>
    <w:rsid w:val="00983CEC"/>
  </w:style>
  <w:style w:type="character" w:customStyle="1" w:styleId="A1">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DefaultParagraphFont"/>
    <w:rsid w:val="00983CEC"/>
  </w:style>
  <w:style w:type="paragraph" w:styleId="BalloonText">
    <w:name w:val="Balloon Text"/>
    <w:basedOn w:val="Normal"/>
    <w:link w:val="BalloonTextChar"/>
    <w:uiPriority w:val="99"/>
    <w:semiHidden/>
    <w:unhideWhenUsed/>
    <w:rsid w:val="0063176C"/>
    <w:rPr>
      <w:rFonts w:ascii="Tahoma" w:hAnsi="Tahoma" w:cs="Tahoma"/>
      <w:sz w:val="16"/>
      <w:szCs w:val="16"/>
    </w:rPr>
  </w:style>
  <w:style w:type="character" w:customStyle="1" w:styleId="BalloonTextChar">
    <w:name w:val="Balloon Text Char"/>
    <w:basedOn w:val="DefaultParagraphFont"/>
    <w:link w:val="BalloonText"/>
    <w:uiPriority w:val="99"/>
    <w:semiHidden/>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DefaultParagraphFont"/>
    <w:rsid w:val="00CC371C"/>
  </w:style>
  <w:style w:type="character" w:customStyle="1" w:styleId="A2">
    <w:name w:val="A2"/>
    <w:uiPriority w:val="99"/>
    <w:rsid w:val="006D278D"/>
    <w:rPr>
      <w:color w:val="000000"/>
      <w:sz w:val="16"/>
      <w:szCs w:val="16"/>
    </w:rPr>
  </w:style>
  <w:style w:type="paragraph" w:customStyle="1" w:styleId="04-OS-Author">
    <w:name w:val="04-OS-Author"/>
    <w:basedOn w:val="Normal"/>
    <w:qFormat/>
    <w:rsid w:val="00990D8D"/>
    <w:pPr>
      <w:widowControl w:val="0"/>
      <w:adjustRightInd w:val="0"/>
      <w:snapToGrid w:val="0"/>
      <w:spacing w:before="240" w:after="160" w:line="240" w:lineRule="exact"/>
    </w:pPr>
    <w:rPr>
      <w:rFonts w:eastAsia="Arial"/>
      <w:kern w:val="2"/>
      <w:lang w:val="en-GB" w:eastAsia="zh-CN"/>
    </w:rPr>
  </w:style>
  <w:style w:type="paragraph" w:customStyle="1" w:styleId="20-OS-Text">
    <w:name w:val="20-OS-Text"/>
    <w:basedOn w:val="Normal"/>
    <w:qFormat/>
    <w:rsid w:val="00020E2D"/>
    <w:pPr>
      <w:widowControl w:val="0"/>
      <w:adjustRightInd w:val="0"/>
      <w:snapToGrid w:val="0"/>
      <w:spacing w:line="240" w:lineRule="exact"/>
      <w:ind w:firstLineChars="100" w:firstLine="100"/>
      <w:jc w:val="both"/>
    </w:pPr>
    <w:rPr>
      <w:kern w:val="2"/>
      <w:sz w:val="20"/>
      <w:szCs w:val="20"/>
      <w:lang w:val="en-US" w:eastAsia="zh-CN"/>
    </w:rPr>
  </w:style>
  <w:style w:type="character" w:customStyle="1" w:styleId="identifier">
    <w:name w:val="identifier"/>
    <w:basedOn w:val="DefaultParagraphFont"/>
    <w:rsid w:val="00020E2D"/>
  </w:style>
  <w:style w:type="paragraph" w:styleId="HTMLPreformatted">
    <w:name w:val="HTML Preformatted"/>
    <w:basedOn w:val="Normal"/>
    <w:link w:val="HTMLPreformattedChar"/>
    <w:uiPriority w:val="99"/>
    <w:unhideWhenUsed/>
    <w:rsid w:val="00B96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96191"/>
    <w:rPr>
      <w:rFonts w:ascii="Courier New" w:eastAsia="Times New Roman" w:hAnsi="Courier New" w:cs="Courier New"/>
      <w:sz w:val="20"/>
      <w:szCs w:val="20"/>
      <w:lang w:val="en-US"/>
    </w:rPr>
  </w:style>
  <w:style w:type="character" w:styleId="CommentReference">
    <w:name w:val="annotation reference"/>
    <w:basedOn w:val="DefaultParagraphFont"/>
    <w:uiPriority w:val="99"/>
    <w:unhideWhenUsed/>
    <w:rsid w:val="005B03E7"/>
    <w:rPr>
      <w:sz w:val="16"/>
      <w:szCs w:val="16"/>
    </w:rPr>
  </w:style>
  <w:style w:type="paragraph" w:styleId="CommentText">
    <w:name w:val="annotation text"/>
    <w:basedOn w:val="Normal"/>
    <w:link w:val="CommentTextChar"/>
    <w:uiPriority w:val="99"/>
    <w:unhideWhenUsed/>
    <w:rsid w:val="005B03E7"/>
    <w:rPr>
      <w:sz w:val="20"/>
      <w:szCs w:val="20"/>
    </w:rPr>
  </w:style>
  <w:style w:type="character" w:customStyle="1" w:styleId="CommentTextChar">
    <w:name w:val="Comment Text Char"/>
    <w:basedOn w:val="DefaultParagraphFont"/>
    <w:link w:val="CommentText"/>
    <w:uiPriority w:val="99"/>
    <w:rsid w:val="005B03E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B03E7"/>
    <w:rPr>
      <w:b/>
      <w:bCs/>
    </w:rPr>
  </w:style>
  <w:style w:type="character" w:customStyle="1" w:styleId="CommentSubjectChar">
    <w:name w:val="Comment Subject Char"/>
    <w:basedOn w:val="CommentTextChar"/>
    <w:link w:val="CommentSubject"/>
    <w:uiPriority w:val="99"/>
    <w:semiHidden/>
    <w:rsid w:val="005B03E7"/>
    <w:rPr>
      <w:b/>
      <w:bCs/>
    </w:rPr>
  </w:style>
  <w:style w:type="paragraph" w:styleId="Header">
    <w:name w:val="header"/>
    <w:basedOn w:val="Normal"/>
    <w:link w:val="HeaderChar"/>
    <w:uiPriority w:val="99"/>
    <w:semiHidden/>
    <w:unhideWhenUsed/>
    <w:rsid w:val="006C2BA0"/>
    <w:pPr>
      <w:tabs>
        <w:tab w:val="center" w:pos="4680"/>
        <w:tab w:val="right" w:pos="9360"/>
      </w:tabs>
    </w:pPr>
  </w:style>
  <w:style w:type="character" w:customStyle="1" w:styleId="HeaderChar">
    <w:name w:val="Header Char"/>
    <w:basedOn w:val="DefaultParagraphFont"/>
    <w:link w:val="Header"/>
    <w:uiPriority w:val="99"/>
    <w:semiHidden/>
    <w:rsid w:val="006C2BA0"/>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unhideWhenUsed/>
    <w:rsid w:val="006C2BA0"/>
    <w:pPr>
      <w:tabs>
        <w:tab w:val="center" w:pos="4680"/>
        <w:tab w:val="right" w:pos="9360"/>
      </w:tabs>
    </w:pPr>
  </w:style>
  <w:style w:type="character" w:customStyle="1" w:styleId="FooterChar">
    <w:name w:val="Footer Char"/>
    <w:basedOn w:val="DefaultParagraphFont"/>
    <w:link w:val="Footer"/>
    <w:uiPriority w:val="99"/>
    <w:semiHidden/>
    <w:rsid w:val="006C2BA0"/>
    <w:rPr>
      <w:rFonts w:ascii="Times New Roman" w:eastAsia="Times New Roman" w:hAnsi="Times New Roman" w:cs="Times New Roman"/>
      <w:sz w:val="24"/>
      <w:szCs w:val="24"/>
      <w:lang w:eastAsia="ru-RU"/>
    </w:rPr>
  </w:style>
  <w:style w:type="paragraph" w:styleId="Revision">
    <w:name w:val="Revision"/>
    <w:hidden/>
    <w:uiPriority w:val="99"/>
    <w:semiHidden/>
    <w:rsid w:val="00BA548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4B51"/>
    <w:pPr>
      <w:keepNext/>
      <w:outlineLvl w:val="0"/>
    </w:pPr>
    <w:rPr>
      <w:rFonts w:eastAsia="Arial Unicode MS"/>
      <w:b/>
      <w:bCs/>
      <w:lang w:val="en-US"/>
    </w:rPr>
  </w:style>
  <w:style w:type="paragraph" w:styleId="2">
    <w:name w:val="heading 2"/>
    <w:basedOn w:val="a"/>
    <w:next w:val="a"/>
    <w:link w:val="20"/>
    <w:qFormat/>
    <w:rsid w:val="00DA4B51"/>
    <w:pPr>
      <w:keepNext/>
      <w:spacing w:before="240" w:after="60"/>
      <w:outlineLvl w:val="1"/>
    </w:pPr>
    <w:rPr>
      <w:rFonts w:ascii="Arial" w:hAnsi="Arial" w:cs="Arial"/>
      <w:b/>
      <w:bCs/>
      <w:i/>
      <w:iCs/>
      <w:sz w:val="28"/>
      <w:szCs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B51"/>
    <w:rPr>
      <w:rFonts w:ascii="Times New Roman" w:eastAsia="Arial Unicode MS" w:hAnsi="Times New Roman" w:cs="Times New Roman"/>
      <w:b/>
      <w:bCs/>
      <w:sz w:val="24"/>
      <w:szCs w:val="24"/>
      <w:lang w:val="en-US" w:eastAsia="ru-RU"/>
    </w:rPr>
  </w:style>
  <w:style w:type="character" w:customStyle="1" w:styleId="20">
    <w:name w:val="Заголовок 2 Знак"/>
    <w:basedOn w:val="a0"/>
    <w:link w:val="2"/>
    <w:rsid w:val="00DA4B51"/>
    <w:rPr>
      <w:rFonts w:ascii="Arial" w:eastAsia="Times New Roman" w:hAnsi="Arial" w:cs="Arial"/>
      <w:b/>
      <w:bCs/>
      <w:i/>
      <w:iCs/>
      <w:sz w:val="28"/>
      <w:szCs w:val="28"/>
      <w:lang w:val="el-GR" w:eastAsia="el-GR"/>
    </w:rPr>
  </w:style>
  <w:style w:type="paragraph" w:styleId="a3">
    <w:name w:val="Body Text"/>
    <w:basedOn w:val="a"/>
    <w:link w:val="a4"/>
    <w:rsid w:val="00DA4B51"/>
    <w:pPr>
      <w:overflowPunct w:val="0"/>
      <w:autoSpaceDE w:val="0"/>
      <w:autoSpaceDN w:val="0"/>
      <w:adjustRightInd w:val="0"/>
      <w:spacing w:after="120"/>
      <w:textAlignment w:val="baseline"/>
    </w:pPr>
    <w:rPr>
      <w:sz w:val="20"/>
      <w:szCs w:val="20"/>
    </w:rPr>
  </w:style>
  <w:style w:type="character" w:customStyle="1" w:styleId="a4">
    <w:name w:val="Основной текст Знак"/>
    <w:basedOn w:val="a0"/>
    <w:link w:val="a3"/>
    <w:rsid w:val="00DA4B51"/>
    <w:rPr>
      <w:rFonts w:ascii="Times New Roman" w:eastAsia="Times New Roman" w:hAnsi="Times New Roman" w:cs="Times New Roman"/>
      <w:sz w:val="20"/>
      <w:szCs w:val="20"/>
      <w:lang w:eastAsia="ru-RU"/>
    </w:rPr>
  </w:style>
  <w:style w:type="character" w:styleId="a5">
    <w:name w:val="Hyperlink"/>
    <w:basedOn w:val="a0"/>
    <w:uiPriority w:val="99"/>
    <w:qFormat/>
    <w:rsid w:val="00DA4B51"/>
    <w:rPr>
      <w:rFonts w:cs="Times New Roman"/>
      <w:color w:val="0000FF"/>
      <w:u w:val="single"/>
    </w:rPr>
  </w:style>
  <w:style w:type="paragraph" w:styleId="a6">
    <w:name w:val="Body Text Indent"/>
    <w:basedOn w:val="a"/>
    <w:link w:val="a7"/>
    <w:rsid w:val="00DA4B51"/>
    <w:pPr>
      <w:spacing w:after="120"/>
      <w:ind w:left="283"/>
    </w:pPr>
  </w:style>
  <w:style w:type="character" w:customStyle="1" w:styleId="a7">
    <w:name w:val="Основной текст с отступом Знак"/>
    <w:basedOn w:val="a0"/>
    <w:link w:val="a6"/>
    <w:rsid w:val="00DA4B51"/>
    <w:rPr>
      <w:rFonts w:ascii="Times New Roman" w:eastAsia="Times New Roman" w:hAnsi="Times New Roman" w:cs="Times New Roman"/>
      <w:sz w:val="24"/>
      <w:szCs w:val="24"/>
      <w:lang w:eastAsia="ru-RU"/>
    </w:rPr>
  </w:style>
  <w:style w:type="character" w:styleId="a8">
    <w:name w:val="Emphasis"/>
    <w:basedOn w:val="a0"/>
    <w:uiPriority w:val="20"/>
    <w:qFormat/>
    <w:rsid w:val="00DA4B51"/>
    <w:rPr>
      <w:rFonts w:cs="Times New Roman"/>
      <w:b/>
      <w:bCs/>
    </w:rPr>
  </w:style>
  <w:style w:type="character" w:customStyle="1" w:styleId="hps">
    <w:name w:val="hps"/>
    <w:basedOn w:val="a0"/>
    <w:rsid w:val="00DA4B51"/>
    <w:rPr>
      <w:rFonts w:cs="Times New Roman"/>
    </w:rPr>
  </w:style>
  <w:style w:type="character" w:customStyle="1" w:styleId="longtext1">
    <w:name w:val="long_text1"/>
    <w:basedOn w:val="a0"/>
    <w:rsid w:val="00DA4B51"/>
    <w:rPr>
      <w:rFonts w:cs="Times New Roman"/>
      <w:sz w:val="13"/>
      <w:szCs w:val="13"/>
    </w:rPr>
  </w:style>
  <w:style w:type="character" w:customStyle="1" w:styleId="pagination">
    <w:name w:val="pagination"/>
    <w:basedOn w:val="a0"/>
    <w:rsid w:val="00DA4B51"/>
  </w:style>
  <w:style w:type="paragraph" w:styleId="3">
    <w:name w:val="Body Text Indent 3"/>
    <w:basedOn w:val="a"/>
    <w:link w:val="30"/>
    <w:rsid w:val="00DA4B51"/>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DA4B51"/>
    <w:rPr>
      <w:rFonts w:ascii="Times New Roman" w:eastAsia="Times New Roman" w:hAnsi="Times New Roman" w:cs="Times New Roman"/>
      <w:sz w:val="16"/>
      <w:szCs w:val="16"/>
      <w:lang w:eastAsia="ru-RU"/>
    </w:rPr>
  </w:style>
  <w:style w:type="character" w:customStyle="1" w:styleId="citation-flpages">
    <w:name w:val="citation-flpages"/>
    <w:basedOn w:val="a0"/>
    <w:rsid w:val="00DA4B51"/>
  </w:style>
  <w:style w:type="character" w:customStyle="1" w:styleId="journaltitle">
    <w:name w:val="journaltitle"/>
    <w:basedOn w:val="a0"/>
    <w:rsid w:val="00DA4B51"/>
  </w:style>
  <w:style w:type="character" w:customStyle="1" w:styleId="articlecitationyear">
    <w:name w:val="articlecitation_year"/>
    <w:basedOn w:val="a0"/>
    <w:rsid w:val="00DA4B51"/>
  </w:style>
  <w:style w:type="character" w:customStyle="1" w:styleId="articlecitationvolume">
    <w:name w:val="articlecitation_volume"/>
    <w:basedOn w:val="a0"/>
    <w:rsid w:val="00DA4B51"/>
  </w:style>
  <w:style w:type="character" w:customStyle="1" w:styleId="articlecitationpages">
    <w:name w:val="articlecitation_pages"/>
    <w:basedOn w:val="a0"/>
    <w:rsid w:val="00DA4B51"/>
  </w:style>
  <w:style w:type="character" w:customStyle="1" w:styleId="authorname">
    <w:name w:val="authorname"/>
    <w:basedOn w:val="a0"/>
    <w:rsid w:val="00DA4B51"/>
  </w:style>
  <w:style w:type="character" w:customStyle="1" w:styleId="doi">
    <w:name w:val="doi"/>
    <w:basedOn w:val="a0"/>
    <w:rsid w:val="00DA4B51"/>
  </w:style>
  <w:style w:type="character" w:customStyle="1" w:styleId="value">
    <w:name w:val="value"/>
    <w:basedOn w:val="a0"/>
    <w:rsid w:val="00DA4B51"/>
  </w:style>
  <w:style w:type="character" w:customStyle="1" w:styleId="label1">
    <w:name w:val="label1"/>
    <w:basedOn w:val="a0"/>
    <w:rsid w:val="00DA4B51"/>
  </w:style>
  <w:style w:type="paragraph" w:styleId="21">
    <w:name w:val="Body Text Indent 2"/>
    <w:basedOn w:val="a"/>
    <w:link w:val="22"/>
    <w:rsid w:val="00DA4B51"/>
    <w:pPr>
      <w:spacing w:after="120" w:line="480" w:lineRule="auto"/>
      <w:ind w:left="283"/>
    </w:pPr>
  </w:style>
  <w:style w:type="character" w:customStyle="1" w:styleId="22">
    <w:name w:val="Основной текст с отступом 2 Знак"/>
    <w:basedOn w:val="a0"/>
    <w:link w:val="21"/>
    <w:rsid w:val="00DA4B51"/>
    <w:rPr>
      <w:rFonts w:ascii="Times New Roman" w:eastAsia="Times New Roman" w:hAnsi="Times New Roman" w:cs="Times New Roman"/>
      <w:sz w:val="24"/>
      <w:szCs w:val="24"/>
      <w:lang w:eastAsia="ru-RU"/>
    </w:rPr>
  </w:style>
  <w:style w:type="character" w:styleId="a9">
    <w:name w:val="Strong"/>
    <w:basedOn w:val="a0"/>
    <w:uiPriority w:val="22"/>
    <w:qFormat/>
    <w:rsid w:val="00DA4B51"/>
    <w:rPr>
      <w:b/>
      <w:bCs/>
    </w:rPr>
  </w:style>
  <w:style w:type="character" w:customStyle="1" w:styleId="A00">
    <w:name w:val="A0"/>
    <w:rsid w:val="00DA4B51"/>
    <w:rPr>
      <w:rFonts w:cs="Century Gothic"/>
      <w:color w:val="000000"/>
      <w:sz w:val="14"/>
      <w:szCs w:val="14"/>
    </w:rPr>
  </w:style>
  <w:style w:type="paragraph" w:styleId="aa">
    <w:name w:val="List Paragraph"/>
    <w:basedOn w:val="a"/>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a0"/>
    <w:rsid w:val="007859BF"/>
  </w:style>
  <w:style w:type="character" w:customStyle="1" w:styleId="previewtxt">
    <w:name w:val="previewtxt"/>
    <w:basedOn w:val="a0"/>
    <w:rsid w:val="007859BF"/>
  </w:style>
  <w:style w:type="character" w:customStyle="1" w:styleId="st1">
    <w:name w:val="st1"/>
    <w:basedOn w:val="a0"/>
    <w:rsid w:val="007859BF"/>
  </w:style>
  <w:style w:type="paragraph" w:customStyle="1" w:styleId="Text">
    <w:name w:val="Text"/>
    <w:basedOn w:val="a"/>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a0"/>
    <w:rsid w:val="00E54F77"/>
  </w:style>
  <w:style w:type="character" w:customStyle="1" w:styleId="refdoctitle">
    <w:name w:val="refdoctitle"/>
    <w:basedOn w:val="a0"/>
    <w:rsid w:val="00E54F77"/>
  </w:style>
  <w:style w:type="character" w:customStyle="1" w:styleId="ref-journal">
    <w:name w:val="ref-journal"/>
    <w:basedOn w:val="a0"/>
    <w:rsid w:val="00A00A9A"/>
  </w:style>
  <w:style w:type="character" w:customStyle="1" w:styleId="ref-title">
    <w:name w:val="ref-title"/>
    <w:basedOn w:val="a0"/>
    <w:rsid w:val="00A00A9A"/>
  </w:style>
  <w:style w:type="paragraph" w:styleId="ab">
    <w:name w:val="Normal (Web)"/>
    <w:basedOn w:val="a"/>
    <w:uiPriority w:val="99"/>
    <w:semiHidden/>
    <w:unhideWhenUsed/>
    <w:rsid w:val="00574B2E"/>
    <w:pPr>
      <w:spacing w:after="150"/>
    </w:pPr>
  </w:style>
  <w:style w:type="character" w:customStyle="1" w:styleId="title-text">
    <w:name w:val="title-text"/>
    <w:basedOn w:val="a0"/>
    <w:rsid w:val="00574B2E"/>
  </w:style>
  <w:style w:type="character" w:customStyle="1" w:styleId="citation">
    <w:name w:val="citation"/>
    <w:basedOn w:val="a0"/>
    <w:rsid w:val="00C63DFF"/>
  </w:style>
  <w:style w:type="paragraph" w:customStyle="1" w:styleId="-1">
    <w:name w:val="正文-1"/>
    <w:basedOn w:val="a"/>
    <w:link w:val="-1Char"/>
    <w:rsid w:val="00054DB1"/>
    <w:pPr>
      <w:ind w:firstLineChars="100" w:firstLine="100"/>
      <w:jc w:val="both"/>
    </w:pPr>
    <w:rPr>
      <w:rFonts w:eastAsia="SimSun"/>
      <w:sz w:val="21"/>
      <w:szCs w:val="18"/>
      <w:lang w:val="en-US" w:eastAsia="en-US"/>
    </w:rPr>
  </w:style>
  <w:style w:type="character" w:customStyle="1" w:styleId="-1Char">
    <w:name w:val="正文-1 Char"/>
    <w:basedOn w:val="a0"/>
    <w:link w:val="-1"/>
    <w:locked/>
    <w:rsid w:val="00054DB1"/>
    <w:rPr>
      <w:rFonts w:ascii="Times New Roman" w:eastAsia="SimSun" w:hAnsi="Times New Roman" w:cs="Times New Roman"/>
      <w:sz w:val="21"/>
      <w:szCs w:val="18"/>
      <w:lang w:val="en-US"/>
    </w:rPr>
  </w:style>
  <w:style w:type="paragraph" w:customStyle="1" w:styleId="Body">
    <w:name w:val="Body"/>
    <w:basedOn w:val="a"/>
    <w:rsid w:val="00301E0C"/>
    <w:pPr>
      <w:spacing w:after="240"/>
      <w:jc w:val="both"/>
    </w:pPr>
    <w:rPr>
      <w:rFonts w:ascii="Helvetica" w:hAnsi="Helvetica"/>
      <w:sz w:val="20"/>
      <w:szCs w:val="20"/>
      <w:lang w:val="en-US" w:eastAsia="en-US"/>
    </w:rPr>
  </w:style>
  <w:style w:type="paragraph" w:customStyle="1" w:styleId="ConcHead">
    <w:name w:val="Conc Head"/>
    <w:basedOn w:val="a"/>
    <w:rsid w:val="00301E0C"/>
    <w:pPr>
      <w:keepNext/>
      <w:spacing w:after="240"/>
    </w:pPr>
    <w:rPr>
      <w:rFonts w:ascii="Helvetica" w:hAnsi="Helvetica"/>
      <w:b/>
      <w:caps/>
      <w:sz w:val="22"/>
      <w:szCs w:val="20"/>
      <w:lang w:val="en-US" w:eastAsia="en-US"/>
    </w:rPr>
  </w:style>
  <w:style w:type="paragraph" w:customStyle="1" w:styleId="p">
    <w:name w:val="p"/>
    <w:basedOn w:val="a"/>
    <w:rsid w:val="009A6629"/>
    <w:pPr>
      <w:spacing w:before="100" w:beforeAutospacing="1" w:after="100" w:afterAutospacing="1"/>
    </w:pPr>
  </w:style>
  <w:style w:type="character" w:customStyle="1" w:styleId="cit">
    <w:name w:val="cit"/>
    <w:basedOn w:val="a0"/>
    <w:rsid w:val="00196847"/>
  </w:style>
  <w:style w:type="paragraph" w:styleId="ac">
    <w:name w:val="No Spacing"/>
    <w:uiPriority w:val="1"/>
    <w:qFormat/>
    <w:rsid w:val="007F6AC7"/>
    <w:pPr>
      <w:spacing w:after="0" w:line="240" w:lineRule="auto"/>
    </w:pPr>
    <w:rPr>
      <w:rFonts w:ascii="Calibri" w:eastAsia="Calibri" w:hAnsi="Calibri" w:cs="Times New Roman"/>
    </w:rPr>
  </w:style>
  <w:style w:type="character" w:customStyle="1" w:styleId="keyword1">
    <w:name w:val="keyword1"/>
    <w:basedOn w:val="a0"/>
    <w:rsid w:val="00CE2040"/>
    <w:rPr>
      <w:shd w:val="clear" w:color="auto" w:fill="F2F2F2"/>
    </w:rPr>
  </w:style>
  <w:style w:type="character" w:customStyle="1" w:styleId="authors-list-item">
    <w:name w:val="authors-list-item"/>
    <w:basedOn w:val="a0"/>
    <w:rsid w:val="00983CEC"/>
  </w:style>
  <w:style w:type="character" w:customStyle="1" w:styleId="comma">
    <w:name w:val="comma"/>
    <w:basedOn w:val="a0"/>
    <w:rsid w:val="00983CEC"/>
  </w:style>
  <w:style w:type="character" w:customStyle="1" w:styleId="A10">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a0"/>
    <w:rsid w:val="00983CEC"/>
  </w:style>
  <w:style w:type="paragraph" w:styleId="ad">
    <w:name w:val="Balloon Text"/>
    <w:basedOn w:val="a"/>
    <w:link w:val="ae"/>
    <w:uiPriority w:val="99"/>
    <w:semiHidden/>
    <w:unhideWhenUsed/>
    <w:rsid w:val="0063176C"/>
    <w:rPr>
      <w:rFonts w:ascii="Tahoma" w:hAnsi="Tahoma" w:cs="Tahoma"/>
      <w:sz w:val="16"/>
      <w:szCs w:val="16"/>
    </w:rPr>
  </w:style>
  <w:style w:type="character" w:customStyle="1" w:styleId="ae">
    <w:name w:val="Текст выноски Знак"/>
    <w:basedOn w:val="a0"/>
    <w:link w:val="ad"/>
    <w:uiPriority w:val="99"/>
    <w:semiHidden/>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a0"/>
    <w:rsid w:val="00CC371C"/>
  </w:style>
  <w:style w:type="character" w:customStyle="1" w:styleId="A20">
    <w:name w:val="A2"/>
    <w:uiPriority w:val="99"/>
    <w:rsid w:val="006D278D"/>
    <w:rPr>
      <w:color w:val="000000"/>
      <w:sz w:val="16"/>
      <w:szCs w:val="16"/>
    </w:rPr>
  </w:style>
  <w:style w:type="paragraph" w:customStyle="1" w:styleId="04-OS-Author">
    <w:name w:val="04-OS-Author"/>
    <w:basedOn w:val="a"/>
    <w:qFormat/>
    <w:rsid w:val="00990D8D"/>
    <w:pPr>
      <w:widowControl w:val="0"/>
      <w:adjustRightInd w:val="0"/>
      <w:snapToGrid w:val="0"/>
      <w:spacing w:before="240" w:after="160" w:line="240" w:lineRule="exact"/>
    </w:pPr>
    <w:rPr>
      <w:rFonts w:eastAsia="Arial"/>
      <w:kern w:val="2"/>
      <w:lang w:val="en-GB" w:eastAsia="zh-CN"/>
    </w:rPr>
  </w:style>
  <w:style w:type="paragraph" w:customStyle="1" w:styleId="20-OS-Text">
    <w:name w:val="20-OS-Text"/>
    <w:basedOn w:val="a"/>
    <w:qFormat/>
    <w:rsid w:val="00020E2D"/>
    <w:pPr>
      <w:widowControl w:val="0"/>
      <w:adjustRightInd w:val="0"/>
      <w:snapToGrid w:val="0"/>
      <w:spacing w:line="240" w:lineRule="exact"/>
      <w:ind w:firstLineChars="100" w:firstLine="100"/>
      <w:jc w:val="both"/>
    </w:pPr>
    <w:rPr>
      <w:kern w:val="2"/>
      <w:sz w:val="20"/>
      <w:szCs w:val="20"/>
      <w:lang w:val="en-US" w:eastAsia="zh-CN"/>
    </w:rPr>
  </w:style>
  <w:style w:type="character" w:customStyle="1" w:styleId="identifier">
    <w:name w:val="identifier"/>
    <w:basedOn w:val="a0"/>
    <w:rsid w:val="00020E2D"/>
  </w:style>
</w:styles>
</file>

<file path=word/webSettings.xml><?xml version="1.0" encoding="utf-8"?>
<w:webSettings xmlns:r="http://schemas.openxmlformats.org/officeDocument/2006/relationships" xmlns:w="http://schemas.openxmlformats.org/wordprocessingml/2006/main">
  <w:divs>
    <w:div w:id="636566041">
      <w:bodyDiv w:val="1"/>
      <w:marLeft w:val="0"/>
      <w:marRight w:val="0"/>
      <w:marTop w:val="0"/>
      <w:marBottom w:val="0"/>
      <w:divBdr>
        <w:top w:val="none" w:sz="0" w:space="0" w:color="auto"/>
        <w:left w:val="none" w:sz="0" w:space="0" w:color="auto"/>
        <w:bottom w:val="none" w:sz="0" w:space="0" w:color="auto"/>
        <w:right w:val="none" w:sz="0" w:space="0" w:color="auto"/>
      </w:divBdr>
    </w:div>
    <w:div w:id="646319466">
      <w:bodyDiv w:val="1"/>
      <w:marLeft w:val="0"/>
      <w:marRight w:val="0"/>
      <w:marTop w:val="0"/>
      <w:marBottom w:val="0"/>
      <w:divBdr>
        <w:top w:val="none" w:sz="0" w:space="0" w:color="auto"/>
        <w:left w:val="none" w:sz="0" w:space="0" w:color="auto"/>
        <w:bottom w:val="none" w:sz="0" w:space="0" w:color="auto"/>
        <w:right w:val="none" w:sz="0" w:space="0" w:color="auto"/>
      </w:divBdr>
    </w:div>
    <w:div w:id="725027643">
      <w:bodyDiv w:val="1"/>
      <w:marLeft w:val="0"/>
      <w:marRight w:val="0"/>
      <w:marTop w:val="0"/>
      <w:marBottom w:val="0"/>
      <w:divBdr>
        <w:top w:val="none" w:sz="0" w:space="0" w:color="auto"/>
        <w:left w:val="none" w:sz="0" w:space="0" w:color="auto"/>
        <w:bottom w:val="none" w:sz="0" w:space="0" w:color="auto"/>
        <w:right w:val="none" w:sz="0" w:space="0" w:color="auto"/>
      </w:divBdr>
    </w:div>
    <w:div w:id="864245339">
      <w:bodyDiv w:val="1"/>
      <w:marLeft w:val="0"/>
      <w:marRight w:val="0"/>
      <w:marTop w:val="0"/>
      <w:marBottom w:val="0"/>
      <w:divBdr>
        <w:top w:val="none" w:sz="0" w:space="0" w:color="auto"/>
        <w:left w:val="none" w:sz="0" w:space="0" w:color="auto"/>
        <w:bottom w:val="none" w:sz="0" w:space="0" w:color="auto"/>
        <w:right w:val="none" w:sz="0" w:space="0" w:color="auto"/>
      </w:divBdr>
    </w:div>
    <w:div w:id="1034311453">
      <w:bodyDiv w:val="1"/>
      <w:marLeft w:val="0"/>
      <w:marRight w:val="0"/>
      <w:marTop w:val="0"/>
      <w:marBottom w:val="0"/>
      <w:divBdr>
        <w:top w:val="none" w:sz="0" w:space="0" w:color="auto"/>
        <w:left w:val="none" w:sz="0" w:space="0" w:color="auto"/>
        <w:bottom w:val="none" w:sz="0" w:space="0" w:color="auto"/>
        <w:right w:val="none" w:sz="0" w:space="0" w:color="auto"/>
      </w:divBdr>
    </w:div>
    <w:div w:id="1056665369">
      <w:bodyDiv w:val="1"/>
      <w:marLeft w:val="0"/>
      <w:marRight w:val="0"/>
      <w:marTop w:val="0"/>
      <w:marBottom w:val="0"/>
      <w:divBdr>
        <w:top w:val="none" w:sz="0" w:space="0" w:color="auto"/>
        <w:left w:val="none" w:sz="0" w:space="0" w:color="auto"/>
        <w:bottom w:val="none" w:sz="0" w:space="0" w:color="auto"/>
        <w:right w:val="none" w:sz="0" w:space="0" w:color="auto"/>
      </w:divBdr>
    </w:div>
    <w:div w:id="1164470863">
      <w:bodyDiv w:val="1"/>
      <w:marLeft w:val="0"/>
      <w:marRight w:val="0"/>
      <w:marTop w:val="0"/>
      <w:marBottom w:val="0"/>
      <w:divBdr>
        <w:top w:val="none" w:sz="0" w:space="0" w:color="auto"/>
        <w:left w:val="none" w:sz="0" w:space="0" w:color="auto"/>
        <w:bottom w:val="none" w:sz="0" w:space="0" w:color="auto"/>
        <w:right w:val="none" w:sz="0" w:space="0" w:color="auto"/>
      </w:divBdr>
    </w:div>
    <w:div w:id="1184053524">
      <w:bodyDiv w:val="1"/>
      <w:marLeft w:val="0"/>
      <w:marRight w:val="0"/>
      <w:marTop w:val="0"/>
      <w:marBottom w:val="0"/>
      <w:divBdr>
        <w:top w:val="none" w:sz="0" w:space="0" w:color="auto"/>
        <w:left w:val="none" w:sz="0" w:space="0" w:color="auto"/>
        <w:bottom w:val="none" w:sz="0" w:space="0" w:color="auto"/>
        <w:right w:val="none" w:sz="0" w:space="0" w:color="auto"/>
      </w:divBdr>
    </w:div>
    <w:div w:id="1303578137">
      <w:bodyDiv w:val="1"/>
      <w:marLeft w:val="0"/>
      <w:marRight w:val="0"/>
      <w:marTop w:val="0"/>
      <w:marBottom w:val="0"/>
      <w:divBdr>
        <w:top w:val="none" w:sz="0" w:space="0" w:color="auto"/>
        <w:left w:val="none" w:sz="0" w:space="0" w:color="auto"/>
        <w:bottom w:val="none" w:sz="0" w:space="0" w:color="auto"/>
        <w:right w:val="none" w:sz="0" w:space="0" w:color="auto"/>
      </w:divBdr>
    </w:div>
    <w:div w:id="1317103617">
      <w:bodyDiv w:val="1"/>
      <w:marLeft w:val="0"/>
      <w:marRight w:val="0"/>
      <w:marTop w:val="0"/>
      <w:marBottom w:val="0"/>
      <w:divBdr>
        <w:top w:val="none" w:sz="0" w:space="0" w:color="auto"/>
        <w:left w:val="none" w:sz="0" w:space="0" w:color="auto"/>
        <w:bottom w:val="none" w:sz="0" w:space="0" w:color="auto"/>
        <w:right w:val="none" w:sz="0" w:space="0" w:color="auto"/>
      </w:divBdr>
    </w:div>
    <w:div w:id="1341201488">
      <w:bodyDiv w:val="1"/>
      <w:marLeft w:val="0"/>
      <w:marRight w:val="0"/>
      <w:marTop w:val="0"/>
      <w:marBottom w:val="0"/>
      <w:divBdr>
        <w:top w:val="none" w:sz="0" w:space="0" w:color="auto"/>
        <w:left w:val="none" w:sz="0" w:space="0" w:color="auto"/>
        <w:bottom w:val="none" w:sz="0" w:space="0" w:color="auto"/>
        <w:right w:val="none" w:sz="0" w:space="0" w:color="auto"/>
      </w:divBdr>
    </w:div>
    <w:div w:id="1506363582">
      <w:bodyDiv w:val="1"/>
      <w:marLeft w:val="0"/>
      <w:marRight w:val="0"/>
      <w:marTop w:val="0"/>
      <w:marBottom w:val="0"/>
      <w:divBdr>
        <w:top w:val="none" w:sz="0" w:space="0" w:color="auto"/>
        <w:left w:val="none" w:sz="0" w:space="0" w:color="auto"/>
        <w:bottom w:val="none" w:sz="0" w:space="0" w:color="auto"/>
        <w:right w:val="none" w:sz="0" w:space="0" w:color="auto"/>
      </w:divBdr>
    </w:div>
    <w:div w:id="1524981169">
      <w:bodyDiv w:val="1"/>
      <w:marLeft w:val="0"/>
      <w:marRight w:val="0"/>
      <w:marTop w:val="0"/>
      <w:marBottom w:val="0"/>
      <w:divBdr>
        <w:top w:val="none" w:sz="0" w:space="0" w:color="auto"/>
        <w:left w:val="none" w:sz="0" w:space="0" w:color="auto"/>
        <w:bottom w:val="none" w:sz="0" w:space="0" w:color="auto"/>
        <w:right w:val="none" w:sz="0" w:space="0" w:color="auto"/>
      </w:divBdr>
    </w:div>
    <w:div w:id="1956131272">
      <w:bodyDiv w:val="1"/>
      <w:marLeft w:val="0"/>
      <w:marRight w:val="0"/>
      <w:marTop w:val="0"/>
      <w:marBottom w:val="0"/>
      <w:divBdr>
        <w:top w:val="none" w:sz="0" w:space="0" w:color="auto"/>
        <w:left w:val="none" w:sz="0" w:space="0" w:color="auto"/>
        <w:bottom w:val="none" w:sz="0" w:space="0" w:color="auto"/>
        <w:right w:val="none" w:sz="0" w:space="0" w:color="auto"/>
      </w:divBdr>
    </w:div>
    <w:div w:id="20972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5385584/" TargetMode="External"/><Relationship Id="rId18" Type="http://schemas.openxmlformats.org/officeDocument/2006/relationships/hyperlink" Target="http://www.ncbi.nlm.nih.gov/pubmed?term=%22Ha%20HC%22%5BAuthor%5D" TargetMode="External"/><Relationship Id="rId26" Type="http://schemas.openxmlformats.org/officeDocument/2006/relationships/hyperlink" Target="http://www.scopus.com.scopeesprx.elsevier.com/authid/detail.url?origin=resultslist&amp;authorId=6508072993&amp;zone=" TargetMode="External"/><Relationship Id="rId39" Type="http://schemas.openxmlformats.org/officeDocument/2006/relationships/hyperlink" Target="http://www.ncbi.nlm.nih.gov/pubmed?term=%22Berg%20G%22%5BAuthor%5D" TargetMode="External"/><Relationship Id="rId3" Type="http://schemas.openxmlformats.org/officeDocument/2006/relationships/settings" Target="settings.xml"/><Relationship Id="rId21" Type="http://schemas.openxmlformats.org/officeDocument/2006/relationships/hyperlink" Target="https://pubmed.ncbi.nlm.nih.gov/?term=Vtyurin+BM&amp;cauthor_id=7741233" TargetMode="External"/><Relationship Id="rId34" Type="http://schemas.openxmlformats.org/officeDocument/2006/relationships/hyperlink" Target="http://www.ncbi.nlm.nih.gov/pubmed?term=%22Grunditz%20T%22%5BAuthor%5D" TargetMode="External"/><Relationship Id="rId42" Type="http://schemas.openxmlformats.org/officeDocument/2006/relationships/hyperlink" Target="https://pubmed.ncbi.nlm.nih.gov/?term=Negretti+de+Br%C3%A4tter+VE&amp;cauthor_id=9857330"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yperlink" Target="http://www.ncbi.nlm.nih.gov/pubmed?term=%22Martinez-Zamudio%20R%22%5BAuthor%5D" TargetMode="External"/><Relationship Id="rId25" Type="http://schemas.openxmlformats.org/officeDocument/2006/relationships/hyperlink" Target="http://www.scopus.com.scopeesprx.elsevier.com/authid/detail.url?origin=resultslist&amp;authorId=6701688172&amp;zone=" TargetMode="External"/><Relationship Id="rId33" Type="http://schemas.openxmlformats.org/officeDocument/2006/relationships/hyperlink" Target="http://www.ncbi.nlm.nih.gov/pubmed?term=%22Hansson%20M%22%5BAuthor%5D" TargetMode="External"/><Relationship Id="rId38" Type="http://schemas.openxmlformats.org/officeDocument/2006/relationships/hyperlink" Target="http://www.ncbi.nlm.nih.gov/pubmed?term=%22M%C3%B6lne%20J%22%5BAuthor%5D"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pubmed/18496671" TargetMode="External"/><Relationship Id="rId20" Type="http://schemas.openxmlformats.org/officeDocument/2006/relationships/hyperlink" Target="https://pubmed.ncbi.nlm.nih.gov/?term=Tsyb+AF&amp;cauthor_id=7741233" TargetMode="External"/><Relationship Id="rId29"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41" Type="http://schemas.openxmlformats.org/officeDocument/2006/relationships/hyperlink" Target="http://www.ncbi.nlm.nih.gov/pubmed/?term=Orlicz-Szczesna%20G%5BAuthor%5D&amp;cauthor=true&amp;cauthor_uid=199446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www.scopus.com.scopeesprx.elsevier.com/authid/detail.url?origin=resultslist&amp;authorId=7005489709&amp;zone=" TargetMode="External"/><Relationship Id="rId32" Type="http://schemas.openxmlformats.org/officeDocument/2006/relationships/hyperlink" Target="http://www.sciencedirect.com/science?_ob=PublicationURL&amp;_tockey=%23TOC%235315%232002%23998039996%23354804%23FLA%23&amp;_cdi=5315&amp;_pubType=J&amp;view=c&amp;_auth=y&amp;_acct=C000050221&amp;_version=1&amp;_urlVersion=0&amp;_userid=10&amp;md5=1ea755871e5d8a9eae2188cb0817f7a9" TargetMode="External"/><Relationship Id="rId37" Type="http://schemas.openxmlformats.org/officeDocument/2006/relationships/hyperlink" Target="http://www.ncbi.nlm.nih.gov/pubmed?term=%22Lausmaa%20J%22%5BAuthor%5D" TargetMode="External"/><Relationship Id="rId40" Type="http://schemas.openxmlformats.org/officeDocument/2006/relationships/hyperlink" Target="http://www.ncbi.nlm.nih.gov/pubmed/?term=B%C5%82azewicz%20A%5BAuthor%5D&amp;cauthor=true&amp;cauthor_uid=19944657" TargetMode="External"/><Relationship Id="rId45" Type="http://schemas.openxmlformats.org/officeDocument/2006/relationships/hyperlink" Target="http://www.springerlink.com/content/0163-4984/90/1-3/" TargetMode="External"/><Relationship Id="rId5" Type="http://schemas.openxmlformats.org/officeDocument/2006/relationships/footnotes" Target="footnotes.xml"/><Relationship Id="rId15" Type="http://schemas.openxmlformats.org/officeDocument/2006/relationships/hyperlink" Target="http://www.ncbi.nlm.nih.gov/pubmed?term=%22Hartwig%20A%22%5BAuthor%5D" TargetMode="External"/><Relationship Id="rId23" Type="http://schemas.openxmlformats.org/officeDocument/2006/relationships/hyperlink" Target="http://www.scopus.com.scopeesprx.elsevier.com/authid/detail.url?origin=resultslist&amp;authorId=7004288211&amp;zone=" TargetMode="External"/><Relationship Id="rId28"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36" Type="http://schemas.openxmlformats.org/officeDocument/2006/relationships/hyperlink" Target="http://www.ncbi.nlm.nih.gov/pubmed?term=%22Jansson%20S%22%5BAuthor%5D"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ncbi.nlm.nih.gov/pubmed/21610324" TargetMode="External"/><Relationship Id="rId31" Type="http://schemas.openxmlformats.org/officeDocument/2006/relationships/hyperlink" Target="http://www.sciencedirect.com/science/journal/0168583X" TargetMode="External"/><Relationship Id="rId44" Type="http://schemas.openxmlformats.org/officeDocument/2006/relationships/hyperlink" Target="http://www.springerlink.com/content/0163-4984/" TargetMode="External"/><Relationship Id="rId4" Type="http://schemas.openxmlformats.org/officeDocument/2006/relationships/webSettings" Target="webSettings.xml"/><Relationship Id="rId9" Type="http://schemas.openxmlformats.org/officeDocument/2006/relationships/hyperlink" Target="https://www.ncbi.nlm.nih.gov/pmc/articles/PMC6977643/" TargetMode="External"/><Relationship Id="rId14" Type="http://schemas.openxmlformats.org/officeDocument/2006/relationships/hyperlink" Target="http://www.ncbi.nlm.nih.gov/pubmed?term=%22Beyersmann%20D%22%5BAuthor%5D" TargetMode="External"/><Relationship Id="rId22" Type="http://schemas.openxmlformats.org/officeDocument/2006/relationships/hyperlink" Target="http://sable.secureserver.net/c/150189?id=5021.90.1.2a76f8b67077921d0bfacc1674a38ea8" TargetMode="External"/><Relationship Id="rId27"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30"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35" Type="http://schemas.openxmlformats.org/officeDocument/2006/relationships/hyperlink" Target="http://www.ncbi.nlm.nih.gov/pubmed?term=%22Isaksson%20M%22%5BAuthor%5D" TargetMode="External"/><Relationship Id="rId43" Type="http://schemas.openxmlformats.org/officeDocument/2006/relationships/hyperlink" Target="https://pubmed.ncbi.nlm.nih.gov/?term=Azzolina+L&amp;cauthor_id=9857330" TargetMode="External"/><Relationship Id="rId48" Type="http://schemas.openxmlformats.org/officeDocument/2006/relationships/header" Target="header3.xml"/><Relationship Id="rId8" Type="http://schemas.openxmlformats.org/officeDocument/2006/relationships/comments" Target="comments.xml"/><Relationship Id="rId51"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b="1" i="0" u="none" strike="noStrike" baseline="0">
                <a:solidFill>
                  <a:srgbClr val="000000"/>
                </a:solidFill>
                <a:latin typeface="Arial Cyr"/>
                <a:ea typeface="Arial Cyr"/>
                <a:cs typeface="Arial Cyr"/>
              </a:defRPr>
            </a:pPr>
            <a:r>
              <a:rPr lang="en-US"/>
              <a:t>I</a:t>
            </a:r>
          </a:p>
        </c:rich>
      </c:tx>
      <c:layout>
        <c:manualLayout>
          <c:xMode val="edge"/>
          <c:yMode val="edge"/>
          <c:x val="0.47916910384676031"/>
          <c:y val="2.8286212664937287E-2"/>
        </c:manualLayout>
      </c:layout>
      <c:spPr>
        <a:noFill/>
        <a:ln w="25400">
          <a:noFill/>
        </a:ln>
      </c:spPr>
    </c:title>
    <c:plotArea>
      <c:layout>
        <c:manualLayout>
          <c:layoutTarget val="inner"/>
          <c:xMode val="edge"/>
          <c:yMode val="edge"/>
          <c:x val="0.43229386542696852"/>
          <c:y val="0.12811990442353918"/>
          <c:w val="0.44791894490023298"/>
          <c:h val="0.80366121865674756"/>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d'!$L$609:$L$850</c:f>
              <c:numCache>
                <c:formatCode>General</c:formatCode>
                <c:ptCount val="242"/>
                <c:pt idx="0">
                  <c:v>112</c:v>
                </c:pt>
                <c:pt idx="2">
                  <c:v>1582</c:v>
                </c:pt>
                <c:pt idx="3">
                  <c:v>1886</c:v>
                </c:pt>
                <c:pt idx="4">
                  <c:v>301</c:v>
                </c:pt>
                <c:pt idx="5">
                  <c:v>1011</c:v>
                </c:pt>
                <c:pt idx="6">
                  <c:v>2390</c:v>
                </c:pt>
                <c:pt idx="7">
                  <c:v>1657</c:v>
                </c:pt>
                <c:pt idx="8">
                  <c:v>680</c:v>
                </c:pt>
                <c:pt idx="9">
                  <c:v>4829</c:v>
                </c:pt>
                <c:pt idx="10">
                  <c:v>3556</c:v>
                </c:pt>
                <c:pt idx="11">
                  <c:v>1544</c:v>
                </c:pt>
                <c:pt idx="12">
                  <c:v>1063</c:v>
                </c:pt>
                <c:pt idx="13">
                  <c:v>1865</c:v>
                </c:pt>
                <c:pt idx="14">
                  <c:v>220</c:v>
                </c:pt>
                <c:pt idx="15">
                  <c:v>1742</c:v>
                </c:pt>
                <c:pt idx="16">
                  <c:v>1695</c:v>
                </c:pt>
                <c:pt idx="18">
                  <c:v>1376</c:v>
                </c:pt>
                <c:pt idx="19">
                  <c:v>1909</c:v>
                </c:pt>
                <c:pt idx="20">
                  <c:v>652</c:v>
                </c:pt>
                <c:pt idx="21">
                  <c:v>461</c:v>
                </c:pt>
                <c:pt idx="22">
                  <c:v>220</c:v>
                </c:pt>
                <c:pt idx="23">
                  <c:v>1181</c:v>
                </c:pt>
                <c:pt idx="26">
                  <c:v>623</c:v>
                </c:pt>
                <c:pt idx="28">
                  <c:v>2035</c:v>
                </c:pt>
                <c:pt idx="29">
                  <c:v>2175</c:v>
                </c:pt>
                <c:pt idx="30">
                  <c:v>809</c:v>
                </c:pt>
                <c:pt idx="31">
                  <c:v>1963</c:v>
                </c:pt>
                <c:pt idx="32">
                  <c:v>2135</c:v>
                </c:pt>
                <c:pt idx="34">
                  <c:v>1984</c:v>
                </c:pt>
                <c:pt idx="35">
                  <c:v>946</c:v>
                </c:pt>
                <c:pt idx="36">
                  <c:v>772</c:v>
                </c:pt>
                <c:pt idx="37">
                  <c:v>676</c:v>
                </c:pt>
                <c:pt idx="38">
                  <c:v>3019</c:v>
                </c:pt>
                <c:pt idx="39">
                  <c:v>254</c:v>
                </c:pt>
                <c:pt idx="41">
                  <c:v>1360</c:v>
                </c:pt>
                <c:pt idx="42">
                  <c:v>1715</c:v>
                </c:pt>
                <c:pt idx="43">
                  <c:v>801</c:v>
                </c:pt>
                <c:pt idx="44">
                  <c:v>1037</c:v>
                </c:pt>
                <c:pt idx="45">
                  <c:v>803</c:v>
                </c:pt>
                <c:pt idx="46">
                  <c:v>627</c:v>
                </c:pt>
                <c:pt idx="47">
                  <c:v>2330</c:v>
                </c:pt>
                <c:pt idx="48">
                  <c:v>2864</c:v>
                </c:pt>
                <c:pt idx="50">
                  <c:v>679</c:v>
                </c:pt>
                <c:pt idx="51">
                  <c:v>679</c:v>
                </c:pt>
                <c:pt idx="52">
                  <c:v>1657</c:v>
                </c:pt>
                <c:pt idx="53">
                  <c:v>1505</c:v>
                </c:pt>
                <c:pt idx="54">
                  <c:v>1694</c:v>
                </c:pt>
                <c:pt idx="55">
                  <c:v>2045</c:v>
                </c:pt>
                <c:pt idx="57">
                  <c:v>232</c:v>
                </c:pt>
                <c:pt idx="58">
                  <c:v>794</c:v>
                </c:pt>
                <c:pt idx="59">
                  <c:v>1615</c:v>
                </c:pt>
                <c:pt idx="60">
                  <c:v>1337</c:v>
                </c:pt>
                <c:pt idx="61">
                  <c:v>1151</c:v>
                </c:pt>
                <c:pt idx="62">
                  <c:v>935</c:v>
                </c:pt>
                <c:pt idx="63">
                  <c:v>3531</c:v>
                </c:pt>
                <c:pt idx="64">
                  <c:v>2661</c:v>
                </c:pt>
                <c:pt idx="65">
                  <c:v>2594</c:v>
                </c:pt>
                <c:pt idx="66">
                  <c:v>2061</c:v>
                </c:pt>
                <c:pt idx="67">
                  <c:v>3029</c:v>
                </c:pt>
                <c:pt idx="68">
                  <c:v>3494</c:v>
                </c:pt>
                <c:pt idx="70">
                  <c:v>2994</c:v>
                </c:pt>
                <c:pt idx="71">
                  <c:v>1623</c:v>
                </c:pt>
                <c:pt idx="72">
                  <c:v>1378</c:v>
                </c:pt>
                <c:pt idx="73">
                  <c:v>1553</c:v>
                </c:pt>
                <c:pt idx="74">
                  <c:v>3307</c:v>
                </c:pt>
                <c:pt idx="75">
                  <c:v>110</c:v>
                </c:pt>
                <c:pt idx="76">
                  <c:v>3585</c:v>
                </c:pt>
                <c:pt idx="77">
                  <c:v>1421</c:v>
                </c:pt>
                <c:pt idx="78">
                  <c:v>851</c:v>
                </c:pt>
                <c:pt idx="79">
                  <c:v>777</c:v>
                </c:pt>
                <c:pt idx="80">
                  <c:v>1183</c:v>
                </c:pt>
                <c:pt idx="81">
                  <c:v>1885</c:v>
                </c:pt>
                <c:pt idx="82">
                  <c:v>1647</c:v>
                </c:pt>
                <c:pt idx="83">
                  <c:v>1483</c:v>
                </c:pt>
                <c:pt idx="84">
                  <c:v>2188</c:v>
                </c:pt>
                <c:pt idx="85">
                  <c:v>746</c:v>
                </c:pt>
                <c:pt idx="87">
                  <c:v>1504</c:v>
                </c:pt>
                <c:pt idx="88">
                  <c:v>272</c:v>
                </c:pt>
                <c:pt idx="89">
                  <c:v>545</c:v>
                </c:pt>
                <c:pt idx="90">
                  <c:v>5150</c:v>
                </c:pt>
                <c:pt idx="91">
                  <c:v>495</c:v>
                </c:pt>
                <c:pt idx="92">
                  <c:v>788</c:v>
                </c:pt>
                <c:pt idx="93">
                  <c:v>2383</c:v>
                </c:pt>
                <c:pt idx="95">
                  <c:v>1158</c:v>
                </c:pt>
                <c:pt idx="96">
                  <c:v>1439</c:v>
                </c:pt>
                <c:pt idx="97">
                  <c:v>1570</c:v>
                </c:pt>
                <c:pt idx="99">
                  <c:v>4073</c:v>
                </c:pt>
                <c:pt idx="100">
                  <c:v>3050</c:v>
                </c:pt>
                <c:pt idx="101">
                  <c:v>2456</c:v>
                </c:pt>
                <c:pt idx="102">
                  <c:v>2350</c:v>
                </c:pt>
                <c:pt idx="103">
                  <c:v>1281</c:v>
                </c:pt>
                <c:pt idx="104">
                  <c:v>1074</c:v>
                </c:pt>
                <c:pt idx="105">
                  <c:v>377</c:v>
                </c:pt>
                <c:pt idx="106">
                  <c:v>927</c:v>
                </c:pt>
                <c:pt idx="107">
                  <c:v>1021</c:v>
                </c:pt>
                <c:pt idx="108">
                  <c:v>449</c:v>
                </c:pt>
                <c:pt idx="109">
                  <c:v>7118</c:v>
                </c:pt>
                <c:pt idx="110">
                  <c:v>1490</c:v>
                </c:pt>
                <c:pt idx="111">
                  <c:v>300</c:v>
                </c:pt>
                <c:pt idx="112">
                  <c:v>613</c:v>
                </c:pt>
                <c:pt idx="113">
                  <c:v>843</c:v>
                </c:pt>
                <c:pt idx="114">
                  <c:v>207</c:v>
                </c:pt>
                <c:pt idx="115">
                  <c:v>222</c:v>
                </c:pt>
                <c:pt idx="116">
                  <c:v>217</c:v>
                </c:pt>
                <c:pt idx="117">
                  <c:v>311</c:v>
                </c:pt>
                <c:pt idx="118">
                  <c:v>131</c:v>
                </c:pt>
                <c:pt idx="119">
                  <c:v>857</c:v>
                </c:pt>
                <c:pt idx="120">
                  <c:v>1574</c:v>
                </c:pt>
                <c:pt idx="121">
                  <c:v>406</c:v>
                </c:pt>
                <c:pt idx="122">
                  <c:v>159</c:v>
                </c:pt>
                <c:pt idx="123">
                  <c:v>90</c:v>
                </c:pt>
                <c:pt idx="124">
                  <c:v>427</c:v>
                </c:pt>
                <c:pt idx="126">
                  <c:v>1141</c:v>
                </c:pt>
                <c:pt idx="127">
                  <c:v>196</c:v>
                </c:pt>
                <c:pt idx="128">
                  <c:v>532</c:v>
                </c:pt>
                <c:pt idx="129">
                  <c:v>418</c:v>
                </c:pt>
                <c:pt idx="130">
                  <c:v>640</c:v>
                </c:pt>
                <c:pt idx="132">
                  <c:v>256</c:v>
                </c:pt>
                <c:pt idx="133">
                  <c:v>750</c:v>
                </c:pt>
                <c:pt idx="134">
                  <c:v>703</c:v>
                </c:pt>
                <c:pt idx="135">
                  <c:v>434</c:v>
                </c:pt>
                <c:pt idx="136">
                  <c:v>408</c:v>
                </c:pt>
                <c:pt idx="137">
                  <c:v>3579</c:v>
                </c:pt>
                <c:pt idx="138">
                  <c:v>1394</c:v>
                </c:pt>
                <c:pt idx="139">
                  <c:v>2402</c:v>
                </c:pt>
                <c:pt idx="140">
                  <c:v>1060</c:v>
                </c:pt>
                <c:pt idx="141">
                  <c:v>406</c:v>
                </c:pt>
                <c:pt idx="142">
                  <c:v>370</c:v>
                </c:pt>
                <c:pt idx="143">
                  <c:v>476</c:v>
                </c:pt>
                <c:pt idx="145">
                  <c:v>3207</c:v>
                </c:pt>
                <c:pt idx="146">
                  <c:v>700</c:v>
                </c:pt>
                <c:pt idx="147">
                  <c:v>169</c:v>
                </c:pt>
                <c:pt idx="148">
                  <c:v>250</c:v>
                </c:pt>
                <c:pt idx="149">
                  <c:v>824</c:v>
                </c:pt>
                <c:pt idx="150">
                  <c:v>85</c:v>
                </c:pt>
                <c:pt idx="151">
                  <c:v>293</c:v>
                </c:pt>
                <c:pt idx="152">
                  <c:v>1168</c:v>
                </c:pt>
                <c:pt idx="153">
                  <c:v>219</c:v>
                </c:pt>
                <c:pt idx="154">
                  <c:v>1134</c:v>
                </c:pt>
                <c:pt idx="155">
                  <c:v>83</c:v>
                </c:pt>
                <c:pt idx="156">
                  <c:v>1770</c:v>
                </c:pt>
                <c:pt idx="157">
                  <c:v>2988</c:v>
                </c:pt>
                <c:pt idx="159">
                  <c:v>1581</c:v>
                </c:pt>
                <c:pt idx="160">
                  <c:v>305</c:v>
                </c:pt>
                <c:pt idx="161">
                  <c:v>1305</c:v>
                </c:pt>
                <c:pt idx="162">
                  <c:v>1273</c:v>
                </c:pt>
                <c:pt idx="164">
                  <c:v>1874</c:v>
                </c:pt>
                <c:pt idx="165">
                  <c:v>497</c:v>
                </c:pt>
                <c:pt idx="166" formatCode="0">
                  <c:v>47</c:v>
                </c:pt>
                <c:pt idx="167">
                  <c:v>106</c:v>
                </c:pt>
                <c:pt idx="168">
                  <c:v>141</c:v>
                </c:pt>
                <c:pt idx="169">
                  <c:v>1147</c:v>
                </c:pt>
                <c:pt idx="170">
                  <c:v>1206</c:v>
                </c:pt>
                <c:pt idx="171">
                  <c:v>2667</c:v>
                </c:pt>
                <c:pt idx="172">
                  <c:v>844</c:v>
                </c:pt>
                <c:pt idx="173">
                  <c:v>1627</c:v>
                </c:pt>
                <c:pt idx="174">
                  <c:v>8260</c:v>
                </c:pt>
                <c:pt idx="175">
                  <c:v>3617</c:v>
                </c:pt>
                <c:pt idx="176">
                  <c:v>359</c:v>
                </c:pt>
                <c:pt idx="177">
                  <c:v>1577</c:v>
                </c:pt>
                <c:pt idx="178">
                  <c:v>908</c:v>
                </c:pt>
                <c:pt idx="179">
                  <c:v>1912</c:v>
                </c:pt>
                <c:pt idx="180">
                  <c:v>700</c:v>
                </c:pt>
                <c:pt idx="181">
                  <c:v>914</c:v>
                </c:pt>
                <c:pt idx="182">
                  <c:v>2216</c:v>
                </c:pt>
                <c:pt idx="183">
                  <c:v>28000</c:v>
                </c:pt>
                <c:pt idx="184">
                  <c:v>1773</c:v>
                </c:pt>
                <c:pt idx="185">
                  <c:v>686</c:v>
                </c:pt>
                <c:pt idx="186">
                  <c:v>1646</c:v>
                </c:pt>
                <c:pt idx="187">
                  <c:v>1134</c:v>
                </c:pt>
                <c:pt idx="188">
                  <c:v>231</c:v>
                </c:pt>
                <c:pt idx="192" formatCode="0.0">
                  <c:v>64</c:v>
                </c:pt>
                <c:pt idx="193" formatCode="0.0">
                  <c:v>232</c:v>
                </c:pt>
                <c:pt idx="194" formatCode="0.0">
                  <c:v>18</c:v>
                </c:pt>
                <c:pt idx="196" formatCode="0.0">
                  <c:v>5</c:v>
                </c:pt>
                <c:pt idx="197" formatCode="0.0">
                  <c:v>9</c:v>
                </c:pt>
                <c:pt idx="198" formatCode="0.0">
                  <c:v>128</c:v>
                </c:pt>
                <c:pt idx="199" formatCode="0.0">
                  <c:v>24</c:v>
                </c:pt>
                <c:pt idx="200" formatCode="0.0">
                  <c:v>186</c:v>
                </c:pt>
                <c:pt idx="202" formatCode="0.0">
                  <c:v>55</c:v>
                </c:pt>
                <c:pt idx="203" formatCode="0.0">
                  <c:v>25</c:v>
                </c:pt>
                <c:pt idx="204" formatCode="0.0">
                  <c:v>2</c:v>
                </c:pt>
                <c:pt idx="205" formatCode="0.0">
                  <c:v>14</c:v>
                </c:pt>
                <c:pt idx="206" formatCode="0.0">
                  <c:v>3</c:v>
                </c:pt>
                <c:pt idx="207" formatCode="0.0">
                  <c:v>90</c:v>
                </c:pt>
                <c:pt idx="208" formatCode="0.0">
                  <c:v>148</c:v>
                </c:pt>
                <c:pt idx="209" formatCode="0.0">
                  <c:v>75</c:v>
                </c:pt>
                <c:pt idx="210" formatCode="0.0">
                  <c:v>113</c:v>
                </c:pt>
                <c:pt idx="211" formatCode="0.0">
                  <c:v>9</c:v>
                </c:pt>
                <c:pt idx="212" formatCode="0.0">
                  <c:v>45</c:v>
                </c:pt>
                <c:pt idx="213" formatCode="0.0">
                  <c:v>25</c:v>
                </c:pt>
                <c:pt idx="214" formatCode="0.0">
                  <c:v>2.2000000000000002</c:v>
                </c:pt>
                <c:pt idx="215" formatCode="0.0">
                  <c:v>85</c:v>
                </c:pt>
                <c:pt idx="216" formatCode="0.0">
                  <c:v>104</c:v>
                </c:pt>
                <c:pt idx="220" formatCode="0.0">
                  <c:v>67</c:v>
                </c:pt>
                <c:pt idx="223" formatCode="0.0">
                  <c:v>81</c:v>
                </c:pt>
                <c:pt idx="224" formatCode="0.0">
                  <c:v>81</c:v>
                </c:pt>
                <c:pt idx="225" formatCode="0.0">
                  <c:v>168</c:v>
                </c:pt>
                <c:pt idx="226" formatCode="0.0">
                  <c:v>67</c:v>
                </c:pt>
                <c:pt idx="227" formatCode="0.0">
                  <c:v>142</c:v>
                </c:pt>
                <c:pt idx="228" formatCode="0.0">
                  <c:v>104</c:v>
                </c:pt>
                <c:pt idx="229" formatCode="0.0">
                  <c:v>19</c:v>
                </c:pt>
                <c:pt idx="231" formatCode="0.0">
                  <c:v>110</c:v>
                </c:pt>
                <c:pt idx="232" formatCode="0.0">
                  <c:v>16</c:v>
                </c:pt>
                <c:pt idx="234" formatCode="0.0">
                  <c:v>17.5</c:v>
                </c:pt>
                <c:pt idx="236" formatCode="0.0">
                  <c:v>13</c:v>
                </c:pt>
                <c:pt idx="237" formatCode="0.0">
                  <c:v>12.6</c:v>
                </c:pt>
                <c:pt idx="238" formatCode="0.0">
                  <c:v>19</c:v>
                </c:pt>
                <c:pt idx="240" formatCode="0.0">
                  <c:v>74</c:v>
                </c:pt>
              </c:numCache>
            </c:numRef>
          </c:yVal>
        </c:ser>
        <c:axId val="70960256"/>
        <c:axId val="75595776"/>
      </c:scatterChart>
      <c:valAx>
        <c:axId val="70960256"/>
        <c:scaling>
          <c:orientation val="minMax"/>
          <c:max val="3.5"/>
          <c:min val="0"/>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en-US"/>
          </a:p>
        </c:txPr>
        <c:crossAx val="75595776"/>
        <c:crosses val="autoZero"/>
        <c:crossBetween val="midCat"/>
        <c:majorUnit val="1"/>
      </c:valAx>
      <c:valAx>
        <c:axId val="75595776"/>
        <c:scaling>
          <c:logBase val="10"/>
          <c:orientation val="minMax"/>
        </c:scaling>
        <c:axPos val="l"/>
        <c:title>
          <c:tx>
            <c:rich>
              <a:bodyPr/>
              <a:lstStyle/>
              <a:p>
                <a:pPr>
                  <a:defRPr sz="800" b="1" i="0" u="none" strike="noStrike" baseline="0">
                    <a:solidFill>
                      <a:srgbClr val="000000"/>
                    </a:solidFill>
                    <a:latin typeface="Arial Cyr"/>
                    <a:ea typeface="Arial Cyr"/>
                    <a:cs typeface="Arial Cyr"/>
                  </a:defRPr>
                </a:pPr>
                <a:r>
                  <a:rPr lang="en-US"/>
                  <a:t>mg/kg dry tissue</a:t>
                </a:r>
              </a:p>
            </c:rich>
          </c:tx>
          <c:layout>
            <c:manualLayout>
              <c:xMode val="edge"/>
              <c:yMode val="edge"/>
              <c:x val="8.3333757190740945E-2"/>
              <c:y val="0.44758771805106601"/>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en-US"/>
          </a:p>
        </c:txPr>
        <c:crossAx val="70960256"/>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b="1" i="0" u="none" strike="noStrike" baseline="0">
                <a:solidFill>
                  <a:srgbClr val="000000"/>
                </a:solidFill>
                <a:latin typeface="Arial Cyr"/>
                <a:ea typeface="Arial Cyr"/>
                <a:cs typeface="Arial Cyr"/>
              </a:defRPr>
            </a:pPr>
            <a:r>
              <a:rPr lang="en-US"/>
              <a:t>Rb</a:t>
            </a:r>
          </a:p>
        </c:rich>
      </c:tx>
      <c:layout>
        <c:manualLayout>
          <c:xMode val="edge"/>
          <c:yMode val="edge"/>
          <c:x val="0.43915566109791943"/>
          <c:y val="2.8380634390651006E-2"/>
        </c:manualLayout>
      </c:layout>
      <c:spPr>
        <a:noFill/>
        <a:ln w="25400">
          <a:noFill/>
        </a:ln>
      </c:spPr>
    </c:title>
    <c:plotArea>
      <c:layout>
        <c:manualLayout>
          <c:layoutTarget val="inner"/>
          <c:xMode val="edge"/>
          <c:yMode val="edge"/>
          <c:x val="0.34391712093419796"/>
          <c:y val="0.12854757929883137"/>
          <c:w val="0.53439429560544605"/>
          <c:h val="0.80300500834724542"/>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d'!$M$609:$M$850</c:f>
              <c:numCache>
                <c:formatCode>General</c:formatCode>
                <c:ptCount val="242"/>
                <c:pt idx="0">
                  <c:v>10.1</c:v>
                </c:pt>
                <c:pt idx="1">
                  <c:v>8.6</c:v>
                </c:pt>
                <c:pt idx="2">
                  <c:v>5.6</c:v>
                </c:pt>
                <c:pt idx="3" formatCode="0.0">
                  <c:v>8.1</c:v>
                </c:pt>
                <c:pt idx="4">
                  <c:v>5.3</c:v>
                </c:pt>
                <c:pt idx="5">
                  <c:v>7.1199999999999966</c:v>
                </c:pt>
                <c:pt idx="6">
                  <c:v>25.6</c:v>
                </c:pt>
                <c:pt idx="7" formatCode="0.0">
                  <c:v>19.5</c:v>
                </c:pt>
                <c:pt idx="8">
                  <c:v>6.3</c:v>
                </c:pt>
                <c:pt idx="9">
                  <c:v>16.8</c:v>
                </c:pt>
                <c:pt idx="10" formatCode="0.0">
                  <c:v>5.9</c:v>
                </c:pt>
                <c:pt idx="11">
                  <c:v>8.3000000000000007</c:v>
                </c:pt>
                <c:pt idx="12" formatCode="0.0">
                  <c:v>12.9</c:v>
                </c:pt>
                <c:pt idx="13">
                  <c:v>1.8</c:v>
                </c:pt>
                <c:pt idx="14">
                  <c:v>2.4</c:v>
                </c:pt>
                <c:pt idx="15">
                  <c:v>8.1</c:v>
                </c:pt>
                <c:pt idx="16">
                  <c:v>3.59</c:v>
                </c:pt>
                <c:pt idx="17" formatCode="0.0">
                  <c:v>4.2</c:v>
                </c:pt>
                <c:pt idx="18">
                  <c:v>12.2</c:v>
                </c:pt>
                <c:pt idx="19" formatCode="0.0">
                  <c:v>9.9</c:v>
                </c:pt>
                <c:pt idx="20">
                  <c:v>24.6</c:v>
                </c:pt>
                <c:pt idx="22">
                  <c:v>3.48</c:v>
                </c:pt>
                <c:pt idx="23">
                  <c:v>42.9</c:v>
                </c:pt>
                <c:pt idx="24">
                  <c:v>6.9</c:v>
                </c:pt>
                <c:pt idx="25" formatCode="0.0">
                  <c:v>9.5</c:v>
                </c:pt>
                <c:pt idx="26">
                  <c:v>9.8000000000000007</c:v>
                </c:pt>
                <c:pt idx="27" formatCode="0.0">
                  <c:v>7.1</c:v>
                </c:pt>
                <c:pt idx="28">
                  <c:v>9.3000000000000007</c:v>
                </c:pt>
                <c:pt idx="29">
                  <c:v>10.8</c:v>
                </c:pt>
                <c:pt idx="31">
                  <c:v>10.6</c:v>
                </c:pt>
                <c:pt idx="32">
                  <c:v>13.2</c:v>
                </c:pt>
                <c:pt idx="33" formatCode="0.0">
                  <c:v>7.5</c:v>
                </c:pt>
                <c:pt idx="34">
                  <c:v>8.9</c:v>
                </c:pt>
                <c:pt idx="35">
                  <c:v>5.74</c:v>
                </c:pt>
                <c:pt idx="36">
                  <c:v>7.81</c:v>
                </c:pt>
                <c:pt idx="38">
                  <c:v>3.5</c:v>
                </c:pt>
                <c:pt idx="39">
                  <c:v>5.0999999999999996</c:v>
                </c:pt>
                <c:pt idx="40" formatCode="0.0">
                  <c:v>5.4</c:v>
                </c:pt>
                <c:pt idx="41">
                  <c:v>16.8</c:v>
                </c:pt>
                <c:pt idx="43">
                  <c:v>11.9</c:v>
                </c:pt>
                <c:pt idx="44">
                  <c:v>18.7</c:v>
                </c:pt>
                <c:pt idx="46">
                  <c:v>8.8800000000000008</c:v>
                </c:pt>
                <c:pt idx="48">
                  <c:v>4</c:v>
                </c:pt>
                <c:pt idx="49" formatCode="0.0">
                  <c:v>5.0999999999999996</c:v>
                </c:pt>
                <c:pt idx="50">
                  <c:v>11</c:v>
                </c:pt>
                <c:pt idx="51">
                  <c:v>2.9</c:v>
                </c:pt>
                <c:pt idx="52">
                  <c:v>8.3000000000000007</c:v>
                </c:pt>
                <c:pt idx="54">
                  <c:v>8.9</c:v>
                </c:pt>
                <c:pt idx="55">
                  <c:v>13</c:v>
                </c:pt>
                <c:pt idx="57">
                  <c:v>14.6</c:v>
                </c:pt>
                <c:pt idx="58">
                  <c:v>12.6</c:v>
                </c:pt>
                <c:pt idx="59">
                  <c:v>7.8</c:v>
                </c:pt>
                <c:pt idx="60">
                  <c:v>11.4</c:v>
                </c:pt>
                <c:pt idx="61">
                  <c:v>10.6</c:v>
                </c:pt>
                <c:pt idx="62">
                  <c:v>29.4</c:v>
                </c:pt>
                <c:pt idx="63">
                  <c:v>7.7</c:v>
                </c:pt>
                <c:pt idx="64">
                  <c:v>6.4</c:v>
                </c:pt>
                <c:pt idx="65">
                  <c:v>10.4</c:v>
                </c:pt>
                <c:pt idx="67">
                  <c:v>3.86</c:v>
                </c:pt>
                <c:pt idx="68">
                  <c:v>5.6</c:v>
                </c:pt>
                <c:pt idx="71" formatCode="0.0">
                  <c:v>9</c:v>
                </c:pt>
                <c:pt idx="72">
                  <c:v>6.39</c:v>
                </c:pt>
                <c:pt idx="73">
                  <c:v>4.2</c:v>
                </c:pt>
                <c:pt idx="74">
                  <c:v>4.08</c:v>
                </c:pt>
                <c:pt idx="75">
                  <c:v>2.2000000000000002</c:v>
                </c:pt>
                <c:pt idx="76">
                  <c:v>6.03</c:v>
                </c:pt>
                <c:pt idx="77">
                  <c:v>7.8</c:v>
                </c:pt>
                <c:pt idx="78">
                  <c:v>7.9</c:v>
                </c:pt>
                <c:pt idx="79">
                  <c:v>4.33</c:v>
                </c:pt>
                <c:pt idx="80">
                  <c:v>6.9</c:v>
                </c:pt>
                <c:pt idx="81">
                  <c:v>4.9000000000000004</c:v>
                </c:pt>
                <c:pt idx="82">
                  <c:v>3.6</c:v>
                </c:pt>
                <c:pt idx="83">
                  <c:v>11</c:v>
                </c:pt>
                <c:pt idx="84">
                  <c:v>4.0999999999999996</c:v>
                </c:pt>
                <c:pt idx="85">
                  <c:v>10.1</c:v>
                </c:pt>
                <c:pt idx="86">
                  <c:v>8.1</c:v>
                </c:pt>
                <c:pt idx="87">
                  <c:v>5.18</c:v>
                </c:pt>
                <c:pt idx="89">
                  <c:v>7.2</c:v>
                </c:pt>
                <c:pt idx="90">
                  <c:v>8.4600000000000026</c:v>
                </c:pt>
                <c:pt idx="91">
                  <c:v>4.54</c:v>
                </c:pt>
                <c:pt idx="92">
                  <c:v>7.06</c:v>
                </c:pt>
                <c:pt idx="93">
                  <c:v>6.3599999999999985</c:v>
                </c:pt>
                <c:pt idx="96">
                  <c:v>12.81</c:v>
                </c:pt>
                <c:pt idx="97">
                  <c:v>9.5300000000000011</c:v>
                </c:pt>
                <c:pt idx="98">
                  <c:v>6.24</c:v>
                </c:pt>
                <c:pt idx="99">
                  <c:v>5.6099999999999985</c:v>
                </c:pt>
                <c:pt idx="103">
                  <c:v>8.01</c:v>
                </c:pt>
                <c:pt idx="105">
                  <c:v>8.3000000000000007</c:v>
                </c:pt>
                <c:pt idx="106">
                  <c:v>4</c:v>
                </c:pt>
                <c:pt idx="107">
                  <c:v>1.2</c:v>
                </c:pt>
                <c:pt idx="108">
                  <c:v>6.5</c:v>
                </c:pt>
                <c:pt idx="109">
                  <c:v>6.7</c:v>
                </c:pt>
                <c:pt idx="110">
                  <c:v>4.9000000000000004</c:v>
                </c:pt>
                <c:pt idx="111">
                  <c:v>12.8</c:v>
                </c:pt>
                <c:pt idx="112">
                  <c:v>10.3</c:v>
                </c:pt>
                <c:pt idx="113">
                  <c:v>2.2000000000000002</c:v>
                </c:pt>
                <c:pt idx="114">
                  <c:v>1.1000000000000001</c:v>
                </c:pt>
                <c:pt idx="115">
                  <c:v>8.6</c:v>
                </c:pt>
                <c:pt idx="117">
                  <c:v>14.3</c:v>
                </c:pt>
                <c:pt idx="118">
                  <c:v>5.9</c:v>
                </c:pt>
                <c:pt idx="119">
                  <c:v>9.3000000000000007</c:v>
                </c:pt>
                <c:pt idx="120">
                  <c:v>11.4</c:v>
                </c:pt>
                <c:pt idx="121">
                  <c:v>8.3000000000000007</c:v>
                </c:pt>
                <c:pt idx="122">
                  <c:v>9.4</c:v>
                </c:pt>
                <c:pt idx="123">
                  <c:v>18.600000000000001</c:v>
                </c:pt>
                <c:pt idx="124">
                  <c:v>3.2</c:v>
                </c:pt>
                <c:pt idx="126">
                  <c:v>6.3</c:v>
                </c:pt>
                <c:pt idx="127">
                  <c:v>4.5</c:v>
                </c:pt>
                <c:pt idx="128">
                  <c:v>10.3</c:v>
                </c:pt>
                <c:pt idx="129">
                  <c:v>9.7000000000000011</c:v>
                </c:pt>
                <c:pt idx="130">
                  <c:v>9</c:v>
                </c:pt>
                <c:pt idx="133">
                  <c:v>9.3000000000000007</c:v>
                </c:pt>
                <c:pt idx="134">
                  <c:v>11.1</c:v>
                </c:pt>
                <c:pt idx="136">
                  <c:v>1</c:v>
                </c:pt>
                <c:pt idx="137">
                  <c:v>4.5</c:v>
                </c:pt>
                <c:pt idx="138">
                  <c:v>3.8</c:v>
                </c:pt>
                <c:pt idx="139">
                  <c:v>8.3000000000000007</c:v>
                </c:pt>
                <c:pt idx="140">
                  <c:v>5.3</c:v>
                </c:pt>
                <c:pt idx="142">
                  <c:v>8.9</c:v>
                </c:pt>
                <c:pt idx="145">
                  <c:v>2.4</c:v>
                </c:pt>
                <c:pt idx="146">
                  <c:v>12.5</c:v>
                </c:pt>
                <c:pt idx="148">
                  <c:v>20.3</c:v>
                </c:pt>
                <c:pt idx="149">
                  <c:v>16.100000000000001</c:v>
                </c:pt>
                <c:pt idx="151">
                  <c:v>3.8</c:v>
                </c:pt>
                <c:pt idx="152">
                  <c:v>19.3</c:v>
                </c:pt>
                <c:pt idx="153">
                  <c:v>12.2</c:v>
                </c:pt>
                <c:pt idx="154">
                  <c:v>12.7</c:v>
                </c:pt>
                <c:pt idx="155">
                  <c:v>17.399999999999999</c:v>
                </c:pt>
                <c:pt idx="156">
                  <c:v>2.5</c:v>
                </c:pt>
                <c:pt idx="157">
                  <c:v>4.2</c:v>
                </c:pt>
                <c:pt idx="159">
                  <c:v>7.8</c:v>
                </c:pt>
                <c:pt idx="160">
                  <c:v>12</c:v>
                </c:pt>
                <c:pt idx="161">
                  <c:v>5</c:v>
                </c:pt>
                <c:pt idx="162">
                  <c:v>12.4</c:v>
                </c:pt>
                <c:pt idx="164">
                  <c:v>4.4000000000000004</c:v>
                </c:pt>
                <c:pt idx="165">
                  <c:v>13.2</c:v>
                </c:pt>
                <c:pt idx="166">
                  <c:v>13.4</c:v>
                </c:pt>
                <c:pt idx="167">
                  <c:v>10.7</c:v>
                </c:pt>
                <c:pt idx="168">
                  <c:v>16.600000000000001</c:v>
                </c:pt>
                <c:pt idx="169">
                  <c:v>9.4</c:v>
                </c:pt>
                <c:pt idx="170">
                  <c:v>10.4</c:v>
                </c:pt>
                <c:pt idx="171">
                  <c:v>6.4</c:v>
                </c:pt>
                <c:pt idx="172">
                  <c:v>10.3</c:v>
                </c:pt>
                <c:pt idx="173">
                  <c:v>7.6</c:v>
                </c:pt>
                <c:pt idx="174">
                  <c:v>6.5</c:v>
                </c:pt>
                <c:pt idx="175">
                  <c:v>15.9</c:v>
                </c:pt>
                <c:pt idx="176">
                  <c:v>6.5</c:v>
                </c:pt>
                <c:pt idx="177">
                  <c:v>7</c:v>
                </c:pt>
                <c:pt idx="178">
                  <c:v>4.7</c:v>
                </c:pt>
                <c:pt idx="179">
                  <c:v>8.6</c:v>
                </c:pt>
                <c:pt idx="180">
                  <c:v>6</c:v>
                </c:pt>
                <c:pt idx="181">
                  <c:v>7.6</c:v>
                </c:pt>
                <c:pt idx="182">
                  <c:v>7.8</c:v>
                </c:pt>
                <c:pt idx="183">
                  <c:v>10.7</c:v>
                </c:pt>
                <c:pt idx="184">
                  <c:v>11.3</c:v>
                </c:pt>
                <c:pt idx="185">
                  <c:v>15</c:v>
                </c:pt>
                <c:pt idx="186">
                  <c:v>6.1</c:v>
                </c:pt>
                <c:pt idx="187">
                  <c:v>7</c:v>
                </c:pt>
                <c:pt idx="192">
                  <c:v>7.9</c:v>
                </c:pt>
                <c:pt idx="193">
                  <c:v>8.6</c:v>
                </c:pt>
                <c:pt idx="194">
                  <c:v>8.2000000000000011</c:v>
                </c:pt>
                <c:pt idx="196">
                  <c:v>9.1</c:v>
                </c:pt>
                <c:pt idx="197">
                  <c:v>14.8</c:v>
                </c:pt>
                <c:pt idx="198">
                  <c:v>4.9000000000000004</c:v>
                </c:pt>
                <c:pt idx="199">
                  <c:v>19.8</c:v>
                </c:pt>
                <c:pt idx="200">
                  <c:v>6.4</c:v>
                </c:pt>
                <c:pt idx="201">
                  <c:v>8.7000000000000011</c:v>
                </c:pt>
                <c:pt idx="202">
                  <c:v>18.5</c:v>
                </c:pt>
                <c:pt idx="203">
                  <c:v>10</c:v>
                </c:pt>
                <c:pt idx="204">
                  <c:v>14.2</c:v>
                </c:pt>
                <c:pt idx="205">
                  <c:v>15.2</c:v>
                </c:pt>
                <c:pt idx="206">
                  <c:v>16.899999999999999</c:v>
                </c:pt>
                <c:pt idx="207">
                  <c:v>6.8</c:v>
                </c:pt>
                <c:pt idx="208">
                  <c:v>4.8</c:v>
                </c:pt>
                <c:pt idx="209">
                  <c:v>27.4</c:v>
                </c:pt>
                <c:pt idx="210">
                  <c:v>11.2</c:v>
                </c:pt>
                <c:pt idx="212">
                  <c:v>15.3</c:v>
                </c:pt>
                <c:pt idx="213">
                  <c:v>10.200000000000001</c:v>
                </c:pt>
                <c:pt idx="214">
                  <c:v>19.600000000000001</c:v>
                </c:pt>
                <c:pt idx="215">
                  <c:v>8.7000000000000011</c:v>
                </c:pt>
                <c:pt idx="216">
                  <c:v>10.9</c:v>
                </c:pt>
                <c:pt idx="220" formatCode="0.0">
                  <c:v>10.8</c:v>
                </c:pt>
                <c:pt idx="223">
                  <c:v>17.399999999999999</c:v>
                </c:pt>
                <c:pt idx="224">
                  <c:v>17</c:v>
                </c:pt>
                <c:pt idx="225">
                  <c:v>14</c:v>
                </c:pt>
                <c:pt idx="226">
                  <c:v>7.4</c:v>
                </c:pt>
                <c:pt idx="227">
                  <c:v>5.5</c:v>
                </c:pt>
                <c:pt idx="228">
                  <c:v>10.9</c:v>
                </c:pt>
                <c:pt idx="229">
                  <c:v>13.6</c:v>
                </c:pt>
                <c:pt idx="230">
                  <c:v>14.7</c:v>
                </c:pt>
                <c:pt idx="231">
                  <c:v>13.3</c:v>
                </c:pt>
                <c:pt idx="232">
                  <c:v>18</c:v>
                </c:pt>
                <c:pt idx="233">
                  <c:v>11.7</c:v>
                </c:pt>
                <c:pt idx="234">
                  <c:v>19.5</c:v>
                </c:pt>
                <c:pt idx="236">
                  <c:v>6.4</c:v>
                </c:pt>
                <c:pt idx="237">
                  <c:v>9.9</c:v>
                </c:pt>
                <c:pt idx="238">
                  <c:v>13.8</c:v>
                </c:pt>
                <c:pt idx="240">
                  <c:v>15.8</c:v>
                </c:pt>
              </c:numCache>
            </c:numRef>
          </c:yVal>
        </c:ser>
        <c:axId val="75922048"/>
        <c:axId val="80957440"/>
      </c:scatterChart>
      <c:valAx>
        <c:axId val="75922048"/>
        <c:scaling>
          <c:orientation val="minMax"/>
          <c:max val="3.5"/>
          <c:min val="0"/>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en-US"/>
          </a:p>
        </c:txPr>
        <c:crossAx val="80957440"/>
        <c:crosses val="autoZero"/>
        <c:crossBetween val="midCat"/>
        <c:majorUnit val="1"/>
      </c:valAx>
      <c:valAx>
        <c:axId val="80957440"/>
        <c:scaling>
          <c:logBase val="10"/>
          <c:orientation val="minMax"/>
        </c:scaling>
        <c:axPos val="l"/>
        <c:title>
          <c:tx>
            <c:rich>
              <a:bodyPr/>
              <a:lstStyle/>
              <a:p>
                <a:pPr>
                  <a:defRPr sz="800" b="1" i="0" u="none" strike="noStrike" baseline="0">
                    <a:solidFill>
                      <a:srgbClr val="000000"/>
                    </a:solidFill>
                    <a:latin typeface="Arial Cyr"/>
                    <a:ea typeface="Arial Cyr"/>
                    <a:cs typeface="Arial Cyr"/>
                  </a:defRPr>
                </a:pPr>
                <a:r>
                  <a:rPr lang="en-US"/>
                  <a:t>mg/kg dry tissue</a:t>
                </a:r>
              </a:p>
            </c:rich>
          </c:tx>
          <c:layout>
            <c:manualLayout>
              <c:xMode val="edge"/>
              <c:yMode val="edge"/>
              <c:x val="8.4656640142204892E-2"/>
              <c:y val="0.447412353923206"/>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en-US"/>
          </a:p>
        </c:txPr>
        <c:crossAx val="75922048"/>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b="1" i="0" u="none" strike="noStrike" baseline="0">
                <a:solidFill>
                  <a:srgbClr val="000000"/>
                </a:solidFill>
                <a:latin typeface="Arial Cyr"/>
                <a:ea typeface="Arial Cyr"/>
                <a:cs typeface="Arial Cyr"/>
              </a:defRPr>
            </a:pPr>
            <a:r>
              <a:rPr lang="en-US"/>
              <a:t>Zn</a:t>
            </a:r>
          </a:p>
        </c:rich>
      </c:tx>
      <c:layout>
        <c:manualLayout>
          <c:xMode val="edge"/>
          <c:yMode val="edge"/>
          <c:x val="0.45077829001944802"/>
          <c:y val="2.8286189683860232E-2"/>
        </c:manualLayout>
      </c:layout>
      <c:spPr>
        <a:noFill/>
        <a:ln w="25400">
          <a:noFill/>
        </a:ln>
      </c:spPr>
    </c:title>
    <c:plotArea>
      <c:layout>
        <c:manualLayout>
          <c:layoutTarget val="inner"/>
          <c:xMode val="edge"/>
          <c:yMode val="edge"/>
          <c:x val="0.36787657837946136"/>
          <c:y val="0.12811990442353918"/>
          <c:w val="0.51295466562769598"/>
          <c:h val="0.80366121865674778"/>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d'!$O$609:$O$850</c:f>
              <c:numCache>
                <c:formatCode>General</c:formatCode>
                <c:ptCount val="242"/>
                <c:pt idx="0">
                  <c:v>165</c:v>
                </c:pt>
                <c:pt idx="1">
                  <c:v>160</c:v>
                </c:pt>
                <c:pt idx="2">
                  <c:v>167</c:v>
                </c:pt>
                <c:pt idx="3">
                  <c:v>90.2</c:v>
                </c:pt>
                <c:pt idx="4">
                  <c:v>163</c:v>
                </c:pt>
                <c:pt idx="5">
                  <c:v>214.6</c:v>
                </c:pt>
                <c:pt idx="6">
                  <c:v>91</c:v>
                </c:pt>
                <c:pt idx="7">
                  <c:v>184</c:v>
                </c:pt>
                <c:pt idx="8">
                  <c:v>169</c:v>
                </c:pt>
                <c:pt idx="9">
                  <c:v>188</c:v>
                </c:pt>
                <c:pt idx="10" formatCode="0.0">
                  <c:v>97</c:v>
                </c:pt>
                <c:pt idx="11">
                  <c:v>106</c:v>
                </c:pt>
                <c:pt idx="12">
                  <c:v>93.9</c:v>
                </c:pt>
                <c:pt idx="13">
                  <c:v>113</c:v>
                </c:pt>
                <c:pt idx="14">
                  <c:v>35.4</c:v>
                </c:pt>
                <c:pt idx="15">
                  <c:v>90</c:v>
                </c:pt>
                <c:pt idx="16">
                  <c:v>70.8</c:v>
                </c:pt>
                <c:pt idx="17" formatCode="0.0">
                  <c:v>47.1</c:v>
                </c:pt>
                <c:pt idx="18">
                  <c:v>66.599999999999994</c:v>
                </c:pt>
                <c:pt idx="19">
                  <c:v>76.900000000000006</c:v>
                </c:pt>
                <c:pt idx="20">
                  <c:v>140.1</c:v>
                </c:pt>
                <c:pt idx="22">
                  <c:v>122</c:v>
                </c:pt>
                <c:pt idx="23">
                  <c:v>88</c:v>
                </c:pt>
                <c:pt idx="24">
                  <c:v>101</c:v>
                </c:pt>
                <c:pt idx="25" formatCode="0.0">
                  <c:v>116</c:v>
                </c:pt>
                <c:pt idx="26">
                  <c:v>129</c:v>
                </c:pt>
                <c:pt idx="27" formatCode="0.0">
                  <c:v>95.3</c:v>
                </c:pt>
                <c:pt idx="28">
                  <c:v>105</c:v>
                </c:pt>
                <c:pt idx="29">
                  <c:v>91.9</c:v>
                </c:pt>
                <c:pt idx="31">
                  <c:v>73.900000000000006</c:v>
                </c:pt>
                <c:pt idx="32">
                  <c:v>86</c:v>
                </c:pt>
                <c:pt idx="33" formatCode="0.0">
                  <c:v>66.400000000000006</c:v>
                </c:pt>
                <c:pt idx="34">
                  <c:v>97</c:v>
                </c:pt>
                <c:pt idx="35">
                  <c:v>99.1</c:v>
                </c:pt>
                <c:pt idx="36">
                  <c:v>87.8</c:v>
                </c:pt>
                <c:pt idx="38">
                  <c:v>110</c:v>
                </c:pt>
                <c:pt idx="39">
                  <c:v>178</c:v>
                </c:pt>
                <c:pt idx="40" formatCode="0.0">
                  <c:v>160.9</c:v>
                </c:pt>
                <c:pt idx="41">
                  <c:v>131</c:v>
                </c:pt>
                <c:pt idx="43">
                  <c:v>163</c:v>
                </c:pt>
                <c:pt idx="44">
                  <c:v>166</c:v>
                </c:pt>
                <c:pt idx="46">
                  <c:v>75.599999999999994</c:v>
                </c:pt>
                <c:pt idx="48">
                  <c:v>132</c:v>
                </c:pt>
                <c:pt idx="49" formatCode="0.0">
                  <c:v>118.2</c:v>
                </c:pt>
                <c:pt idx="50">
                  <c:v>157</c:v>
                </c:pt>
                <c:pt idx="51">
                  <c:v>155</c:v>
                </c:pt>
                <c:pt idx="52">
                  <c:v>148</c:v>
                </c:pt>
                <c:pt idx="54">
                  <c:v>141</c:v>
                </c:pt>
                <c:pt idx="55">
                  <c:v>104</c:v>
                </c:pt>
                <c:pt idx="56">
                  <c:v>87.3</c:v>
                </c:pt>
                <c:pt idx="57">
                  <c:v>161</c:v>
                </c:pt>
                <c:pt idx="58">
                  <c:v>105.3</c:v>
                </c:pt>
                <c:pt idx="59">
                  <c:v>74.8</c:v>
                </c:pt>
                <c:pt idx="60">
                  <c:v>157</c:v>
                </c:pt>
                <c:pt idx="61">
                  <c:v>117</c:v>
                </c:pt>
                <c:pt idx="62">
                  <c:v>186</c:v>
                </c:pt>
                <c:pt idx="63">
                  <c:v>221</c:v>
                </c:pt>
                <c:pt idx="64">
                  <c:v>169</c:v>
                </c:pt>
                <c:pt idx="65">
                  <c:v>106</c:v>
                </c:pt>
                <c:pt idx="67">
                  <c:v>112.9</c:v>
                </c:pt>
                <c:pt idx="68">
                  <c:v>131</c:v>
                </c:pt>
                <c:pt idx="71" formatCode="0.0">
                  <c:v>118.2</c:v>
                </c:pt>
                <c:pt idx="72" formatCode="0.0">
                  <c:v>6.2</c:v>
                </c:pt>
                <c:pt idx="73" formatCode="0.0">
                  <c:v>36</c:v>
                </c:pt>
                <c:pt idx="74">
                  <c:v>40.6</c:v>
                </c:pt>
                <c:pt idx="75" formatCode="0.0">
                  <c:v>6.1</c:v>
                </c:pt>
                <c:pt idx="76">
                  <c:v>89.5</c:v>
                </c:pt>
                <c:pt idx="77">
                  <c:v>108</c:v>
                </c:pt>
                <c:pt idx="78">
                  <c:v>86.7</c:v>
                </c:pt>
                <c:pt idx="79" formatCode="0.0">
                  <c:v>84.4</c:v>
                </c:pt>
                <c:pt idx="80">
                  <c:v>136</c:v>
                </c:pt>
                <c:pt idx="81">
                  <c:v>85.3</c:v>
                </c:pt>
                <c:pt idx="82" formatCode="0.0">
                  <c:v>42.5</c:v>
                </c:pt>
                <c:pt idx="83">
                  <c:v>79.900000000000006</c:v>
                </c:pt>
                <c:pt idx="84" formatCode="0.0">
                  <c:v>104</c:v>
                </c:pt>
                <c:pt idx="85" formatCode="0.0">
                  <c:v>73.099999999999994</c:v>
                </c:pt>
                <c:pt idx="86" formatCode="0.0">
                  <c:v>106</c:v>
                </c:pt>
                <c:pt idx="87" formatCode="0.0">
                  <c:v>47.3</c:v>
                </c:pt>
                <c:pt idx="89" formatCode="0.0">
                  <c:v>75.5</c:v>
                </c:pt>
                <c:pt idx="90">
                  <c:v>150</c:v>
                </c:pt>
                <c:pt idx="91">
                  <c:v>145</c:v>
                </c:pt>
                <c:pt idx="92">
                  <c:v>53.3</c:v>
                </c:pt>
                <c:pt idx="93">
                  <c:v>105.4</c:v>
                </c:pt>
                <c:pt idx="96">
                  <c:v>166.2</c:v>
                </c:pt>
                <c:pt idx="97">
                  <c:v>97.6</c:v>
                </c:pt>
                <c:pt idx="98">
                  <c:v>124.9</c:v>
                </c:pt>
                <c:pt idx="99">
                  <c:v>122.3</c:v>
                </c:pt>
                <c:pt idx="103">
                  <c:v>143</c:v>
                </c:pt>
                <c:pt idx="105">
                  <c:v>153</c:v>
                </c:pt>
                <c:pt idx="106">
                  <c:v>82.9</c:v>
                </c:pt>
                <c:pt idx="107">
                  <c:v>83.5</c:v>
                </c:pt>
                <c:pt idx="108">
                  <c:v>138</c:v>
                </c:pt>
                <c:pt idx="109">
                  <c:v>95.4</c:v>
                </c:pt>
                <c:pt idx="110">
                  <c:v>215</c:v>
                </c:pt>
                <c:pt idx="111">
                  <c:v>132</c:v>
                </c:pt>
                <c:pt idx="112">
                  <c:v>103</c:v>
                </c:pt>
                <c:pt idx="113">
                  <c:v>87.8</c:v>
                </c:pt>
                <c:pt idx="114">
                  <c:v>73.3</c:v>
                </c:pt>
                <c:pt idx="115">
                  <c:v>156</c:v>
                </c:pt>
                <c:pt idx="117">
                  <c:v>82.3</c:v>
                </c:pt>
                <c:pt idx="118">
                  <c:v>90.9</c:v>
                </c:pt>
                <c:pt idx="119">
                  <c:v>180.2</c:v>
                </c:pt>
                <c:pt idx="120">
                  <c:v>105</c:v>
                </c:pt>
                <c:pt idx="121">
                  <c:v>91</c:v>
                </c:pt>
                <c:pt idx="122">
                  <c:v>121</c:v>
                </c:pt>
                <c:pt idx="123">
                  <c:v>65</c:v>
                </c:pt>
                <c:pt idx="124">
                  <c:v>115</c:v>
                </c:pt>
                <c:pt idx="126">
                  <c:v>88</c:v>
                </c:pt>
                <c:pt idx="127">
                  <c:v>22</c:v>
                </c:pt>
                <c:pt idx="128">
                  <c:v>194</c:v>
                </c:pt>
                <c:pt idx="129">
                  <c:v>192</c:v>
                </c:pt>
                <c:pt idx="130">
                  <c:v>55</c:v>
                </c:pt>
                <c:pt idx="133">
                  <c:v>193</c:v>
                </c:pt>
                <c:pt idx="134">
                  <c:v>198</c:v>
                </c:pt>
                <c:pt idx="136">
                  <c:v>89</c:v>
                </c:pt>
                <c:pt idx="137">
                  <c:v>124</c:v>
                </c:pt>
                <c:pt idx="138">
                  <c:v>147</c:v>
                </c:pt>
                <c:pt idx="139">
                  <c:v>124</c:v>
                </c:pt>
                <c:pt idx="140">
                  <c:v>62</c:v>
                </c:pt>
                <c:pt idx="142">
                  <c:v>79</c:v>
                </c:pt>
                <c:pt idx="145">
                  <c:v>48</c:v>
                </c:pt>
                <c:pt idx="146">
                  <c:v>177</c:v>
                </c:pt>
                <c:pt idx="148">
                  <c:v>58</c:v>
                </c:pt>
                <c:pt idx="149">
                  <c:v>70</c:v>
                </c:pt>
                <c:pt idx="151">
                  <c:v>140</c:v>
                </c:pt>
                <c:pt idx="152">
                  <c:v>84</c:v>
                </c:pt>
                <c:pt idx="153">
                  <c:v>79</c:v>
                </c:pt>
                <c:pt idx="154">
                  <c:v>97</c:v>
                </c:pt>
                <c:pt idx="155">
                  <c:v>50</c:v>
                </c:pt>
                <c:pt idx="156">
                  <c:v>49</c:v>
                </c:pt>
                <c:pt idx="157">
                  <c:v>55</c:v>
                </c:pt>
                <c:pt idx="159">
                  <c:v>105</c:v>
                </c:pt>
                <c:pt idx="160">
                  <c:v>54</c:v>
                </c:pt>
                <c:pt idx="161">
                  <c:v>47</c:v>
                </c:pt>
                <c:pt idx="162">
                  <c:v>82</c:v>
                </c:pt>
                <c:pt idx="164">
                  <c:v>270</c:v>
                </c:pt>
                <c:pt idx="165">
                  <c:v>70</c:v>
                </c:pt>
                <c:pt idx="166">
                  <c:v>86</c:v>
                </c:pt>
                <c:pt idx="167">
                  <c:v>48</c:v>
                </c:pt>
                <c:pt idx="168">
                  <c:v>115</c:v>
                </c:pt>
                <c:pt idx="169">
                  <c:v>136</c:v>
                </c:pt>
                <c:pt idx="170">
                  <c:v>135</c:v>
                </c:pt>
                <c:pt idx="171">
                  <c:v>152</c:v>
                </c:pt>
                <c:pt idx="172">
                  <c:v>135</c:v>
                </c:pt>
                <c:pt idx="173">
                  <c:v>126</c:v>
                </c:pt>
                <c:pt idx="174">
                  <c:v>160</c:v>
                </c:pt>
                <c:pt idx="175">
                  <c:v>98.4</c:v>
                </c:pt>
                <c:pt idx="176">
                  <c:v>133</c:v>
                </c:pt>
                <c:pt idx="177">
                  <c:v>61.3</c:v>
                </c:pt>
                <c:pt idx="178">
                  <c:v>126</c:v>
                </c:pt>
                <c:pt idx="179">
                  <c:v>235</c:v>
                </c:pt>
                <c:pt idx="180">
                  <c:v>98.1</c:v>
                </c:pt>
                <c:pt idx="181">
                  <c:v>251</c:v>
                </c:pt>
                <c:pt idx="182">
                  <c:v>100</c:v>
                </c:pt>
                <c:pt idx="183">
                  <c:v>105</c:v>
                </c:pt>
                <c:pt idx="184">
                  <c:v>107</c:v>
                </c:pt>
                <c:pt idx="185">
                  <c:v>95.6</c:v>
                </c:pt>
                <c:pt idx="186">
                  <c:v>143</c:v>
                </c:pt>
                <c:pt idx="187">
                  <c:v>97.5</c:v>
                </c:pt>
                <c:pt idx="192">
                  <c:v>238</c:v>
                </c:pt>
                <c:pt idx="193">
                  <c:v>48.9</c:v>
                </c:pt>
                <c:pt idx="194">
                  <c:v>39.1</c:v>
                </c:pt>
                <c:pt idx="196">
                  <c:v>71.599999999999994</c:v>
                </c:pt>
                <c:pt idx="197">
                  <c:v>65.8</c:v>
                </c:pt>
                <c:pt idx="198">
                  <c:v>58.3</c:v>
                </c:pt>
                <c:pt idx="199">
                  <c:v>67</c:v>
                </c:pt>
                <c:pt idx="200">
                  <c:v>98.3</c:v>
                </c:pt>
                <c:pt idx="201">
                  <c:v>104</c:v>
                </c:pt>
                <c:pt idx="202">
                  <c:v>73.8</c:v>
                </c:pt>
                <c:pt idx="203">
                  <c:v>59.3</c:v>
                </c:pt>
                <c:pt idx="204">
                  <c:v>59.5</c:v>
                </c:pt>
                <c:pt idx="205">
                  <c:v>54</c:v>
                </c:pt>
                <c:pt idx="206">
                  <c:v>45.1</c:v>
                </c:pt>
                <c:pt idx="207">
                  <c:v>58.3</c:v>
                </c:pt>
                <c:pt idx="208">
                  <c:v>60.9</c:v>
                </c:pt>
                <c:pt idx="209">
                  <c:v>61.6</c:v>
                </c:pt>
                <c:pt idx="210">
                  <c:v>85</c:v>
                </c:pt>
                <c:pt idx="212">
                  <c:v>73.400000000000006</c:v>
                </c:pt>
                <c:pt idx="213">
                  <c:v>99.8</c:v>
                </c:pt>
                <c:pt idx="214">
                  <c:v>66</c:v>
                </c:pt>
                <c:pt idx="215">
                  <c:v>74.599999999999994</c:v>
                </c:pt>
                <c:pt idx="216">
                  <c:v>54.6</c:v>
                </c:pt>
                <c:pt idx="220">
                  <c:v>80.2</c:v>
                </c:pt>
                <c:pt idx="223">
                  <c:v>273</c:v>
                </c:pt>
                <c:pt idx="224">
                  <c:v>277</c:v>
                </c:pt>
                <c:pt idx="225">
                  <c:v>47.7</c:v>
                </c:pt>
                <c:pt idx="226">
                  <c:v>145</c:v>
                </c:pt>
                <c:pt idx="227">
                  <c:v>112</c:v>
                </c:pt>
                <c:pt idx="228">
                  <c:v>54.6</c:v>
                </c:pt>
                <c:pt idx="229">
                  <c:v>55.3</c:v>
                </c:pt>
                <c:pt idx="230">
                  <c:v>65.3</c:v>
                </c:pt>
                <c:pt idx="231">
                  <c:v>111</c:v>
                </c:pt>
                <c:pt idx="232">
                  <c:v>60.8</c:v>
                </c:pt>
                <c:pt idx="233">
                  <c:v>48.9</c:v>
                </c:pt>
                <c:pt idx="234">
                  <c:v>42.6</c:v>
                </c:pt>
                <c:pt idx="237">
                  <c:v>36.700000000000003</c:v>
                </c:pt>
                <c:pt idx="238">
                  <c:v>111</c:v>
                </c:pt>
                <c:pt idx="240">
                  <c:v>49.3</c:v>
                </c:pt>
              </c:numCache>
            </c:numRef>
          </c:yVal>
        </c:ser>
        <c:axId val="95287552"/>
        <c:axId val="105329408"/>
      </c:scatterChart>
      <c:valAx>
        <c:axId val="95287552"/>
        <c:scaling>
          <c:orientation val="minMax"/>
          <c:max val="3.5"/>
          <c:min val="0"/>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en-US"/>
          </a:p>
        </c:txPr>
        <c:crossAx val="105329408"/>
        <c:crosses val="autoZero"/>
        <c:crossBetween val="midCat"/>
        <c:majorUnit val="1"/>
      </c:valAx>
      <c:valAx>
        <c:axId val="105329408"/>
        <c:scaling>
          <c:logBase val="10"/>
          <c:orientation val="minMax"/>
        </c:scaling>
        <c:axPos val="l"/>
        <c:title>
          <c:tx>
            <c:rich>
              <a:bodyPr/>
              <a:lstStyle/>
              <a:p>
                <a:pPr>
                  <a:defRPr sz="800" b="1" i="0" u="none" strike="noStrike" baseline="0">
                    <a:solidFill>
                      <a:srgbClr val="000000"/>
                    </a:solidFill>
                    <a:latin typeface="Arial Cyr"/>
                    <a:ea typeface="Arial Cyr"/>
                    <a:cs typeface="Arial Cyr"/>
                  </a:defRPr>
                </a:pPr>
                <a:r>
                  <a:rPr lang="en-US"/>
                  <a:t>mg/kg dry tissue</a:t>
                </a:r>
              </a:p>
            </c:rich>
          </c:tx>
          <c:layout>
            <c:manualLayout>
              <c:xMode val="edge"/>
              <c:yMode val="edge"/>
              <c:x val="8.2901554404144817E-2"/>
              <c:y val="0.447587703783284"/>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en-US"/>
          </a:p>
        </c:txPr>
        <c:crossAx val="95287552"/>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13</Pages>
  <Words>7625</Words>
  <Characters>43469</Characters>
  <Application>Microsoft Office Word</Application>
  <DocSecurity>0</DocSecurity>
  <Lines>362</Lines>
  <Paragraphs>101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Kapil Kumar</cp:lastModifiedBy>
  <cp:revision>49</cp:revision>
  <cp:lastPrinted>2021-06-29T17:18:00Z</cp:lastPrinted>
  <dcterms:created xsi:type="dcterms:W3CDTF">2022-03-20T13:47:00Z</dcterms:created>
  <dcterms:modified xsi:type="dcterms:W3CDTF">2022-05-09T09:06:00Z</dcterms:modified>
</cp:coreProperties>
</file>