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C9" w:rsidRPr="000F3DC9" w:rsidRDefault="000F3DC9" w:rsidP="000F3DC9">
      <w:pPr>
        <w:shd w:val="clear" w:color="auto" w:fill="00B050"/>
        <w:spacing w:after="0"/>
        <w:ind w:right="-450"/>
        <w:jc w:val="center"/>
        <w:rPr>
          <w:rFonts w:eastAsia="Calibri" w:cs="Times New Roman"/>
          <w:b/>
          <w:bCs/>
          <w:color w:val="FFFFFF"/>
          <w:sz w:val="32"/>
          <w:szCs w:val="32"/>
        </w:rPr>
      </w:pPr>
      <w:r w:rsidRPr="000F3DC9">
        <w:rPr>
          <w:rFonts w:eastAsia="Calibri" w:cs="Times New Roman"/>
          <w:b/>
          <w:bCs/>
          <w:color w:val="FFFFFF"/>
          <w:sz w:val="32"/>
          <w:szCs w:val="32"/>
        </w:rPr>
        <w:t>Original Research Article</w:t>
      </w:r>
    </w:p>
    <w:p w:rsidR="00FE189D" w:rsidRPr="000F3DC9" w:rsidRDefault="00FE189D" w:rsidP="000F3DC9">
      <w:pPr>
        <w:autoSpaceDE w:val="0"/>
        <w:autoSpaceDN w:val="0"/>
        <w:adjustRightInd w:val="0"/>
        <w:spacing w:after="0"/>
        <w:jc w:val="both"/>
        <w:rPr>
          <w:rFonts w:asciiTheme="majorBidi" w:hAnsiTheme="majorBidi" w:cstheme="majorBidi"/>
          <w:b/>
          <w:bCs/>
          <w:szCs w:val="24"/>
        </w:rPr>
      </w:pPr>
    </w:p>
    <w:p w:rsidR="009C2993" w:rsidRPr="000F3DC9" w:rsidRDefault="009C2993" w:rsidP="000F3DC9">
      <w:pPr>
        <w:pStyle w:val="Default"/>
        <w:spacing w:line="276" w:lineRule="auto"/>
        <w:jc w:val="both"/>
      </w:pPr>
    </w:p>
    <w:p w:rsidR="009C2993" w:rsidRPr="000F3DC9" w:rsidRDefault="009C2993" w:rsidP="000F3DC9">
      <w:pPr>
        <w:autoSpaceDE w:val="0"/>
        <w:autoSpaceDN w:val="0"/>
        <w:adjustRightInd w:val="0"/>
        <w:spacing w:after="0"/>
        <w:jc w:val="center"/>
        <w:rPr>
          <w:rFonts w:asciiTheme="majorBidi" w:eastAsia="Times New Roman" w:hAnsiTheme="majorBidi" w:cstheme="majorBidi"/>
          <w:b/>
          <w:bCs/>
          <w:szCs w:val="24"/>
        </w:rPr>
      </w:pPr>
      <w:r w:rsidRPr="000F3DC9">
        <w:rPr>
          <w:rFonts w:asciiTheme="majorBidi" w:hAnsiTheme="majorBidi" w:cstheme="majorBidi"/>
          <w:b/>
          <w:bCs/>
          <w:szCs w:val="24"/>
        </w:rPr>
        <w:t xml:space="preserve">Pattern of Liver Disease Admissions </w:t>
      </w:r>
      <w:r w:rsidRPr="000F3DC9">
        <w:rPr>
          <w:rFonts w:asciiTheme="majorBidi" w:eastAsia="Times New Roman" w:hAnsiTheme="majorBidi" w:cstheme="majorBidi"/>
          <w:b/>
          <w:bCs/>
          <w:szCs w:val="24"/>
        </w:rPr>
        <w:t>at a tertiary government hospital in Sana’a / Yemen</w:t>
      </w:r>
    </w:p>
    <w:p w:rsidR="009C2993" w:rsidRPr="000F3DC9" w:rsidRDefault="009C2993" w:rsidP="000F3DC9">
      <w:pPr>
        <w:autoSpaceDE w:val="0"/>
        <w:autoSpaceDN w:val="0"/>
        <w:adjustRightInd w:val="0"/>
        <w:spacing w:after="0"/>
        <w:jc w:val="both"/>
        <w:rPr>
          <w:rFonts w:asciiTheme="majorBidi" w:eastAsia="Times New Roman" w:hAnsiTheme="majorBidi" w:cstheme="majorBidi"/>
          <w:b/>
          <w:bCs/>
          <w:szCs w:val="24"/>
        </w:rPr>
      </w:pPr>
    </w:p>
    <w:p w:rsidR="008830AA" w:rsidRPr="000F3DC9" w:rsidRDefault="008830AA" w:rsidP="000F3DC9">
      <w:pPr>
        <w:jc w:val="both"/>
        <w:rPr>
          <w:rFonts w:asciiTheme="majorBidi" w:hAnsiTheme="majorBidi" w:cstheme="majorBidi"/>
          <w:szCs w:val="24"/>
        </w:rPr>
        <w:sectPr w:rsidR="008830AA" w:rsidRPr="000F3DC9" w:rsidSect="000F3DC9">
          <w:headerReference w:type="even" r:id="rId8"/>
          <w:headerReference w:type="default" r:id="rId9"/>
          <w:footerReference w:type="default" r:id="rId10"/>
          <w:headerReference w:type="first" r:id="rId11"/>
          <w:type w:val="continuous"/>
          <w:pgSz w:w="15840" w:h="24480" w:code="3"/>
          <w:pgMar w:top="524" w:right="1800" w:bottom="567" w:left="1800" w:header="284" w:footer="111" w:gutter="0"/>
          <w:cols w:space="720"/>
          <w:docGrid w:linePitch="360"/>
        </w:sectPr>
      </w:pPr>
    </w:p>
    <w:p w:rsidR="00527EDB" w:rsidRPr="000F3DC9" w:rsidRDefault="00AA3695" w:rsidP="000F3DC9">
      <w:pPr>
        <w:autoSpaceDE w:val="0"/>
        <w:autoSpaceDN w:val="0"/>
        <w:adjustRightInd w:val="0"/>
        <w:spacing w:after="0"/>
        <w:jc w:val="both"/>
        <w:rPr>
          <w:rFonts w:asciiTheme="majorBidi" w:hAnsiTheme="majorBidi" w:cstheme="majorBidi"/>
          <w:b/>
          <w:bCs/>
          <w:szCs w:val="24"/>
        </w:rPr>
      </w:pPr>
      <w:r w:rsidRPr="000F3DC9">
        <w:rPr>
          <w:rFonts w:asciiTheme="majorBidi" w:hAnsiTheme="majorBidi" w:cstheme="majorBidi"/>
          <w:b/>
          <w:bCs/>
          <w:szCs w:val="24"/>
        </w:rPr>
        <w:lastRenderedPageBreak/>
        <w:t>ABSTRACT</w:t>
      </w:r>
    </w:p>
    <w:p w:rsidR="00D041C1" w:rsidRPr="000F3DC9" w:rsidRDefault="00E97603" w:rsidP="000F3DC9">
      <w:pPr>
        <w:pStyle w:val="Default"/>
        <w:spacing w:line="276" w:lineRule="auto"/>
        <w:jc w:val="both"/>
        <w:rPr>
          <w:rStyle w:val="y2iqfc"/>
          <w:rFonts w:asciiTheme="majorBidi" w:hAnsiTheme="majorBidi" w:cstheme="majorBidi"/>
        </w:rPr>
      </w:pPr>
      <w:r w:rsidRPr="000F3DC9">
        <w:rPr>
          <w:rFonts w:asciiTheme="majorBidi" w:hAnsiTheme="majorBidi" w:cstheme="majorBidi"/>
          <w:b/>
          <w:bCs/>
        </w:rPr>
        <w:t>Back ground</w:t>
      </w:r>
      <w:r w:rsidR="00D124CF" w:rsidRPr="000F3DC9">
        <w:rPr>
          <w:rFonts w:asciiTheme="majorBidi" w:hAnsiTheme="majorBidi" w:cstheme="majorBidi"/>
          <w:b/>
          <w:bCs/>
        </w:rPr>
        <w:t xml:space="preserve"> and o</w:t>
      </w:r>
      <w:r w:rsidRPr="000F3DC9">
        <w:rPr>
          <w:rFonts w:asciiTheme="majorBidi" w:hAnsiTheme="majorBidi" w:cstheme="majorBidi"/>
          <w:b/>
          <w:bCs/>
        </w:rPr>
        <w:t>bjective</w:t>
      </w:r>
      <w:r w:rsidR="006B2D69" w:rsidRPr="000F3DC9">
        <w:rPr>
          <w:rFonts w:asciiTheme="majorBidi" w:hAnsiTheme="majorBidi" w:cstheme="majorBidi"/>
          <w:b/>
          <w:bCs/>
        </w:rPr>
        <w:t>s</w:t>
      </w:r>
      <w:r w:rsidR="00391956" w:rsidRPr="000F3DC9">
        <w:rPr>
          <w:rFonts w:asciiTheme="majorBidi" w:hAnsiTheme="majorBidi" w:cstheme="majorBidi"/>
          <w:b/>
          <w:bCs/>
        </w:rPr>
        <w:t xml:space="preserve">: </w:t>
      </w:r>
      <w:r w:rsidR="00FE7425" w:rsidRPr="000F3DC9">
        <w:rPr>
          <w:rFonts w:asciiTheme="majorBidi" w:hAnsiTheme="majorBidi" w:cstheme="majorBidi"/>
          <w:b/>
          <w:bCs/>
        </w:rPr>
        <w:t xml:space="preserve"> </w:t>
      </w:r>
      <w:r w:rsidR="00DA1481" w:rsidRPr="000F3DC9">
        <w:rPr>
          <w:rStyle w:val="y2iqfc"/>
          <w:rFonts w:asciiTheme="majorBidi" w:hAnsiTheme="majorBidi" w:cstheme="majorBidi"/>
        </w:rPr>
        <w:t xml:space="preserve">Liver disease causes </w:t>
      </w:r>
      <w:r w:rsidR="00A17F7F" w:rsidRPr="000F3DC9">
        <w:rPr>
          <w:rStyle w:val="y2iqfc"/>
          <w:rFonts w:asciiTheme="majorBidi" w:hAnsiTheme="majorBidi" w:cstheme="majorBidi"/>
        </w:rPr>
        <w:t xml:space="preserve">major </w:t>
      </w:r>
      <w:r w:rsidR="00DA1481" w:rsidRPr="000F3DC9">
        <w:rPr>
          <w:rStyle w:val="y2iqfc"/>
          <w:rFonts w:asciiTheme="majorBidi" w:hAnsiTheme="majorBidi" w:cstheme="majorBidi"/>
        </w:rPr>
        <w:t>public health problems</w:t>
      </w:r>
      <w:r w:rsidR="00FE7425" w:rsidRPr="000F3DC9">
        <w:rPr>
          <w:rStyle w:val="y2iqfc"/>
          <w:rFonts w:asciiTheme="majorBidi" w:hAnsiTheme="majorBidi" w:cstheme="majorBidi"/>
        </w:rPr>
        <w:t xml:space="preserve"> international</w:t>
      </w:r>
      <w:r w:rsidR="00DA1481" w:rsidRPr="000F3DC9">
        <w:rPr>
          <w:rStyle w:val="y2iqfc"/>
          <w:rFonts w:asciiTheme="majorBidi" w:hAnsiTheme="majorBidi" w:cstheme="majorBidi"/>
        </w:rPr>
        <w:t>, especially in poor countries, and</w:t>
      </w:r>
      <w:r w:rsidR="00A17F7F" w:rsidRPr="000F3DC9">
        <w:rPr>
          <w:rStyle w:val="y2iqfc"/>
          <w:rFonts w:asciiTheme="majorBidi" w:hAnsiTheme="majorBidi" w:cstheme="majorBidi"/>
        </w:rPr>
        <w:t xml:space="preserve"> it</w:t>
      </w:r>
      <w:r w:rsidR="00DA1481" w:rsidRPr="000F3DC9">
        <w:rPr>
          <w:rStyle w:val="y2iqfc"/>
          <w:rFonts w:asciiTheme="majorBidi" w:hAnsiTheme="majorBidi" w:cstheme="majorBidi"/>
        </w:rPr>
        <w:t xml:space="preserve"> is associated with poor long-term clinical outcomes and results in the deaths of millions worldwide annually. The aim of this study is to </w:t>
      </w:r>
      <w:r w:rsidR="00FE7425" w:rsidRPr="000F3DC9">
        <w:rPr>
          <w:rStyle w:val="y2iqfc"/>
          <w:rFonts w:asciiTheme="majorBidi" w:hAnsiTheme="majorBidi" w:cstheme="majorBidi"/>
        </w:rPr>
        <w:t xml:space="preserve">ascertain </w:t>
      </w:r>
      <w:r w:rsidR="00DA1481" w:rsidRPr="000F3DC9">
        <w:rPr>
          <w:rStyle w:val="y2iqfc"/>
          <w:rFonts w:asciiTheme="majorBidi" w:hAnsiTheme="majorBidi" w:cstheme="majorBidi"/>
        </w:rPr>
        <w:t xml:space="preserve">the </w:t>
      </w:r>
      <w:r w:rsidR="00FE7425" w:rsidRPr="000F3DC9">
        <w:rPr>
          <w:rStyle w:val="y2iqfc"/>
          <w:rFonts w:asciiTheme="majorBidi" w:hAnsiTheme="majorBidi" w:cstheme="majorBidi"/>
        </w:rPr>
        <w:t xml:space="preserve">virtual </w:t>
      </w:r>
      <w:r w:rsidR="00DA1481" w:rsidRPr="000F3DC9">
        <w:rPr>
          <w:rStyle w:val="y2iqfc"/>
          <w:rFonts w:asciiTheme="majorBidi" w:hAnsiTheme="majorBidi" w:cstheme="majorBidi"/>
        </w:rPr>
        <w:t xml:space="preserve">frequencies of liver disease and to assess etiological factors among patients admitted to Al-Thawra </w:t>
      </w:r>
      <w:r w:rsidR="00A17F7F" w:rsidRPr="000F3DC9">
        <w:rPr>
          <w:rStyle w:val="y2iqfc"/>
          <w:rFonts w:asciiTheme="majorBidi" w:hAnsiTheme="majorBidi" w:cstheme="majorBidi"/>
        </w:rPr>
        <w:t>tertiary</w:t>
      </w:r>
      <w:r w:rsidR="00DA1481" w:rsidRPr="000F3DC9">
        <w:rPr>
          <w:rStyle w:val="y2iqfc"/>
          <w:rFonts w:asciiTheme="majorBidi" w:hAnsiTheme="majorBidi" w:cstheme="majorBidi"/>
        </w:rPr>
        <w:t xml:space="preserve"> Hospital in Sana'a City, Yemen.</w:t>
      </w:r>
    </w:p>
    <w:p w:rsidR="00D041C1" w:rsidRPr="000F3DC9" w:rsidRDefault="00E97603" w:rsidP="000F3DC9">
      <w:pPr>
        <w:pStyle w:val="Default"/>
        <w:spacing w:line="276" w:lineRule="auto"/>
        <w:jc w:val="both"/>
        <w:rPr>
          <w:rStyle w:val="y2iqfc"/>
          <w:rFonts w:asciiTheme="majorBidi" w:hAnsiTheme="majorBidi" w:cstheme="majorBidi"/>
          <w:color w:val="auto"/>
        </w:rPr>
      </w:pPr>
      <w:r w:rsidRPr="000F3DC9">
        <w:rPr>
          <w:rFonts w:asciiTheme="majorBidi" w:hAnsiTheme="majorBidi" w:cstheme="majorBidi"/>
          <w:b/>
          <w:bCs/>
        </w:rPr>
        <w:t>Methods</w:t>
      </w:r>
      <w:r w:rsidR="00662505" w:rsidRPr="000F3DC9">
        <w:rPr>
          <w:rFonts w:asciiTheme="majorBidi" w:hAnsiTheme="majorBidi" w:cstheme="majorBidi"/>
          <w:b/>
          <w:bCs/>
        </w:rPr>
        <w:t xml:space="preserve">: </w:t>
      </w:r>
      <w:r w:rsidR="00D50863" w:rsidRPr="000F3DC9">
        <w:t xml:space="preserve"> </w:t>
      </w:r>
      <w:r w:rsidR="00521392" w:rsidRPr="000F3DC9">
        <w:rPr>
          <w:rStyle w:val="y2iqfc"/>
          <w:rFonts w:asciiTheme="majorBidi" w:hAnsiTheme="majorBidi" w:cstheme="majorBidi"/>
          <w:color w:val="auto"/>
        </w:rPr>
        <w:t xml:space="preserve">This was a descriptive retrospective analysis </w:t>
      </w:r>
      <w:r w:rsidR="00521392" w:rsidRPr="000F3DC9">
        <w:rPr>
          <w:rStyle w:val="y2iqfc"/>
          <w:rFonts w:asciiTheme="majorBidi" w:hAnsiTheme="majorBidi" w:cstheme="majorBidi"/>
        </w:rPr>
        <w:t xml:space="preserve">study </w:t>
      </w:r>
      <w:r w:rsidR="00521392" w:rsidRPr="000F3DC9">
        <w:rPr>
          <w:rStyle w:val="y2iqfc"/>
          <w:rFonts w:asciiTheme="majorBidi" w:hAnsiTheme="majorBidi" w:cstheme="majorBidi"/>
          <w:color w:val="auto"/>
        </w:rPr>
        <w:t>of gastrointestinal patients admitted from January 1, 2021 to December 31, 2021 to the medical wards of Al-Thawra Hospital</w:t>
      </w:r>
      <w:r w:rsidR="00521392" w:rsidRPr="000F3DC9">
        <w:rPr>
          <w:rStyle w:val="y2iqfc"/>
          <w:rFonts w:asciiTheme="majorBidi" w:hAnsiTheme="majorBidi" w:cstheme="majorBidi"/>
        </w:rPr>
        <w:t xml:space="preserve">. </w:t>
      </w:r>
      <w:r w:rsidR="00521392" w:rsidRPr="000F3DC9">
        <w:rPr>
          <w:rStyle w:val="y2iqfc"/>
          <w:rFonts w:asciiTheme="majorBidi" w:hAnsiTheme="majorBidi" w:cstheme="majorBidi"/>
          <w:color w:val="auto"/>
        </w:rPr>
        <w:t>This is a t</w:t>
      </w:r>
      <w:r w:rsidR="00521392" w:rsidRPr="000F3DC9">
        <w:rPr>
          <w:rStyle w:val="y2iqfc"/>
          <w:rFonts w:asciiTheme="majorBidi" w:hAnsiTheme="majorBidi" w:cstheme="majorBidi"/>
        </w:rPr>
        <w:t>ertiary</w:t>
      </w:r>
      <w:r w:rsidR="00521392" w:rsidRPr="000F3DC9">
        <w:rPr>
          <w:rStyle w:val="y2iqfc"/>
          <w:rFonts w:asciiTheme="majorBidi" w:hAnsiTheme="majorBidi" w:cstheme="majorBidi"/>
          <w:color w:val="auto"/>
        </w:rPr>
        <w:t xml:space="preserve"> hospital located in the Yemeni capital, Sana'a City. Data were extracted from patient case folders </w:t>
      </w:r>
      <w:r w:rsidR="00066970" w:rsidRPr="000F3DC9">
        <w:rPr>
          <w:rStyle w:val="y2iqfc"/>
          <w:rFonts w:asciiTheme="majorBidi" w:hAnsiTheme="majorBidi" w:cstheme="majorBidi"/>
        </w:rPr>
        <w:t xml:space="preserve">for the period of </w:t>
      </w:r>
      <w:r w:rsidR="00521392" w:rsidRPr="000F3DC9">
        <w:rPr>
          <w:rStyle w:val="y2iqfc"/>
          <w:rFonts w:asciiTheme="majorBidi" w:hAnsiTheme="majorBidi" w:cstheme="majorBidi"/>
          <w:color w:val="auto"/>
        </w:rPr>
        <w:t xml:space="preserve"> under review. Data validated with Microsoft Excel version 13 and exported to SPSS version 23.0 for windows; for statistical analysis. Data were </w:t>
      </w:r>
      <w:r w:rsidR="00AD3EE0" w:rsidRPr="000F3DC9">
        <w:rPr>
          <w:rStyle w:val="y2iqfc"/>
          <w:rFonts w:asciiTheme="majorBidi" w:hAnsiTheme="majorBidi" w:cstheme="majorBidi"/>
        </w:rPr>
        <w:t xml:space="preserve">evaluated </w:t>
      </w:r>
      <w:r w:rsidR="00521392" w:rsidRPr="000F3DC9">
        <w:rPr>
          <w:rStyle w:val="y2iqfc"/>
          <w:rFonts w:asciiTheme="majorBidi" w:hAnsiTheme="majorBidi" w:cstheme="majorBidi"/>
          <w:color w:val="auto"/>
        </w:rPr>
        <w:t xml:space="preserve">for demographic and other clinical characteristics as </w:t>
      </w:r>
      <w:r w:rsidR="00AD3EE0" w:rsidRPr="000F3DC9">
        <w:rPr>
          <w:rStyle w:val="y2iqfc"/>
          <w:rFonts w:asciiTheme="majorBidi" w:hAnsiTheme="majorBidi" w:cstheme="majorBidi"/>
        </w:rPr>
        <w:t xml:space="preserve">definite </w:t>
      </w:r>
      <w:r w:rsidR="00521392" w:rsidRPr="000F3DC9">
        <w:rPr>
          <w:rStyle w:val="y2iqfc"/>
          <w:rFonts w:asciiTheme="majorBidi" w:hAnsiTheme="majorBidi" w:cstheme="majorBidi"/>
          <w:color w:val="auto"/>
        </w:rPr>
        <w:t>variables.</w:t>
      </w:r>
    </w:p>
    <w:p w:rsidR="00D041C1" w:rsidRPr="000F3DC9" w:rsidRDefault="009570E3" w:rsidP="000F3DC9">
      <w:pPr>
        <w:pStyle w:val="Default"/>
        <w:spacing w:line="276" w:lineRule="auto"/>
        <w:jc w:val="both"/>
        <w:rPr>
          <w:rStyle w:val="y2iqfc"/>
          <w:rFonts w:asciiTheme="majorBidi" w:hAnsiTheme="majorBidi" w:cstheme="majorBidi"/>
          <w:color w:val="auto"/>
        </w:rPr>
      </w:pPr>
      <w:r w:rsidRPr="000F3DC9">
        <w:rPr>
          <w:rFonts w:asciiTheme="majorBidi" w:hAnsiTheme="majorBidi" w:cstheme="majorBidi"/>
          <w:color w:val="auto"/>
        </w:rPr>
        <w:t>R</w:t>
      </w:r>
      <w:r w:rsidR="00E97603" w:rsidRPr="000F3DC9">
        <w:rPr>
          <w:rFonts w:asciiTheme="majorBidi" w:hAnsiTheme="majorBidi" w:cstheme="majorBidi"/>
          <w:b/>
          <w:bCs/>
          <w:color w:val="auto"/>
        </w:rPr>
        <w:t>esults</w:t>
      </w:r>
      <w:r w:rsidR="00BE6B48" w:rsidRPr="000F3DC9">
        <w:rPr>
          <w:rFonts w:asciiTheme="majorBidi" w:hAnsiTheme="majorBidi" w:cstheme="majorBidi"/>
          <w:b/>
          <w:bCs/>
        </w:rPr>
        <w:t xml:space="preserve">: </w:t>
      </w:r>
      <w:r w:rsidR="00BE6B48" w:rsidRPr="000F3DC9">
        <w:rPr>
          <w:rStyle w:val="y2iqfc"/>
          <w:rFonts w:asciiTheme="majorBidi" w:hAnsiTheme="majorBidi" w:cstheme="majorBidi"/>
          <w:color w:val="auto"/>
        </w:rPr>
        <w:t>Of the 516 gastroenterology patients admitted to the gastroenterology service in medical wards during a one-year period, liver disease accounted for 30% of all gastroenterology in the same period. There were 155 patients diagnosed with liver disease. There were 86 (55.5%) males and 69 (44.5%) females, with a male to female ratio of 1.2:1. The mean overall age of patients and the age range were 46.14 ± 16.5 and 8-85 years, respectively. The peak incidence of age occurred during the fifth and sixth decades of life at 38.1%.</w:t>
      </w:r>
      <w:r w:rsidR="0075530A" w:rsidRPr="000F3DC9">
        <w:rPr>
          <w:rFonts w:asciiTheme="majorBidi" w:hAnsiTheme="majorBidi" w:cstheme="majorBidi"/>
        </w:rPr>
        <w:t xml:space="preserve"> </w:t>
      </w:r>
      <w:r w:rsidR="00BE6B48" w:rsidRPr="000F3DC9">
        <w:rPr>
          <w:rStyle w:val="y2iqfc"/>
          <w:rFonts w:asciiTheme="majorBidi" w:hAnsiTheme="majorBidi" w:cstheme="majorBidi"/>
          <w:color w:val="auto"/>
        </w:rPr>
        <w:t xml:space="preserve">The most common liver disease was; </w:t>
      </w:r>
      <w:r w:rsidR="0075530A" w:rsidRPr="000F3DC9">
        <w:rPr>
          <w:rStyle w:val="y2iqfc"/>
          <w:rFonts w:asciiTheme="majorBidi" w:hAnsiTheme="majorBidi" w:cstheme="majorBidi"/>
        </w:rPr>
        <w:t>a</w:t>
      </w:r>
      <w:r w:rsidR="00BE6B48" w:rsidRPr="000F3DC9">
        <w:rPr>
          <w:rStyle w:val="y2iqfc"/>
          <w:rFonts w:asciiTheme="majorBidi" w:hAnsiTheme="majorBidi" w:cstheme="majorBidi"/>
          <w:color w:val="auto"/>
        </w:rPr>
        <w:t xml:space="preserve">utoimmune hepatitis 43 (27.7%), followed by nonalcoholic fatty liver disease 35 (22.6%), viral hepatitis 32 (20.6%) and schistosomiasis 17 (11%). Toxic hepatitis accounted for 4.5% including herbal toxic hepatitis 3.9%, and alcohol consumption 4.5%, while </w:t>
      </w:r>
      <w:r w:rsidR="0075530A" w:rsidRPr="000F3DC9">
        <w:rPr>
          <w:rStyle w:val="y2iqfc"/>
          <w:rFonts w:asciiTheme="majorBidi" w:hAnsiTheme="majorBidi" w:cstheme="majorBidi"/>
        </w:rPr>
        <w:t xml:space="preserve">vascular </w:t>
      </w:r>
      <w:r w:rsidR="00BE6B48" w:rsidRPr="000F3DC9">
        <w:rPr>
          <w:rStyle w:val="y2iqfc"/>
          <w:rFonts w:asciiTheme="majorBidi" w:hAnsiTheme="majorBidi" w:cstheme="majorBidi"/>
          <w:color w:val="auto"/>
        </w:rPr>
        <w:t xml:space="preserve"> and neoplastic hepatitis were 3 (1.9%) and 2 (1.3%), respectively.</w:t>
      </w:r>
    </w:p>
    <w:p w:rsidR="00D041C1" w:rsidRPr="000F3DC9" w:rsidRDefault="00E97603" w:rsidP="000F3DC9">
      <w:pPr>
        <w:pStyle w:val="Default"/>
        <w:spacing w:line="276" w:lineRule="auto"/>
        <w:jc w:val="both"/>
      </w:pPr>
      <w:r w:rsidRPr="000F3DC9">
        <w:rPr>
          <w:rFonts w:asciiTheme="majorBidi" w:hAnsiTheme="majorBidi" w:cstheme="majorBidi"/>
          <w:b/>
          <w:bCs/>
        </w:rPr>
        <w:t>Conclusion</w:t>
      </w:r>
      <w:r w:rsidR="009570E3" w:rsidRPr="000F3DC9">
        <w:rPr>
          <w:rFonts w:asciiTheme="majorBidi" w:hAnsiTheme="majorBidi" w:cstheme="majorBidi"/>
          <w:b/>
          <w:bCs/>
        </w:rPr>
        <w:t xml:space="preserve">: </w:t>
      </w:r>
      <w:r w:rsidR="00733FA5" w:rsidRPr="000F3DC9">
        <w:rPr>
          <w:rFonts w:asciiTheme="majorBidi" w:hAnsiTheme="majorBidi" w:cstheme="majorBidi"/>
        </w:rPr>
        <w:t xml:space="preserve"> </w:t>
      </w:r>
      <w:r w:rsidR="00D041C1" w:rsidRPr="000F3DC9">
        <w:rPr>
          <w:rStyle w:val="y2iqfc"/>
          <w:rFonts w:asciiTheme="majorBidi" w:hAnsiTheme="majorBidi" w:cstheme="majorBidi"/>
          <w:color w:val="auto"/>
        </w:rPr>
        <w:t xml:space="preserve">Our findings show that autoimmune hepatitis was the most common cause among gastrointestinal diseases in Sana'a city, Yemen; The male to female ratio was roughly the same. In light of this, health education and public awareness about hepatitis virus screening tests and schistosomiasis screening and treatment is the primary preventive strategy to be considered. Health education and public awareness about </w:t>
      </w:r>
      <w:r w:rsidR="00D041C1" w:rsidRPr="000F3DC9">
        <w:rPr>
          <w:rStyle w:val="y2iqfc"/>
          <w:rFonts w:asciiTheme="majorBidi" w:hAnsiTheme="majorBidi" w:cstheme="majorBidi"/>
        </w:rPr>
        <w:t xml:space="preserve">hazard of </w:t>
      </w:r>
      <w:r w:rsidR="00D041C1" w:rsidRPr="000F3DC9">
        <w:rPr>
          <w:rStyle w:val="y2iqfc"/>
          <w:rFonts w:asciiTheme="majorBidi" w:hAnsiTheme="majorBidi" w:cstheme="majorBidi"/>
          <w:color w:val="auto"/>
        </w:rPr>
        <w:t>herbal toxicity and self-medication should also be considered.</w:t>
      </w:r>
    </w:p>
    <w:p w:rsidR="00DE2B7C" w:rsidRPr="000F3DC9" w:rsidRDefault="00F83CFC" w:rsidP="000F3DC9">
      <w:pPr>
        <w:pStyle w:val="Default"/>
        <w:spacing w:line="276" w:lineRule="auto"/>
        <w:jc w:val="both"/>
        <w:rPr>
          <w:rStyle w:val="y2iqfc"/>
          <w:rFonts w:asciiTheme="majorBidi" w:hAnsiTheme="majorBidi" w:cstheme="majorBidi"/>
        </w:rPr>
      </w:pPr>
      <w:r w:rsidRPr="000F3DC9">
        <w:rPr>
          <w:rFonts w:asciiTheme="majorBidi" w:eastAsia="Times New Roman" w:hAnsiTheme="majorBidi" w:cstheme="majorBidi"/>
          <w:b/>
          <w:bCs/>
        </w:rPr>
        <w:t>Keywords</w:t>
      </w:r>
      <w:r w:rsidRPr="000F3DC9">
        <w:rPr>
          <w:rFonts w:asciiTheme="majorBidi" w:eastAsia="Times New Roman" w:hAnsiTheme="majorBidi" w:cstheme="majorBidi"/>
        </w:rPr>
        <w:t xml:space="preserve">: </w:t>
      </w:r>
      <w:r w:rsidR="00C232A9" w:rsidRPr="000F3DC9">
        <w:t xml:space="preserve"> </w:t>
      </w:r>
      <w:r w:rsidR="00F518A0" w:rsidRPr="000F3DC9">
        <w:t xml:space="preserve">admissions, </w:t>
      </w:r>
      <w:r w:rsidR="00F518A0" w:rsidRPr="000F3DC9">
        <w:rPr>
          <w:rStyle w:val="y2iqfc"/>
          <w:rFonts w:asciiTheme="majorBidi" w:hAnsiTheme="majorBidi" w:cstheme="majorBidi"/>
        </w:rPr>
        <w:t xml:space="preserve"> etiological factors, </w:t>
      </w:r>
      <w:r w:rsidR="00F518A0" w:rsidRPr="000F3DC9">
        <w:t>liver</w:t>
      </w:r>
      <w:r w:rsidR="00F518A0" w:rsidRPr="000F3DC9">
        <w:rPr>
          <w:rStyle w:val="y2iqfc"/>
          <w:rFonts w:asciiTheme="majorBidi" w:hAnsiTheme="majorBidi" w:cstheme="majorBidi"/>
        </w:rPr>
        <w:t xml:space="preserve"> disease, Sana'a City, tertiary Hospital, Yemen.</w:t>
      </w:r>
    </w:p>
    <w:p w:rsidR="00024906" w:rsidRPr="000F3DC9" w:rsidRDefault="00F518A0" w:rsidP="000F3DC9">
      <w:pPr>
        <w:pStyle w:val="Default"/>
        <w:spacing w:line="276" w:lineRule="auto"/>
        <w:jc w:val="both"/>
        <w:rPr>
          <w:rFonts w:asciiTheme="majorBidi" w:hAnsiTheme="majorBidi" w:cstheme="majorBidi"/>
        </w:rPr>
      </w:pPr>
      <w:r w:rsidRPr="000F3DC9">
        <w:rPr>
          <w:rStyle w:val="y2iqfc"/>
          <w:rFonts w:asciiTheme="majorBidi" w:hAnsiTheme="majorBidi" w:cstheme="majorBidi"/>
        </w:rPr>
        <w:t xml:space="preserve"> </w:t>
      </w:r>
    </w:p>
    <w:p w:rsidR="00143CE6" w:rsidRPr="000F3DC9" w:rsidRDefault="00EB08B1" w:rsidP="000F3DC9">
      <w:pPr>
        <w:jc w:val="both"/>
        <w:rPr>
          <w:rFonts w:asciiTheme="majorBidi" w:hAnsiTheme="majorBidi" w:cstheme="majorBidi"/>
          <w:b/>
          <w:bCs/>
          <w:szCs w:val="24"/>
        </w:rPr>
      </w:pPr>
      <w:r w:rsidRPr="000F3DC9">
        <w:rPr>
          <w:rFonts w:asciiTheme="majorBidi" w:hAnsiTheme="majorBidi" w:cstheme="majorBidi"/>
          <w:b/>
          <w:bCs/>
          <w:szCs w:val="24"/>
        </w:rPr>
        <w:t>INTRODUCTION</w:t>
      </w:r>
    </w:p>
    <w:p w:rsidR="00F65F55" w:rsidRPr="000F3DC9" w:rsidRDefault="001E742C" w:rsidP="000F3DC9">
      <w:pPr>
        <w:pStyle w:val="Default"/>
        <w:spacing w:line="276" w:lineRule="auto"/>
        <w:jc w:val="both"/>
        <w:rPr>
          <w:rFonts w:asciiTheme="majorBidi" w:hAnsiTheme="majorBidi" w:cstheme="majorBidi"/>
          <w:color w:val="auto"/>
        </w:rPr>
      </w:pPr>
      <w:r w:rsidRPr="000F3DC9">
        <w:t xml:space="preserve"> </w:t>
      </w:r>
      <w:r w:rsidR="003F184B" w:rsidRPr="000F3DC9">
        <w:t xml:space="preserve">   </w:t>
      </w:r>
      <w:r w:rsidR="007075F7" w:rsidRPr="000F3DC9">
        <w:rPr>
          <w:rStyle w:val="y2iqfc"/>
          <w:rFonts w:asciiTheme="majorBidi" w:hAnsiTheme="majorBidi" w:cstheme="majorBidi"/>
          <w:color w:val="auto"/>
        </w:rPr>
        <w:t xml:space="preserve">Liver disease produces significant public health problems with poor long-term clinical outcomes, comprising  premature deaths from cirrhosis, liver failure, , and hepatocellular carcinoma worldwide </w:t>
      </w:r>
      <w:r w:rsidR="007075F7" w:rsidRPr="000F3DC9">
        <w:rPr>
          <w:rStyle w:val="y2iqfc"/>
          <w:rFonts w:asciiTheme="majorBidi" w:hAnsiTheme="majorBidi" w:cstheme="majorBidi"/>
          <w:color w:val="auto"/>
          <w:vertAlign w:val="superscript"/>
        </w:rPr>
        <w:t>1</w:t>
      </w:r>
      <w:r w:rsidR="007075F7" w:rsidRPr="000F3DC9">
        <w:rPr>
          <w:rStyle w:val="y2iqfc"/>
          <w:rFonts w:asciiTheme="majorBidi" w:hAnsiTheme="majorBidi" w:cstheme="majorBidi"/>
          <w:color w:val="auto"/>
        </w:rPr>
        <w:t>. Knowledge of the liver disease pattern is useful, not only in shaping health policies</w:t>
      </w:r>
      <w:r w:rsidR="003F184B" w:rsidRPr="000F3DC9">
        <w:rPr>
          <w:rStyle w:val="y2iqfc"/>
          <w:rFonts w:asciiTheme="majorBidi" w:hAnsiTheme="majorBidi" w:cstheme="majorBidi"/>
          <w:color w:val="auto"/>
        </w:rPr>
        <w:t>, research</w:t>
      </w:r>
      <w:r w:rsidR="007075F7" w:rsidRPr="000F3DC9">
        <w:rPr>
          <w:rStyle w:val="y2iqfc"/>
          <w:rFonts w:asciiTheme="majorBidi" w:hAnsiTheme="majorBidi" w:cstheme="majorBidi"/>
          <w:color w:val="auto"/>
        </w:rPr>
        <w:t xml:space="preserve"> and prioritizing health interventions, </w:t>
      </w:r>
      <w:r w:rsidR="003F184B" w:rsidRPr="000F3DC9">
        <w:rPr>
          <w:rStyle w:val="y2iqfc"/>
          <w:rFonts w:asciiTheme="majorBidi" w:hAnsiTheme="majorBidi" w:cstheme="majorBidi"/>
          <w:color w:val="auto"/>
        </w:rPr>
        <w:t xml:space="preserve">on the contrary </w:t>
      </w:r>
      <w:r w:rsidR="007075F7" w:rsidRPr="000F3DC9">
        <w:rPr>
          <w:rStyle w:val="y2iqfc"/>
          <w:rFonts w:asciiTheme="majorBidi" w:hAnsiTheme="majorBidi" w:cstheme="majorBidi"/>
          <w:color w:val="auto"/>
        </w:rPr>
        <w:t xml:space="preserve">may also help in planning the </w:t>
      </w:r>
      <w:r w:rsidR="003F184B" w:rsidRPr="000F3DC9">
        <w:rPr>
          <w:rStyle w:val="y2iqfc"/>
          <w:rFonts w:asciiTheme="majorBidi" w:hAnsiTheme="majorBidi" w:cstheme="majorBidi"/>
          <w:color w:val="auto"/>
        </w:rPr>
        <w:t xml:space="preserve">organization </w:t>
      </w:r>
      <w:r w:rsidR="007075F7" w:rsidRPr="000F3DC9">
        <w:rPr>
          <w:rStyle w:val="y2iqfc"/>
          <w:rFonts w:asciiTheme="majorBidi" w:hAnsiTheme="majorBidi" w:cstheme="majorBidi"/>
          <w:color w:val="auto"/>
        </w:rPr>
        <w:t xml:space="preserve">and activities of gastroenterology units to provide better and </w:t>
      </w:r>
      <w:r w:rsidR="003F184B" w:rsidRPr="000F3DC9">
        <w:rPr>
          <w:rStyle w:val="y2iqfc"/>
          <w:rFonts w:asciiTheme="majorBidi" w:hAnsiTheme="majorBidi" w:cstheme="majorBidi"/>
          <w:color w:val="auto"/>
        </w:rPr>
        <w:t xml:space="preserve">effectual </w:t>
      </w:r>
      <w:r w:rsidR="007075F7" w:rsidRPr="000F3DC9">
        <w:rPr>
          <w:rStyle w:val="y2iqfc"/>
          <w:rFonts w:asciiTheme="majorBidi" w:hAnsiTheme="majorBidi" w:cstheme="majorBidi"/>
          <w:color w:val="auto"/>
        </w:rPr>
        <w:t>patient care.</w:t>
      </w:r>
      <w:r w:rsidR="00930E70" w:rsidRPr="000F3DC9">
        <w:rPr>
          <w:rStyle w:val="y2iqfc"/>
          <w:rFonts w:asciiTheme="majorBidi" w:hAnsiTheme="majorBidi" w:cstheme="majorBidi"/>
          <w:color w:val="auto"/>
        </w:rPr>
        <w:t xml:space="preserve"> </w:t>
      </w:r>
      <w:r w:rsidR="007B6A12" w:rsidRPr="000F3DC9">
        <w:rPr>
          <w:rStyle w:val="y2iqfc"/>
          <w:rFonts w:asciiTheme="majorBidi" w:hAnsiTheme="majorBidi" w:cstheme="majorBidi"/>
          <w:color w:val="auto"/>
        </w:rPr>
        <w:t>M</w:t>
      </w:r>
      <w:r w:rsidR="003F184B" w:rsidRPr="000F3DC9">
        <w:rPr>
          <w:rStyle w:val="y2iqfc"/>
          <w:rFonts w:asciiTheme="majorBidi" w:hAnsiTheme="majorBidi" w:cstheme="majorBidi"/>
          <w:color w:val="auto"/>
        </w:rPr>
        <w:t xml:space="preserve">ostly; </w:t>
      </w:r>
      <w:r w:rsidR="007B6A12" w:rsidRPr="000F3DC9">
        <w:rPr>
          <w:rStyle w:val="y2iqfc"/>
          <w:rFonts w:asciiTheme="majorBidi" w:hAnsiTheme="majorBidi" w:cstheme="majorBidi"/>
          <w:color w:val="auto"/>
        </w:rPr>
        <w:t>a</w:t>
      </w:r>
      <w:r w:rsidR="003F184B" w:rsidRPr="000F3DC9">
        <w:rPr>
          <w:rStyle w:val="y2iqfc"/>
          <w:rFonts w:asciiTheme="majorBidi" w:hAnsiTheme="majorBidi" w:cstheme="majorBidi"/>
          <w:color w:val="auto"/>
        </w:rPr>
        <w:t xml:space="preserve">ffected </w:t>
      </w:r>
      <w:r w:rsidR="007B6A12" w:rsidRPr="000F3DC9">
        <w:rPr>
          <w:rStyle w:val="y2iqfc"/>
          <w:rFonts w:asciiTheme="majorBidi" w:hAnsiTheme="majorBidi" w:cstheme="majorBidi"/>
          <w:color w:val="auto"/>
        </w:rPr>
        <w:t xml:space="preserve">persons </w:t>
      </w:r>
      <w:r w:rsidR="003F184B" w:rsidRPr="000F3DC9">
        <w:rPr>
          <w:rStyle w:val="y2iqfc"/>
          <w:rFonts w:asciiTheme="majorBidi" w:hAnsiTheme="majorBidi" w:cstheme="majorBidi"/>
          <w:color w:val="auto"/>
        </w:rPr>
        <w:t xml:space="preserve">are asymptomatic for an extended period of time, which makes it extremely difficult to establish accurate data on incidence and prevalence in the </w:t>
      </w:r>
      <w:r w:rsidR="007B6A12" w:rsidRPr="000F3DC9">
        <w:rPr>
          <w:rStyle w:val="y2iqfc"/>
          <w:rFonts w:asciiTheme="majorBidi" w:hAnsiTheme="majorBidi" w:cstheme="majorBidi"/>
        </w:rPr>
        <w:t xml:space="preserve">common </w:t>
      </w:r>
      <w:r w:rsidR="003F184B" w:rsidRPr="000F3DC9">
        <w:rPr>
          <w:rStyle w:val="y2iqfc"/>
          <w:rFonts w:asciiTheme="majorBidi" w:hAnsiTheme="majorBidi" w:cstheme="majorBidi"/>
          <w:color w:val="auto"/>
        </w:rPr>
        <w:t>population. The liver disease</w:t>
      </w:r>
      <w:r w:rsidR="007B6A12" w:rsidRPr="000F3DC9">
        <w:rPr>
          <w:rStyle w:val="y2iqfc"/>
          <w:rFonts w:asciiTheme="majorBidi" w:hAnsiTheme="majorBidi" w:cstheme="majorBidi"/>
        </w:rPr>
        <w:t xml:space="preserve"> pattern</w:t>
      </w:r>
      <w:r w:rsidR="003F184B" w:rsidRPr="000F3DC9">
        <w:rPr>
          <w:rStyle w:val="y2iqfc"/>
          <w:rFonts w:asciiTheme="majorBidi" w:hAnsiTheme="majorBidi" w:cstheme="majorBidi"/>
          <w:color w:val="auto"/>
        </w:rPr>
        <w:t xml:space="preserve"> varies across geographic locations. Worldwide</w:t>
      </w:r>
      <w:r w:rsidR="007B6A12" w:rsidRPr="000F3DC9">
        <w:rPr>
          <w:rStyle w:val="y2iqfc"/>
          <w:rFonts w:asciiTheme="majorBidi" w:hAnsiTheme="majorBidi" w:cstheme="majorBidi"/>
        </w:rPr>
        <w:t xml:space="preserve">, eight hundred and forty-four </w:t>
      </w:r>
      <w:r w:rsidR="003F184B" w:rsidRPr="000F3DC9">
        <w:rPr>
          <w:rStyle w:val="y2iqfc"/>
          <w:rFonts w:asciiTheme="majorBidi" w:hAnsiTheme="majorBidi" w:cstheme="majorBidi"/>
          <w:color w:val="auto"/>
        </w:rPr>
        <w:t>million</w:t>
      </w:r>
      <w:r w:rsidR="007B6A12" w:rsidRPr="000F3DC9">
        <w:rPr>
          <w:rStyle w:val="y2iqfc"/>
          <w:rFonts w:asciiTheme="majorBidi" w:hAnsiTheme="majorBidi" w:cstheme="majorBidi"/>
        </w:rPr>
        <w:t>s</w:t>
      </w:r>
      <w:r w:rsidR="003F184B" w:rsidRPr="000F3DC9">
        <w:rPr>
          <w:rStyle w:val="y2iqfc"/>
          <w:rFonts w:asciiTheme="majorBidi" w:hAnsiTheme="majorBidi" w:cstheme="majorBidi"/>
          <w:color w:val="auto"/>
        </w:rPr>
        <w:t xml:space="preserve"> </w:t>
      </w:r>
      <w:r w:rsidR="007B6A12" w:rsidRPr="000F3DC9">
        <w:rPr>
          <w:rStyle w:val="y2iqfc"/>
          <w:rFonts w:asciiTheme="majorBidi" w:hAnsiTheme="majorBidi" w:cstheme="majorBidi"/>
        </w:rPr>
        <w:t xml:space="preserve">persons </w:t>
      </w:r>
      <w:r w:rsidR="003F184B" w:rsidRPr="000F3DC9">
        <w:rPr>
          <w:rStyle w:val="y2iqfc"/>
          <w:rFonts w:asciiTheme="majorBidi" w:hAnsiTheme="majorBidi" w:cstheme="majorBidi"/>
          <w:color w:val="auto"/>
        </w:rPr>
        <w:t xml:space="preserve">suffer from chronic liver disease (CLD) </w:t>
      </w:r>
      <w:r w:rsidR="007B6A12" w:rsidRPr="000F3DC9">
        <w:rPr>
          <w:rStyle w:val="y2iqfc"/>
          <w:rFonts w:asciiTheme="majorBidi" w:hAnsiTheme="majorBidi" w:cstheme="majorBidi"/>
        </w:rPr>
        <w:t xml:space="preserve">as well as </w:t>
      </w:r>
      <w:r w:rsidR="003F184B" w:rsidRPr="000F3DC9">
        <w:rPr>
          <w:rStyle w:val="y2iqfc"/>
          <w:rFonts w:asciiTheme="majorBidi" w:hAnsiTheme="majorBidi" w:cstheme="majorBidi"/>
          <w:color w:val="auto"/>
        </w:rPr>
        <w:t>a mortality rate of 2 million annually</w:t>
      </w:r>
      <w:r w:rsidR="003F184B" w:rsidRPr="000F3DC9">
        <w:rPr>
          <w:rStyle w:val="y2iqfc"/>
          <w:rFonts w:asciiTheme="majorBidi" w:hAnsiTheme="majorBidi" w:cstheme="majorBidi"/>
          <w:color w:val="auto"/>
          <w:vertAlign w:val="superscript"/>
        </w:rPr>
        <w:t>2, 3</w:t>
      </w:r>
      <w:r w:rsidR="003F184B" w:rsidRPr="000F3DC9">
        <w:rPr>
          <w:rStyle w:val="y2iqfc"/>
          <w:rFonts w:asciiTheme="majorBidi" w:hAnsiTheme="majorBidi" w:cstheme="majorBidi"/>
          <w:color w:val="auto"/>
        </w:rPr>
        <w:t>.</w:t>
      </w:r>
      <w:r w:rsidR="00C34067" w:rsidRPr="000F3DC9">
        <w:rPr>
          <w:rStyle w:val="y2iqfc"/>
          <w:rFonts w:asciiTheme="majorBidi" w:hAnsiTheme="majorBidi" w:cstheme="majorBidi"/>
          <w:color w:val="auto"/>
        </w:rPr>
        <w:t xml:space="preserve"> </w:t>
      </w:r>
      <w:r w:rsidR="009009D0" w:rsidRPr="000F3DC9">
        <w:rPr>
          <w:rStyle w:val="y2iqfc"/>
          <w:rFonts w:asciiTheme="majorBidi" w:hAnsiTheme="majorBidi" w:cstheme="majorBidi"/>
          <w:color w:val="auto"/>
        </w:rPr>
        <w:t>The leading causes of disease and death for liver disease worldwide, consisting of hepatitis B virus (HBV) and hepatitis C virus (HCV) infection, nonalcoholic fatty liver disease (NAFLD)</w:t>
      </w:r>
      <w:r w:rsidR="009009D0" w:rsidRPr="000F3DC9">
        <w:rPr>
          <w:rStyle w:val="y2iqfc"/>
          <w:rFonts w:asciiTheme="majorBidi" w:hAnsiTheme="majorBidi" w:cstheme="majorBidi"/>
        </w:rPr>
        <w:t>,</w:t>
      </w:r>
      <w:r w:rsidR="009009D0" w:rsidRPr="000F3DC9">
        <w:rPr>
          <w:rStyle w:val="y2iqfc"/>
          <w:rFonts w:asciiTheme="majorBidi" w:hAnsiTheme="majorBidi" w:cstheme="majorBidi"/>
          <w:color w:val="auto"/>
        </w:rPr>
        <w:t xml:space="preserve"> alcoholic liver disease (ALD), liver failure (LF) and associated cirrhosis, and hepatocellular carcinoma (HCC)</w:t>
      </w:r>
      <w:r w:rsidR="009009D0" w:rsidRPr="000F3DC9">
        <w:rPr>
          <w:rStyle w:val="y2iqfc"/>
          <w:rFonts w:asciiTheme="majorBidi" w:hAnsiTheme="majorBidi" w:cstheme="majorBidi"/>
        </w:rPr>
        <w:t xml:space="preserve"> </w:t>
      </w:r>
      <w:r w:rsidR="009009D0" w:rsidRPr="000F3DC9">
        <w:rPr>
          <w:rStyle w:val="y2iqfc"/>
          <w:rFonts w:asciiTheme="majorBidi" w:hAnsiTheme="majorBidi" w:cstheme="majorBidi"/>
          <w:color w:val="auto"/>
          <w:vertAlign w:val="superscript"/>
        </w:rPr>
        <w:t>1,3</w:t>
      </w:r>
      <w:r w:rsidR="009009D0" w:rsidRPr="000F3DC9">
        <w:rPr>
          <w:rStyle w:val="y2iqfc"/>
          <w:rFonts w:asciiTheme="majorBidi" w:hAnsiTheme="majorBidi" w:cstheme="majorBidi"/>
          <w:color w:val="auto"/>
        </w:rPr>
        <w:t>.</w:t>
      </w:r>
      <w:r w:rsidR="009009D0" w:rsidRPr="000F3DC9">
        <w:rPr>
          <w:rStyle w:val="y2iqfc"/>
          <w:rFonts w:asciiTheme="majorBidi" w:hAnsiTheme="majorBidi" w:cstheme="majorBidi"/>
        </w:rPr>
        <w:t xml:space="preserve"> In addition, </w:t>
      </w:r>
      <w:r w:rsidR="009009D0" w:rsidRPr="000F3DC9">
        <w:rPr>
          <w:rStyle w:val="y2iqfc"/>
          <w:rFonts w:asciiTheme="majorBidi" w:hAnsiTheme="majorBidi" w:cstheme="majorBidi"/>
          <w:color w:val="auto"/>
        </w:rPr>
        <w:t>HCC is</w:t>
      </w:r>
      <w:r w:rsidR="009009D0" w:rsidRPr="000F3DC9">
        <w:rPr>
          <w:rStyle w:val="y2iqfc"/>
          <w:rFonts w:asciiTheme="majorBidi" w:hAnsiTheme="majorBidi" w:cstheme="majorBidi"/>
        </w:rPr>
        <w:t xml:space="preserve"> recognized as </w:t>
      </w:r>
      <w:r w:rsidR="009009D0" w:rsidRPr="000F3DC9">
        <w:rPr>
          <w:rStyle w:val="y2iqfc"/>
          <w:rFonts w:asciiTheme="majorBidi" w:hAnsiTheme="majorBidi" w:cstheme="majorBidi"/>
          <w:color w:val="auto"/>
        </w:rPr>
        <w:t xml:space="preserve">the fourth most common cause of cancer-related death worldwide. More than 80% of HCC cases occur in low- and medium-resourced countries, particularly in </w:t>
      </w:r>
      <w:r w:rsidR="00C34067" w:rsidRPr="000F3DC9">
        <w:rPr>
          <w:rStyle w:val="y2iqfc"/>
          <w:rFonts w:asciiTheme="majorBidi" w:hAnsiTheme="majorBidi" w:cstheme="majorBidi"/>
        </w:rPr>
        <w:t xml:space="preserve">Middle East countries as Yemen, </w:t>
      </w:r>
      <w:r w:rsidR="009009D0" w:rsidRPr="000F3DC9">
        <w:rPr>
          <w:rStyle w:val="y2iqfc"/>
          <w:rFonts w:asciiTheme="majorBidi" w:hAnsiTheme="majorBidi" w:cstheme="majorBidi"/>
          <w:color w:val="auto"/>
        </w:rPr>
        <w:t>Sub-Saharan Africa</w:t>
      </w:r>
      <w:r w:rsidR="00C34067" w:rsidRPr="000F3DC9">
        <w:rPr>
          <w:rStyle w:val="y2iqfc"/>
          <w:rFonts w:asciiTheme="majorBidi" w:hAnsiTheme="majorBidi" w:cstheme="majorBidi"/>
        </w:rPr>
        <w:t xml:space="preserve"> and </w:t>
      </w:r>
      <w:r w:rsidR="00C34067" w:rsidRPr="000F3DC9">
        <w:rPr>
          <w:rStyle w:val="y2iqfc"/>
          <w:rFonts w:asciiTheme="majorBidi" w:hAnsiTheme="majorBidi" w:cstheme="majorBidi"/>
          <w:color w:val="auto"/>
        </w:rPr>
        <w:t>East Asia</w:t>
      </w:r>
      <w:r w:rsidR="00C34067" w:rsidRPr="000F3DC9">
        <w:rPr>
          <w:rStyle w:val="y2iqfc"/>
          <w:rFonts w:asciiTheme="majorBidi" w:hAnsiTheme="majorBidi" w:cstheme="majorBidi"/>
        </w:rPr>
        <w:t>;</w:t>
      </w:r>
      <w:r w:rsidR="009009D0" w:rsidRPr="000F3DC9">
        <w:rPr>
          <w:rStyle w:val="y2iqfc"/>
          <w:rFonts w:asciiTheme="majorBidi" w:hAnsiTheme="majorBidi" w:cstheme="majorBidi"/>
          <w:color w:val="auto"/>
        </w:rPr>
        <w:t xml:space="preserve"> where </w:t>
      </w:r>
      <w:r w:rsidR="00C34067" w:rsidRPr="000F3DC9">
        <w:rPr>
          <w:rStyle w:val="y2iqfc"/>
          <w:rFonts w:asciiTheme="majorBidi" w:hAnsiTheme="majorBidi" w:cstheme="majorBidi"/>
        </w:rPr>
        <w:t xml:space="preserve">social and </w:t>
      </w:r>
      <w:r w:rsidR="009009D0" w:rsidRPr="000F3DC9">
        <w:rPr>
          <w:rStyle w:val="y2iqfc"/>
          <w:rFonts w:asciiTheme="majorBidi" w:hAnsiTheme="majorBidi" w:cstheme="majorBidi"/>
          <w:color w:val="auto"/>
        </w:rPr>
        <w:t xml:space="preserve">medical care </w:t>
      </w:r>
      <w:r w:rsidR="00C34067" w:rsidRPr="000F3DC9">
        <w:rPr>
          <w:rStyle w:val="y2iqfc"/>
          <w:rFonts w:asciiTheme="majorBidi" w:hAnsiTheme="majorBidi" w:cstheme="majorBidi"/>
        </w:rPr>
        <w:t xml:space="preserve">funds </w:t>
      </w:r>
      <w:r w:rsidR="009009D0" w:rsidRPr="000F3DC9">
        <w:rPr>
          <w:rStyle w:val="y2iqfc"/>
          <w:rFonts w:asciiTheme="majorBidi" w:hAnsiTheme="majorBidi" w:cstheme="majorBidi"/>
          <w:color w:val="auto"/>
        </w:rPr>
        <w:t xml:space="preserve">are often limited </w:t>
      </w:r>
      <w:r w:rsidR="009009D0" w:rsidRPr="000F3DC9">
        <w:rPr>
          <w:rStyle w:val="y2iqfc"/>
          <w:rFonts w:asciiTheme="majorBidi" w:hAnsiTheme="majorBidi" w:cstheme="majorBidi"/>
          <w:color w:val="auto"/>
          <w:vertAlign w:val="superscript"/>
        </w:rPr>
        <w:t>4</w:t>
      </w:r>
      <w:r w:rsidR="009009D0" w:rsidRPr="000F3DC9">
        <w:rPr>
          <w:rStyle w:val="y2iqfc"/>
          <w:rFonts w:asciiTheme="majorBidi" w:hAnsiTheme="majorBidi" w:cstheme="majorBidi"/>
          <w:color w:val="auto"/>
        </w:rPr>
        <w:t>.</w:t>
      </w:r>
      <w:r w:rsidR="00C50305" w:rsidRPr="000F3DC9">
        <w:rPr>
          <w:rFonts w:asciiTheme="majorBidi" w:hAnsiTheme="majorBidi" w:cstheme="majorBidi"/>
          <w:color w:val="auto"/>
        </w:rPr>
        <w:t xml:space="preserve"> </w:t>
      </w:r>
      <w:r w:rsidR="00CC07A6" w:rsidRPr="000F3DC9">
        <w:rPr>
          <w:rStyle w:val="y2iqfc"/>
          <w:rFonts w:asciiTheme="majorBidi" w:hAnsiTheme="majorBidi" w:cstheme="majorBidi"/>
          <w:color w:val="auto"/>
        </w:rPr>
        <w:t xml:space="preserve">Hepatitis </w:t>
      </w:r>
      <w:r w:rsidR="00CC07A6" w:rsidRPr="000F3DC9">
        <w:rPr>
          <w:rStyle w:val="y2iqfc"/>
          <w:rFonts w:asciiTheme="majorBidi" w:hAnsiTheme="majorBidi" w:cstheme="majorBidi"/>
        </w:rPr>
        <w:t>B</w:t>
      </w:r>
      <w:r w:rsidR="00CC07A6" w:rsidRPr="000F3DC9">
        <w:rPr>
          <w:rStyle w:val="y2iqfc"/>
          <w:rFonts w:asciiTheme="majorBidi" w:hAnsiTheme="majorBidi" w:cstheme="majorBidi"/>
          <w:color w:val="auto"/>
        </w:rPr>
        <w:t xml:space="preserve"> infection </w:t>
      </w:r>
      <w:r w:rsidR="00F22A38" w:rsidRPr="000F3DC9">
        <w:rPr>
          <w:rStyle w:val="y2iqfc"/>
          <w:rFonts w:asciiTheme="majorBidi" w:hAnsiTheme="majorBidi" w:cstheme="majorBidi"/>
        </w:rPr>
        <w:t xml:space="preserve">involves </w:t>
      </w:r>
      <w:r w:rsidR="00CC07A6" w:rsidRPr="000F3DC9">
        <w:rPr>
          <w:rStyle w:val="y2iqfc"/>
          <w:rFonts w:asciiTheme="majorBidi" w:hAnsiTheme="majorBidi" w:cstheme="majorBidi"/>
          <w:color w:val="auto"/>
        </w:rPr>
        <w:t>at least two billion people worldwide; Of these, 350-400 million are chronic hepatitis B virus carriers</w:t>
      </w:r>
      <w:r w:rsidR="00CC07A6" w:rsidRPr="000F3DC9">
        <w:rPr>
          <w:rStyle w:val="y2iqfc"/>
          <w:rFonts w:asciiTheme="majorBidi" w:hAnsiTheme="majorBidi" w:cstheme="majorBidi"/>
          <w:color w:val="auto"/>
          <w:vertAlign w:val="superscript"/>
        </w:rPr>
        <w:t>1</w:t>
      </w:r>
      <w:r w:rsidR="00CC07A6" w:rsidRPr="000F3DC9">
        <w:rPr>
          <w:rStyle w:val="y2iqfc"/>
          <w:rFonts w:asciiTheme="majorBidi" w:hAnsiTheme="majorBidi" w:cstheme="majorBidi"/>
          <w:color w:val="auto"/>
        </w:rPr>
        <w:t xml:space="preserve">. </w:t>
      </w:r>
      <w:r w:rsidR="00F22A38" w:rsidRPr="000F3DC9">
        <w:rPr>
          <w:rFonts w:asciiTheme="majorBidi" w:hAnsiTheme="majorBidi" w:cstheme="majorBidi"/>
          <w:color w:val="auto"/>
        </w:rPr>
        <w:t>The contribution of non-alcoholic fatty liver disease as an important etiology</w:t>
      </w:r>
      <w:r w:rsidR="00F22A38" w:rsidRPr="000F3DC9">
        <w:rPr>
          <w:rFonts w:asciiTheme="majorBidi" w:hAnsiTheme="majorBidi" w:cstheme="majorBidi"/>
        </w:rPr>
        <w:t xml:space="preserve"> of liver diseases </w:t>
      </w:r>
      <w:r w:rsidR="00F22A38" w:rsidRPr="000F3DC9">
        <w:rPr>
          <w:rFonts w:asciiTheme="majorBidi" w:hAnsiTheme="majorBidi" w:cstheme="majorBidi"/>
          <w:color w:val="auto"/>
        </w:rPr>
        <w:t xml:space="preserve">should also be considered;  if obesity is used as a substitute marker. </w:t>
      </w:r>
      <w:r w:rsidR="00CC07A6" w:rsidRPr="000F3DC9">
        <w:rPr>
          <w:rStyle w:val="y2iqfc"/>
          <w:rFonts w:asciiTheme="majorBidi" w:hAnsiTheme="majorBidi" w:cstheme="majorBidi"/>
          <w:color w:val="auto"/>
        </w:rPr>
        <w:t xml:space="preserve">Early malnutrition and stunted growth are associated with a </w:t>
      </w:r>
      <w:r w:rsidR="00F22A38" w:rsidRPr="000F3DC9">
        <w:rPr>
          <w:rStyle w:val="y2iqfc"/>
          <w:rFonts w:asciiTheme="majorBidi" w:hAnsiTheme="majorBidi" w:cstheme="majorBidi"/>
          <w:color w:val="auto"/>
        </w:rPr>
        <w:t xml:space="preserve">raised </w:t>
      </w:r>
      <w:r w:rsidR="00CC07A6" w:rsidRPr="000F3DC9">
        <w:rPr>
          <w:rStyle w:val="y2iqfc"/>
          <w:rFonts w:asciiTheme="majorBidi" w:hAnsiTheme="majorBidi" w:cstheme="majorBidi"/>
          <w:color w:val="auto"/>
        </w:rPr>
        <w:t>risk of metabolic syndrome, and this is exacerbated by increased urbanization in adult life and the associat</w:t>
      </w:r>
      <w:r w:rsidR="00F22A38" w:rsidRPr="000F3DC9">
        <w:rPr>
          <w:rStyle w:val="y2iqfc"/>
          <w:rFonts w:asciiTheme="majorBidi" w:hAnsiTheme="majorBidi" w:cstheme="majorBidi"/>
          <w:color w:val="auto"/>
        </w:rPr>
        <w:t>ion</w:t>
      </w:r>
      <w:r w:rsidR="00CC07A6" w:rsidRPr="000F3DC9">
        <w:rPr>
          <w:rStyle w:val="y2iqfc"/>
          <w:rFonts w:asciiTheme="majorBidi" w:hAnsiTheme="majorBidi" w:cstheme="majorBidi"/>
          <w:color w:val="auto"/>
        </w:rPr>
        <w:t xml:space="preserve"> change from the traditional high-fiber diet to the Western diet rich in calories, animal protein and</w:t>
      </w:r>
      <w:r w:rsidR="00F22A38" w:rsidRPr="000F3DC9">
        <w:rPr>
          <w:rStyle w:val="y2iqfc"/>
          <w:rFonts w:asciiTheme="majorBidi" w:hAnsiTheme="majorBidi" w:cstheme="majorBidi"/>
          <w:color w:val="auto"/>
        </w:rPr>
        <w:t xml:space="preserve"> sugars and saturated fat</w:t>
      </w:r>
      <w:r w:rsidR="00CC07A6" w:rsidRPr="000F3DC9">
        <w:rPr>
          <w:rStyle w:val="y2iqfc"/>
          <w:rFonts w:asciiTheme="majorBidi" w:hAnsiTheme="majorBidi" w:cstheme="majorBidi"/>
          <w:color w:val="auto"/>
        </w:rPr>
        <w:t xml:space="preserve">. There is </w:t>
      </w:r>
      <w:r w:rsidR="00C50305" w:rsidRPr="000F3DC9">
        <w:rPr>
          <w:rStyle w:val="y2iqfc"/>
          <w:rFonts w:asciiTheme="majorBidi" w:hAnsiTheme="majorBidi" w:cstheme="majorBidi"/>
          <w:color w:val="auto"/>
        </w:rPr>
        <w:t xml:space="preserve">furthermore </w:t>
      </w:r>
      <w:r w:rsidR="00CC07A6" w:rsidRPr="000F3DC9">
        <w:rPr>
          <w:rStyle w:val="y2iqfc"/>
          <w:rFonts w:asciiTheme="majorBidi" w:hAnsiTheme="majorBidi" w:cstheme="majorBidi"/>
          <w:color w:val="auto"/>
        </w:rPr>
        <w:t xml:space="preserve">an increase in the </w:t>
      </w:r>
      <w:r w:rsidR="00C50305" w:rsidRPr="000F3DC9">
        <w:rPr>
          <w:rStyle w:val="y2iqfc"/>
          <w:rFonts w:asciiTheme="majorBidi" w:hAnsiTheme="majorBidi" w:cstheme="majorBidi"/>
          <w:color w:val="auto"/>
        </w:rPr>
        <w:t>accessibility to</w:t>
      </w:r>
      <w:r w:rsidR="00CC07A6" w:rsidRPr="000F3DC9">
        <w:rPr>
          <w:rStyle w:val="y2iqfc"/>
          <w:rFonts w:asciiTheme="majorBidi" w:hAnsiTheme="majorBidi" w:cstheme="majorBidi"/>
          <w:color w:val="auto"/>
        </w:rPr>
        <w:t xml:space="preserve"> fast foods and soft drinks along with a decrease in physical activity</w:t>
      </w:r>
      <w:r w:rsidR="00CC07A6" w:rsidRPr="000F3DC9">
        <w:rPr>
          <w:rStyle w:val="y2iqfc"/>
          <w:rFonts w:asciiTheme="majorBidi" w:hAnsiTheme="majorBidi" w:cstheme="majorBidi"/>
          <w:color w:val="auto"/>
          <w:vertAlign w:val="superscript"/>
        </w:rPr>
        <w:t>5</w:t>
      </w:r>
      <w:r w:rsidR="00CC07A6" w:rsidRPr="000F3DC9">
        <w:rPr>
          <w:rStyle w:val="y2iqfc"/>
          <w:rFonts w:asciiTheme="majorBidi" w:hAnsiTheme="majorBidi" w:cstheme="majorBidi"/>
          <w:color w:val="auto"/>
        </w:rPr>
        <w:t>.</w:t>
      </w:r>
    </w:p>
    <w:p w:rsidR="001B4F78" w:rsidRPr="000F3DC9" w:rsidRDefault="00F65F55"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   </w:t>
      </w:r>
      <w:r w:rsidR="001B4F78" w:rsidRPr="000F3DC9">
        <w:rPr>
          <w:rStyle w:val="y2iqfc"/>
          <w:rFonts w:asciiTheme="majorBidi" w:hAnsiTheme="majorBidi" w:cstheme="majorBidi"/>
          <w:color w:val="auto"/>
        </w:rPr>
        <w:t>There is a dearth of data on the causes and pattern of liver disease in Yemen and most of the published studies and reports provide information on the epidemiology of viral hepatitis</w:t>
      </w:r>
      <w:r w:rsidR="001B4F78" w:rsidRPr="000F3DC9">
        <w:rPr>
          <w:rStyle w:val="y2iqfc"/>
          <w:rFonts w:asciiTheme="majorBidi" w:hAnsiTheme="majorBidi" w:cstheme="majorBidi"/>
          <w:color w:val="auto"/>
          <w:vertAlign w:val="superscript"/>
        </w:rPr>
        <w:t>6-22</w:t>
      </w:r>
      <w:r w:rsidR="001B4F78" w:rsidRPr="000F3DC9">
        <w:rPr>
          <w:rStyle w:val="y2iqfc"/>
          <w:rFonts w:asciiTheme="majorBidi" w:hAnsiTheme="majorBidi" w:cstheme="majorBidi"/>
          <w:color w:val="auto"/>
        </w:rPr>
        <w:t xml:space="preserve">, but </w:t>
      </w:r>
      <w:r w:rsidRPr="000F3DC9">
        <w:rPr>
          <w:rStyle w:val="y2iqfc"/>
          <w:rFonts w:asciiTheme="majorBidi" w:hAnsiTheme="majorBidi" w:cstheme="majorBidi"/>
          <w:color w:val="auto"/>
        </w:rPr>
        <w:t>not on liver disease in general</w:t>
      </w:r>
      <w:r w:rsidR="001B4F78" w:rsidRPr="000F3DC9">
        <w:rPr>
          <w:rStyle w:val="y2iqfc"/>
          <w:rFonts w:asciiTheme="majorBidi" w:hAnsiTheme="majorBidi" w:cstheme="majorBidi"/>
          <w:color w:val="auto"/>
        </w:rPr>
        <w:t xml:space="preserve">. Thus, this study will provide information we need in the treatment of liver disease and its consequences. This data is essential for health planners and caregivers to guide prevention, control, and treatment policies. Also, this study will highlight an important opportunity to improve overall health given that most causes of liver disease are preventable. Therefore, the aim of this study is to ascertain the hypothetical frequencies of liver diseases and to assess the etiological factors among patients admitted to Al-Thawra </w:t>
      </w:r>
      <w:r w:rsidRPr="000F3DC9">
        <w:rPr>
          <w:rStyle w:val="y2iqfc"/>
          <w:rFonts w:asciiTheme="majorBidi" w:hAnsiTheme="majorBidi" w:cstheme="majorBidi"/>
        </w:rPr>
        <w:t>tertiary</w:t>
      </w:r>
      <w:r w:rsidRPr="000F3DC9">
        <w:rPr>
          <w:rStyle w:val="y2iqfc"/>
          <w:rFonts w:asciiTheme="majorBidi" w:hAnsiTheme="majorBidi" w:cstheme="majorBidi"/>
          <w:color w:val="auto"/>
        </w:rPr>
        <w:t xml:space="preserve"> </w:t>
      </w:r>
      <w:r w:rsidR="001B4F78" w:rsidRPr="000F3DC9">
        <w:rPr>
          <w:rStyle w:val="y2iqfc"/>
          <w:rFonts w:asciiTheme="majorBidi" w:hAnsiTheme="majorBidi" w:cstheme="majorBidi"/>
          <w:color w:val="auto"/>
        </w:rPr>
        <w:t>Hospital in Sana'a City, Yemen.</w:t>
      </w:r>
    </w:p>
    <w:p w:rsidR="00BC1F98" w:rsidRPr="000F3DC9" w:rsidRDefault="0079450D" w:rsidP="000F3DC9">
      <w:pPr>
        <w:jc w:val="both"/>
        <w:rPr>
          <w:rFonts w:asciiTheme="majorBidi" w:hAnsiTheme="majorBidi" w:cstheme="majorBidi"/>
          <w:b/>
          <w:bCs/>
          <w:szCs w:val="24"/>
          <w:rtl/>
        </w:rPr>
      </w:pPr>
      <w:r w:rsidRPr="000F3DC9">
        <w:rPr>
          <w:rFonts w:asciiTheme="majorBidi" w:hAnsiTheme="majorBidi" w:cstheme="majorBidi"/>
          <w:b/>
          <w:bCs/>
          <w:szCs w:val="24"/>
        </w:rPr>
        <w:t>MATERIALS AND METHODS</w:t>
      </w:r>
    </w:p>
    <w:p w:rsidR="00850CCE" w:rsidRPr="000F3DC9" w:rsidRDefault="00850CCE" w:rsidP="000F3DC9">
      <w:pPr>
        <w:pStyle w:val="Default"/>
        <w:spacing w:before="240" w:line="276" w:lineRule="auto"/>
        <w:jc w:val="both"/>
        <w:rPr>
          <w:rFonts w:asciiTheme="majorBidi" w:hAnsiTheme="majorBidi" w:cstheme="majorBidi"/>
          <w:color w:val="auto"/>
        </w:rPr>
        <w:sectPr w:rsidR="00850CCE" w:rsidRPr="000F3DC9" w:rsidSect="000F3DC9">
          <w:type w:val="continuous"/>
          <w:pgSz w:w="15840" w:h="24480" w:code="3"/>
          <w:pgMar w:top="524" w:right="1800" w:bottom="1440" w:left="1800" w:header="284" w:footer="111" w:gutter="0"/>
          <w:cols w:space="720"/>
          <w:docGrid w:linePitch="360"/>
        </w:sectPr>
      </w:pPr>
    </w:p>
    <w:p w:rsidR="003A6BAC" w:rsidRPr="000F3DC9" w:rsidRDefault="003A6BAC" w:rsidP="000F3DC9">
      <w:pPr>
        <w:tabs>
          <w:tab w:val="left" w:pos="426"/>
        </w:tabs>
        <w:jc w:val="both"/>
        <w:rPr>
          <w:rFonts w:asciiTheme="majorBidi" w:hAnsiTheme="majorBidi" w:cstheme="majorBidi"/>
          <w:szCs w:val="24"/>
        </w:rPr>
      </w:pPr>
      <w:r w:rsidRPr="000F3DC9">
        <w:rPr>
          <w:rStyle w:val="y2iqfc"/>
          <w:rFonts w:asciiTheme="majorBidi" w:hAnsiTheme="majorBidi" w:cstheme="majorBidi"/>
          <w:szCs w:val="24"/>
        </w:rPr>
        <w:lastRenderedPageBreak/>
        <w:t xml:space="preserve">This was a descriptive retrospective study including patients admitted from January 1, 2021 to December 31, 20201 in the internal ward of </w:t>
      </w:r>
      <w:r w:rsidR="00B724D9" w:rsidRPr="000F3DC9">
        <w:rPr>
          <w:rStyle w:val="y2iqfc"/>
          <w:rFonts w:asciiTheme="majorBidi" w:hAnsiTheme="majorBidi" w:cstheme="majorBidi"/>
          <w:szCs w:val="24"/>
        </w:rPr>
        <w:t xml:space="preserve">Al-Thawra tertiary Hospital </w:t>
      </w:r>
      <w:r w:rsidRPr="000F3DC9">
        <w:rPr>
          <w:rStyle w:val="y2iqfc"/>
          <w:rFonts w:asciiTheme="majorBidi" w:hAnsiTheme="majorBidi" w:cstheme="majorBidi"/>
          <w:szCs w:val="24"/>
        </w:rPr>
        <w:t>in Sana'a City, Yemen. Case files of patients were retrieved and data extracted. Data included; demographic data, for instance (age, sex, residence, occupation, etc.), clinical manifestations, diagnoses and disease outcomes. All diagnoses were based on the final diagnoses made by the supervising consultants at the hospital.</w:t>
      </w:r>
      <w:r w:rsidR="00330852" w:rsidRPr="000F3DC9">
        <w:rPr>
          <w:rFonts w:asciiTheme="majorBidi" w:hAnsiTheme="majorBidi" w:cstheme="majorBidi"/>
          <w:szCs w:val="24"/>
        </w:rPr>
        <w:t xml:space="preserve"> </w:t>
      </w:r>
      <w:r w:rsidRPr="000F3DC9">
        <w:rPr>
          <w:rStyle w:val="y2iqfc"/>
          <w:rFonts w:asciiTheme="majorBidi" w:hAnsiTheme="majorBidi" w:cstheme="majorBidi"/>
          <w:szCs w:val="24"/>
        </w:rPr>
        <w:t>Data validated with Microsoft Excel version 13 and exported to SPSS version 23.0 for windows; for statistical analysis. Data were analyzed for demographic and other clinical characteristics as categorical variables. The mean and standard deviation were determined for quantita</w:t>
      </w:r>
      <w:r w:rsidR="00330852" w:rsidRPr="000F3DC9">
        <w:rPr>
          <w:rStyle w:val="y2iqfc"/>
          <w:rFonts w:asciiTheme="majorBidi" w:hAnsiTheme="majorBidi" w:cstheme="majorBidi"/>
          <w:szCs w:val="24"/>
        </w:rPr>
        <w:t xml:space="preserve">tive variables such as age. </w:t>
      </w:r>
      <w:r w:rsidRPr="000F3DC9">
        <w:rPr>
          <w:rStyle w:val="y2iqfc"/>
          <w:rFonts w:asciiTheme="majorBidi" w:hAnsiTheme="majorBidi" w:cstheme="majorBidi"/>
          <w:szCs w:val="24"/>
        </w:rPr>
        <w:t xml:space="preserve">The data were </w:t>
      </w:r>
      <w:r w:rsidR="00330852" w:rsidRPr="000F3DC9">
        <w:rPr>
          <w:rStyle w:val="y2iqfc"/>
          <w:rFonts w:asciiTheme="majorBidi" w:hAnsiTheme="majorBidi" w:cstheme="majorBidi"/>
          <w:szCs w:val="24"/>
        </w:rPr>
        <w:t xml:space="preserve">obtainable </w:t>
      </w:r>
      <w:r w:rsidRPr="000F3DC9">
        <w:rPr>
          <w:rStyle w:val="y2iqfc"/>
          <w:rFonts w:asciiTheme="majorBidi" w:hAnsiTheme="majorBidi" w:cstheme="majorBidi"/>
          <w:szCs w:val="24"/>
        </w:rPr>
        <w:t>as a frequency distribution and plots were generated for the partial categorical variables, while the mean and standard deviation were for a quantitative variable.</w:t>
      </w:r>
    </w:p>
    <w:p w:rsidR="00330852" w:rsidRPr="000F3DC9" w:rsidRDefault="009E6DB1" w:rsidP="000F3DC9">
      <w:pPr>
        <w:tabs>
          <w:tab w:val="left" w:pos="426"/>
        </w:tabs>
        <w:suppressAutoHyphens/>
        <w:autoSpaceDN w:val="0"/>
        <w:spacing w:after="120"/>
        <w:jc w:val="both"/>
        <w:textAlignment w:val="baseline"/>
        <w:rPr>
          <w:rFonts w:asciiTheme="majorBidi" w:hAnsiTheme="majorBidi" w:cstheme="majorBidi"/>
          <w:szCs w:val="24"/>
        </w:rPr>
      </w:pPr>
      <w:r w:rsidRPr="000F3DC9">
        <w:rPr>
          <w:rFonts w:asciiTheme="majorBidi" w:hAnsiTheme="majorBidi" w:cstheme="majorBidi"/>
          <w:b/>
          <w:bCs/>
          <w:szCs w:val="24"/>
        </w:rPr>
        <w:t>Ethical consideration</w:t>
      </w:r>
      <w:r w:rsidR="00C131F0" w:rsidRPr="000F3DC9">
        <w:rPr>
          <w:rFonts w:asciiTheme="majorBidi" w:hAnsiTheme="majorBidi" w:cstheme="majorBidi"/>
          <w:b/>
          <w:bCs/>
          <w:szCs w:val="24"/>
        </w:rPr>
        <w:t xml:space="preserve">: </w:t>
      </w:r>
      <w:r w:rsidR="00330852" w:rsidRPr="000F3DC9">
        <w:rPr>
          <w:rStyle w:val="y2iqfc"/>
          <w:rFonts w:asciiTheme="majorBidi" w:hAnsiTheme="majorBidi" w:cstheme="majorBidi"/>
          <w:szCs w:val="24"/>
        </w:rPr>
        <w:t>Ethical approval was obtained from the ethics committee of the Faculty of Medicine and Health Sciences, Sana'a University prior to data collection. An official letter was obtained from the Faculty of Medicine and Health Sciences, Sana'a University, to be submitted to the administration of Al-Thawra Hospital to facilitate the conduct of this research work.</w:t>
      </w:r>
    </w:p>
    <w:p w:rsidR="00A855FA" w:rsidRPr="000F3DC9" w:rsidRDefault="007157F9" w:rsidP="000F3DC9">
      <w:pPr>
        <w:pStyle w:val="Default"/>
        <w:spacing w:before="240" w:line="276" w:lineRule="auto"/>
        <w:jc w:val="both"/>
        <w:rPr>
          <w:rFonts w:asciiTheme="majorBidi" w:hAnsiTheme="majorBidi" w:cstheme="majorBidi"/>
          <w:b/>
          <w:bCs/>
          <w:color w:val="auto"/>
        </w:rPr>
      </w:pPr>
      <w:r w:rsidRPr="000F3DC9">
        <w:rPr>
          <w:rFonts w:asciiTheme="majorBidi" w:hAnsiTheme="majorBidi" w:cstheme="majorBidi"/>
          <w:b/>
          <w:bCs/>
          <w:color w:val="auto"/>
        </w:rPr>
        <w:t xml:space="preserve">RESULTS </w:t>
      </w:r>
    </w:p>
    <w:p w:rsidR="00C6583F" w:rsidRPr="000F3DC9" w:rsidRDefault="005E6C2C" w:rsidP="000F3DC9">
      <w:pPr>
        <w:pStyle w:val="Default"/>
        <w:spacing w:before="240" w:line="276" w:lineRule="auto"/>
        <w:jc w:val="both"/>
        <w:rPr>
          <w:rFonts w:asciiTheme="majorBidi" w:hAnsiTheme="majorBidi" w:cstheme="majorBidi"/>
          <w:color w:val="auto"/>
        </w:rPr>
      </w:pPr>
      <w:r w:rsidRPr="000F3DC9">
        <w:rPr>
          <w:rFonts w:asciiTheme="majorBidi" w:hAnsiTheme="majorBidi" w:cstheme="majorBidi"/>
          <w:b/>
          <w:bCs/>
        </w:rPr>
        <w:lastRenderedPageBreak/>
        <w:t xml:space="preserve"> </w:t>
      </w:r>
      <w:r w:rsidRPr="000F3DC9">
        <w:rPr>
          <w:rStyle w:val="y2iqfc"/>
          <w:rFonts w:asciiTheme="majorBidi" w:hAnsiTheme="majorBidi" w:cstheme="majorBidi"/>
          <w:color w:val="auto"/>
        </w:rPr>
        <w:t>Of the 516 gastroenterology patients admitted to the gastroenterology service in medical wards during a one-year period, liver disease accounted for 30% of all gastroenterology in the same period. There were 155 patients diagnosed with liver disease. There were 86 (55.5%) males and 69 (44.5%) females, with a male to female ratio of 1.2:1. The mean overall age of patients and the age range were 46.14 ± 16.5 and 8-85 years, respectively. The peak incidence of age occurred during the fifth and sixth decades of life at 38.1%.</w:t>
      </w:r>
      <w:r w:rsidRPr="000F3DC9">
        <w:rPr>
          <w:rFonts w:asciiTheme="majorBidi" w:hAnsiTheme="majorBidi" w:cstheme="majorBidi"/>
        </w:rPr>
        <w:t xml:space="preserve"> </w:t>
      </w:r>
      <w:r w:rsidRPr="000F3DC9">
        <w:rPr>
          <w:rStyle w:val="y2iqfc"/>
          <w:rFonts w:asciiTheme="majorBidi" w:hAnsiTheme="majorBidi" w:cstheme="majorBidi"/>
          <w:color w:val="auto"/>
        </w:rPr>
        <w:t xml:space="preserve">The most common liver disease was; </w:t>
      </w:r>
      <w:r w:rsidRPr="000F3DC9">
        <w:rPr>
          <w:rStyle w:val="y2iqfc"/>
          <w:rFonts w:asciiTheme="majorBidi" w:hAnsiTheme="majorBidi" w:cstheme="majorBidi"/>
        </w:rPr>
        <w:t>a</w:t>
      </w:r>
      <w:r w:rsidRPr="000F3DC9">
        <w:rPr>
          <w:rStyle w:val="y2iqfc"/>
          <w:rFonts w:asciiTheme="majorBidi" w:hAnsiTheme="majorBidi" w:cstheme="majorBidi"/>
          <w:color w:val="auto"/>
        </w:rPr>
        <w:t xml:space="preserve">utoimmune hepatitis 43 (27.7%), followed by nonalcoholic fatty liver disease 35 (22.6%), viral hepatitis 32 (20.6%) and schistosomiasis 17 (11%). Toxic hepatitis accounted for 4.5% including herbal toxic hepatitis 3.9%, and alcohol consumption 4.5%, while </w:t>
      </w:r>
      <w:r w:rsidRPr="000F3DC9">
        <w:rPr>
          <w:rStyle w:val="y2iqfc"/>
          <w:rFonts w:asciiTheme="majorBidi" w:hAnsiTheme="majorBidi" w:cstheme="majorBidi"/>
        </w:rPr>
        <w:t xml:space="preserve">vascular </w:t>
      </w:r>
      <w:r w:rsidRPr="000F3DC9">
        <w:rPr>
          <w:rStyle w:val="y2iqfc"/>
          <w:rFonts w:asciiTheme="majorBidi" w:hAnsiTheme="majorBidi" w:cstheme="majorBidi"/>
          <w:color w:val="auto"/>
        </w:rPr>
        <w:t xml:space="preserve"> and neoplastic hepatitis were 3 (1.9%) and 2 (1.3%), respectively.</w:t>
      </w:r>
      <w:r w:rsidR="004C608A" w:rsidRPr="000F3DC9">
        <w:rPr>
          <w:rStyle w:val="y2iqfc"/>
          <w:rFonts w:asciiTheme="majorBidi" w:hAnsiTheme="majorBidi" w:cstheme="majorBidi"/>
          <w:color w:val="auto"/>
        </w:rPr>
        <w:t xml:space="preserve"> Figure 1 illustrates complications among diagnosed liver patients. The most common complications were anemia (56.1%), ascites (56.8%), thrombosis (41.3%), and upper gastrointestinal disease (42.6%). On the other hand, lower GI disease occurred in only 23.9%, 20% of patients had acute renal failure, 5.2% had acute hepatic failure, 3.9% had GB syndrome, and 12.9% had pleural effusion.</w:t>
      </w:r>
      <w:r w:rsidR="00C6583F" w:rsidRPr="000F3DC9">
        <w:rPr>
          <w:rStyle w:val="y2iqfc"/>
          <w:rFonts w:asciiTheme="majorBidi" w:hAnsiTheme="majorBidi" w:cstheme="majorBidi"/>
          <w:color w:val="auto"/>
        </w:rPr>
        <w:t xml:space="preserve"> The outcomes of our patients were 37.4% cured and discharged from hospital, 31.6% had chronic failure, 12.3% had cirrhosis, 11.2% had chronic hepatitis, 5.2% had hepatocellular carcinoma, and the mortality rate was only 1.9% (Figure 2).</w:t>
      </w:r>
    </w:p>
    <w:p w:rsidR="00FB6B50" w:rsidRPr="000F3DC9" w:rsidRDefault="007157F9" w:rsidP="000F3DC9">
      <w:pPr>
        <w:pStyle w:val="Default"/>
        <w:spacing w:line="276" w:lineRule="auto"/>
        <w:ind w:left="284"/>
        <w:jc w:val="both"/>
        <w:rPr>
          <w:rFonts w:asciiTheme="majorBidi" w:hAnsiTheme="majorBidi" w:cstheme="majorBidi"/>
          <w:b/>
          <w:bCs/>
          <w:color w:val="auto"/>
        </w:rPr>
      </w:pPr>
      <w:r w:rsidRPr="000F3DC9">
        <w:rPr>
          <w:rFonts w:asciiTheme="majorBidi" w:hAnsiTheme="majorBidi" w:cstheme="majorBidi"/>
          <w:b/>
          <w:bCs/>
          <w:color w:val="auto"/>
        </w:rPr>
        <w:t>DISCUSSION</w:t>
      </w:r>
    </w:p>
    <w:p w:rsidR="00693203" w:rsidRPr="000F3DC9" w:rsidRDefault="00F83F5C" w:rsidP="000F3DC9">
      <w:pPr>
        <w:pStyle w:val="Default"/>
        <w:spacing w:line="276" w:lineRule="auto"/>
        <w:ind w:left="284"/>
        <w:jc w:val="both"/>
        <w:rPr>
          <w:rFonts w:asciiTheme="majorBidi" w:hAnsiTheme="majorBidi" w:cstheme="majorBidi"/>
          <w:color w:val="auto"/>
        </w:rPr>
      </w:pPr>
      <w:r w:rsidRPr="000F3DC9">
        <w:rPr>
          <w:rStyle w:val="y2iqfc"/>
          <w:rFonts w:asciiTheme="majorBidi" w:hAnsiTheme="majorBidi" w:cstheme="majorBidi"/>
          <w:color w:val="auto"/>
        </w:rPr>
        <w:t xml:space="preserve">Cirrhosis is the most important cause of mortality and morbidity universal. It is the eleventh most important reason of death and the fifteenth most important cause of morbidity, accountable for 2.2% of deaths and 1.5% of </w:t>
      </w:r>
      <w:r w:rsidR="008C7DD0" w:rsidRPr="000F3DC9">
        <w:rPr>
          <w:rFonts w:asciiTheme="majorBidi" w:hAnsiTheme="majorBidi" w:cstheme="majorBidi"/>
          <w:color w:val="auto"/>
        </w:rPr>
        <w:t>disability-adjusted</w:t>
      </w:r>
      <w:r w:rsidR="008C7DD0" w:rsidRPr="000F3DC9">
        <w:rPr>
          <w:rFonts w:asciiTheme="majorBidi" w:hAnsiTheme="majorBidi" w:cstheme="majorBidi"/>
          <w:b/>
          <w:bCs/>
          <w:color w:val="auto"/>
          <w:lang w:bidi="ar-DZ"/>
        </w:rPr>
        <w:t xml:space="preserve"> </w:t>
      </w:r>
      <w:r w:rsidR="008C7DD0" w:rsidRPr="000F3DC9">
        <w:rPr>
          <w:rFonts w:asciiTheme="majorBidi" w:hAnsiTheme="majorBidi" w:cstheme="majorBidi"/>
          <w:color w:val="auto"/>
        </w:rPr>
        <w:t>life years</w:t>
      </w:r>
      <w:r w:rsidRPr="000F3DC9">
        <w:rPr>
          <w:rStyle w:val="y2iqfc"/>
          <w:rFonts w:asciiTheme="majorBidi" w:hAnsiTheme="majorBidi" w:cstheme="majorBidi"/>
          <w:color w:val="auto"/>
        </w:rPr>
        <w:t xml:space="preserve"> </w:t>
      </w:r>
      <w:r w:rsidR="008C7DD0" w:rsidRPr="000F3DC9">
        <w:rPr>
          <w:rStyle w:val="y2iqfc"/>
          <w:rFonts w:asciiTheme="majorBidi" w:hAnsiTheme="majorBidi" w:cstheme="majorBidi"/>
          <w:color w:val="auto"/>
        </w:rPr>
        <w:t xml:space="preserve">international </w:t>
      </w:r>
      <w:r w:rsidRPr="000F3DC9">
        <w:rPr>
          <w:rStyle w:val="y2iqfc"/>
          <w:rFonts w:asciiTheme="majorBidi" w:hAnsiTheme="majorBidi" w:cstheme="majorBidi"/>
          <w:color w:val="auto"/>
        </w:rPr>
        <w:t>in 2016</w:t>
      </w:r>
      <w:r w:rsidRPr="000F3DC9">
        <w:rPr>
          <w:rStyle w:val="y2iqfc"/>
          <w:rFonts w:asciiTheme="majorBidi" w:hAnsiTheme="majorBidi" w:cstheme="majorBidi"/>
          <w:color w:val="auto"/>
          <w:vertAlign w:val="superscript"/>
        </w:rPr>
        <w:t>23</w:t>
      </w:r>
      <w:r w:rsidRPr="000F3DC9">
        <w:rPr>
          <w:rStyle w:val="y2iqfc"/>
          <w:rFonts w:asciiTheme="majorBidi" w:hAnsiTheme="majorBidi" w:cstheme="majorBidi"/>
          <w:color w:val="auto"/>
        </w:rPr>
        <w:t xml:space="preserve">. One of the objectives of the current study is to determine the causes as well as the demographic characteristics of liver patients at Al-Thawra Hospital in Sana'a. The majority of patients were males (55.5%), while females constituted 44.5% of the total (Table 2). Male dominance in the current study is similar to that reported by Sepanlou </w:t>
      </w:r>
      <w:r w:rsidR="008C7DD0" w:rsidRPr="000F3DC9">
        <w:rPr>
          <w:rStyle w:val="y2iqfc"/>
          <w:rFonts w:asciiTheme="majorBidi" w:hAnsiTheme="majorBidi" w:cstheme="majorBidi"/>
          <w:color w:val="auto"/>
        </w:rPr>
        <w:t xml:space="preserve"> </w:t>
      </w:r>
      <w:r w:rsidRPr="000F3DC9">
        <w:rPr>
          <w:rStyle w:val="y2iqfc"/>
          <w:rFonts w:asciiTheme="majorBidi" w:hAnsiTheme="majorBidi" w:cstheme="majorBidi"/>
          <w:i/>
          <w:iCs/>
          <w:color w:val="auto"/>
        </w:rPr>
        <w:t>et al.</w:t>
      </w:r>
      <w:r w:rsidRPr="000F3DC9">
        <w:rPr>
          <w:rStyle w:val="y2iqfc"/>
          <w:rFonts w:asciiTheme="majorBidi" w:hAnsiTheme="majorBidi" w:cstheme="majorBidi"/>
          <w:color w:val="auto"/>
        </w:rPr>
        <w:t xml:space="preserve"> </w:t>
      </w:r>
      <w:r w:rsidRPr="000F3DC9">
        <w:rPr>
          <w:rStyle w:val="y2iqfc"/>
          <w:rFonts w:asciiTheme="majorBidi" w:hAnsiTheme="majorBidi" w:cstheme="majorBidi"/>
          <w:color w:val="auto"/>
          <w:vertAlign w:val="superscript"/>
        </w:rPr>
        <w:t>24</w:t>
      </w:r>
      <w:r w:rsidRPr="000F3DC9">
        <w:rPr>
          <w:rStyle w:val="y2iqfc"/>
          <w:rFonts w:asciiTheme="majorBidi" w:hAnsiTheme="majorBidi" w:cstheme="majorBidi"/>
          <w:color w:val="auto"/>
        </w:rPr>
        <w:t>, where the incidence of cirrhosis is 66.7% (2/3) more among males than females.</w:t>
      </w:r>
      <w:r w:rsidR="00DC6366" w:rsidRPr="000F3DC9">
        <w:rPr>
          <w:rStyle w:val="y2iqfc"/>
          <w:rFonts w:asciiTheme="majorBidi" w:hAnsiTheme="majorBidi" w:cstheme="majorBidi"/>
          <w:color w:val="auto"/>
        </w:rPr>
        <w:t xml:space="preserve"> </w:t>
      </w:r>
      <w:r w:rsidR="0088607F" w:rsidRPr="000F3DC9">
        <w:rPr>
          <w:rStyle w:val="y2iqfc"/>
          <w:rFonts w:asciiTheme="majorBidi" w:hAnsiTheme="majorBidi" w:cstheme="majorBidi"/>
          <w:color w:val="auto"/>
        </w:rPr>
        <w:t xml:space="preserve">The difference is due to increased exposure to risk factors for liver disease such as hepatitis </w:t>
      </w:r>
      <w:r w:rsidR="00DC6366" w:rsidRPr="000F3DC9">
        <w:rPr>
          <w:rStyle w:val="y2iqfc"/>
          <w:rFonts w:asciiTheme="majorBidi" w:hAnsiTheme="majorBidi" w:cstheme="majorBidi"/>
          <w:color w:val="auto"/>
        </w:rPr>
        <w:t>B</w:t>
      </w:r>
      <w:r w:rsidR="0088607F" w:rsidRPr="000F3DC9">
        <w:rPr>
          <w:rStyle w:val="y2iqfc"/>
          <w:rFonts w:asciiTheme="majorBidi" w:hAnsiTheme="majorBidi" w:cstheme="majorBidi"/>
          <w:color w:val="auto"/>
        </w:rPr>
        <w:t xml:space="preserve">, alcohol and cigarette smoking. In addition, hormonal factors such as low levels of estrogen in males and high levels in women (a powerful antioxidant) tend to protect women, and estrogen suppresses hepatic fibrosis by </w:t>
      </w:r>
      <w:r w:rsidR="00DC6366" w:rsidRPr="000F3DC9">
        <w:rPr>
          <w:rStyle w:val="y2iqfc"/>
          <w:rFonts w:asciiTheme="majorBidi" w:hAnsiTheme="majorBidi" w:cstheme="majorBidi"/>
          <w:color w:val="auto"/>
        </w:rPr>
        <w:t xml:space="preserve">reducing  </w:t>
      </w:r>
      <w:r w:rsidR="0088607F" w:rsidRPr="000F3DC9">
        <w:rPr>
          <w:rStyle w:val="y2iqfc"/>
          <w:rFonts w:asciiTheme="majorBidi" w:hAnsiTheme="majorBidi" w:cstheme="majorBidi"/>
          <w:color w:val="auto"/>
        </w:rPr>
        <w:t>stellate cells</w:t>
      </w:r>
      <w:r w:rsidR="0088607F" w:rsidRPr="000F3DC9">
        <w:rPr>
          <w:rStyle w:val="y2iqfc"/>
          <w:rFonts w:asciiTheme="majorBidi" w:hAnsiTheme="majorBidi" w:cstheme="majorBidi"/>
          <w:color w:val="auto"/>
          <w:vertAlign w:val="superscript"/>
        </w:rPr>
        <w:t>25</w:t>
      </w:r>
      <w:r w:rsidR="0088607F" w:rsidRPr="000F3DC9">
        <w:rPr>
          <w:rStyle w:val="y2iqfc"/>
          <w:rFonts w:asciiTheme="majorBidi" w:hAnsiTheme="majorBidi" w:cstheme="majorBidi"/>
          <w:color w:val="auto"/>
        </w:rPr>
        <w:t>. Most of our patients were adults and less than 5.4% of our total patients were children under 15 years of age, and the disease center was at</w:t>
      </w:r>
      <w:r w:rsidR="00DC6366" w:rsidRPr="000F3DC9">
        <w:rPr>
          <w:rStyle w:val="y2iqfc"/>
          <w:rFonts w:asciiTheme="majorBidi" w:hAnsiTheme="majorBidi" w:cstheme="majorBidi"/>
          <w:color w:val="auto"/>
        </w:rPr>
        <w:t xml:space="preserve"> &gt;</w:t>
      </w:r>
      <w:r w:rsidR="0088607F" w:rsidRPr="000F3DC9">
        <w:rPr>
          <w:rStyle w:val="y2iqfc"/>
          <w:rFonts w:asciiTheme="majorBidi" w:hAnsiTheme="majorBidi" w:cstheme="majorBidi"/>
          <w:color w:val="auto"/>
        </w:rPr>
        <w:t xml:space="preserve"> 55 years (38.1%) (Table 2). This finding is similar to the epidemiology of hepatitis where adults predominate in all causes except for hepatitis A virus infection where infection is prevalent in children</w:t>
      </w:r>
      <w:r w:rsidR="0088607F" w:rsidRPr="000F3DC9">
        <w:rPr>
          <w:rStyle w:val="y2iqfc"/>
          <w:rFonts w:asciiTheme="majorBidi" w:hAnsiTheme="majorBidi" w:cstheme="majorBidi"/>
          <w:color w:val="auto"/>
          <w:vertAlign w:val="superscript"/>
        </w:rPr>
        <w:t>23</w:t>
      </w:r>
      <w:r w:rsidR="0088607F" w:rsidRPr="000F3DC9">
        <w:rPr>
          <w:rStyle w:val="y2iqfc"/>
          <w:rFonts w:asciiTheme="majorBidi" w:hAnsiTheme="majorBidi" w:cstheme="majorBidi"/>
          <w:color w:val="auto"/>
        </w:rPr>
        <w:t>.</w:t>
      </w:r>
    </w:p>
    <w:p w:rsidR="00CF1482" w:rsidRPr="000F3DC9" w:rsidRDefault="00693203" w:rsidP="000F3DC9">
      <w:pPr>
        <w:pStyle w:val="Default"/>
        <w:spacing w:line="276" w:lineRule="auto"/>
        <w:ind w:left="284"/>
        <w:jc w:val="both"/>
        <w:rPr>
          <w:rFonts w:asciiTheme="majorBidi" w:hAnsiTheme="majorBidi" w:cstheme="majorBidi"/>
          <w:color w:val="auto"/>
        </w:rPr>
      </w:pPr>
      <w:r w:rsidRPr="000F3DC9">
        <w:rPr>
          <w:rFonts w:asciiTheme="majorBidi" w:hAnsiTheme="majorBidi" w:cstheme="majorBidi"/>
          <w:color w:val="auto"/>
        </w:rPr>
        <w:t xml:space="preserve">   </w:t>
      </w:r>
      <w:r w:rsidR="00693850" w:rsidRPr="000F3DC9">
        <w:rPr>
          <w:rStyle w:val="y2iqfc"/>
          <w:rFonts w:asciiTheme="majorBidi" w:hAnsiTheme="majorBidi" w:cstheme="majorBidi"/>
          <w:color w:val="auto"/>
        </w:rPr>
        <w:t xml:space="preserve">The most common causes of  lover disease in the current study were AIH (27.7%), followed by non-alcoholic fatty liver disease (NAFLD)  (22.6%), and viral hepatitis (20.6%) (Table 3). Our results differ from those reported by Sepanlou </w:t>
      </w:r>
      <w:r w:rsidR="00693850" w:rsidRPr="000F3DC9">
        <w:rPr>
          <w:rStyle w:val="y2iqfc"/>
          <w:rFonts w:asciiTheme="majorBidi" w:hAnsiTheme="majorBidi" w:cstheme="majorBidi"/>
          <w:i/>
          <w:iCs/>
          <w:color w:val="auto"/>
        </w:rPr>
        <w:t>et al.</w:t>
      </w:r>
      <w:r w:rsidR="00693850" w:rsidRPr="000F3DC9">
        <w:rPr>
          <w:rStyle w:val="y2iqfc"/>
          <w:rFonts w:asciiTheme="majorBidi" w:hAnsiTheme="majorBidi" w:cstheme="majorBidi"/>
          <w:color w:val="auto"/>
        </w:rPr>
        <w:t xml:space="preserve"> </w:t>
      </w:r>
      <w:r w:rsidR="00693850" w:rsidRPr="000F3DC9">
        <w:rPr>
          <w:rStyle w:val="y2iqfc"/>
          <w:rFonts w:asciiTheme="majorBidi" w:hAnsiTheme="majorBidi" w:cstheme="majorBidi"/>
          <w:color w:val="auto"/>
          <w:vertAlign w:val="superscript"/>
        </w:rPr>
        <w:t>24</w:t>
      </w:r>
      <w:r w:rsidR="00693850" w:rsidRPr="000F3DC9">
        <w:rPr>
          <w:rStyle w:val="y2iqfc"/>
          <w:rFonts w:asciiTheme="majorBidi" w:hAnsiTheme="majorBidi" w:cstheme="majorBidi"/>
          <w:color w:val="auto"/>
        </w:rPr>
        <w:t xml:space="preserve">, Asrani, </w:t>
      </w:r>
      <w:r w:rsidR="00693850" w:rsidRPr="000F3DC9">
        <w:rPr>
          <w:rStyle w:val="y2iqfc"/>
          <w:rFonts w:asciiTheme="majorBidi" w:hAnsiTheme="majorBidi" w:cstheme="majorBidi"/>
          <w:i/>
          <w:iCs/>
          <w:color w:val="auto"/>
        </w:rPr>
        <w:t xml:space="preserve">et al. </w:t>
      </w:r>
      <w:r w:rsidR="00693850" w:rsidRPr="000F3DC9">
        <w:rPr>
          <w:rStyle w:val="y2iqfc"/>
          <w:rFonts w:asciiTheme="majorBidi" w:hAnsiTheme="majorBidi" w:cstheme="majorBidi"/>
          <w:color w:val="auto"/>
          <w:vertAlign w:val="superscript"/>
        </w:rPr>
        <w:t>26</w:t>
      </w:r>
      <w:r w:rsidR="00693850" w:rsidRPr="000F3DC9">
        <w:rPr>
          <w:rStyle w:val="y2iqfc"/>
          <w:rFonts w:asciiTheme="majorBidi" w:hAnsiTheme="majorBidi" w:cstheme="majorBidi"/>
          <w:color w:val="auto"/>
        </w:rPr>
        <w:t xml:space="preserve"> in the global burden of liver disease where the most common causes of disease are NAFLD (59%), followed by HBV (29%), HCV (9%), and alcoholic liver disease (ALD) (2%) and autoimmune hepatitis, accounting for only 1% of cases. Recent studies in Yemen near the site of the current study revealed the prevalence of hepatitis B virus from 1 to 20%, and hepatitis C ranges from 2 to 5% </w:t>
      </w:r>
      <w:r w:rsidR="00693850" w:rsidRPr="000F3DC9">
        <w:rPr>
          <w:rStyle w:val="y2iqfc"/>
          <w:rFonts w:asciiTheme="majorBidi" w:hAnsiTheme="majorBidi" w:cstheme="majorBidi"/>
          <w:color w:val="auto"/>
          <w:vertAlign w:val="superscript"/>
        </w:rPr>
        <w:t>8,12,16,18</w:t>
      </w:r>
      <w:r w:rsidR="00693850" w:rsidRPr="000F3DC9">
        <w:rPr>
          <w:rStyle w:val="y2iqfc"/>
          <w:rFonts w:asciiTheme="majorBidi" w:hAnsiTheme="majorBidi" w:cstheme="majorBidi"/>
          <w:color w:val="auto"/>
        </w:rPr>
        <w:t>.</w:t>
      </w:r>
      <w:r w:rsidR="00AD65BE" w:rsidRPr="000F3DC9">
        <w:rPr>
          <w:rStyle w:val="y2iqfc"/>
          <w:rFonts w:asciiTheme="majorBidi" w:hAnsiTheme="majorBidi" w:cstheme="majorBidi"/>
          <w:color w:val="auto"/>
        </w:rPr>
        <w:t xml:space="preserve"> </w:t>
      </w:r>
      <w:r w:rsidR="00A14F88" w:rsidRPr="000F3DC9">
        <w:rPr>
          <w:rStyle w:val="y2iqfc"/>
          <w:rFonts w:asciiTheme="majorBidi" w:hAnsiTheme="majorBidi" w:cstheme="majorBidi"/>
        </w:rPr>
        <w:t>W</w:t>
      </w:r>
      <w:r w:rsidR="00A14F88" w:rsidRPr="000F3DC9">
        <w:rPr>
          <w:rStyle w:val="y2iqfc"/>
          <w:rFonts w:asciiTheme="majorBidi" w:hAnsiTheme="majorBidi" w:cstheme="majorBidi"/>
          <w:color w:val="auto"/>
        </w:rPr>
        <w:t>orldwide</w:t>
      </w:r>
      <w:r w:rsidR="00A14F88" w:rsidRPr="000F3DC9">
        <w:rPr>
          <w:rStyle w:val="y2iqfc"/>
          <w:rFonts w:asciiTheme="majorBidi" w:hAnsiTheme="majorBidi" w:cstheme="majorBidi"/>
        </w:rPr>
        <w:t>, t</w:t>
      </w:r>
      <w:r w:rsidR="00BC5A45" w:rsidRPr="000F3DC9">
        <w:rPr>
          <w:rStyle w:val="y2iqfc"/>
          <w:rFonts w:asciiTheme="majorBidi" w:hAnsiTheme="majorBidi" w:cstheme="majorBidi"/>
          <w:color w:val="auto"/>
        </w:rPr>
        <w:t xml:space="preserve">here are 257 million </w:t>
      </w:r>
      <w:r w:rsidR="00A14F88" w:rsidRPr="000F3DC9">
        <w:rPr>
          <w:rStyle w:val="y2iqfc"/>
          <w:rFonts w:asciiTheme="majorBidi" w:hAnsiTheme="majorBidi" w:cstheme="majorBidi"/>
        </w:rPr>
        <w:t xml:space="preserve">persons </w:t>
      </w:r>
      <w:r w:rsidR="00BC5A45" w:rsidRPr="000F3DC9">
        <w:rPr>
          <w:rStyle w:val="y2iqfc"/>
          <w:rFonts w:asciiTheme="majorBidi" w:hAnsiTheme="majorBidi" w:cstheme="majorBidi"/>
          <w:color w:val="auto"/>
        </w:rPr>
        <w:t xml:space="preserve">living with chronic hepatitis </w:t>
      </w:r>
      <w:r w:rsidR="00A14F88" w:rsidRPr="000F3DC9">
        <w:rPr>
          <w:rStyle w:val="y2iqfc"/>
          <w:rFonts w:asciiTheme="majorBidi" w:hAnsiTheme="majorBidi" w:cstheme="majorBidi"/>
        </w:rPr>
        <w:t>B</w:t>
      </w:r>
      <w:r w:rsidR="00BC5A45" w:rsidRPr="000F3DC9">
        <w:rPr>
          <w:rStyle w:val="y2iqfc"/>
          <w:rFonts w:asciiTheme="majorBidi" w:hAnsiTheme="majorBidi" w:cstheme="majorBidi"/>
          <w:color w:val="auto"/>
        </w:rPr>
        <w:t xml:space="preserve">. </w:t>
      </w:r>
      <w:r w:rsidR="00A14F88" w:rsidRPr="000F3DC9">
        <w:rPr>
          <w:rStyle w:val="y2iqfc"/>
          <w:rFonts w:asciiTheme="majorBidi" w:hAnsiTheme="majorBidi" w:cstheme="majorBidi"/>
        </w:rPr>
        <w:t>With no appropriate managing</w:t>
      </w:r>
      <w:r w:rsidR="00BC5A45" w:rsidRPr="000F3DC9">
        <w:rPr>
          <w:rStyle w:val="y2iqfc"/>
          <w:rFonts w:asciiTheme="majorBidi" w:hAnsiTheme="majorBidi" w:cstheme="majorBidi"/>
          <w:color w:val="auto"/>
        </w:rPr>
        <w:t xml:space="preserve">, </w:t>
      </w:r>
      <w:r w:rsidR="00A14F88" w:rsidRPr="000F3DC9">
        <w:rPr>
          <w:rStyle w:val="y2iqfc"/>
          <w:rFonts w:asciiTheme="majorBidi" w:hAnsiTheme="majorBidi" w:cstheme="majorBidi"/>
        </w:rPr>
        <w:t xml:space="preserve">just about </w:t>
      </w:r>
      <w:r w:rsidR="00BC5A45" w:rsidRPr="000F3DC9">
        <w:rPr>
          <w:rStyle w:val="y2iqfc"/>
          <w:rFonts w:asciiTheme="majorBidi" w:hAnsiTheme="majorBidi" w:cstheme="majorBidi"/>
          <w:color w:val="auto"/>
        </w:rPr>
        <w:t>20% die early due to liver failure or hepatocellular carcinoma</w:t>
      </w:r>
      <w:r w:rsidR="00BC5A45" w:rsidRPr="000F3DC9">
        <w:rPr>
          <w:rStyle w:val="y2iqfc"/>
          <w:rFonts w:asciiTheme="majorBidi" w:hAnsiTheme="majorBidi" w:cstheme="majorBidi"/>
          <w:color w:val="auto"/>
          <w:vertAlign w:val="superscript"/>
        </w:rPr>
        <w:t>27</w:t>
      </w:r>
      <w:r w:rsidR="00BC5A45" w:rsidRPr="000F3DC9">
        <w:rPr>
          <w:rStyle w:val="y2iqfc"/>
          <w:rFonts w:asciiTheme="majorBidi" w:hAnsiTheme="majorBidi" w:cstheme="majorBidi"/>
          <w:color w:val="auto"/>
        </w:rPr>
        <w:t xml:space="preserve">. It is </w:t>
      </w:r>
      <w:r w:rsidR="00A14F88" w:rsidRPr="000F3DC9">
        <w:rPr>
          <w:rStyle w:val="y2iqfc"/>
          <w:rFonts w:asciiTheme="majorBidi" w:hAnsiTheme="majorBidi" w:cstheme="majorBidi"/>
        </w:rPr>
        <w:t xml:space="preserve">predictable </w:t>
      </w:r>
      <w:r w:rsidR="00BC5A45" w:rsidRPr="000F3DC9">
        <w:rPr>
          <w:rStyle w:val="y2iqfc"/>
          <w:rFonts w:asciiTheme="majorBidi" w:hAnsiTheme="majorBidi" w:cstheme="majorBidi"/>
          <w:color w:val="auto"/>
        </w:rPr>
        <w:t xml:space="preserve">that </w:t>
      </w:r>
      <w:r w:rsidR="00A14F88" w:rsidRPr="000F3DC9">
        <w:rPr>
          <w:rStyle w:val="y2iqfc"/>
          <w:rFonts w:asciiTheme="majorBidi" w:hAnsiTheme="majorBidi" w:cstheme="majorBidi"/>
        </w:rPr>
        <w:t xml:space="preserve">just </w:t>
      </w:r>
      <w:r w:rsidR="00BC5A45" w:rsidRPr="000F3DC9">
        <w:rPr>
          <w:rStyle w:val="y2iqfc"/>
          <w:rFonts w:asciiTheme="majorBidi" w:hAnsiTheme="majorBidi" w:cstheme="majorBidi"/>
          <w:color w:val="auto"/>
        </w:rPr>
        <w:t xml:space="preserve">11% of sufferers know of their infection, and 17% of them only receive treatment </w:t>
      </w:r>
      <w:r w:rsidR="00BC5A45" w:rsidRPr="000F3DC9">
        <w:rPr>
          <w:rStyle w:val="y2iqfc"/>
          <w:rFonts w:asciiTheme="majorBidi" w:hAnsiTheme="majorBidi" w:cstheme="majorBidi"/>
          <w:color w:val="auto"/>
          <w:vertAlign w:val="superscript"/>
        </w:rPr>
        <w:t>28</w:t>
      </w:r>
      <w:r w:rsidR="00BC5A45" w:rsidRPr="000F3DC9">
        <w:rPr>
          <w:rStyle w:val="y2iqfc"/>
          <w:rFonts w:asciiTheme="majorBidi" w:hAnsiTheme="majorBidi" w:cstheme="majorBidi"/>
          <w:color w:val="auto"/>
        </w:rPr>
        <w:t xml:space="preserve">. </w:t>
      </w:r>
      <w:r w:rsidR="00A14F88" w:rsidRPr="000F3DC9">
        <w:rPr>
          <w:rStyle w:val="y2iqfc"/>
          <w:rFonts w:asciiTheme="majorBidi" w:hAnsiTheme="majorBidi" w:cstheme="majorBidi"/>
        </w:rPr>
        <w:t>S</w:t>
      </w:r>
      <w:r w:rsidR="00A14F88" w:rsidRPr="000F3DC9">
        <w:rPr>
          <w:rStyle w:val="y2iqfc"/>
          <w:rFonts w:asciiTheme="majorBidi" w:hAnsiTheme="majorBidi" w:cstheme="majorBidi"/>
          <w:color w:val="auto"/>
        </w:rPr>
        <w:t>exual transmission</w:t>
      </w:r>
      <w:r w:rsidR="00A14F88" w:rsidRPr="000F3DC9">
        <w:rPr>
          <w:rStyle w:val="y2iqfc"/>
          <w:rFonts w:asciiTheme="majorBidi" w:hAnsiTheme="majorBidi" w:cstheme="majorBidi"/>
        </w:rPr>
        <w:t>, v</w:t>
      </w:r>
      <w:r w:rsidR="00BC5A45" w:rsidRPr="000F3DC9">
        <w:rPr>
          <w:rStyle w:val="y2iqfc"/>
          <w:rFonts w:asciiTheme="majorBidi" w:hAnsiTheme="majorBidi" w:cstheme="majorBidi"/>
          <w:color w:val="auto"/>
        </w:rPr>
        <w:t xml:space="preserve">ertical transmission, and hospital transmission (use of contaminated </w:t>
      </w:r>
      <w:r w:rsidR="00A14F88" w:rsidRPr="000F3DC9">
        <w:rPr>
          <w:rStyle w:val="y2iqfc"/>
          <w:rFonts w:asciiTheme="majorBidi" w:hAnsiTheme="majorBidi" w:cstheme="majorBidi"/>
          <w:color w:val="auto"/>
        </w:rPr>
        <w:t>blood products</w:t>
      </w:r>
      <w:r w:rsidR="00A14F88" w:rsidRPr="000F3DC9">
        <w:rPr>
          <w:rStyle w:val="y2iqfc"/>
          <w:rFonts w:asciiTheme="majorBidi" w:hAnsiTheme="majorBidi" w:cstheme="majorBidi"/>
        </w:rPr>
        <w:t xml:space="preserve">, or  </w:t>
      </w:r>
      <w:r w:rsidR="00BC5A45" w:rsidRPr="000F3DC9">
        <w:rPr>
          <w:rStyle w:val="y2iqfc"/>
          <w:rFonts w:asciiTheme="majorBidi" w:hAnsiTheme="majorBidi" w:cstheme="majorBidi"/>
          <w:color w:val="auto"/>
        </w:rPr>
        <w:t xml:space="preserve">medical equipment) are the </w:t>
      </w:r>
      <w:r w:rsidR="00A14F88" w:rsidRPr="000F3DC9">
        <w:rPr>
          <w:rStyle w:val="y2iqfc"/>
          <w:rFonts w:asciiTheme="majorBidi" w:hAnsiTheme="majorBidi" w:cstheme="majorBidi"/>
        </w:rPr>
        <w:t xml:space="preserve">major </w:t>
      </w:r>
      <w:r w:rsidR="00BC5A45" w:rsidRPr="000F3DC9">
        <w:rPr>
          <w:rStyle w:val="y2iqfc"/>
          <w:rFonts w:asciiTheme="majorBidi" w:hAnsiTheme="majorBidi" w:cstheme="majorBidi"/>
          <w:color w:val="auto"/>
        </w:rPr>
        <w:t>routes of spread</w:t>
      </w:r>
      <w:r w:rsidR="00BC5A45" w:rsidRPr="000F3DC9">
        <w:rPr>
          <w:rStyle w:val="y2iqfc"/>
          <w:rFonts w:asciiTheme="majorBidi" w:hAnsiTheme="majorBidi" w:cstheme="majorBidi"/>
          <w:color w:val="auto"/>
          <w:vertAlign w:val="superscript"/>
        </w:rPr>
        <w:t>7-10,12-23, 27</w:t>
      </w:r>
      <w:r w:rsidR="00BC5A45" w:rsidRPr="000F3DC9">
        <w:rPr>
          <w:rStyle w:val="y2iqfc"/>
          <w:rFonts w:asciiTheme="majorBidi" w:hAnsiTheme="majorBidi" w:cstheme="majorBidi"/>
          <w:color w:val="auto"/>
        </w:rPr>
        <w:t xml:space="preserve">. Childhood acquisition presents the </w:t>
      </w:r>
      <w:r w:rsidR="00A14F88" w:rsidRPr="000F3DC9">
        <w:rPr>
          <w:rStyle w:val="y2iqfc"/>
          <w:rFonts w:asciiTheme="majorBidi" w:hAnsiTheme="majorBidi" w:cstheme="majorBidi"/>
        </w:rPr>
        <w:t xml:space="preserve">main </w:t>
      </w:r>
      <w:r w:rsidR="00BC5A45" w:rsidRPr="000F3DC9">
        <w:rPr>
          <w:rStyle w:val="y2iqfc"/>
          <w:rFonts w:asciiTheme="majorBidi" w:hAnsiTheme="majorBidi" w:cstheme="majorBidi"/>
          <w:color w:val="auto"/>
        </w:rPr>
        <w:t xml:space="preserve">risk </w:t>
      </w:r>
      <w:r w:rsidR="00A14F88" w:rsidRPr="000F3DC9">
        <w:rPr>
          <w:rStyle w:val="y2iqfc"/>
          <w:rFonts w:asciiTheme="majorBidi" w:hAnsiTheme="majorBidi" w:cstheme="majorBidi"/>
        </w:rPr>
        <w:t xml:space="preserve">factor </w:t>
      </w:r>
      <w:r w:rsidR="00BC5A45" w:rsidRPr="000F3DC9">
        <w:rPr>
          <w:rStyle w:val="y2iqfc"/>
          <w:rFonts w:asciiTheme="majorBidi" w:hAnsiTheme="majorBidi" w:cstheme="majorBidi"/>
          <w:color w:val="auto"/>
        </w:rPr>
        <w:t>of chronic H</w:t>
      </w:r>
      <w:r w:rsidR="00AD65BE" w:rsidRPr="000F3DC9">
        <w:rPr>
          <w:rStyle w:val="y2iqfc"/>
          <w:rFonts w:asciiTheme="majorBidi" w:hAnsiTheme="majorBidi" w:cstheme="majorBidi"/>
        </w:rPr>
        <w:t>epatitis B virus</w:t>
      </w:r>
      <w:r w:rsidR="00BC5A45" w:rsidRPr="000F3DC9">
        <w:rPr>
          <w:rStyle w:val="y2iqfc"/>
          <w:rFonts w:asciiTheme="majorBidi" w:hAnsiTheme="majorBidi" w:cstheme="majorBidi"/>
          <w:color w:val="auto"/>
        </w:rPr>
        <w:t xml:space="preserve"> infection: 80% to 90% of infections </w:t>
      </w:r>
      <w:r w:rsidR="00AD65BE" w:rsidRPr="000F3DC9">
        <w:rPr>
          <w:rStyle w:val="y2iqfc"/>
          <w:rFonts w:asciiTheme="majorBidi" w:hAnsiTheme="majorBidi" w:cstheme="majorBidi"/>
        </w:rPr>
        <w:t xml:space="preserve">gained </w:t>
      </w:r>
      <w:r w:rsidR="00BC5A45" w:rsidRPr="000F3DC9">
        <w:rPr>
          <w:rStyle w:val="y2iqfc"/>
          <w:rFonts w:asciiTheme="majorBidi" w:hAnsiTheme="majorBidi" w:cstheme="majorBidi"/>
          <w:color w:val="auto"/>
        </w:rPr>
        <w:t xml:space="preserve">in the </w:t>
      </w:r>
      <w:r w:rsidR="00AD65BE" w:rsidRPr="000F3DC9">
        <w:rPr>
          <w:rStyle w:val="y2iqfc"/>
          <w:rFonts w:asciiTheme="majorBidi" w:hAnsiTheme="majorBidi" w:cstheme="majorBidi"/>
        </w:rPr>
        <w:t xml:space="preserve">firstly </w:t>
      </w:r>
      <w:r w:rsidR="00BC5A45" w:rsidRPr="000F3DC9">
        <w:rPr>
          <w:rStyle w:val="y2iqfc"/>
          <w:rFonts w:asciiTheme="majorBidi" w:hAnsiTheme="majorBidi" w:cstheme="majorBidi"/>
          <w:color w:val="auto"/>
        </w:rPr>
        <w:t xml:space="preserve">year of life and 50% to 60% of </w:t>
      </w:r>
      <w:r w:rsidR="00AD65BE" w:rsidRPr="000F3DC9">
        <w:rPr>
          <w:rStyle w:val="y2iqfc"/>
          <w:rFonts w:asciiTheme="majorBidi" w:hAnsiTheme="majorBidi" w:cstheme="majorBidi"/>
        </w:rPr>
        <w:t xml:space="preserve"> hepatitis B virus </w:t>
      </w:r>
      <w:r w:rsidR="00BC5A45" w:rsidRPr="000F3DC9">
        <w:rPr>
          <w:rStyle w:val="y2iqfc"/>
          <w:rFonts w:asciiTheme="majorBidi" w:hAnsiTheme="majorBidi" w:cstheme="majorBidi"/>
          <w:color w:val="auto"/>
        </w:rPr>
        <w:t xml:space="preserve">infections </w:t>
      </w:r>
      <w:r w:rsidR="00AD65BE" w:rsidRPr="000F3DC9">
        <w:rPr>
          <w:rStyle w:val="y2iqfc"/>
          <w:rFonts w:asciiTheme="majorBidi" w:hAnsiTheme="majorBidi" w:cstheme="majorBidi"/>
        </w:rPr>
        <w:t xml:space="preserve">previous to </w:t>
      </w:r>
      <w:r w:rsidR="00BC5A45" w:rsidRPr="000F3DC9">
        <w:rPr>
          <w:rStyle w:val="y2iqfc"/>
          <w:rFonts w:asciiTheme="majorBidi" w:hAnsiTheme="majorBidi" w:cstheme="majorBidi"/>
          <w:color w:val="auto"/>
        </w:rPr>
        <w:t xml:space="preserve">the age of 6 years result in chronic HBV variation, &lt;5% of infections </w:t>
      </w:r>
      <w:r w:rsidR="00AD65BE" w:rsidRPr="000F3DC9">
        <w:rPr>
          <w:rStyle w:val="y2iqfc"/>
          <w:rFonts w:asciiTheme="majorBidi" w:hAnsiTheme="majorBidi" w:cstheme="majorBidi"/>
        </w:rPr>
        <w:t xml:space="preserve">change </w:t>
      </w:r>
      <w:r w:rsidR="00BC5A45" w:rsidRPr="000F3DC9">
        <w:rPr>
          <w:rStyle w:val="y2iqfc"/>
          <w:rFonts w:asciiTheme="majorBidi" w:hAnsiTheme="majorBidi" w:cstheme="majorBidi"/>
          <w:color w:val="auto"/>
        </w:rPr>
        <w:t xml:space="preserve">to </w:t>
      </w:r>
      <w:r w:rsidR="00AD65BE" w:rsidRPr="000F3DC9">
        <w:rPr>
          <w:rStyle w:val="y2iqfc"/>
          <w:rFonts w:asciiTheme="majorBidi" w:hAnsiTheme="majorBidi" w:cstheme="majorBidi"/>
        </w:rPr>
        <w:t>c</w:t>
      </w:r>
      <w:r w:rsidR="00BC5A45" w:rsidRPr="000F3DC9">
        <w:rPr>
          <w:rStyle w:val="y2iqfc"/>
          <w:rFonts w:asciiTheme="majorBidi" w:hAnsiTheme="majorBidi" w:cstheme="majorBidi"/>
          <w:color w:val="auto"/>
        </w:rPr>
        <w:t xml:space="preserve">hronic hepatitis B infection when acquired during adulthood. Universal vaccination of children is key to reducing the burden of hepatitis </w:t>
      </w:r>
      <w:r w:rsidR="00AD65BE" w:rsidRPr="000F3DC9">
        <w:rPr>
          <w:rStyle w:val="y2iqfc"/>
          <w:rFonts w:asciiTheme="majorBidi" w:hAnsiTheme="majorBidi" w:cstheme="majorBidi"/>
        </w:rPr>
        <w:t>B</w:t>
      </w:r>
      <w:r w:rsidR="00BC5A45" w:rsidRPr="000F3DC9">
        <w:rPr>
          <w:rStyle w:val="y2iqfc"/>
          <w:rFonts w:asciiTheme="majorBidi" w:hAnsiTheme="majorBidi" w:cstheme="majorBidi"/>
          <w:color w:val="auto"/>
        </w:rPr>
        <w:t>.</w:t>
      </w:r>
      <w:r w:rsidR="00CA479A" w:rsidRPr="000F3DC9">
        <w:rPr>
          <w:rStyle w:val="y2iqfc"/>
          <w:rFonts w:asciiTheme="majorBidi" w:hAnsiTheme="majorBidi" w:cstheme="majorBidi"/>
          <w:color w:val="auto"/>
        </w:rPr>
        <w:t xml:space="preserve"> </w:t>
      </w:r>
      <w:r w:rsidR="00B75938" w:rsidRPr="000F3DC9">
        <w:rPr>
          <w:rStyle w:val="y2iqfc"/>
          <w:rFonts w:asciiTheme="majorBidi" w:hAnsiTheme="majorBidi" w:cstheme="majorBidi"/>
          <w:color w:val="auto"/>
        </w:rPr>
        <w:t xml:space="preserve">The World Health Organization (WHO) officially recommended the inclusion of the hepatitis B vaccine in universal immunization programs for children in 1992. </w:t>
      </w:r>
      <w:r w:rsidR="00B75938" w:rsidRPr="000F3DC9">
        <w:rPr>
          <w:rStyle w:val="y2iqfc"/>
          <w:rFonts w:asciiTheme="majorBidi" w:hAnsiTheme="majorBidi" w:cstheme="majorBidi"/>
        </w:rPr>
        <w:t>Ever since</w:t>
      </w:r>
      <w:r w:rsidR="00B75938" w:rsidRPr="000F3DC9">
        <w:rPr>
          <w:rStyle w:val="y2iqfc"/>
          <w:rFonts w:asciiTheme="majorBidi" w:hAnsiTheme="majorBidi" w:cstheme="majorBidi"/>
          <w:color w:val="auto"/>
        </w:rPr>
        <w:t xml:space="preserve">, </w:t>
      </w:r>
      <w:r w:rsidR="00B75938" w:rsidRPr="000F3DC9">
        <w:rPr>
          <w:rStyle w:val="y2iqfc"/>
          <w:rFonts w:asciiTheme="majorBidi" w:hAnsiTheme="majorBidi" w:cstheme="majorBidi"/>
        </w:rPr>
        <w:t xml:space="preserve">the campaigns of vaccination </w:t>
      </w:r>
      <w:r w:rsidR="00B75938" w:rsidRPr="000F3DC9">
        <w:rPr>
          <w:rStyle w:val="y2iqfc"/>
          <w:rFonts w:asciiTheme="majorBidi" w:hAnsiTheme="majorBidi" w:cstheme="majorBidi"/>
          <w:color w:val="auto"/>
        </w:rPr>
        <w:t xml:space="preserve"> have already had an </w:t>
      </w:r>
      <w:r w:rsidR="00B75938" w:rsidRPr="000F3DC9">
        <w:rPr>
          <w:rStyle w:val="y2iqfc"/>
          <w:rFonts w:asciiTheme="majorBidi" w:hAnsiTheme="majorBidi" w:cstheme="majorBidi"/>
        </w:rPr>
        <w:t xml:space="preserve">effect since </w:t>
      </w:r>
      <w:r w:rsidR="00B75938" w:rsidRPr="000F3DC9">
        <w:rPr>
          <w:rStyle w:val="y2iqfc"/>
          <w:rFonts w:asciiTheme="majorBidi" w:hAnsiTheme="majorBidi" w:cstheme="majorBidi"/>
          <w:color w:val="auto"/>
        </w:rPr>
        <w:t>rates of chronic hepatitis B infection in childhood have fallen from 4.7% in the pre-</w:t>
      </w:r>
      <w:r w:rsidR="00B75938" w:rsidRPr="000F3DC9">
        <w:rPr>
          <w:rStyle w:val="y2iqfc"/>
          <w:rFonts w:asciiTheme="majorBidi" w:hAnsiTheme="majorBidi" w:cstheme="majorBidi"/>
        </w:rPr>
        <w:t>period of v</w:t>
      </w:r>
      <w:r w:rsidR="00B75938" w:rsidRPr="000F3DC9">
        <w:rPr>
          <w:rStyle w:val="y2iqfc"/>
          <w:rFonts w:asciiTheme="majorBidi" w:hAnsiTheme="majorBidi" w:cstheme="majorBidi"/>
          <w:color w:val="auto"/>
        </w:rPr>
        <w:t xml:space="preserve">accination to 1.3% in 2015 </w:t>
      </w:r>
      <w:r w:rsidR="00B75938" w:rsidRPr="000F3DC9">
        <w:rPr>
          <w:rStyle w:val="y2iqfc"/>
          <w:rFonts w:asciiTheme="majorBidi" w:hAnsiTheme="majorBidi" w:cstheme="majorBidi"/>
          <w:color w:val="auto"/>
          <w:vertAlign w:val="superscript"/>
        </w:rPr>
        <w:t>27</w:t>
      </w:r>
      <w:r w:rsidR="00B75938" w:rsidRPr="000F3DC9">
        <w:rPr>
          <w:rStyle w:val="y2iqfc"/>
          <w:rFonts w:asciiTheme="majorBidi" w:hAnsiTheme="majorBidi" w:cstheme="majorBidi"/>
          <w:color w:val="auto"/>
        </w:rPr>
        <w:t>.</w:t>
      </w:r>
      <w:r w:rsidR="00B75938" w:rsidRPr="000F3DC9">
        <w:rPr>
          <w:rStyle w:val="y2iqfc"/>
          <w:rFonts w:asciiTheme="majorBidi" w:hAnsiTheme="majorBidi" w:cstheme="majorBidi"/>
        </w:rPr>
        <w:t xml:space="preserve"> Nevertheless</w:t>
      </w:r>
      <w:r w:rsidR="00B75938" w:rsidRPr="000F3DC9">
        <w:rPr>
          <w:rStyle w:val="y2iqfc"/>
          <w:rFonts w:asciiTheme="majorBidi" w:hAnsiTheme="majorBidi" w:cstheme="majorBidi"/>
          <w:color w:val="auto"/>
        </w:rPr>
        <w:t xml:space="preserve">, these </w:t>
      </w:r>
      <w:r w:rsidR="00B75938" w:rsidRPr="000F3DC9">
        <w:rPr>
          <w:rStyle w:val="y2iqfc"/>
          <w:rFonts w:asciiTheme="majorBidi" w:hAnsiTheme="majorBidi" w:cstheme="majorBidi"/>
        </w:rPr>
        <w:t xml:space="preserve">benefits diverse </w:t>
      </w:r>
      <w:r w:rsidR="00B75938" w:rsidRPr="000F3DC9">
        <w:rPr>
          <w:rStyle w:val="y2iqfc"/>
          <w:rFonts w:asciiTheme="majorBidi" w:hAnsiTheme="majorBidi" w:cstheme="majorBidi"/>
          <w:color w:val="auto"/>
        </w:rPr>
        <w:t xml:space="preserve">across countries </w:t>
      </w:r>
      <w:r w:rsidR="00CA479A" w:rsidRPr="000F3DC9">
        <w:rPr>
          <w:rStyle w:val="y2iqfc"/>
          <w:rFonts w:asciiTheme="majorBidi" w:hAnsiTheme="majorBidi" w:cstheme="majorBidi"/>
        </w:rPr>
        <w:t xml:space="preserve">mostly connected </w:t>
      </w:r>
      <w:r w:rsidR="00B75938" w:rsidRPr="000F3DC9">
        <w:rPr>
          <w:rStyle w:val="y2iqfc"/>
          <w:rFonts w:asciiTheme="majorBidi" w:hAnsiTheme="majorBidi" w:cstheme="majorBidi"/>
          <w:color w:val="auto"/>
        </w:rPr>
        <w:t xml:space="preserve">to how early they </w:t>
      </w:r>
      <w:r w:rsidR="00CA479A" w:rsidRPr="000F3DC9">
        <w:rPr>
          <w:rStyle w:val="y2iqfc"/>
          <w:rFonts w:asciiTheme="majorBidi" w:hAnsiTheme="majorBidi" w:cstheme="majorBidi"/>
        </w:rPr>
        <w:t xml:space="preserve">implemented </w:t>
      </w:r>
      <w:r w:rsidR="00B75938" w:rsidRPr="000F3DC9">
        <w:rPr>
          <w:rStyle w:val="y2iqfc"/>
          <w:rFonts w:asciiTheme="majorBidi" w:hAnsiTheme="majorBidi" w:cstheme="majorBidi"/>
          <w:color w:val="auto"/>
        </w:rPr>
        <w:t xml:space="preserve">the hepatitis B vaccine in universal immunization programmes. </w:t>
      </w:r>
      <w:r w:rsidR="00CA479A" w:rsidRPr="000F3DC9">
        <w:rPr>
          <w:rStyle w:val="y2iqfc"/>
          <w:rFonts w:asciiTheme="majorBidi" w:hAnsiTheme="majorBidi" w:cstheme="majorBidi"/>
        </w:rPr>
        <w:t>T</w:t>
      </w:r>
      <w:r w:rsidR="00B75938" w:rsidRPr="000F3DC9">
        <w:rPr>
          <w:rStyle w:val="y2iqfc"/>
          <w:rFonts w:asciiTheme="majorBidi" w:hAnsiTheme="majorBidi" w:cstheme="majorBidi"/>
          <w:color w:val="auto"/>
        </w:rPr>
        <w:t xml:space="preserve">he Americas </w:t>
      </w:r>
      <w:r w:rsidR="00CA479A" w:rsidRPr="000F3DC9">
        <w:rPr>
          <w:rStyle w:val="y2iqfc"/>
          <w:rFonts w:asciiTheme="majorBidi" w:hAnsiTheme="majorBidi" w:cstheme="majorBidi"/>
        </w:rPr>
        <w:t xml:space="preserve">obtained </w:t>
      </w:r>
      <w:r w:rsidR="00B75938" w:rsidRPr="000F3DC9">
        <w:rPr>
          <w:rStyle w:val="y2iqfc"/>
          <w:rFonts w:asciiTheme="majorBidi" w:hAnsiTheme="majorBidi" w:cstheme="majorBidi"/>
          <w:color w:val="auto"/>
        </w:rPr>
        <w:t>hepatitis B vaccine coverage of 90% among children under one year of age - the minimum set by the World Health Organization in 2015.</w:t>
      </w:r>
      <w:r w:rsidR="00E44B98" w:rsidRPr="000F3DC9">
        <w:rPr>
          <w:rStyle w:val="y2iqfc"/>
          <w:rFonts w:asciiTheme="majorBidi" w:hAnsiTheme="majorBidi" w:cstheme="majorBidi"/>
          <w:color w:val="auto"/>
        </w:rPr>
        <w:t xml:space="preserve"> Immunization rates in other regions including Yemen are still lagging, where HBV coverage for children is no more than 50%. Barriers in these areas include vaccine availability and delays in healthcare delivery as the majority of deliveries in these areas occur outside the hospital</w:t>
      </w:r>
      <w:r w:rsidR="00BA27B5" w:rsidRPr="000F3DC9">
        <w:rPr>
          <w:rStyle w:val="y2iqfc"/>
          <w:rFonts w:asciiTheme="majorBidi" w:hAnsiTheme="majorBidi" w:cstheme="majorBidi"/>
          <w:color w:val="auto"/>
        </w:rPr>
        <w:t xml:space="preserve"> </w:t>
      </w:r>
      <w:r w:rsidR="00E44B98" w:rsidRPr="000F3DC9">
        <w:rPr>
          <w:rStyle w:val="y2iqfc"/>
          <w:rFonts w:asciiTheme="majorBidi" w:hAnsiTheme="majorBidi" w:cstheme="majorBidi"/>
          <w:color w:val="auto"/>
          <w:vertAlign w:val="superscript"/>
        </w:rPr>
        <w:t>13, 27</w:t>
      </w:r>
      <w:r w:rsidR="00E44B98" w:rsidRPr="000F3DC9">
        <w:rPr>
          <w:rStyle w:val="y2iqfc"/>
          <w:rFonts w:asciiTheme="majorBidi" w:hAnsiTheme="majorBidi" w:cstheme="majorBidi"/>
          <w:color w:val="auto"/>
        </w:rPr>
        <w:t>.</w:t>
      </w:r>
      <w:r w:rsidR="00B83A80" w:rsidRPr="000F3DC9">
        <w:rPr>
          <w:rStyle w:val="y2iqfc"/>
          <w:rFonts w:asciiTheme="majorBidi" w:hAnsiTheme="majorBidi" w:cstheme="majorBidi"/>
          <w:color w:val="auto"/>
        </w:rPr>
        <w:t xml:space="preserve"> </w:t>
      </w:r>
      <w:r w:rsidR="00C83740" w:rsidRPr="000F3DC9">
        <w:rPr>
          <w:rStyle w:val="y2iqfc"/>
          <w:rFonts w:asciiTheme="majorBidi" w:hAnsiTheme="majorBidi" w:cstheme="majorBidi"/>
          <w:color w:val="auto"/>
        </w:rPr>
        <w:t xml:space="preserve">The main routes of transmission of HCV are </w:t>
      </w:r>
      <w:r w:rsidR="00C83740" w:rsidRPr="000F3DC9">
        <w:rPr>
          <w:rStyle w:val="y2iqfc"/>
          <w:rFonts w:asciiTheme="majorBidi" w:hAnsiTheme="majorBidi" w:cstheme="majorBidi"/>
        </w:rPr>
        <w:t>intravenous drug use (</w:t>
      </w:r>
      <w:r w:rsidR="00C83740" w:rsidRPr="000F3DC9">
        <w:rPr>
          <w:rStyle w:val="y2iqfc"/>
          <w:rFonts w:asciiTheme="majorBidi" w:hAnsiTheme="majorBidi" w:cstheme="majorBidi"/>
          <w:color w:val="auto"/>
        </w:rPr>
        <w:t>IVDU</w:t>
      </w:r>
      <w:r w:rsidR="00C83740" w:rsidRPr="000F3DC9">
        <w:rPr>
          <w:rStyle w:val="y2iqfc"/>
          <w:rFonts w:asciiTheme="majorBidi" w:hAnsiTheme="majorBidi" w:cstheme="majorBidi"/>
        </w:rPr>
        <w:t>)</w:t>
      </w:r>
      <w:r w:rsidR="00C83740" w:rsidRPr="000F3DC9">
        <w:rPr>
          <w:rStyle w:val="y2iqfc"/>
          <w:rFonts w:asciiTheme="majorBidi" w:hAnsiTheme="majorBidi" w:cstheme="majorBidi"/>
          <w:color w:val="auto"/>
        </w:rPr>
        <w:t xml:space="preserve">, nosocomial spread and, to a lesser extent, sexual and vertical transmission. The prevalence of hepatitis C was stable with declines in some areas from 2000 to 2015, mainly due to improved screening of blood products </w:t>
      </w:r>
      <w:r w:rsidR="00C83740" w:rsidRPr="000F3DC9">
        <w:rPr>
          <w:rStyle w:val="y2iqfc"/>
          <w:rFonts w:asciiTheme="majorBidi" w:hAnsiTheme="majorBidi" w:cstheme="majorBidi"/>
          <w:color w:val="auto"/>
          <w:vertAlign w:val="superscript"/>
        </w:rPr>
        <w:t>7,8,9</w:t>
      </w:r>
      <w:r w:rsidR="00C83740" w:rsidRPr="000F3DC9">
        <w:rPr>
          <w:rStyle w:val="y2iqfc"/>
          <w:rFonts w:asciiTheme="majorBidi" w:hAnsiTheme="majorBidi" w:cstheme="majorBidi"/>
          <w:color w:val="auto"/>
        </w:rPr>
        <w:t xml:space="preserve">. Several </w:t>
      </w:r>
      <w:r w:rsidR="00C83740" w:rsidRPr="000F3DC9">
        <w:rPr>
          <w:rStyle w:val="y2iqfc"/>
          <w:rFonts w:asciiTheme="majorBidi" w:hAnsiTheme="majorBidi" w:cstheme="majorBidi"/>
        </w:rPr>
        <w:t xml:space="preserve">modern </w:t>
      </w:r>
      <w:r w:rsidR="00C83740" w:rsidRPr="000F3DC9">
        <w:rPr>
          <w:rStyle w:val="y2iqfc"/>
          <w:rFonts w:asciiTheme="majorBidi" w:hAnsiTheme="majorBidi" w:cstheme="majorBidi"/>
          <w:color w:val="auto"/>
        </w:rPr>
        <w:t xml:space="preserve">trends are alarming to the increasing burden of hepatitis C. First, in the world there are more infections (for example, 1.75 million in 2016) diagnosed annually than with successful treatment </w:t>
      </w:r>
      <w:r w:rsidR="00C83740" w:rsidRPr="000F3DC9">
        <w:rPr>
          <w:rStyle w:val="y2iqfc"/>
          <w:rFonts w:asciiTheme="majorBidi" w:hAnsiTheme="majorBidi" w:cstheme="majorBidi"/>
          <w:color w:val="auto"/>
          <w:vertAlign w:val="superscript"/>
        </w:rPr>
        <w:t>27</w:t>
      </w:r>
      <w:r w:rsidR="00C83740" w:rsidRPr="000F3DC9">
        <w:rPr>
          <w:rStyle w:val="y2iqfc"/>
          <w:rFonts w:asciiTheme="majorBidi" w:hAnsiTheme="majorBidi" w:cstheme="majorBidi"/>
          <w:color w:val="auto"/>
        </w:rPr>
        <w:t xml:space="preserve">. Second, </w:t>
      </w:r>
      <w:r w:rsidR="00C83740" w:rsidRPr="000F3DC9">
        <w:rPr>
          <w:rStyle w:val="y2iqfc"/>
          <w:rFonts w:asciiTheme="majorBidi" w:hAnsiTheme="majorBidi" w:cstheme="majorBidi"/>
        </w:rPr>
        <w:t xml:space="preserve">use again </w:t>
      </w:r>
      <w:r w:rsidR="00C83740" w:rsidRPr="000F3DC9">
        <w:rPr>
          <w:rStyle w:val="y2iqfc"/>
          <w:rFonts w:asciiTheme="majorBidi" w:hAnsiTheme="majorBidi" w:cstheme="majorBidi"/>
          <w:color w:val="auto"/>
        </w:rPr>
        <w:t xml:space="preserve">of non-sterile medical equipment and absence of blood screening programs are </w:t>
      </w:r>
      <w:r w:rsidR="00C83740" w:rsidRPr="000F3DC9">
        <w:rPr>
          <w:rStyle w:val="y2iqfc"/>
          <w:rFonts w:asciiTheme="majorBidi" w:hAnsiTheme="majorBidi" w:cstheme="majorBidi"/>
        </w:rPr>
        <w:t xml:space="preserve">enduring </w:t>
      </w:r>
      <w:r w:rsidR="00C83740" w:rsidRPr="000F3DC9">
        <w:rPr>
          <w:rStyle w:val="y2iqfc"/>
          <w:rFonts w:asciiTheme="majorBidi" w:hAnsiTheme="majorBidi" w:cstheme="majorBidi"/>
          <w:color w:val="auto"/>
        </w:rPr>
        <w:t>problems in many regions, such as Yemen</w:t>
      </w:r>
      <w:r w:rsidR="00BA27B5" w:rsidRPr="000F3DC9">
        <w:rPr>
          <w:rStyle w:val="y2iqfc"/>
          <w:rFonts w:asciiTheme="majorBidi" w:hAnsiTheme="majorBidi" w:cstheme="majorBidi"/>
          <w:color w:val="auto"/>
        </w:rPr>
        <w:t xml:space="preserve"> </w:t>
      </w:r>
      <w:r w:rsidR="00C83740" w:rsidRPr="000F3DC9">
        <w:rPr>
          <w:rStyle w:val="y2iqfc"/>
          <w:rFonts w:asciiTheme="majorBidi" w:hAnsiTheme="majorBidi" w:cstheme="majorBidi"/>
          <w:color w:val="auto"/>
          <w:vertAlign w:val="superscript"/>
        </w:rPr>
        <w:t>9.18</w:t>
      </w:r>
      <w:r w:rsidR="00C83740" w:rsidRPr="000F3DC9">
        <w:rPr>
          <w:rStyle w:val="y2iqfc"/>
          <w:rFonts w:asciiTheme="majorBidi" w:hAnsiTheme="majorBidi" w:cstheme="majorBidi"/>
          <w:color w:val="auto"/>
        </w:rPr>
        <w:t xml:space="preserve"> </w:t>
      </w:r>
      <w:r w:rsidR="00BA27B5" w:rsidRPr="000F3DC9">
        <w:rPr>
          <w:rStyle w:val="y2iqfc"/>
          <w:rFonts w:asciiTheme="majorBidi" w:hAnsiTheme="majorBidi" w:cstheme="majorBidi"/>
          <w:color w:val="auto"/>
        </w:rPr>
        <w:t xml:space="preserve"> , </w:t>
      </w:r>
      <w:r w:rsidR="00C83740" w:rsidRPr="000F3DC9">
        <w:rPr>
          <w:rStyle w:val="y2iqfc"/>
          <w:rFonts w:asciiTheme="majorBidi" w:hAnsiTheme="majorBidi" w:cstheme="majorBidi"/>
          <w:color w:val="auto"/>
        </w:rPr>
        <w:t xml:space="preserve">India, Pakistan, and parts of Southeast Asia </w:t>
      </w:r>
      <w:r w:rsidR="00C83740" w:rsidRPr="000F3DC9">
        <w:rPr>
          <w:rStyle w:val="y2iqfc"/>
          <w:rFonts w:asciiTheme="majorBidi" w:hAnsiTheme="majorBidi" w:cstheme="majorBidi"/>
          <w:color w:val="auto"/>
          <w:vertAlign w:val="superscript"/>
        </w:rPr>
        <w:t>27</w:t>
      </w:r>
      <w:r w:rsidR="00C83740" w:rsidRPr="000F3DC9">
        <w:rPr>
          <w:rStyle w:val="y2iqfc"/>
          <w:rFonts w:asciiTheme="majorBidi" w:hAnsiTheme="majorBidi" w:cstheme="majorBidi"/>
          <w:color w:val="auto"/>
        </w:rPr>
        <w:t xml:space="preserve">. </w:t>
      </w:r>
      <w:r w:rsidR="00C83740" w:rsidRPr="000F3DC9">
        <w:rPr>
          <w:rStyle w:val="y2iqfc"/>
          <w:rFonts w:asciiTheme="majorBidi" w:hAnsiTheme="majorBidi" w:cstheme="majorBidi"/>
        </w:rPr>
        <w:t xml:space="preserve">Lastly </w:t>
      </w:r>
      <w:r w:rsidR="00C83740" w:rsidRPr="000F3DC9">
        <w:rPr>
          <w:rStyle w:val="y2iqfc"/>
          <w:rFonts w:asciiTheme="majorBidi" w:hAnsiTheme="majorBidi" w:cstheme="majorBidi"/>
          <w:color w:val="auto"/>
        </w:rPr>
        <w:t xml:space="preserve">there has been a recovery in IVDU </w:t>
      </w:r>
      <w:r w:rsidR="00C83740" w:rsidRPr="000F3DC9">
        <w:rPr>
          <w:rStyle w:val="y2iqfc"/>
          <w:rFonts w:asciiTheme="majorBidi" w:hAnsiTheme="majorBidi" w:cstheme="majorBidi"/>
        </w:rPr>
        <w:t xml:space="preserve">in the middle of </w:t>
      </w:r>
      <w:r w:rsidR="00C83740" w:rsidRPr="000F3DC9">
        <w:rPr>
          <w:rStyle w:val="y2iqfc"/>
          <w:rFonts w:asciiTheme="majorBidi" w:hAnsiTheme="majorBidi" w:cstheme="majorBidi"/>
          <w:color w:val="auto"/>
        </w:rPr>
        <w:t xml:space="preserve">young adults, </w:t>
      </w:r>
      <w:r w:rsidR="00C83740" w:rsidRPr="000F3DC9">
        <w:rPr>
          <w:rStyle w:val="y2iqfc"/>
          <w:rFonts w:asciiTheme="majorBidi" w:hAnsiTheme="majorBidi" w:cstheme="majorBidi"/>
        </w:rPr>
        <w:t xml:space="preserve">predominantly </w:t>
      </w:r>
      <w:r w:rsidR="00C83740" w:rsidRPr="000F3DC9">
        <w:rPr>
          <w:rStyle w:val="y2iqfc"/>
          <w:rFonts w:asciiTheme="majorBidi" w:hAnsiTheme="majorBidi" w:cstheme="majorBidi"/>
          <w:color w:val="auto"/>
        </w:rPr>
        <w:t>in United States</w:t>
      </w:r>
      <w:r w:rsidR="00C83740" w:rsidRPr="000F3DC9">
        <w:rPr>
          <w:rStyle w:val="y2iqfc"/>
          <w:rFonts w:asciiTheme="majorBidi" w:hAnsiTheme="majorBidi" w:cstheme="majorBidi"/>
        </w:rPr>
        <w:t xml:space="preserve">, </w:t>
      </w:r>
      <w:r w:rsidR="00C83740" w:rsidRPr="000F3DC9">
        <w:rPr>
          <w:rStyle w:val="y2iqfc"/>
          <w:rFonts w:asciiTheme="majorBidi" w:hAnsiTheme="majorBidi" w:cstheme="majorBidi"/>
          <w:color w:val="auto"/>
        </w:rPr>
        <w:t xml:space="preserve"> Russia, </w:t>
      </w:r>
      <w:r w:rsidR="00C83740" w:rsidRPr="000F3DC9">
        <w:rPr>
          <w:rStyle w:val="y2iqfc"/>
          <w:rFonts w:asciiTheme="majorBidi" w:hAnsiTheme="majorBidi" w:cstheme="majorBidi"/>
        </w:rPr>
        <w:t xml:space="preserve">and </w:t>
      </w:r>
      <w:r w:rsidR="00C83740" w:rsidRPr="000F3DC9">
        <w:rPr>
          <w:rStyle w:val="y2iqfc"/>
          <w:rFonts w:asciiTheme="majorBidi" w:hAnsiTheme="majorBidi" w:cstheme="majorBidi"/>
          <w:color w:val="auto"/>
        </w:rPr>
        <w:t xml:space="preserve">China </w:t>
      </w:r>
      <w:r w:rsidR="00C83740" w:rsidRPr="000F3DC9">
        <w:rPr>
          <w:rStyle w:val="y2iqfc"/>
          <w:rFonts w:asciiTheme="majorBidi" w:hAnsiTheme="majorBidi" w:cstheme="majorBidi"/>
          <w:color w:val="auto"/>
          <w:vertAlign w:val="superscript"/>
        </w:rPr>
        <w:t>27</w:t>
      </w:r>
      <w:r w:rsidR="00C83740" w:rsidRPr="000F3DC9">
        <w:rPr>
          <w:rStyle w:val="y2iqfc"/>
          <w:rFonts w:asciiTheme="majorBidi" w:hAnsiTheme="majorBidi" w:cstheme="majorBidi"/>
          <w:color w:val="auto"/>
        </w:rPr>
        <w:t>.</w:t>
      </w:r>
      <w:r w:rsidR="00383E9A" w:rsidRPr="000F3DC9">
        <w:rPr>
          <w:rStyle w:val="y2iqfc"/>
          <w:rFonts w:asciiTheme="majorBidi" w:hAnsiTheme="majorBidi" w:cstheme="majorBidi"/>
          <w:color w:val="auto"/>
        </w:rPr>
        <w:t xml:space="preserve"> In the current study, herbal toxic hepatitis was 3.9% of the total liver disease, (Table 3). Herbal remedies and nutritional supplements are </w:t>
      </w:r>
      <w:r w:rsidR="00383E9A" w:rsidRPr="000F3DC9">
        <w:rPr>
          <w:rStyle w:val="y2iqfc"/>
          <w:rFonts w:asciiTheme="majorBidi" w:hAnsiTheme="majorBidi" w:cstheme="majorBidi"/>
        </w:rPr>
        <w:t xml:space="preserve">a further significant </w:t>
      </w:r>
      <w:r w:rsidR="00383E9A" w:rsidRPr="000F3DC9">
        <w:rPr>
          <w:rStyle w:val="y2iqfc"/>
          <w:rFonts w:asciiTheme="majorBidi" w:hAnsiTheme="majorBidi" w:cstheme="majorBidi"/>
          <w:color w:val="auto"/>
        </w:rPr>
        <w:t xml:space="preserve">cause of hepatitis. These are the </w:t>
      </w:r>
      <w:r w:rsidR="00383E9A" w:rsidRPr="000F3DC9">
        <w:rPr>
          <w:rStyle w:val="y2iqfc"/>
          <w:rFonts w:asciiTheme="majorBidi" w:hAnsiTheme="majorBidi" w:cstheme="majorBidi"/>
        </w:rPr>
        <w:t xml:space="preserve">majority ordinary </w:t>
      </w:r>
      <w:r w:rsidR="00383E9A" w:rsidRPr="000F3DC9">
        <w:rPr>
          <w:rStyle w:val="y2iqfc"/>
          <w:rFonts w:asciiTheme="majorBidi" w:hAnsiTheme="majorBidi" w:cstheme="majorBidi"/>
          <w:color w:val="auto"/>
        </w:rPr>
        <w:t xml:space="preserve">causes of drug-induced hepatitis in Korea </w:t>
      </w:r>
      <w:r w:rsidR="00383E9A" w:rsidRPr="000F3DC9">
        <w:rPr>
          <w:rStyle w:val="y2iqfc"/>
          <w:rFonts w:asciiTheme="majorBidi" w:hAnsiTheme="majorBidi" w:cstheme="majorBidi"/>
          <w:color w:val="auto"/>
          <w:vertAlign w:val="superscript"/>
        </w:rPr>
        <w:t>30</w:t>
      </w:r>
      <w:r w:rsidR="00383E9A" w:rsidRPr="000F3DC9">
        <w:rPr>
          <w:rStyle w:val="y2iqfc"/>
          <w:rFonts w:asciiTheme="majorBidi" w:hAnsiTheme="majorBidi" w:cstheme="majorBidi"/>
          <w:color w:val="auto"/>
        </w:rPr>
        <w:t xml:space="preserve">. </w:t>
      </w:r>
      <w:r w:rsidR="00383E9A" w:rsidRPr="000F3DC9">
        <w:rPr>
          <w:rFonts w:asciiTheme="majorBidi" w:hAnsiTheme="majorBidi" w:cstheme="majorBidi"/>
        </w:rPr>
        <w:t>The United-States-based </w:t>
      </w:r>
      <w:hyperlink r:id="rId12" w:history="1">
        <w:r w:rsidR="00383E9A" w:rsidRPr="000F3DC9">
          <w:rPr>
            <w:rStyle w:val="Hyperlink"/>
            <w:rFonts w:asciiTheme="majorBidi" w:hAnsiTheme="majorBidi" w:cstheme="majorBidi"/>
            <w:color w:val="auto"/>
            <w:u w:val="none"/>
          </w:rPr>
          <w:t>Drug Induced Liver Injury Network</w:t>
        </w:r>
      </w:hyperlink>
      <w:r w:rsidR="00383E9A" w:rsidRPr="000F3DC9">
        <w:rPr>
          <w:rStyle w:val="y2iqfc"/>
          <w:rFonts w:asciiTheme="majorBidi" w:hAnsiTheme="majorBidi" w:cstheme="majorBidi"/>
          <w:color w:val="auto"/>
        </w:rPr>
        <w:t xml:space="preserve"> has </w:t>
      </w:r>
      <w:r w:rsidR="00383E9A" w:rsidRPr="000F3DC9">
        <w:rPr>
          <w:rStyle w:val="y2iqfc"/>
          <w:rFonts w:asciiTheme="majorBidi" w:hAnsiTheme="majorBidi" w:cstheme="majorBidi"/>
        </w:rPr>
        <w:t xml:space="preserve">connected </w:t>
      </w:r>
      <w:r w:rsidR="00383E9A" w:rsidRPr="000F3DC9">
        <w:rPr>
          <w:rStyle w:val="y2iqfc"/>
          <w:rFonts w:asciiTheme="majorBidi" w:hAnsiTheme="majorBidi" w:cstheme="majorBidi"/>
          <w:color w:val="auto"/>
        </w:rPr>
        <w:t xml:space="preserve">more than 16% of hepatotoxicity cases to herbal and dietary supplements </w:t>
      </w:r>
      <w:r w:rsidR="00383E9A" w:rsidRPr="000F3DC9">
        <w:rPr>
          <w:rStyle w:val="y2iqfc"/>
          <w:rFonts w:asciiTheme="majorBidi" w:hAnsiTheme="majorBidi" w:cstheme="majorBidi"/>
          <w:color w:val="auto"/>
          <w:vertAlign w:val="superscript"/>
        </w:rPr>
        <w:t>31</w:t>
      </w:r>
      <w:r w:rsidR="00383E9A" w:rsidRPr="000F3DC9">
        <w:rPr>
          <w:rStyle w:val="y2iqfc"/>
          <w:rFonts w:asciiTheme="majorBidi" w:hAnsiTheme="majorBidi" w:cstheme="majorBidi"/>
          <w:color w:val="auto"/>
        </w:rPr>
        <w:t xml:space="preserve">. </w:t>
      </w:r>
      <w:r w:rsidR="00FC4A5C" w:rsidRPr="000F3DC9">
        <w:rPr>
          <w:rStyle w:val="y2iqfc"/>
          <w:rFonts w:asciiTheme="majorBidi" w:hAnsiTheme="majorBidi" w:cstheme="majorBidi"/>
          <w:color w:val="auto"/>
        </w:rPr>
        <w:t xml:space="preserve"> </w:t>
      </w:r>
      <w:r w:rsidR="002064AE" w:rsidRPr="000F3DC9">
        <w:rPr>
          <w:rStyle w:val="y2iqfc"/>
          <w:rFonts w:asciiTheme="majorBidi" w:hAnsiTheme="majorBidi" w:cstheme="majorBidi"/>
          <w:color w:val="auto"/>
        </w:rPr>
        <w:t xml:space="preserve">There is no consumer database to keep track of all known prescription and nonprescription compounds associated with liver injury in Yemen, so researchers in Yemen must create a liver toxic archive of Yemeni herbs. Exposure to other hepatotoxins can occur accidentally or intentionally through ingestion, inhalation, and skin absorption. Synthetic toxic carbon tetrachloride and the wild mushroom Amanita phalloides are other known hepatotoxicities </w:t>
      </w:r>
      <w:r w:rsidR="002064AE" w:rsidRPr="000F3DC9">
        <w:rPr>
          <w:rStyle w:val="y2iqfc"/>
          <w:rFonts w:asciiTheme="majorBidi" w:hAnsiTheme="majorBidi" w:cstheme="majorBidi"/>
          <w:color w:val="auto"/>
          <w:vertAlign w:val="superscript"/>
        </w:rPr>
        <w:t>32</w:t>
      </w:r>
      <w:r w:rsidR="002064AE" w:rsidRPr="000F3DC9">
        <w:rPr>
          <w:rStyle w:val="y2iqfc"/>
          <w:rFonts w:asciiTheme="majorBidi" w:hAnsiTheme="majorBidi" w:cstheme="majorBidi"/>
          <w:color w:val="auto"/>
        </w:rPr>
        <w:t>.</w:t>
      </w:r>
      <w:r w:rsidR="00D40B3E" w:rsidRPr="000F3DC9">
        <w:rPr>
          <w:rStyle w:val="y2iqfc"/>
          <w:rFonts w:asciiTheme="majorBidi" w:hAnsiTheme="majorBidi" w:cstheme="majorBidi"/>
          <w:color w:val="auto"/>
        </w:rPr>
        <w:t xml:space="preserve"> In the current study, alcoholic liver disease (ALD) accounted for 4.5% of the total liver disease, (Table 3). When alcohol is considered a major cause and a cofactor, alcohol is responsible for 30% to 50% of cirrhosis-related deaths globally </w:t>
      </w:r>
      <w:r w:rsidR="00D40B3E" w:rsidRPr="000F3DC9">
        <w:rPr>
          <w:rStyle w:val="y2iqfc"/>
          <w:rFonts w:asciiTheme="majorBidi" w:hAnsiTheme="majorBidi" w:cstheme="majorBidi"/>
          <w:color w:val="auto"/>
          <w:vertAlign w:val="superscript"/>
        </w:rPr>
        <w:t>27, 33</w:t>
      </w:r>
      <w:r w:rsidR="00D40B3E" w:rsidRPr="000F3DC9">
        <w:rPr>
          <w:rStyle w:val="y2iqfc"/>
          <w:rFonts w:asciiTheme="majorBidi" w:hAnsiTheme="majorBidi" w:cstheme="majorBidi"/>
          <w:color w:val="auto"/>
        </w:rPr>
        <w:t>. Accurate estimates of ALD in Yemen and globally are difficult to establish because the diagnosis is based on people's self-report of alcohol consumption, in contrast to viral hepatitis, which can be determined based on objective tests.</w:t>
      </w:r>
      <w:r w:rsidR="00D40B3E" w:rsidRPr="000F3DC9">
        <w:rPr>
          <w:rStyle w:val="y2iqfc"/>
          <w:rFonts w:asciiTheme="majorBidi" w:hAnsiTheme="majorBidi" w:cstheme="majorBidi"/>
        </w:rPr>
        <w:t xml:space="preserve"> As an alternative</w:t>
      </w:r>
      <w:r w:rsidR="00D40B3E" w:rsidRPr="000F3DC9">
        <w:rPr>
          <w:rStyle w:val="y2iqfc"/>
          <w:rFonts w:asciiTheme="majorBidi" w:hAnsiTheme="majorBidi" w:cstheme="majorBidi"/>
          <w:color w:val="auto"/>
        </w:rPr>
        <w:t xml:space="preserve">, annual per capita alcohol consumption, which is </w:t>
      </w:r>
      <w:r w:rsidR="00D40B3E" w:rsidRPr="000F3DC9">
        <w:rPr>
          <w:rStyle w:val="y2iqfc"/>
          <w:rFonts w:asciiTheme="majorBidi" w:hAnsiTheme="majorBidi" w:cstheme="majorBidi"/>
        </w:rPr>
        <w:t xml:space="preserve">in a straight line </w:t>
      </w:r>
      <w:r w:rsidR="00D40B3E" w:rsidRPr="000F3DC9">
        <w:rPr>
          <w:rStyle w:val="y2iqfc"/>
          <w:rFonts w:asciiTheme="majorBidi" w:hAnsiTheme="majorBidi" w:cstheme="majorBidi"/>
          <w:color w:val="auto"/>
        </w:rPr>
        <w:t xml:space="preserve">related to the burden of ALD at the population level, is </w:t>
      </w:r>
      <w:r w:rsidR="00D40B3E" w:rsidRPr="000F3DC9">
        <w:rPr>
          <w:rStyle w:val="y2iqfc"/>
          <w:rFonts w:asciiTheme="majorBidi" w:hAnsiTheme="majorBidi" w:cstheme="majorBidi"/>
        </w:rPr>
        <w:t xml:space="preserve">utilized </w:t>
      </w:r>
      <w:r w:rsidR="00D40B3E" w:rsidRPr="000F3DC9">
        <w:rPr>
          <w:rStyle w:val="y2iqfc"/>
          <w:rFonts w:asciiTheme="majorBidi" w:hAnsiTheme="majorBidi" w:cstheme="majorBidi"/>
          <w:color w:val="auto"/>
        </w:rPr>
        <w:t>as an indicator of disease trends and all of this information is not available or present in Yemen.</w:t>
      </w:r>
      <w:r w:rsidR="007D51FB" w:rsidRPr="000F3DC9">
        <w:rPr>
          <w:rStyle w:val="y2iqfc"/>
          <w:rFonts w:asciiTheme="majorBidi" w:hAnsiTheme="majorBidi" w:cstheme="majorBidi"/>
          <w:color w:val="auto"/>
        </w:rPr>
        <w:t xml:space="preserve"> </w:t>
      </w:r>
      <w:r w:rsidR="00A468FA" w:rsidRPr="000F3DC9">
        <w:rPr>
          <w:rStyle w:val="y2iqfc"/>
          <w:rFonts w:asciiTheme="majorBidi" w:hAnsiTheme="majorBidi" w:cstheme="majorBidi"/>
        </w:rPr>
        <w:t xml:space="preserve">In the current study, the rate of nonalcoholic fatty liver disease (NAFLD) was the second cause (22.6%) (Table 3). This rate is similar to the global prevalence where the prevalence of non-alcoholic fatty liver disease is 24%, which is more than 30% in the Middle East and South America </w:t>
      </w:r>
      <w:r w:rsidR="00A468FA" w:rsidRPr="000F3DC9">
        <w:rPr>
          <w:rStyle w:val="y2iqfc"/>
          <w:rFonts w:asciiTheme="majorBidi" w:hAnsiTheme="majorBidi" w:cstheme="majorBidi"/>
          <w:vertAlign w:val="superscript"/>
        </w:rPr>
        <w:t>6</w:t>
      </w:r>
      <w:r w:rsidR="00A468FA" w:rsidRPr="000F3DC9">
        <w:rPr>
          <w:rStyle w:val="y2iqfc"/>
          <w:rFonts w:asciiTheme="majorBidi" w:hAnsiTheme="majorBidi" w:cstheme="majorBidi"/>
        </w:rPr>
        <w:t xml:space="preserve">. Up to 59% of NAFLD cases are of the nonalcoholic steatohepatitis (NASH) phenotype, a major subtype of the disease with a risk of fibrosis progressing to cirrhosis. </w:t>
      </w:r>
      <w:r w:rsidR="007D51FB" w:rsidRPr="000F3DC9">
        <w:rPr>
          <w:rStyle w:val="y2iqfc"/>
          <w:rFonts w:asciiTheme="majorBidi" w:hAnsiTheme="majorBidi" w:cstheme="majorBidi"/>
        </w:rPr>
        <w:t xml:space="preserve">Even though </w:t>
      </w:r>
      <w:r w:rsidR="00A468FA" w:rsidRPr="000F3DC9">
        <w:rPr>
          <w:rStyle w:val="y2iqfc"/>
          <w:rFonts w:asciiTheme="majorBidi" w:hAnsiTheme="majorBidi" w:cstheme="majorBidi"/>
        </w:rPr>
        <w:t xml:space="preserve">there are no direct signs of nonalcoholic steatohepatitis, </w:t>
      </w:r>
      <w:r w:rsidR="007D51FB" w:rsidRPr="000F3DC9">
        <w:rPr>
          <w:rStyle w:val="y2iqfc"/>
          <w:rFonts w:asciiTheme="majorBidi" w:hAnsiTheme="majorBidi" w:cstheme="majorBidi"/>
        </w:rPr>
        <w:t xml:space="preserve">type 2 diabetes  and </w:t>
      </w:r>
      <w:r w:rsidR="00A468FA" w:rsidRPr="000F3DC9">
        <w:rPr>
          <w:rStyle w:val="y2iqfc"/>
          <w:rFonts w:asciiTheme="majorBidi" w:hAnsiTheme="majorBidi" w:cstheme="majorBidi"/>
        </w:rPr>
        <w:t xml:space="preserve">obesity  are </w:t>
      </w:r>
      <w:r w:rsidR="007D51FB" w:rsidRPr="000F3DC9">
        <w:rPr>
          <w:rStyle w:val="y2iqfc"/>
          <w:rFonts w:asciiTheme="majorBidi" w:hAnsiTheme="majorBidi" w:cstheme="majorBidi"/>
        </w:rPr>
        <w:t xml:space="preserve">potent </w:t>
      </w:r>
      <w:r w:rsidR="00A468FA" w:rsidRPr="000F3DC9">
        <w:rPr>
          <w:rStyle w:val="y2iqfc"/>
          <w:rFonts w:asciiTheme="majorBidi" w:hAnsiTheme="majorBidi" w:cstheme="majorBidi"/>
        </w:rPr>
        <w:t xml:space="preserve">clinical risk factors for the development of fibrosis, and their trends at the population level provide </w:t>
      </w:r>
      <w:r w:rsidR="007D51FB" w:rsidRPr="000F3DC9">
        <w:rPr>
          <w:rStyle w:val="y2iqfc"/>
          <w:rFonts w:asciiTheme="majorBidi" w:hAnsiTheme="majorBidi" w:cstheme="majorBidi"/>
        </w:rPr>
        <w:t xml:space="preserve">approaching </w:t>
      </w:r>
      <w:r w:rsidR="00A468FA" w:rsidRPr="000F3DC9">
        <w:rPr>
          <w:rStyle w:val="y2iqfc"/>
          <w:rFonts w:asciiTheme="majorBidi" w:hAnsiTheme="majorBidi" w:cstheme="majorBidi"/>
        </w:rPr>
        <w:t>into disease trends</w:t>
      </w:r>
      <w:r w:rsidR="00A468FA" w:rsidRPr="000F3DC9">
        <w:rPr>
          <w:rStyle w:val="y2iqfc"/>
          <w:rFonts w:asciiTheme="majorBidi" w:hAnsiTheme="majorBidi" w:cstheme="majorBidi"/>
          <w:vertAlign w:val="superscript"/>
        </w:rPr>
        <w:t>34</w:t>
      </w:r>
      <w:r w:rsidR="00A468FA" w:rsidRPr="000F3DC9">
        <w:rPr>
          <w:rStyle w:val="y2iqfc"/>
          <w:rFonts w:asciiTheme="majorBidi" w:hAnsiTheme="majorBidi" w:cstheme="majorBidi"/>
        </w:rPr>
        <w:t>.</w:t>
      </w:r>
      <w:r w:rsidR="00C24326" w:rsidRPr="000F3DC9">
        <w:rPr>
          <w:rStyle w:val="y2iqfc"/>
          <w:rFonts w:asciiTheme="majorBidi" w:hAnsiTheme="majorBidi" w:cstheme="majorBidi"/>
        </w:rPr>
        <w:t xml:space="preserve"> </w:t>
      </w:r>
      <w:r w:rsidR="0047749B" w:rsidRPr="000F3DC9">
        <w:rPr>
          <w:rStyle w:val="y2iqfc"/>
          <w:rFonts w:asciiTheme="majorBidi" w:hAnsiTheme="majorBidi" w:cstheme="majorBidi"/>
          <w:color w:val="auto"/>
        </w:rPr>
        <w:t xml:space="preserve">Obesity </w:t>
      </w:r>
      <w:r w:rsidR="0047749B" w:rsidRPr="000F3DC9">
        <w:rPr>
          <w:rStyle w:val="y2iqfc"/>
          <w:rFonts w:asciiTheme="majorBidi" w:hAnsiTheme="majorBidi" w:cstheme="majorBidi"/>
          <w:color w:val="auto"/>
        </w:rPr>
        <w:lastRenderedPageBreak/>
        <w:t xml:space="preserve">rates have increased in all regions of the world since 1975. Among the highest are obesity rates in the United States, estimated at more than 30%. However, despite obesity prevalence rates of less than 5%, China and India account for a very large proportion of global obesity due to their large populations. Russia, Mexico and Egypt also have the highest absolute numbers of obese adults </w:t>
      </w:r>
      <w:r w:rsidR="0047749B" w:rsidRPr="000F3DC9">
        <w:rPr>
          <w:rStyle w:val="y2iqfc"/>
          <w:rFonts w:asciiTheme="majorBidi" w:hAnsiTheme="majorBidi" w:cstheme="majorBidi"/>
          <w:color w:val="auto"/>
          <w:vertAlign w:val="superscript"/>
        </w:rPr>
        <w:t>32</w:t>
      </w:r>
      <w:r w:rsidR="0047749B" w:rsidRPr="000F3DC9">
        <w:rPr>
          <w:rStyle w:val="y2iqfc"/>
          <w:rFonts w:asciiTheme="majorBidi" w:hAnsiTheme="majorBidi" w:cstheme="majorBidi"/>
          <w:color w:val="auto"/>
        </w:rPr>
        <w:t>, but in Yemen no official data is available but in general the observed obesity rates have increased in Yemen in the past twenty years.</w:t>
      </w:r>
      <w:r w:rsidR="006736D5" w:rsidRPr="000F3DC9">
        <w:rPr>
          <w:rFonts w:asciiTheme="majorBidi" w:hAnsiTheme="majorBidi" w:cstheme="majorBidi"/>
          <w:color w:val="auto"/>
        </w:rPr>
        <w:t xml:space="preserve"> </w:t>
      </w:r>
      <w:r w:rsidR="006736D5" w:rsidRPr="000F3DC9">
        <w:rPr>
          <w:rFonts w:asciiTheme="majorBidi" w:eastAsia="Times New Roman" w:hAnsiTheme="majorBidi" w:cstheme="majorBidi"/>
          <w:color w:val="auto"/>
        </w:rPr>
        <w:t xml:space="preserve">There was a significant rate of schistosomiasis as a cause of liver disease in the current study (Table 3). The eggs of </w:t>
      </w:r>
      <w:r w:rsidR="006736D5" w:rsidRPr="000F3DC9">
        <w:rPr>
          <w:rFonts w:asciiTheme="majorBidi" w:hAnsiTheme="majorBidi" w:cstheme="majorBidi"/>
          <w:i/>
          <w:iCs/>
          <w:color w:val="202122"/>
        </w:rPr>
        <w:t>S. mansoni</w:t>
      </w:r>
      <w:r w:rsidR="006736D5" w:rsidRPr="000F3DC9">
        <w:rPr>
          <w:rFonts w:asciiTheme="majorBidi" w:eastAsia="Times New Roman" w:hAnsiTheme="majorBidi" w:cstheme="majorBidi"/>
          <w:color w:val="auto"/>
        </w:rPr>
        <w:t xml:space="preserve">  (the intestinal </w:t>
      </w:r>
      <w:r w:rsidR="006736D5" w:rsidRPr="000F3DC9">
        <w:rPr>
          <w:rStyle w:val="y2iqfc"/>
          <w:rFonts w:asciiTheme="majorBidi" w:hAnsiTheme="majorBidi" w:cstheme="majorBidi"/>
        </w:rPr>
        <w:t>schistosomiasis</w:t>
      </w:r>
      <w:r w:rsidR="006736D5" w:rsidRPr="000F3DC9">
        <w:rPr>
          <w:rFonts w:asciiTheme="majorBidi" w:eastAsia="Times New Roman" w:hAnsiTheme="majorBidi" w:cstheme="majorBidi"/>
          <w:color w:val="auto"/>
        </w:rPr>
        <w:t xml:space="preserve"> endemic in Yemen) migrate to the liver resulting in fibrosis in 4 to 8% of persons with chronic infection, especially those with severe long-term infection. The eggs can lodge in the liver, resulting in portal hypertension, an enlarged spleen, fluid buildup in the abdomen, and potentially life-threatening dilatation or swollen areas of the esophagus or digestive tract that can rupture and bleed profusely (esophageal varices).</w:t>
      </w:r>
      <w:r w:rsidR="0001005A" w:rsidRPr="000F3DC9">
        <w:rPr>
          <w:rFonts w:asciiTheme="majorBidi" w:hAnsiTheme="majorBidi" w:cstheme="majorBidi"/>
          <w:color w:val="auto"/>
        </w:rPr>
        <w:t xml:space="preserve"> </w:t>
      </w:r>
      <w:r w:rsidR="00CF1482" w:rsidRPr="000F3DC9">
        <w:rPr>
          <w:rStyle w:val="y2iqfc"/>
          <w:rFonts w:asciiTheme="majorBidi" w:hAnsiTheme="majorBidi" w:cstheme="majorBidi"/>
          <w:color w:val="auto"/>
        </w:rPr>
        <w:t xml:space="preserve">This condition can be divided into two distinct stages: inflammatory hepatic schistosomiasis (an early inflammatory reaction) and chronic hepatic schistosomiasis. The most </w:t>
      </w:r>
      <w:r w:rsidR="00CF1482" w:rsidRPr="000F3DC9">
        <w:rPr>
          <w:rStyle w:val="y2iqfc"/>
          <w:rFonts w:asciiTheme="majorBidi" w:hAnsiTheme="majorBidi" w:cstheme="majorBidi"/>
        </w:rPr>
        <w:t xml:space="preserve">widespread </w:t>
      </w:r>
      <w:r w:rsidR="00CF1482" w:rsidRPr="000F3DC9">
        <w:rPr>
          <w:rStyle w:val="y2iqfc"/>
          <w:rFonts w:asciiTheme="majorBidi" w:hAnsiTheme="majorBidi" w:cstheme="majorBidi"/>
          <w:color w:val="auto"/>
        </w:rPr>
        <w:t xml:space="preserve">species that cause this </w:t>
      </w:r>
      <w:r w:rsidR="00CF1482" w:rsidRPr="000F3DC9">
        <w:rPr>
          <w:rStyle w:val="y2iqfc"/>
          <w:rFonts w:asciiTheme="majorBidi" w:hAnsiTheme="majorBidi" w:cstheme="majorBidi"/>
        </w:rPr>
        <w:t xml:space="preserve">form </w:t>
      </w:r>
      <w:r w:rsidR="00CF1482" w:rsidRPr="000F3DC9">
        <w:rPr>
          <w:rStyle w:val="y2iqfc"/>
          <w:rFonts w:asciiTheme="majorBidi" w:hAnsiTheme="majorBidi" w:cstheme="majorBidi"/>
          <w:color w:val="auto"/>
        </w:rPr>
        <w:t xml:space="preserve">are </w:t>
      </w:r>
      <w:r w:rsidR="00CF1482" w:rsidRPr="000F3DC9">
        <w:rPr>
          <w:rStyle w:val="y2iqfc"/>
          <w:rFonts w:asciiTheme="majorBidi" w:hAnsiTheme="majorBidi" w:cstheme="majorBidi"/>
          <w:i/>
          <w:iCs/>
          <w:color w:val="auto"/>
        </w:rPr>
        <w:t>S. japonicum</w:t>
      </w:r>
      <w:r w:rsidR="00CF1482" w:rsidRPr="000F3DC9">
        <w:rPr>
          <w:rStyle w:val="y2iqfc"/>
          <w:rFonts w:asciiTheme="majorBidi" w:hAnsiTheme="majorBidi" w:cstheme="majorBidi"/>
        </w:rPr>
        <w:t xml:space="preserve"> , </w:t>
      </w:r>
      <w:r w:rsidR="00CF1482" w:rsidRPr="000F3DC9">
        <w:rPr>
          <w:rStyle w:val="y2iqfc"/>
          <w:rFonts w:asciiTheme="majorBidi" w:hAnsiTheme="majorBidi" w:cstheme="majorBidi"/>
          <w:i/>
          <w:iCs/>
          <w:color w:val="auto"/>
        </w:rPr>
        <w:t>S. mansoni</w:t>
      </w:r>
      <w:r w:rsidR="00CF1482" w:rsidRPr="000F3DC9">
        <w:rPr>
          <w:rStyle w:val="y2iqfc"/>
          <w:rFonts w:asciiTheme="majorBidi" w:hAnsiTheme="majorBidi" w:cstheme="majorBidi"/>
          <w:color w:val="auto"/>
        </w:rPr>
        <w:t xml:space="preserve">, and </w:t>
      </w:r>
      <w:r w:rsidR="00CF1482" w:rsidRPr="000F3DC9">
        <w:rPr>
          <w:rStyle w:val="y2iqfc"/>
          <w:rFonts w:asciiTheme="majorBidi" w:hAnsiTheme="majorBidi" w:cstheme="majorBidi"/>
          <w:i/>
          <w:iCs/>
          <w:color w:val="auto"/>
        </w:rPr>
        <w:t>S. mekongi</w:t>
      </w:r>
      <w:r w:rsidR="00CF1482" w:rsidRPr="000F3DC9">
        <w:rPr>
          <w:rStyle w:val="y2iqfc"/>
          <w:rFonts w:asciiTheme="majorBidi" w:hAnsiTheme="majorBidi" w:cstheme="majorBidi"/>
          <w:color w:val="auto"/>
        </w:rPr>
        <w:t xml:space="preserve">. In addition, hepatitis </w:t>
      </w:r>
      <w:r w:rsidR="00CF1482" w:rsidRPr="000F3DC9">
        <w:rPr>
          <w:rStyle w:val="y2iqfc"/>
          <w:rFonts w:asciiTheme="majorBidi" w:hAnsiTheme="majorBidi" w:cstheme="majorBidi"/>
        </w:rPr>
        <w:t xml:space="preserve">viral </w:t>
      </w:r>
      <w:r w:rsidR="00CF1482" w:rsidRPr="000F3DC9">
        <w:rPr>
          <w:rStyle w:val="y2iqfc"/>
          <w:rFonts w:asciiTheme="majorBidi" w:hAnsiTheme="majorBidi" w:cstheme="majorBidi"/>
          <w:color w:val="auto"/>
        </w:rPr>
        <w:t xml:space="preserve">infection is common in schistosomiasis endemic areas with hepatitis B or hepatitis C, and hepatitis C infection is associated with faster liver </w:t>
      </w:r>
      <w:r w:rsidR="00CF1482" w:rsidRPr="000F3DC9">
        <w:rPr>
          <w:rStyle w:val="y2iqfc"/>
          <w:rFonts w:asciiTheme="majorBidi" w:hAnsiTheme="majorBidi" w:cstheme="majorBidi"/>
        </w:rPr>
        <w:t xml:space="preserve">decline </w:t>
      </w:r>
      <w:r w:rsidR="00CF1482" w:rsidRPr="000F3DC9">
        <w:rPr>
          <w:rStyle w:val="y2iqfc"/>
          <w:rFonts w:asciiTheme="majorBidi" w:hAnsiTheme="majorBidi" w:cstheme="majorBidi"/>
          <w:color w:val="auto"/>
        </w:rPr>
        <w:t xml:space="preserve">and worse outcomes. Hepatofibrotic schistosomiasis caused by </w:t>
      </w:r>
      <w:r w:rsidR="00CF1482" w:rsidRPr="000F3DC9">
        <w:rPr>
          <w:rStyle w:val="y2iqfc"/>
          <w:rFonts w:asciiTheme="majorBidi" w:hAnsiTheme="majorBidi" w:cstheme="majorBidi"/>
          <w:i/>
          <w:iCs/>
          <w:color w:val="auto"/>
        </w:rPr>
        <w:t>S. mansoni</w:t>
      </w:r>
      <w:r w:rsidR="00CF1482" w:rsidRPr="000F3DC9">
        <w:rPr>
          <w:rStyle w:val="y2iqfc"/>
          <w:rFonts w:asciiTheme="majorBidi" w:hAnsiTheme="majorBidi" w:cstheme="majorBidi"/>
          <w:color w:val="auto"/>
        </w:rPr>
        <w:t xml:space="preserve"> usually develops in about 5-15 years, while it may take less time for </w:t>
      </w:r>
      <w:r w:rsidR="00CF1482" w:rsidRPr="000F3DC9">
        <w:rPr>
          <w:rStyle w:val="y2iqfc"/>
          <w:rFonts w:asciiTheme="majorBidi" w:hAnsiTheme="majorBidi" w:cstheme="majorBidi"/>
          <w:i/>
          <w:iCs/>
          <w:color w:val="auto"/>
        </w:rPr>
        <w:t>S. japonicum</w:t>
      </w:r>
      <w:r w:rsidR="00CF1482" w:rsidRPr="000F3DC9">
        <w:rPr>
          <w:rStyle w:val="y2iqfc"/>
          <w:rFonts w:asciiTheme="majorBidi" w:hAnsiTheme="majorBidi" w:cstheme="majorBidi"/>
          <w:color w:val="auto"/>
        </w:rPr>
        <w:t xml:space="preserve"> </w:t>
      </w:r>
      <w:r w:rsidR="00CF1482" w:rsidRPr="000F3DC9">
        <w:rPr>
          <w:rStyle w:val="y2iqfc"/>
          <w:rFonts w:asciiTheme="majorBidi" w:hAnsiTheme="majorBidi" w:cstheme="majorBidi"/>
          <w:color w:val="auto"/>
          <w:vertAlign w:val="superscript"/>
        </w:rPr>
        <w:t>35</w:t>
      </w:r>
      <w:r w:rsidR="00CF1482" w:rsidRPr="000F3DC9">
        <w:rPr>
          <w:rStyle w:val="y2iqfc"/>
          <w:rFonts w:asciiTheme="majorBidi" w:hAnsiTheme="majorBidi" w:cstheme="majorBidi"/>
          <w:color w:val="auto"/>
        </w:rPr>
        <w:t>.</w:t>
      </w:r>
    </w:p>
    <w:p w:rsidR="00FB6B50" w:rsidRPr="000F3DC9" w:rsidRDefault="00FB6B50" w:rsidP="000F3DC9">
      <w:pPr>
        <w:pStyle w:val="Default"/>
        <w:spacing w:line="276" w:lineRule="auto"/>
        <w:ind w:left="284"/>
        <w:jc w:val="both"/>
        <w:rPr>
          <w:rFonts w:asciiTheme="majorBidi" w:hAnsiTheme="majorBidi" w:cstheme="majorBidi"/>
          <w:b/>
          <w:bCs/>
        </w:rPr>
      </w:pPr>
    </w:p>
    <w:p w:rsidR="00172951" w:rsidRPr="000F3DC9" w:rsidRDefault="00A855FA" w:rsidP="000F3DC9">
      <w:pPr>
        <w:pStyle w:val="Default"/>
        <w:spacing w:line="276" w:lineRule="auto"/>
        <w:ind w:left="284"/>
        <w:jc w:val="both"/>
        <w:rPr>
          <w:rFonts w:asciiTheme="majorBidi" w:eastAsia="Times New Roman" w:hAnsiTheme="majorBidi" w:cstheme="majorBidi"/>
          <w:b/>
          <w:bCs/>
          <w:color w:val="auto"/>
        </w:rPr>
      </w:pPr>
      <w:r w:rsidRPr="000F3DC9">
        <w:rPr>
          <w:rFonts w:asciiTheme="majorBidi" w:hAnsiTheme="majorBidi" w:cstheme="majorBidi"/>
          <w:b/>
          <w:bCs/>
        </w:rPr>
        <w:t>CONCLUSION</w:t>
      </w:r>
    </w:p>
    <w:p w:rsidR="00D54A4D" w:rsidRPr="000F3DC9" w:rsidRDefault="00172951" w:rsidP="000F3DC9">
      <w:pPr>
        <w:pStyle w:val="Default"/>
        <w:spacing w:line="276" w:lineRule="auto"/>
        <w:ind w:left="284"/>
        <w:jc w:val="both"/>
        <w:rPr>
          <w:rStyle w:val="y2iqfc"/>
          <w:rFonts w:asciiTheme="majorBidi" w:hAnsiTheme="majorBidi" w:cstheme="majorBidi"/>
          <w:color w:val="auto"/>
        </w:rPr>
      </w:pPr>
      <w:r w:rsidRPr="000F3DC9">
        <w:rPr>
          <w:rFonts w:asciiTheme="majorBidi" w:eastAsia="Times New Roman" w:hAnsiTheme="majorBidi" w:cstheme="majorBidi"/>
          <w:color w:val="auto"/>
        </w:rPr>
        <w:t>O</w:t>
      </w:r>
      <w:r w:rsidRPr="000F3DC9">
        <w:rPr>
          <w:rStyle w:val="y2iqfc"/>
          <w:rFonts w:asciiTheme="majorBidi" w:hAnsiTheme="majorBidi" w:cstheme="majorBidi"/>
          <w:color w:val="auto"/>
        </w:rPr>
        <w:t xml:space="preserve">ur findings show that autoimmune hepatitis was the most common cause among gastrointestinal diseases in Sana'a city, Yemen; In light of this, health education and public awareness about hepatitis virus screening tests and schistosomiasis screening and treatment is the primary preventive strategy to be considered. Health education and public awareness about </w:t>
      </w:r>
      <w:r w:rsidRPr="000F3DC9">
        <w:rPr>
          <w:rStyle w:val="y2iqfc"/>
          <w:rFonts w:asciiTheme="majorBidi" w:hAnsiTheme="majorBidi" w:cstheme="majorBidi"/>
        </w:rPr>
        <w:t xml:space="preserve">hazard of </w:t>
      </w:r>
      <w:r w:rsidRPr="000F3DC9">
        <w:rPr>
          <w:rStyle w:val="y2iqfc"/>
          <w:rFonts w:asciiTheme="majorBidi" w:hAnsiTheme="majorBidi" w:cstheme="majorBidi"/>
          <w:color w:val="auto"/>
        </w:rPr>
        <w:t>herbal toxicity and self-medication should also be considered.</w:t>
      </w:r>
    </w:p>
    <w:p w:rsidR="00D54A4D" w:rsidRPr="000F3DC9" w:rsidRDefault="00D54A4D" w:rsidP="000F3DC9">
      <w:pPr>
        <w:pStyle w:val="Default"/>
        <w:spacing w:line="276" w:lineRule="auto"/>
        <w:ind w:left="284"/>
        <w:jc w:val="both"/>
        <w:rPr>
          <w:rFonts w:asciiTheme="majorBidi" w:hAnsiTheme="majorBidi" w:cstheme="majorBidi"/>
          <w:b/>
          <w:bCs/>
        </w:rPr>
      </w:pPr>
      <w:r w:rsidRPr="000F3DC9">
        <w:rPr>
          <w:rFonts w:asciiTheme="majorBidi" w:hAnsiTheme="majorBidi" w:cstheme="majorBidi"/>
          <w:b/>
          <w:bCs/>
        </w:rPr>
        <w:t>RECOMMENDATION</w:t>
      </w:r>
    </w:p>
    <w:p w:rsidR="00D54A4D" w:rsidRPr="000F3DC9" w:rsidRDefault="00D54A4D" w:rsidP="000F3DC9">
      <w:pPr>
        <w:pStyle w:val="Default"/>
        <w:spacing w:line="276" w:lineRule="auto"/>
        <w:ind w:left="284"/>
        <w:jc w:val="both"/>
        <w:rPr>
          <w:rFonts w:asciiTheme="majorBidi" w:eastAsia="Times New Roman" w:hAnsiTheme="majorBidi" w:cstheme="majorBidi"/>
          <w:b/>
          <w:bCs/>
          <w:color w:val="auto"/>
        </w:rPr>
      </w:pPr>
      <w:r w:rsidRPr="000F3DC9">
        <w:rPr>
          <w:rStyle w:val="y2iqfc"/>
          <w:rFonts w:asciiTheme="majorBidi" w:hAnsiTheme="majorBidi" w:cstheme="majorBidi"/>
          <w:color w:val="auto"/>
        </w:rPr>
        <w:t xml:space="preserve">Liver disease and the consequent cirrhosis of the liver are considered a public health problem in Yemen because it is a major cause of mortality and morbidity. Hepatitis B virus (HBV) burden and mortality is high in Yemen but is expected to decrease due to universal childhood vaccination programs that have expanded since 2010 but will take </w:t>
      </w:r>
      <w:r w:rsidRPr="000F3DC9">
        <w:rPr>
          <w:rStyle w:val="y2iqfc"/>
          <w:rFonts w:asciiTheme="majorBidi" w:hAnsiTheme="majorBidi" w:cstheme="majorBidi"/>
        </w:rPr>
        <w:t xml:space="preserve">long time </w:t>
      </w:r>
      <w:r w:rsidRPr="000F3DC9">
        <w:rPr>
          <w:rStyle w:val="y2iqfc"/>
          <w:rFonts w:asciiTheme="majorBidi" w:hAnsiTheme="majorBidi" w:cstheme="majorBidi"/>
          <w:color w:val="auto"/>
        </w:rPr>
        <w:t>to see the full impact. Non-alcoholic fatty liver disease (NAFLD) and alcoholic liver disease (ALD) are likely to increase in Yemen. So screening for chronic liver disease (CLD) in the general population and NAFLD in high-risk groups is key to targeting prevention and treatment strategies. For Yemen, country-specific strategies will need to be tailored to local trends and risk factors. Therefore, more studies need to be done to identify risk factors.</w:t>
      </w:r>
    </w:p>
    <w:p w:rsidR="00771038" w:rsidRPr="000F3DC9" w:rsidRDefault="00B84691" w:rsidP="000F3DC9">
      <w:pPr>
        <w:pStyle w:val="Default"/>
        <w:spacing w:line="276" w:lineRule="auto"/>
        <w:ind w:left="284"/>
        <w:jc w:val="both"/>
        <w:rPr>
          <w:rFonts w:asciiTheme="majorBidi" w:hAnsiTheme="majorBidi" w:cstheme="majorBidi"/>
          <w:b/>
          <w:bCs/>
          <w:color w:val="auto"/>
        </w:rPr>
      </w:pPr>
      <w:r w:rsidRPr="000F3DC9">
        <w:rPr>
          <w:rFonts w:asciiTheme="majorBidi" w:hAnsiTheme="majorBidi" w:cstheme="majorBidi"/>
          <w:b/>
          <w:bCs/>
          <w:color w:val="auto"/>
        </w:rPr>
        <w:t>CONFLICT OF INTEREST</w:t>
      </w:r>
    </w:p>
    <w:p w:rsidR="00771038" w:rsidRPr="000F3DC9" w:rsidRDefault="00833C93" w:rsidP="000F3DC9">
      <w:pPr>
        <w:pStyle w:val="Default"/>
        <w:spacing w:line="276" w:lineRule="auto"/>
        <w:ind w:left="284"/>
        <w:jc w:val="both"/>
        <w:rPr>
          <w:rStyle w:val="y2iqfc"/>
          <w:rFonts w:asciiTheme="majorBidi" w:hAnsiTheme="majorBidi" w:cstheme="majorBidi"/>
          <w:color w:val="auto"/>
        </w:rPr>
      </w:pPr>
      <w:r w:rsidRPr="000F3DC9">
        <w:rPr>
          <w:rStyle w:val="y2iqfc"/>
          <w:rFonts w:asciiTheme="majorBidi" w:hAnsiTheme="majorBidi" w:cstheme="majorBidi"/>
          <w:color w:val="auto"/>
        </w:rPr>
        <w:t>There is no conflict of interest associated with this study.</w:t>
      </w:r>
    </w:p>
    <w:p w:rsidR="00771038" w:rsidRPr="000F3DC9" w:rsidRDefault="00B84691" w:rsidP="000F3DC9">
      <w:pPr>
        <w:pStyle w:val="Default"/>
        <w:spacing w:line="276" w:lineRule="auto"/>
        <w:ind w:left="284"/>
        <w:jc w:val="both"/>
        <w:rPr>
          <w:rFonts w:asciiTheme="majorBidi" w:hAnsiTheme="majorBidi" w:cstheme="majorBidi"/>
          <w:b/>
          <w:bCs/>
          <w:color w:val="auto"/>
        </w:rPr>
      </w:pPr>
      <w:r w:rsidRPr="000F3DC9">
        <w:rPr>
          <w:rFonts w:asciiTheme="majorBidi" w:hAnsiTheme="majorBidi" w:cstheme="majorBidi"/>
          <w:b/>
          <w:bCs/>
          <w:color w:val="auto"/>
        </w:rPr>
        <w:t>AUTHOR'S CONTRIBUTION</w:t>
      </w:r>
    </w:p>
    <w:p w:rsidR="00771038" w:rsidRPr="000F3DC9" w:rsidRDefault="0080085A" w:rsidP="000F3DC9">
      <w:pPr>
        <w:pStyle w:val="Default"/>
        <w:spacing w:line="276" w:lineRule="auto"/>
        <w:ind w:left="284"/>
        <w:jc w:val="both"/>
        <w:rPr>
          <w:rStyle w:val="y2iqfc"/>
          <w:rFonts w:asciiTheme="majorBidi" w:hAnsiTheme="majorBidi" w:cstheme="majorBidi"/>
          <w:color w:val="auto"/>
        </w:rPr>
      </w:pPr>
      <w:r w:rsidRPr="000F3DC9">
        <w:rPr>
          <w:rStyle w:val="y2iqfc"/>
          <w:rFonts w:asciiTheme="majorBidi" w:hAnsiTheme="majorBidi" w:cstheme="majorBidi"/>
          <w:color w:val="auto"/>
        </w:rPr>
        <w:t xml:space="preserve">The first author, </w:t>
      </w:r>
      <w:r w:rsidR="00BD4322" w:rsidRPr="000F3DC9">
        <w:rPr>
          <w:rFonts w:asciiTheme="majorBidi" w:eastAsiaTheme="minorEastAsia" w:hAnsiTheme="majorBidi" w:cstheme="majorBidi"/>
          <w:lang w:bidi="ar-YE"/>
        </w:rPr>
        <w:t xml:space="preserve">Dua’a Jamal Ahmed Mutahar </w:t>
      </w:r>
      <w:r w:rsidRPr="000F3DC9">
        <w:rPr>
          <w:rStyle w:val="y2iqfc"/>
          <w:rFonts w:asciiTheme="majorBidi" w:hAnsiTheme="majorBidi" w:cstheme="majorBidi"/>
          <w:color w:val="auto"/>
        </w:rPr>
        <w:t xml:space="preserve">who performed </w:t>
      </w:r>
      <w:r w:rsidR="007F43DD" w:rsidRPr="000F3DC9">
        <w:rPr>
          <w:rStyle w:val="y2iqfc"/>
          <w:rFonts w:asciiTheme="majorBidi" w:hAnsiTheme="majorBidi" w:cstheme="majorBidi"/>
          <w:color w:val="auto"/>
        </w:rPr>
        <w:t xml:space="preserve">the study </w:t>
      </w:r>
      <w:r w:rsidR="00C00D56" w:rsidRPr="000F3DC9">
        <w:rPr>
          <w:rStyle w:val="y2iqfc"/>
          <w:rFonts w:asciiTheme="majorBidi" w:hAnsiTheme="majorBidi" w:cstheme="majorBidi"/>
          <w:color w:val="auto"/>
        </w:rPr>
        <w:t>filed,</w:t>
      </w:r>
      <w:r w:rsidR="008B21CC" w:rsidRPr="000F3DC9">
        <w:rPr>
          <w:rStyle w:val="y2iqfc"/>
          <w:rFonts w:asciiTheme="majorBidi" w:hAnsiTheme="majorBidi" w:cstheme="majorBidi"/>
          <w:color w:val="auto"/>
        </w:rPr>
        <w:t xml:space="preserve"> and the </w:t>
      </w:r>
      <w:r w:rsidR="007F43DD" w:rsidRPr="000F3DC9">
        <w:rPr>
          <w:rStyle w:val="y2iqfc"/>
          <w:rFonts w:asciiTheme="majorBidi" w:hAnsiTheme="majorBidi" w:cstheme="majorBidi"/>
          <w:color w:val="auto"/>
        </w:rPr>
        <w:t xml:space="preserve">rest </w:t>
      </w:r>
      <w:r w:rsidR="00C00D56" w:rsidRPr="000F3DC9">
        <w:rPr>
          <w:rStyle w:val="y2iqfc"/>
          <w:rFonts w:asciiTheme="majorBidi" w:hAnsiTheme="majorBidi" w:cstheme="majorBidi"/>
          <w:color w:val="auto"/>
        </w:rPr>
        <w:t>of the</w:t>
      </w:r>
      <w:r w:rsidR="00482447" w:rsidRPr="000F3DC9">
        <w:rPr>
          <w:rStyle w:val="y2iqfc"/>
          <w:rFonts w:asciiTheme="majorBidi" w:hAnsiTheme="majorBidi" w:cstheme="majorBidi"/>
          <w:color w:val="auto"/>
        </w:rPr>
        <w:t xml:space="preserve"> authors were </w:t>
      </w:r>
      <w:r w:rsidRPr="000F3DC9">
        <w:rPr>
          <w:rStyle w:val="y2iqfc"/>
          <w:rFonts w:asciiTheme="majorBidi" w:hAnsiTheme="majorBidi" w:cstheme="majorBidi"/>
          <w:color w:val="auto"/>
        </w:rPr>
        <w:t>analyzed the data, wrote, reviewed and edited the paper.</w:t>
      </w:r>
    </w:p>
    <w:p w:rsidR="00771038" w:rsidRPr="000F3DC9" w:rsidRDefault="00FF500B" w:rsidP="000F3DC9">
      <w:pPr>
        <w:pStyle w:val="Default"/>
        <w:spacing w:line="276" w:lineRule="auto"/>
        <w:ind w:left="284"/>
        <w:jc w:val="both"/>
        <w:rPr>
          <w:rFonts w:asciiTheme="majorBidi" w:hAnsiTheme="majorBidi" w:cstheme="majorBidi"/>
          <w:b/>
          <w:bCs/>
          <w:color w:val="auto"/>
        </w:rPr>
      </w:pPr>
      <w:r w:rsidRPr="000F3DC9">
        <w:rPr>
          <w:rFonts w:asciiTheme="majorBidi" w:hAnsiTheme="majorBidi" w:cstheme="majorBidi"/>
          <w:b/>
          <w:bCs/>
          <w:color w:val="auto"/>
        </w:rPr>
        <w:t xml:space="preserve">ACKNOWLEDGMENT </w:t>
      </w:r>
    </w:p>
    <w:p w:rsidR="00771038" w:rsidRPr="000F3DC9" w:rsidRDefault="00FF500B" w:rsidP="000F3DC9">
      <w:pPr>
        <w:pStyle w:val="Default"/>
        <w:spacing w:line="276" w:lineRule="auto"/>
        <w:ind w:left="284"/>
        <w:jc w:val="both"/>
        <w:rPr>
          <w:rFonts w:asciiTheme="majorBidi" w:hAnsiTheme="majorBidi" w:cstheme="majorBidi"/>
          <w:color w:val="auto"/>
        </w:rPr>
      </w:pPr>
      <w:r w:rsidRPr="000F3DC9">
        <w:rPr>
          <w:rFonts w:asciiTheme="majorBidi" w:hAnsiTheme="majorBidi" w:cstheme="majorBidi"/>
          <w:color w:val="auto"/>
        </w:rPr>
        <w:t xml:space="preserve">The authors also would like to acknowledge the </w:t>
      </w:r>
      <w:r w:rsidR="007F43DD" w:rsidRPr="000F3DC9">
        <w:rPr>
          <w:rFonts w:asciiTheme="majorBidi" w:hAnsiTheme="majorBidi" w:cstheme="majorBidi"/>
          <w:color w:val="auto"/>
        </w:rPr>
        <w:t>Ministry of Health and population</w:t>
      </w:r>
      <w:r w:rsidR="004D7534" w:rsidRPr="000F3DC9">
        <w:rPr>
          <w:rFonts w:asciiTheme="majorBidi" w:hAnsiTheme="majorBidi" w:cstheme="majorBidi"/>
          <w:color w:val="auto"/>
        </w:rPr>
        <w:t xml:space="preserve">,  </w:t>
      </w:r>
      <w:r w:rsidR="00C00D56" w:rsidRPr="000F3DC9">
        <w:rPr>
          <w:rFonts w:asciiTheme="majorBidi" w:hAnsiTheme="majorBidi" w:cstheme="majorBidi"/>
          <w:color w:val="auto"/>
        </w:rPr>
        <w:t>Sana’a</w:t>
      </w:r>
      <w:r w:rsidRPr="000F3DC9">
        <w:rPr>
          <w:rFonts w:asciiTheme="majorBidi" w:hAnsiTheme="majorBidi" w:cstheme="majorBidi"/>
          <w:color w:val="auto"/>
        </w:rPr>
        <w:t>, Yemen for support.</w:t>
      </w:r>
    </w:p>
    <w:p w:rsidR="00771038" w:rsidRPr="000F3DC9" w:rsidRDefault="00771038" w:rsidP="000F3DC9">
      <w:pPr>
        <w:pStyle w:val="Default"/>
        <w:spacing w:line="276" w:lineRule="auto"/>
        <w:ind w:left="284"/>
        <w:jc w:val="both"/>
        <w:rPr>
          <w:rFonts w:asciiTheme="majorBidi" w:hAnsiTheme="majorBidi" w:cstheme="majorBidi"/>
          <w:color w:val="auto"/>
        </w:rPr>
      </w:pPr>
    </w:p>
    <w:p w:rsidR="004303F4" w:rsidRPr="000F3DC9" w:rsidRDefault="0090790B" w:rsidP="000F3DC9">
      <w:pPr>
        <w:pStyle w:val="Default"/>
        <w:spacing w:line="276" w:lineRule="auto"/>
        <w:ind w:left="284"/>
        <w:jc w:val="both"/>
        <w:rPr>
          <w:rFonts w:asciiTheme="majorBidi" w:hAnsiTheme="majorBidi" w:cstheme="majorBidi"/>
          <w:b/>
          <w:bCs/>
          <w:color w:val="auto"/>
        </w:rPr>
      </w:pPr>
      <w:r w:rsidRPr="000F3DC9">
        <w:rPr>
          <w:rFonts w:asciiTheme="majorBidi" w:hAnsiTheme="majorBidi" w:cstheme="majorBidi"/>
          <w:b/>
          <w:bCs/>
          <w:color w:val="auto"/>
        </w:rPr>
        <w:t xml:space="preserve">REFERENCES </w:t>
      </w:r>
    </w:p>
    <w:p w:rsidR="00065E6D" w:rsidRPr="000F3DC9" w:rsidRDefault="00065E6D" w:rsidP="000F3DC9">
      <w:pPr>
        <w:spacing w:before="100" w:beforeAutospacing="1" w:after="100" w:afterAutospacing="1"/>
        <w:jc w:val="both"/>
        <w:rPr>
          <w:rFonts w:asciiTheme="majorBidi" w:hAnsiTheme="majorBidi" w:cstheme="majorBidi"/>
          <w:szCs w:val="24"/>
        </w:rPr>
      </w:pPr>
      <w:r w:rsidRPr="000F3DC9">
        <w:rPr>
          <w:rFonts w:asciiTheme="majorBidi" w:hAnsiTheme="majorBidi" w:cstheme="majorBidi"/>
          <w:szCs w:val="24"/>
        </w:rPr>
        <w:t>1. Wang F-S, Fan J-G, Zhang Z, Gao B, Wang H-Y. The global burden of liver disease: the major impact of China. Hepatology. 2014; 60(6):2099-108. https://doi.org/</w:t>
      </w:r>
      <w:hyperlink r:id="rId13" w:tgtFrame="_blank" w:history="1">
        <w:r w:rsidRPr="000F3DC9">
          <w:rPr>
            <w:rStyle w:val="Hyperlink"/>
            <w:rFonts w:asciiTheme="majorBidi" w:hAnsiTheme="majorBidi" w:cstheme="majorBidi"/>
            <w:color w:val="auto"/>
            <w:szCs w:val="24"/>
            <w:u w:val="none"/>
          </w:rPr>
          <w:t>10.1002/hep.27406</w:t>
        </w:r>
      </w:hyperlink>
    </w:p>
    <w:p w:rsidR="00065E6D" w:rsidRPr="000F3DC9" w:rsidRDefault="00065E6D" w:rsidP="000F3DC9">
      <w:pPr>
        <w:pStyle w:val="Default"/>
        <w:spacing w:line="276" w:lineRule="auto"/>
        <w:jc w:val="both"/>
        <w:rPr>
          <w:rFonts w:asciiTheme="majorBidi" w:hAnsiTheme="majorBidi" w:cstheme="majorBidi"/>
          <w:color w:val="auto"/>
          <w:shd w:val="clear" w:color="auto" w:fill="FFFFFF"/>
        </w:rPr>
      </w:pPr>
      <w:r w:rsidRPr="000F3DC9">
        <w:rPr>
          <w:rFonts w:asciiTheme="majorBidi" w:hAnsiTheme="majorBidi" w:cstheme="majorBidi"/>
          <w:color w:val="auto"/>
        </w:rPr>
        <w:t xml:space="preserve">2. </w:t>
      </w:r>
      <w:r w:rsidRPr="000F3DC9">
        <w:rPr>
          <w:rFonts w:asciiTheme="majorBidi" w:hAnsiTheme="majorBidi" w:cstheme="majorBidi"/>
          <w:color w:val="auto"/>
          <w:shd w:val="clear" w:color="auto" w:fill="FFFFFF"/>
        </w:rPr>
        <w:t xml:space="preserve">Byass P. The global burden of liver disease: a challenge for methods and for public health. BMC Med. 2014 Sep 18;12:159. </w:t>
      </w:r>
      <w:r w:rsidRPr="000F3DC9">
        <w:rPr>
          <w:rFonts w:asciiTheme="majorBidi" w:hAnsiTheme="majorBidi" w:cstheme="majorBidi"/>
          <w:color w:val="auto"/>
        </w:rPr>
        <w:t>https://doi.org/</w:t>
      </w:r>
      <w:r w:rsidRPr="000F3DC9">
        <w:rPr>
          <w:rFonts w:asciiTheme="majorBidi" w:hAnsiTheme="majorBidi" w:cstheme="majorBidi"/>
          <w:color w:val="auto"/>
          <w:shd w:val="clear" w:color="auto" w:fill="FFFFFF"/>
        </w:rPr>
        <w:t xml:space="preserve">10.1186/s12916-014-0159-5.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after="24" w:line="276" w:lineRule="auto"/>
        <w:jc w:val="both"/>
        <w:rPr>
          <w:rFonts w:asciiTheme="majorBidi" w:hAnsiTheme="majorBidi" w:cstheme="majorBidi"/>
          <w:color w:val="auto"/>
        </w:rPr>
      </w:pPr>
      <w:r w:rsidRPr="000F3DC9">
        <w:rPr>
          <w:rFonts w:asciiTheme="majorBidi" w:hAnsiTheme="majorBidi" w:cstheme="majorBidi"/>
          <w:color w:val="auto"/>
        </w:rPr>
        <w:t>3. Marcellin P, Kutala BK. Liver diseases: A major, neglected global public health problem requiring urgent actions and large-scale screening. Liver International. 2018; 38(S1):2-6. https://doi.org/10.1111/liv.13682.</w:t>
      </w:r>
    </w:p>
    <w:p w:rsidR="00065E6D" w:rsidRPr="000F3DC9" w:rsidRDefault="00065E6D" w:rsidP="000F3DC9">
      <w:pPr>
        <w:spacing w:before="100" w:beforeAutospacing="1" w:after="100" w:afterAutospacing="1"/>
        <w:jc w:val="both"/>
        <w:rPr>
          <w:rFonts w:asciiTheme="majorBidi" w:hAnsiTheme="majorBidi" w:cstheme="majorBidi"/>
          <w:szCs w:val="24"/>
        </w:rPr>
      </w:pPr>
      <w:r w:rsidRPr="000F3DC9">
        <w:rPr>
          <w:rFonts w:asciiTheme="majorBidi" w:hAnsiTheme="majorBidi" w:cstheme="majorBidi"/>
          <w:szCs w:val="24"/>
        </w:rPr>
        <w:t>4.  Yang JD, Hainaut P, Gores GJ, Amadou A, Plymoth A, Roberts LR. A global view of hepatocellular carcinoma: trends, risk, prevention and management. Nature Reviews Gastroenterology &amp; Hepatology. 2019; 16(10):589-604. https://doi.org/</w:t>
      </w:r>
      <w:r w:rsidRPr="000F3DC9">
        <w:rPr>
          <w:rStyle w:val="id-label"/>
          <w:rFonts w:asciiTheme="majorBidi" w:hAnsiTheme="majorBidi" w:cstheme="majorBidi"/>
          <w:szCs w:val="24"/>
        </w:rPr>
        <w:t> </w:t>
      </w:r>
      <w:hyperlink r:id="rId14" w:tgtFrame="_blank" w:history="1">
        <w:r w:rsidRPr="000F3DC9">
          <w:rPr>
            <w:rStyle w:val="Hyperlink"/>
            <w:rFonts w:asciiTheme="majorBidi" w:hAnsiTheme="majorBidi" w:cstheme="majorBidi"/>
            <w:color w:val="auto"/>
            <w:szCs w:val="24"/>
            <w:u w:val="none"/>
          </w:rPr>
          <w:t>10.1038/s41575-019-0186-y</w:t>
        </w:r>
      </w:hyperlink>
    </w:p>
    <w:p w:rsidR="00065E6D" w:rsidRPr="000F3DC9" w:rsidRDefault="00065E6D" w:rsidP="000F3DC9">
      <w:pPr>
        <w:spacing w:before="100" w:beforeAutospacing="1" w:after="100" w:afterAutospacing="1"/>
        <w:jc w:val="both"/>
        <w:rPr>
          <w:rFonts w:asciiTheme="majorBidi" w:hAnsiTheme="majorBidi" w:cstheme="majorBidi"/>
          <w:szCs w:val="24"/>
        </w:rPr>
      </w:pPr>
      <w:r w:rsidRPr="000F3DC9">
        <w:rPr>
          <w:rFonts w:asciiTheme="majorBidi" w:hAnsiTheme="majorBidi" w:cstheme="majorBidi"/>
          <w:szCs w:val="24"/>
        </w:rPr>
        <w:t>5.  Steyn NP, Mchiza ZJ. Obesity and the nutrition transition in Sub-Saharan Africa. Ann N Y Acad Sci 2014; 1311: 88–101. https://doi.org/</w:t>
      </w:r>
      <w:r w:rsidRPr="000F3DC9">
        <w:rPr>
          <w:rStyle w:val="id-label"/>
          <w:rFonts w:asciiTheme="majorBidi" w:hAnsiTheme="majorBidi" w:cstheme="majorBidi"/>
          <w:szCs w:val="24"/>
        </w:rPr>
        <w:t> </w:t>
      </w:r>
      <w:hyperlink r:id="rId15" w:tgtFrame="_blank" w:history="1">
        <w:r w:rsidRPr="000F3DC9">
          <w:rPr>
            <w:rStyle w:val="Hyperlink"/>
            <w:rFonts w:asciiTheme="majorBidi" w:hAnsiTheme="majorBidi" w:cstheme="majorBidi"/>
            <w:color w:val="auto"/>
            <w:szCs w:val="24"/>
            <w:u w:val="none"/>
          </w:rPr>
          <w:t>10.1111/nyas.12433</w:t>
        </w:r>
      </w:hyperlink>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6. Al-Dabis E M, H. A. Al-Shamahy, M. M. S. Al-Hadad, and E. H. Al-Shamahi. “Prevalence of hepatitis G virus among patients with chronic liver disease and healthy individuals, Sana’a city-Yemen”. </w:t>
      </w:r>
      <w:r w:rsidRPr="000F3DC9">
        <w:rPr>
          <w:rFonts w:asciiTheme="majorBidi" w:hAnsiTheme="majorBidi" w:cstheme="majorBidi"/>
          <w:i/>
          <w:iCs/>
          <w:color w:val="auto"/>
        </w:rPr>
        <w:t>Universal Journal of Pharmaceutical Research</w:t>
      </w:r>
      <w:r w:rsidRPr="000F3DC9">
        <w:rPr>
          <w:rFonts w:asciiTheme="majorBidi" w:hAnsiTheme="majorBidi" w:cstheme="majorBidi"/>
          <w:color w:val="auto"/>
        </w:rPr>
        <w:t xml:space="preserve"> 2019; 3(6):1-6. https://doi.org/10.22270/ujpr.v3i6.216.</w:t>
      </w:r>
    </w:p>
    <w:p w:rsidR="00065E6D" w:rsidRPr="000F3DC9" w:rsidRDefault="00065E6D" w:rsidP="000F3DC9">
      <w:pPr>
        <w:pStyle w:val="Default"/>
        <w:spacing w:line="276" w:lineRule="auto"/>
        <w:ind w:left="720"/>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7.Al-Kebsi, A., A. Othman, A.-K. Abbas, E. Madar, H. Al-Shamahy, K. Al-Gaffari, S. M. Daname, and F. Motareb. “Sero-prevalence of hepatitis c virus among dental clinic workers in Sana’a city- Yemen and the risk factors contributing for its infection”. </w:t>
      </w:r>
      <w:r w:rsidRPr="000F3DC9">
        <w:rPr>
          <w:rFonts w:asciiTheme="majorBidi" w:hAnsiTheme="majorBidi" w:cstheme="majorBidi"/>
          <w:i/>
          <w:iCs/>
          <w:color w:val="auto"/>
        </w:rPr>
        <w:t xml:space="preserve">Universal Journal of Pharmaceutical Research 2017; </w:t>
      </w:r>
      <w:r w:rsidRPr="000F3DC9">
        <w:rPr>
          <w:rFonts w:asciiTheme="majorBidi" w:hAnsiTheme="majorBidi" w:cstheme="majorBidi"/>
          <w:color w:val="auto"/>
        </w:rPr>
        <w:t xml:space="preserve"> 2(5):1-8. https://doi.org/10.22270/ujpr.v2i5.R6.</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8. Al-kadassy AM, Al-Ashiry AFS, and Al-Shamahy HA. Sero-epidemiological study of hepatitis B, C, HIV and treponema pallidum among blood donors in Hodeida city- Yemen. Universal J Pharm Res 2019; 4(2): 1-8.</w:t>
      </w:r>
      <w:r w:rsidRPr="000F3DC9">
        <w:rPr>
          <w:rFonts w:asciiTheme="majorBidi" w:hAnsiTheme="majorBidi" w:cstheme="majorBidi"/>
          <w:i/>
          <w:iCs/>
          <w:color w:val="auto"/>
        </w:rPr>
        <w:t xml:space="preserve">https://doi.org/10.22270/ujpr.v4i2.256 </w:t>
      </w:r>
    </w:p>
    <w:p w:rsidR="00065E6D" w:rsidRPr="000F3DC9" w:rsidRDefault="00065E6D" w:rsidP="000F3DC9">
      <w:pPr>
        <w:jc w:val="both"/>
        <w:rPr>
          <w:rFonts w:asciiTheme="majorBidi" w:hAnsiTheme="majorBidi" w:cstheme="majorBidi"/>
          <w:szCs w:val="24"/>
        </w:rPr>
      </w:pPr>
    </w:p>
    <w:p w:rsidR="00065E6D" w:rsidRPr="000F3DC9" w:rsidRDefault="00065E6D" w:rsidP="000F3DC9">
      <w:pPr>
        <w:jc w:val="both"/>
        <w:rPr>
          <w:rFonts w:asciiTheme="majorBidi" w:hAnsiTheme="majorBidi" w:cstheme="majorBidi"/>
          <w:szCs w:val="24"/>
        </w:rPr>
      </w:pPr>
      <w:r w:rsidRPr="000F3DC9">
        <w:rPr>
          <w:rFonts w:asciiTheme="majorBidi" w:hAnsiTheme="majorBidi" w:cstheme="majorBidi"/>
          <w:szCs w:val="24"/>
        </w:rPr>
        <w:t>9. AL-Marrani WHM and Al-Shamahy HA. “Prevalence of HBV and HCV; and their associated risk factors among public health center cleaners at selected public health centers in Sana’a city- Yemen”. Universal Journal of Pharmaceutical Research 2018; 3(5):1-8. https://doi.org/10.22270/ujpr.v3i5.204.</w:t>
      </w:r>
    </w:p>
    <w:p w:rsidR="00065E6D" w:rsidRPr="000F3DC9" w:rsidRDefault="00065E6D" w:rsidP="000F3DC9">
      <w:pPr>
        <w:jc w:val="both"/>
        <w:rPr>
          <w:rFonts w:asciiTheme="majorBidi" w:hAnsiTheme="majorBidi" w:cstheme="majorBidi"/>
          <w:szCs w:val="24"/>
        </w:rPr>
      </w:pPr>
      <w:r w:rsidRPr="000F3DC9">
        <w:rPr>
          <w:rFonts w:asciiTheme="majorBidi" w:hAnsiTheme="majorBidi" w:cstheme="majorBidi"/>
          <w:szCs w:val="24"/>
        </w:rPr>
        <w:lastRenderedPageBreak/>
        <w:t xml:space="preserve">10. Al-Shamahy H A, Ajrah MA, Al-Madhaji AG, </w:t>
      </w:r>
      <w:r w:rsidRPr="000F3DC9">
        <w:rPr>
          <w:rFonts w:asciiTheme="majorBidi" w:hAnsiTheme="majorBidi" w:cstheme="majorBidi"/>
          <w:i/>
          <w:iCs/>
          <w:szCs w:val="24"/>
        </w:rPr>
        <w:t>et al.</w:t>
      </w:r>
      <w:r w:rsidRPr="000F3DC9">
        <w:rPr>
          <w:rFonts w:asciiTheme="majorBidi" w:hAnsiTheme="majorBidi" w:cstheme="majorBidi"/>
          <w:szCs w:val="24"/>
        </w:rPr>
        <w:t xml:space="preserve">  “Prevalence and potential risk factors of hepatitis B virus in a sample of children in two selected areas in Yemen”. Universal Journal of Pharmaceutical Research 2019; 4(3): 1-5. https://doi.org/10.22270/ujpr.v4i3.269.</w:t>
      </w: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11. Al-Shamahy HA, Abdu SSA . Genotyping of Hepatitis C Virus (HCV) in infected patients from Yemen . Eur J Basic Med Sci 2014; 3(4):78-82 .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12.  Al-Shamahy HA, Ajrah MAA, Al-Madhaji AG, </w:t>
      </w:r>
      <w:r w:rsidRPr="000F3DC9">
        <w:rPr>
          <w:rFonts w:asciiTheme="majorBidi" w:hAnsiTheme="majorBidi" w:cstheme="majorBidi"/>
          <w:i/>
          <w:iCs/>
          <w:color w:val="auto"/>
        </w:rPr>
        <w:t>et al</w:t>
      </w:r>
      <w:r w:rsidRPr="000F3DC9">
        <w:rPr>
          <w:rFonts w:asciiTheme="majorBidi" w:hAnsiTheme="majorBidi" w:cstheme="majorBidi"/>
          <w:color w:val="auto"/>
        </w:rPr>
        <w:t xml:space="preserve">. Prevalence and potential risk factors of hepatitis b virus in a sample of children in two selected areas in Yemen. Universal J Pharm Res 2019; 4(3):1-6. </w:t>
      </w:r>
      <w:r w:rsidRPr="000F3DC9">
        <w:rPr>
          <w:rFonts w:asciiTheme="majorBidi" w:hAnsiTheme="majorBidi" w:cstheme="majorBidi"/>
          <w:i/>
          <w:iCs/>
          <w:color w:val="auto"/>
        </w:rPr>
        <w:t xml:space="preserve">https://doi.org/10.22270/ujpr.v4i3.269 </w:t>
      </w:r>
    </w:p>
    <w:p w:rsidR="00065E6D" w:rsidRPr="000F3DC9" w:rsidRDefault="00065E6D" w:rsidP="000F3DC9">
      <w:pPr>
        <w:pStyle w:val="Default"/>
        <w:spacing w:after="14" w:line="276" w:lineRule="auto"/>
        <w:jc w:val="both"/>
        <w:rPr>
          <w:rFonts w:asciiTheme="majorBidi" w:hAnsiTheme="majorBidi" w:cstheme="majorBidi"/>
          <w:color w:val="auto"/>
        </w:rPr>
      </w:pPr>
    </w:p>
    <w:p w:rsidR="00065E6D" w:rsidRPr="000F3DC9" w:rsidRDefault="00065E6D" w:rsidP="000F3DC9">
      <w:pPr>
        <w:pStyle w:val="Default"/>
        <w:spacing w:after="14" w:line="276" w:lineRule="auto"/>
        <w:jc w:val="both"/>
        <w:rPr>
          <w:rFonts w:asciiTheme="majorBidi" w:hAnsiTheme="majorBidi" w:cstheme="majorBidi"/>
          <w:color w:val="auto"/>
        </w:rPr>
      </w:pPr>
      <w:r w:rsidRPr="000F3DC9">
        <w:rPr>
          <w:rFonts w:asciiTheme="majorBidi" w:hAnsiTheme="majorBidi" w:cstheme="majorBidi"/>
          <w:color w:val="auto"/>
        </w:rPr>
        <w:t xml:space="preserve">13.  Al-Shamahy HA, Hanash SH, Rabbad IA, Al-Madhaji NM, Naser SM. Hepatitis B Vaccine Coverage and the Immune Response in Children under ten years old in Sana'a, Yemen. Sultan Qaboos Univ Med J 2011 Feb;11(1):77-82. PMID: 21509212 </w:t>
      </w:r>
    </w:p>
    <w:p w:rsidR="00065E6D" w:rsidRPr="000F3DC9" w:rsidRDefault="00065E6D" w:rsidP="000F3DC9">
      <w:pPr>
        <w:jc w:val="both"/>
        <w:rPr>
          <w:rFonts w:asciiTheme="majorBidi" w:hAnsiTheme="majorBidi" w:cstheme="majorBidi"/>
          <w:szCs w:val="24"/>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14.  Al-Shamahy HA, Rabbad IA, Al-Hababy A. Hepatitis B virus serum markers among pregnant women in Sana'a, Yemen. Ann Saudi Med 2003; 23:87-89. </w:t>
      </w:r>
      <w:r w:rsidRPr="000F3DC9">
        <w:rPr>
          <w:rFonts w:asciiTheme="majorBidi" w:hAnsiTheme="majorBidi" w:cstheme="majorBidi"/>
          <w:i/>
          <w:iCs/>
          <w:color w:val="auto"/>
        </w:rPr>
        <w:t xml:space="preserve">https://doi.org/10.5144/0256-4947.2003.87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15.  AL-Shamahy HA. Prevalence of Hepatitis B surface antigen and Risk factors of HBV infection in a sample of healthy mothers and their infants in Sana’a, Yemen. Ann Saudi Medicine 2000; 20: 464-467. </w:t>
      </w:r>
      <w:r w:rsidRPr="000F3DC9">
        <w:rPr>
          <w:rFonts w:asciiTheme="majorBidi" w:hAnsiTheme="majorBidi" w:cstheme="majorBidi"/>
          <w:i/>
          <w:iCs/>
          <w:color w:val="auto"/>
        </w:rPr>
        <w:t xml:space="preserve">https://doi.org/10.5144/0256-4947.2000.464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16.  Al-Shami, H Z., Al-Mutawakal ZA,  Al-Kholani AI,  Al-Haimi MA,  Al-Haddad AM,  Ahmed RA,  Al-Somainy AA,  Al-Shamahy HA. “Prevalence of hepatitis A virus, hepatitis B virus, and hepatitis C virus, among patients with hepatic jaundice in Sana’a city, Yemen: a hospital based study”. </w:t>
      </w:r>
      <w:r w:rsidRPr="000F3DC9">
        <w:rPr>
          <w:rFonts w:asciiTheme="majorBidi" w:hAnsiTheme="majorBidi" w:cstheme="majorBidi"/>
          <w:i/>
          <w:iCs/>
          <w:color w:val="auto"/>
        </w:rPr>
        <w:t>Universal Journal of Pharmaceutical Research</w:t>
      </w:r>
      <w:r w:rsidRPr="000F3DC9">
        <w:rPr>
          <w:rFonts w:asciiTheme="majorBidi" w:hAnsiTheme="majorBidi" w:cstheme="majorBidi"/>
          <w:color w:val="auto"/>
        </w:rPr>
        <w:t xml:space="preserve"> 2022; 6 (6):1-8. https://doi.org/10.22270/ujpr.v6i6.693.</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17. Al-Shawkany EM, Al-Shawkany ARM, Al-Shamahy HA, </w:t>
      </w:r>
      <w:r w:rsidRPr="000F3DC9">
        <w:rPr>
          <w:rFonts w:asciiTheme="majorBidi" w:hAnsiTheme="majorBidi" w:cstheme="majorBidi"/>
          <w:i/>
          <w:iCs/>
          <w:color w:val="auto"/>
        </w:rPr>
        <w:t>et al</w:t>
      </w:r>
      <w:r w:rsidRPr="000F3DC9">
        <w:rPr>
          <w:rFonts w:asciiTheme="majorBidi" w:hAnsiTheme="majorBidi" w:cstheme="majorBidi"/>
          <w:color w:val="auto"/>
        </w:rPr>
        <w:t xml:space="preserve">. Prevalence of different hepatitis b virus genotypes and risk factors associated among selected Yemeni patients with chronic hepatitis B infection. Universal J Pharm Res 2021; 6 (3):1-8. </w:t>
      </w:r>
      <w:r w:rsidRPr="000F3DC9">
        <w:rPr>
          <w:rFonts w:asciiTheme="majorBidi" w:hAnsiTheme="majorBidi" w:cstheme="majorBidi"/>
          <w:i/>
          <w:iCs/>
          <w:color w:val="auto"/>
        </w:rPr>
        <w:t xml:space="preserve">https://doi.org/10.22270/ujpr.v6i3.603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18.  Amran O A A, Al-Shamahy HA, Al Hadad AM, and Jaadan BM. “Explosion of hepatitis B and C viruses among hemodialysis patients as a result of hemodialysis crisis in Yemen”. Universal Journal of Pharmaceutical Research 2019;. 4(5):1-6. https://doi.org/10.22270/ujpr.v4i5.311.</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19. Hanash SH, Al-Shamahy HA, Bamshmous MHS. Prevalence and genotyping of hepatitis C virus in hemodialysis patients and evaluation of HCV-core antigen test in screening patients for dialysis in Sana’a city, Yemen. Universal J Pharm Res 2019; 4(2): 14-18. </w:t>
      </w:r>
      <w:r w:rsidRPr="000F3DC9">
        <w:rPr>
          <w:rFonts w:asciiTheme="majorBidi" w:hAnsiTheme="majorBidi" w:cstheme="majorBidi"/>
          <w:i/>
          <w:iCs/>
          <w:color w:val="auto"/>
        </w:rPr>
        <w:t xml:space="preserve">https://doi.org/10.22270/ujpr.v4i2.251 </w:t>
      </w:r>
    </w:p>
    <w:p w:rsidR="00065E6D" w:rsidRPr="000F3DC9" w:rsidRDefault="00065E6D" w:rsidP="000F3DC9">
      <w:pPr>
        <w:jc w:val="both"/>
        <w:rPr>
          <w:rStyle w:val="A6"/>
          <w:rFonts w:asciiTheme="majorBidi" w:hAnsiTheme="majorBidi" w:cstheme="majorBidi"/>
          <w:color w:val="auto"/>
          <w:sz w:val="24"/>
          <w:szCs w:val="24"/>
        </w:rPr>
      </w:pPr>
    </w:p>
    <w:p w:rsidR="00065E6D" w:rsidRPr="000F3DC9" w:rsidRDefault="00065E6D" w:rsidP="000F3DC9">
      <w:pPr>
        <w:jc w:val="both"/>
        <w:rPr>
          <w:rFonts w:asciiTheme="majorBidi" w:hAnsiTheme="majorBidi" w:cstheme="majorBidi"/>
          <w:szCs w:val="24"/>
        </w:rPr>
      </w:pPr>
      <w:r w:rsidRPr="000F3DC9">
        <w:rPr>
          <w:rStyle w:val="A6"/>
          <w:rFonts w:asciiTheme="majorBidi" w:hAnsiTheme="majorBidi" w:cstheme="majorBidi"/>
          <w:color w:val="auto"/>
          <w:sz w:val="24"/>
          <w:szCs w:val="24"/>
        </w:rPr>
        <w:t xml:space="preserve">20.  Murad EA, Babiker SM, Gasim GI, Rayis DI, Adam I. Epidemiology of hepatitis B and hepatitis C virus infections in pregnant women in Sana’a, Yemen. BMC Pregnancy Childbirth 2013; 13: 127. </w:t>
      </w: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21.  Rabbad IA, Al-Somainy AAM, Al-Shamahy HA, Nasser SM. Prevalence of hepatitis G virus infection among chronic hepatitis B, chronic hepatitis C and HIV patients in Sana'a, Yemen. J Chinese Clin Med 2014; 5 (11), 654-658 . </w:t>
      </w:r>
    </w:p>
    <w:p w:rsidR="00065E6D" w:rsidRPr="000F3DC9" w:rsidRDefault="00065E6D" w:rsidP="000F3DC9">
      <w:pPr>
        <w:pStyle w:val="Default"/>
        <w:spacing w:line="276" w:lineRule="auto"/>
        <w:jc w:val="both"/>
        <w:rPr>
          <w:rFonts w:asciiTheme="majorBidi" w:hAnsiTheme="majorBidi" w:cstheme="majorBidi"/>
          <w:color w:val="auto"/>
        </w:rPr>
      </w:pP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22. Edrees W H, Al-Ofairi BA, Alrahabi LM et al.  “Seroprevalence of the viral markers of hepatitis B, hepatitis C, and HIV among medical waste handlers in some hospitals in Sana’a city- Yemen”. Universal Journal of Pharmaceutical Research 2022; 7(3):1-8. https://doi.org/10.22270/ujpr.v7i3.774.</w:t>
      </w:r>
    </w:p>
    <w:p w:rsidR="00065E6D" w:rsidRPr="000F3DC9" w:rsidRDefault="00065E6D" w:rsidP="000F3DC9">
      <w:pPr>
        <w:pStyle w:val="Default"/>
        <w:spacing w:after="24" w:line="276" w:lineRule="auto"/>
        <w:jc w:val="both"/>
        <w:rPr>
          <w:rFonts w:asciiTheme="majorBidi" w:hAnsiTheme="majorBidi" w:cstheme="majorBidi"/>
          <w:color w:val="auto"/>
          <w:highlight w:val="yellow"/>
        </w:rPr>
      </w:pPr>
    </w:p>
    <w:p w:rsidR="00065E6D" w:rsidRPr="000F3DC9" w:rsidRDefault="00065E6D" w:rsidP="000F3DC9">
      <w:pPr>
        <w:autoSpaceDE w:val="0"/>
        <w:autoSpaceDN w:val="0"/>
        <w:adjustRightInd w:val="0"/>
        <w:jc w:val="both"/>
        <w:rPr>
          <w:rFonts w:asciiTheme="majorBidi" w:hAnsiTheme="majorBidi" w:cstheme="majorBidi"/>
          <w:szCs w:val="24"/>
        </w:rPr>
      </w:pPr>
      <w:r w:rsidRPr="000F3DC9">
        <w:rPr>
          <w:rFonts w:asciiTheme="majorBidi" w:hAnsiTheme="majorBidi" w:cstheme="majorBidi"/>
          <w:szCs w:val="24"/>
        </w:rPr>
        <w:t xml:space="preserve">23. WHO. Global Health Estimates. Geneva: World Health Organization; 2016 Available at: </w:t>
      </w:r>
      <w:hyperlink r:id="rId16" w:history="1">
        <w:r w:rsidRPr="000F3DC9">
          <w:rPr>
            <w:rStyle w:val="Hyperlink"/>
            <w:rFonts w:asciiTheme="majorBidi" w:hAnsiTheme="majorBidi" w:cstheme="majorBidi"/>
            <w:color w:val="auto"/>
            <w:szCs w:val="24"/>
            <w:u w:val="none"/>
          </w:rPr>
          <w:t>https://www.who.int/healt hinfo/ globa l_burde n_disea se/</w:t>
        </w:r>
      </w:hyperlink>
      <w:r w:rsidRPr="000F3DC9">
        <w:rPr>
          <w:rFonts w:asciiTheme="majorBidi" w:hAnsiTheme="majorBidi" w:cstheme="majorBidi"/>
          <w:szCs w:val="24"/>
        </w:rPr>
        <w:t xml:space="preserve"> estim ates/en/. Accessed June 15, 2022.</w:t>
      </w:r>
    </w:p>
    <w:p w:rsidR="00065E6D" w:rsidRPr="000F3DC9" w:rsidRDefault="00065E6D" w:rsidP="000F3DC9">
      <w:pPr>
        <w:autoSpaceDE w:val="0"/>
        <w:autoSpaceDN w:val="0"/>
        <w:adjustRightInd w:val="0"/>
        <w:jc w:val="both"/>
        <w:rPr>
          <w:rFonts w:asciiTheme="majorBidi" w:hAnsiTheme="majorBidi" w:cstheme="majorBidi"/>
          <w:szCs w:val="24"/>
        </w:rPr>
      </w:pPr>
      <w:r w:rsidRPr="000F3DC9">
        <w:rPr>
          <w:rFonts w:asciiTheme="majorBidi" w:hAnsiTheme="majorBidi" w:cstheme="majorBidi"/>
          <w:szCs w:val="24"/>
        </w:rPr>
        <w:t xml:space="preserve">24. Sepanlou SG, Safiri S, Bisignano C, </w:t>
      </w:r>
      <w:r w:rsidRPr="000F3DC9">
        <w:rPr>
          <w:rFonts w:asciiTheme="majorBidi" w:hAnsiTheme="majorBidi" w:cstheme="majorBidi"/>
          <w:i/>
          <w:iCs/>
          <w:szCs w:val="24"/>
        </w:rPr>
        <w:t>et al.</w:t>
      </w:r>
      <w:r w:rsidRPr="000F3DC9">
        <w:rPr>
          <w:rFonts w:asciiTheme="majorBidi" w:hAnsiTheme="majorBidi" w:cstheme="majorBidi"/>
          <w:szCs w:val="24"/>
        </w:rPr>
        <w:t xml:space="preserve"> The global, regional, and national burden of cirrhosis by cause in 195 countries and territories, 1990-2017: a systematic analysis for the Global Burden of Disease Study 2017. Lancet Gastroenterol Hepatol 2020;5:245-266. https://doi.org/10.1016/S2468-1253(19)30349-8.</w:t>
      </w:r>
    </w:p>
    <w:p w:rsidR="00065E6D" w:rsidRPr="000F3DC9" w:rsidRDefault="00065E6D" w:rsidP="000F3DC9">
      <w:pPr>
        <w:pStyle w:val="Default"/>
        <w:spacing w:line="276" w:lineRule="auto"/>
        <w:jc w:val="both"/>
        <w:rPr>
          <w:rFonts w:asciiTheme="majorBidi" w:hAnsiTheme="majorBidi" w:cstheme="majorBidi"/>
          <w:color w:val="auto"/>
        </w:rPr>
      </w:pPr>
      <w:r w:rsidRPr="000F3DC9">
        <w:rPr>
          <w:rFonts w:asciiTheme="majorBidi" w:hAnsiTheme="majorBidi" w:cstheme="majorBidi"/>
          <w:color w:val="auto"/>
        </w:rPr>
        <w:t xml:space="preserve">25. Sagnelli E, Stroffolini T, Sagnelli C, Pirisi M, Babudieri S, Colloredo G, </w:t>
      </w:r>
      <w:r w:rsidRPr="000F3DC9">
        <w:rPr>
          <w:rFonts w:asciiTheme="majorBidi" w:hAnsiTheme="majorBidi" w:cstheme="majorBidi"/>
          <w:i/>
          <w:iCs/>
          <w:color w:val="auto"/>
        </w:rPr>
        <w:t>et al.</w:t>
      </w:r>
      <w:r w:rsidRPr="000F3DC9">
        <w:rPr>
          <w:rFonts w:asciiTheme="majorBidi" w:hAnsiTheme="majorBidi" w:cstheme="majorBidi"/>
          <w:color w:val="auto"/>
        </w:rPr>
        <w:t xml:space="preserve"> Gender differences in chronic liver diseases in two 2001 and 2014 in Italy. Infect 2018; 46:93-101. </w:t>
      </w:r>
      <w:r w:rsidRPr="000F3DC9">
        <w:rPr>
          <w:rStyle w:val="citation-doi"/>
          <w:rFonts w:asciiTheme="majorBidi" w:hAnsiTheme="majorBidi" w:cstheme="majorBidi"/>
          <w:color w:val="auto"/>
        </w:rPr>
        <w:t> </w:t>
      </w:r>
      <w:r w:rsidRPr="000F3DC9">
        <w:rPr>
          <w:rFonts w:asciiTheme="majorBidi" w:hAnsiTheme="majorBidi" w:cstheme="majorBidi"/>
          <w:color w:val="auto"/>
        </w:rPr>
        <w:t>https://doi.org/</w:t>
      </w:r>
      <w:r w:rsidRPr="000F3DC9">
        <w:rPr>
          <w:rStyle w:val="citation-doi"/>
          <w:rFonts w:asciiTheme="majorBidi" w:hAnsiTheme="majorBidi" w:cstheme="majorBidi"/>
          <w:color w:val="auto"/>
        </w:rPr>
        <w:t>10.1007/s15010-017-1101-5. </w:t>
      </w:r>
    </w:p>
    <w:p w:rsidR="00065E6D" w:rsidRPr="000F3DC9" w:rsidRDefault="00065E6D" w:rsidP="000F3DC9">
      <w:pPr>
        <w:pStyle w:val="Default"/>
        <w:spacing w:after="24" w:line="276" w:lineRule="auto"/>
        <w:jc w:val="both"/>
        <w:rPr>
          <w:rFonts w:asciiTheme="majorBidi" w:hAnsiTheme="majorBidi" w:cstheme="majorBidi"/>
          <w:color w:val="auto"/>
        </w:rPr>
      </w:pPr>
    </w:p>
    <w:p w:rsidR="00065E6D" w:rsidRPr="000F3DC9" w:rsidRDefault="00065E6D" w:rsidP="000F3DC9">
      <w:pPr>
        <w:autoSpaceDE w:val="0"/>
        <w:autoSpaceDN w:val="0"/>
        <w:adjustRightInd w:val="0"/>
        <w:jc w:val="both"/>
        <w:rPr>
          <w:rFonts w:asciiTheme="majorBidi" w:hAnsiTheme="majorBidi" w:cstheme="majorBidi"/>
          <w:szCs w:val="24"/>
        </w:rPr>
      </w:pPr>
      <w:r w:rsidRPr="000F3DC9">
        <w:rPr>
          <w:rFonts w:asciiTheme="majorBidi" w:hAnsiTheme="majorBidi" w:cstheme="majorBidi"/>
          <w:szCs w:val="24"/>
        </w:rPr>
        <w:t>26.  Asrani SK, Devarbhavi H, Eaton J, Kamath PS. Burden of liver diseases in the world. J Hepatol 2019;70:151-171. https://doi.org/10.1016/j.jhep.2018.09.014</w:t>
      </w:r>
    </w:p>
    <w:p w:rsidR="00065E6D" w:rsidRPr="000F3DC9" w:rsidRDefault="00065E6D" w:rsidP="000F3DC9">
      <w:pPr>
        <w:autoSpaceDE w:val="0"/>
        <w:autoSpaceDN w:val="0"/>
        <w:adjustRightInd w:val="0"/>
        <w:spacing w:after="0"/>
        <w:jc w:val="both"/>
        <w:rPr>
          <w:rFonts w:asciiTheme="majorBidi" w:hAnsiTheme="majorBidi" w:cstheme="majorBidi"/>
          <w:szCs w:val="24"/>
        </w:rPr>
      </w:pPr>
      <w:r w:rsidRPr="000F3DC9">
        <w:rPr>
          <w:rFonts w:asciiTheme="majorBidi" w:hAnsiTheme="majorBidi" w:cstheme="majorBidi"/>
          <w:szCs w:val="24"/>
        </w:rPr>
        <w:t>27. Global Hepatitis Report 2017. Geneva: World Health Organization; 2017 Licence: CC BY-NC-SA</w:t>
      </w:r>
    </w:p>
    <w:p w:rsidR="00065E6D" w:rsidRPr="000F3DC9" w:rsidRDefault="00065E6D" w:rsidP="000F3DC9">
      <w:pPr>
        <w:autoSpaceDE w:val="0"/>
        <w:autoSpaceDN w:val="0"/>
        <w:adjustRightInd w:val="0"/>
        <w:spacing w:after="0"/>
        <w:jc w:val="both"/>
        <w:rPr>
          <w:rFonts w:asciiTheme="majorBidi" w:hAnsiTheme="majorBidi" w:cstheme="majorBidi"/>
          <w:szCs w:val="24"/>
        </w:rPr>
      </w:pPr>
      <w:r w:rsidRPr="000F3DC9">
        <w:rPr>
          <w:rFonts w:asciiTheme="majorBidi" w:hAnsiTheme="majorBidi" w:cstheme="majorBidi"/>
          <w:szCs w:val="24"/>
        </w:rPr>
        <w:t>3.0 IGO. Available at: https://www.who.int/hepat itis/publi catio ns/globa l-hepatitis-report2017/ en/</w:t>
      </w:r>
    </w:p>
    <w:p w:rsidR="00065E6D" w:rsidRPr="000F3DC9" w:rsidRDefault="00065E6D" w:rsidP="000F3DC9">
      <w:pPr>
        <w:autoSpaceDE w:val="0"/>
        <w:autoSpaceDN w:val="0"/>
        <w:adjustRightInd w:val="0"/>
        <w:spacing w:after="0"/>
        <w:jc w:val="both"/>
        <w:rPr>
          <w:rFonts w:asciiTheme="majorBidi" w:hAnsiTheme="majorBidi" w:cstheme="majorBidi"/>
          <w:szCs w:val="24"/>
        </w:rPr>
      </w:pPr>
    </w:p>
    <w:p w:rsidR="00065E6D" w:rsidRPr="000F3DC9" w:rsidRDefault="00065E6D" w:rsidP="000F3DC9">
      <w:pPr>
        <w:autoSpaceDE w:val="0"/>
        <w:autoSpaceDN w:val="0"/>
        <w:adjustRightInd w:val="0"/>
        <w:spacing w:after="0"/>
        <w:jc w:val="both"/>
        <w:rPr>
          <w:rFonts w:asciiTheme="majorBidi" w:hAnsiTheme="majorBidi" w:cstheme="majorBidi"/>
          <w:szCs w:val="24"/>
        </w:rPr>
      </w:pPr>
      <w:r w:rsidRPr="000F3DC9">
        <w:rPr>
          <w:rFonts w:asciiTheme="majorBidi" w:hAnsiTheme="majorBidi" w:cstheme="majorBidi"/>
          <w:szCs w:val="24"/>
        </w:rPr>
        <w:t>28. Waheed Y, Siddiq M, Jamil Z, Najmi MH. Hepatitis elimination by 2030: progress and challenges. World J Gastroenterol 2018; 24:4959-4961. https://doi.org/</w:t>
      </w:r>
      <w:hyperlink r:id="rId17" w:tgtFrame="_blank" w:history="1">
        <w:r w:rsidRPr="000F3DC9">
          <w:rPr>
            <w:rStyle w:val="Hyperlink"/>
            <w:rFonts w:asciiTheme="majorBidi" w:hAnsiTheme="majorBidi" w:cstheme="majorBidi"/>
            <w:color w:val="auto"/>
            <w:szCs w:val="24"/>
            <w:u w:val="none"/>
            <w:shd w:val="clear" w:color="auto" w:fill="FFFFFF"/>
          </w:rPr>
          <w:t>10.3748/wjg.v24.i44.4959</w:t>
        </w:r>
      </w:hyperlink>
    </w:p>
    <w:p w:rsidR="00065E6D" w:rsidRPr="000F3DC9" w:rsidRDefault="00065E6D" w:rsidP="000F3DC9">
      <w:pPr>
        <w:jc w:val="both"/>
        <w:rPr>
          <w:rFonts w:asciiTheme="majorBidi" w:hAnsiTheme="majorBidi" w:cstheme="majorBidi"/>
          <w:szCs w:val="24"/>
        </w:rPr>
      </w:pPr>
    </w:p>
    <w:p w:rsidR="00065E6D" w:rsidRPr="000F3DC9" w:rsidRDefault="00065E6D" w:rsidP="000F3DC9">
      <w:pPr>
        <w:jc w:val="both"/>
        <w:rPr>
          <w:rFonts w:asciiTheme="majorBidi" w:hAnsiTheme="majorBidi" w:cstheme="majorBidi"/>
          <w:szCs w:val="24"/>
        </w:rPr>
      </w:pPr>
      <w:r w:rsidRPr="000F3DC9">
        <w:rPr>
          <w:rFonts w:asciiTheme="majorBidi" w:hAnsiTheme="majorBidi" w:cstheme="majorBidi"/>
          <w:szCs w:val="24"/>
        </w:rPr>
        <w:t xml:space="preserve">29. Cheemerla S, and Balakrishnan M. Global Epidemiology of Chronic Liver Disease. Clinical Liver Disease 2021; 17(5): </w:t>
      </w:r>
      <w:r w:rsidRPr="000F3DC9">
        <w:rPr>
          <w:rFonts w:asciiTheme="majorBidi" w:hAnsiTheme="majorBidi" w:cstheme="majorBidi"/>
          <w:szCs w:val="24"/>
          <w:shd w:val="clear" w:color="auto" w:fill="FFFFFF"/>
        </w:rPr>
        <w:t xml:space="preserve"> 365-370. </w:t>
      </w:r>
      <w:hyperlink r:id="rId18" w:history="1">
        <w:r w:rsidRPr="000F3DC9">
          <w:rPr>
            <w:rStyle w:val="Hyperlink"/>
            <w:rFonts w:asciiTheme="majorBidi" w:hAnsiTheme="majorBidi" w:cstheme="majorBidi"/>
            <w:color w:val="auto"/>
            <w:szCs w:val="24"/>
            <w:u w:val="none"/>
          </w:rPr>
          <w:t>https://doi.org/10.1002/cld.1061</w:t>
        </w:r>
      </w:hyperlink>
    </w:p>
    <w:p w:rsidR="00065E6D" w:rsidRPr="000F3DC9" w:rsidRDefault="00065E6D" w:rsidP="000F3DC9">
      <w:pPr>
        <w:jc w:val="both"/>
        <w:rPr>
          <w:rFonts w:asciiTheme="majorBidi" w:hAnsiTheme="majorBidi" w:cstheme="majorBidi"/>
          <w:szCs w:val="24"/>
        </w:rPr>
      </w:pPr>
      <w:r w:rsidRPr="000F3DC9">
        <w:rPr>
          <w:rFonts w:asciiTheme="majorBidi" w:hAnsiTheme="majorBidi" w:cstheme="majorBidi"/>
          <w:szCs w:val="24"/>
        </w:rPr>
        <w:t>30.</w:t>
      </w:r>
      <w:r w:rsidRPr="000F3DC9">
        <w:rPr>
          <w:rStyle w:val="HTMLCite"/>
          <w:rFonts w:asciiTheme="majorBidi" w:hAnsiTheme="majorBidi" w:cstheme="majorBidi"/>
          <w:i w:val="0"/>
          <w:iCs w:val="0"/>
          <w:szCs w:val="24"/>
        </w:rPr>
        <w:t>Suk, Ki Tae; Kim, Dong Joon. </w:t>
      </w:r>
      <w:hyperlink r:id="rId19" w:history="1">
        <w:r w:rsidRPr="000F3DC9">
          <w:rPr>
            <w:rStyle w:val="Hyperlink"/>
            <w:rFonts w:asciiTheme="majorBidi" w:hAnsiTheme="majorBidi" w:cstheme="majorBidi"/>
            <w:color w:val="auto"/>
            <w:szCs w:val="24"/>
            <w:u w:val="none"/>
          </w:rPr>
          <w:t>"Drug-induced liver injury: present and future"</w:t>
        </w:r>
      </w:hyperlink>
      <w:r w:rsidRPr="000F3DC9">
        <w:rPr>
          <w:rStyle w:val="HTMLCite"/>
          <w:rFonts w:asciiTheme="majorBidi" w:hAnsiTheme="majorBidi" w:cstheme="majorBidi"/>
          <w:i w:val="0"/>
          <w:iCs w:val="0"/>
          <w:szCs w:val="24"/>
        </w:rPr>
        <w:t>. Clinical and Molecular Hepatology 2012;  </w:t>
      </w:r>
      <w:r w:rsidRPr="000F3DC9">
        <w:rPr>
          <w:rStyle w:val="HTMLCite"/>
          <w:rFonts w:asciiTheme="majorBidi" w:hAnsiTheme="majorBidi" w:cstheme="majorBidi"/>
          <w:b/>
          <w:bCs/>
          <w:i w:val="0"/>
          <w:iCs w:val="0"/>
          <w:szCs w:val="24"/>
        </w:rPr>
        <w:t>18</w:t>
      </w:r>
      <w:r w:rsidRPr="000F3DC9">
        <w:rPr>
          <w:rStyle w:val="HTMLCite"/>
          <w:rFonts w:asciiTheme="majorBidi" w:hAnsiTheme="majorBidi" w:cstheme="majorBidi"/>
          <w:i w:val="0"/>
          <w:iCs w:val="0"/>
          <w:szCs w:val="24"/>
        </w:rPr>
        <w:t> (3): 249–57. </w:t>
      </w:r>
      <w:r w:rsidRPr="000F3DC9">
        <w:rPr>
          <w:rFonts w:asciiTheme="majorBidi" w:hAnsiTheme="majorBidi" w:cstheme="majorBidi"/>
          <w:szCs w:val="24"/>
        </w:rPr>
        <w:t>https://doi.org/</w:t>
      </w:r>
      <w:hyperlink r:id="rId20" w:history="1">
        <w:r w:rsidRPr="000F3DC9">
          <w:rPr>
            <w:rStyle w:val="Hyperlink"/>
            <w:rFonts w:asciiTheme="majorBidi" w:hAnsiTheme="majorBidi" w:cstheme="majorBidi"/>
            <w:color w:val="auto"/>
            <w:szCs w:val="24"/>
            <w:u w:val="none"/>
          </w:rPr>
          <w:t>10.3350/cmh.2012.18.3.249</w:t>
        </w:r>
      </w:hyperlink>
      <w:r w:rsidRPr="000F3DC9">
        <w:rPr>
          <w:rStyle w:val="HTMLCite"/>
          <w:rFonts w:asciiTheme="majorBidi" w:hAnsiTheme="majorBidi" w:cstheme="majorBidi"/>
          <w:i w:val="0"/>
          <w:iCs w:val="0"/>
          <w:szCs w:val="24"/>
        </w:rPr>
        <w:t>. </w:t>
      </w:r>
    </w:p>
    <w:p w:rsidR="00065E6D" w:rsidRPr="000F3DC9" w:rsidRDefault="00065E6D" w:rsidP="000F3DC9">
      <w:pPr>
        <w:spacing w:before="100" w:beforeAutospacing="1" w:after="100" w:afterAutospacing="1"/>
        <w:jc w:val="both"/>
        <w:rPr>
          <w:rFonts w:asciiTheme="majorBidi" w:hAnsiTheme="majorBidi" w:cstheme="majorBidi"/>
          <w:szCs w:val="24"/>
        </w:rPr>
      </w:pPr>
      <w:r w:rsidRPr="000F3DC9">
        <w:rPr>
          <w:rFonts w:asciiTheme="majorBidi" w:hAnsiTheme="majorBidi" w:cstheme="majorBidi"/>
          <w:szCs w:val="24"/>
        </w:rPr>
        <w:lastRenderedPageBreak/>
        <w:t>31. </w:t>
      </w:r>
      <w:hyperlink r:id="rId21" w:history="1">
        <w:r w:rsidRPr="000F3DC9">
          <w:rPr>
            <w:rStyle w:val="Hyperlink"/>
            <w:rFonts w:asciiTheme="majorBidi" w:hAnsiTheme="majorBidi" w:cstheme="majorBidi"/>
            <w:color w:val="auto"/>
            <w:szCs w:val="24"/>
            <w:u w:val="none"/>
          </w:rPr>
          <w:t>"Herbals and Dietary Supplements"</w:t>
        </w:r>
      </w:hyperlink>
      <w:r w:rsidRPr="000F3DC9">
        <w:rPr>
          <w:rStyle w:val="HTMLCite"/>
          <w:rFonts w:asciiTheme="majorBidi" w:hAnsiTheme="majorBidi" w:cstheme="majorBidi"/>
          <w:i w:val="0"/>
          <w:iCs w:val="0"/>
          <w:szCs w:val="24"/>
        </w:rPr>
        <w:t>.  livertox.nih.gov. </w:t>
      </w:r>
      <w:hyperlink r:id="rId22" w:history="1">
        <w:r w:rsidRPr="000F3DC9">
          <w:rPr>
            <w:rStyle w:val="Hyperlink"/>
            <w:rFonts w:asciiTheme="majorBidi" w:hAnsiTheme="majorBidi" w:cstheme="majorBidi"/>
            <w:color w:val="auto"/>
            <w:szCs w:val="24"/>
            <w:u w:val="none"/>
          </w:rPr>
          <w:t>Archived</w:t>
        </w:r>
      </w:hyperlink>
      <w:r w:rsidRPr="000F3DC9">
        <w:rPr>
          <w:rStyle w:val="HTMLCite"/>
          <w:rFonts w:asciiTheme="majorBidi" w:hAnsiTheme="majorBidi" w:cstheme="majorBidi"/>
          <w:i w:val="0"/>
          <w:iCs w:val="0"/>
          <w:szCs w:val="24"/>
        </w:rPr>
        <w:t> from the original on 2016-05-08</w:t>
      </w:r>
      <w:r w:rsidRPr="000F3DC9">
        <w:rPr>
          <w:rStyle w:val="reference-accessdate"/>
          <w:rFonts w:asciiTheme="majorBidi" w:hAnsiTheme="majorBidi" w:cstheme="majorBidi"/>
          <w:szCs w:val="24"/>
        </w:rPr>
        <w:t>. Retrieved in 7-25-</w:t>
      </w:r>
      <w:r w:rsidRPr="000F3DC9">
        <w:rPr>
          <w:rStyle w:val="nowrap"/>
          <w:rFonts w:asciiTheme="majorBidi" w:hAnsiTheme="majorBidi" w:cstheme="majorBidi"/>
          <w:szCs w:val="24"/>
        </w:rPr>
        <w:t>2022</w:t>
      </w:r>
      <w:r w:rsidRPr="000F3DC9">
        <w:rPr>
          <w:rStyle w:val="HTMLCite"/>
          <w:rFonts w:asciiTheme="majorBidi" w:hAnsiTheme="majorBidi" w:cstheme="majorBidi"/>
          <w:i w:val="0"/>
          <w:iCs w:val="0"/>
          <w:szCs w:val="24"/>
        </w:rPr>
        <w:t>.</w:t>
      </w:r>
    </w:p>
    <w:p w:rsidR="00065E6D" w:rsidRPr="000F3DC9" w:rsidRDefault="00065E6D" w:rsidP="000F3DC9">
      <w:pPr>
        <w:pStyle w:val="Default"/>
        <w:spacing w:after="24" w:line="276" w:lineRule="auto"/>
        <w:jc w:val="both"/>
        <w:rPr>
          <w:rFonts w:asciiTheme="majorBidi" w:hAnsiTheme="majorBidi" w:cstheme="majorBidi"/>
          <w:color w:val="auto"/>
        </w:rPr>
      </w:pPr>
      <w:r w:rsidRPr="000F3DC9">
        <w:rPr>
          <w:rFonts w:asciiTheme="majorBidi" w:hAnsiTheme="majorBidi" w:cstheme="majorBidi"/>
          <w:color w:val="auto"/>
        </w:rPr>
        <w:t>32. Lee WM,  Dienstag JL. "Chapter 361: Toxic and Drug-Induced Hepatitis". In Kasper, D; Fauci, A; Hauser, S; Longo, D; Jameson, J; Loscalzo, J (eds.);  2015. Harrison's Principles of Internal Medicine 19e. McGraw-Hill. </w:t>
      </w:r>
      <w:hyperlink r:id="rId23" w:tooltip="ISBN (identifier)" w:history="1">
        <w:r w:rsidRPr="000F3DC9">
          <w:rPr>
            <w:rStyle w:val="Hyperlink"/>
            <w:rFonts w:asciiTheme="majorBidi" w:hAnsiTheme="majorBidi" w:cstheme="majorBidi"/>
            <w:color w:val="auto"/>
            <w:u w:val="none"/>
          </w:rPr>
          <w:t>ISBN</w:t>
        </w:r>
      </w:hyperlink>
      <w:r w:rsidRPr="000F3DC9">
        <w:rPr>
          <w:rFonts w:asciiTheme="majorBidi" w:hAnsiTheme="majorBidi" w:cstheme="majorBidi"/>
          <w:color w:val="auto"/>
        </w:rPr>
        <w:t> </w:t>
      </w:r>
      <w:hyperlink r:id="rId24" w:tooltip="Special:BookSources/978-0-07-180215-4" w:history="1">
        <w:r w:rsidRPr="000F3DC9">
          <w:rPr>
            <w:rStyle w:val="Hyperlink"/>
            <w:rFonts w:asciiTheme="majorBidi" w:hAnsiTheme="majorBidi" w:cstheme="majorBidi"/>
            <w:color w:val="auto"/>
            <w:u w:val="none"/>
          </w:rPr>
          <w:t>978-0-07-180215-4</w:t>
        </w:r>
      </w:hyperlink>
      <w:r w:rsidRPr="000F3DC9">
        <w:rPr>
          <w:rFonts w:asciiTheme="majorBidi" w:hAnsiTheme="majorBidi" w:cstheme="majorBidi"/>
          <w:color w:val="auto"/>
        </w:rPr>
        <w:t>.</w:t>
      </w:r>
    </w:p>
    <w:p w:rsidR="00065E6D" w:rsidRPr="000F3DC9" w:rsidRDefault="00065E6D" w:rsidP="000F3DC9">
      <w:pPr>
        <w:pStyle w:val="Default"/>
        <w:spacing w:after="24" w:line="276" w:lineRule="auto"/>
        <w:jc w:val="both"/>
        <w:rPr>
          <w:rFonts w:asciiTheme="majorBidi" w:hAnsiTheme="majorBidi" w:cstheme="majorBidi"/>
          <w:color w:val="auto"/>
        </w:rPr>
      </w:pPr>
    </w:p>
    <w:p w:rsidR="00065E6D" w:rsidRPr="000F3DC9" w:rsidRDefault="00065E6D" w:rsidP="000F3DC9">
      <w:pPr>
        <w:autoSpaceDE w:val="0"/>
        <w:autoSpaceDN w:val="0"/>
        <w:adjustRightInd w:val="0"/>
        <w:spacing w:after="0"/>
        <w:jc w:val="both"/>
        <w:rPr>
          <w:rFonts w:asciiTheme="majorBidi" w:hAnsiTheme="majorBidi" w:cstheme="majorBidi"/>
          <w:szCs w:val="24"/>
        </w:rPr>
      </w:pPr>
      <w:r w:rsidRPr="000F3DC9">
        <w:rPr>
          <w:rFonts w:asciiTheme="majorBidi" w:hAnsiTheme="majorBidi" w:cstheme="majorBidi"/>
          <w:szCs w:val="24"/>
        </w:rPr>
        <w:t xml:space="preserve">33.  Stein E, Cruz-Lemini M, Altamirano J, </w:t>
      </w:r>
      <w:r w:rsidRPr="000F3DC9">
        <w:rPr>
          <w:rFonts w:asciiTheme="majorBidi" w:hAnsiTheme="majorBidi" w:cstheme="majorBidi"/>
          <w:i/>
          <w:iCs/>
          <w:szCs w:val="24"/>
        </w:rPr>
        <w:t>et al</w:t>
      </w:r>
      <w:r w:rsidRPr="000F3DC9">
        <w:rPr>
          <w:rFonts w:asciiTheme="majorBidi" w:hAnsiTheme="majorBidi" w:cstheme="majorBidi"/>
          <w:szCs w:val="24"/>
        </w:rPr>
        <w:t>. Heavy daily alcohol intake at the population level predicts the weight of alcohol in cirrhosis burden worldwide. J Hepatol 2016;65:998-1005.</w:t>
      </w:r>
      <w:r w:rsidRPr="000F3DC9">
        <w:rPr>
          <w:rStyle w:val="Hyperlink"/>
          <w:rFonts w:asciiTheme="majorBidi" w:hAnsiTheme="majorBidi" w:cstheme="majorBidi"/>
          <w:color w:val="auto"/>
          <w:szCs w:val="24"/>
          <w:u w:val="none"/>
        </w:rPr>
        <w:t xml:space="preserve"> </w:t>
      </w:r>
      <w:r w:rsidRPr="000F3DC9">
        <w:rPr>
          <w:rStyle w:val="citation-doi"/>
          <w:rFonts w:asciiTheme="majorBidi" w:hAnsiTheme="majorBidi" w:cstheme="majorBidi"/>
          <w:szCs w:val="24"/>
        </w:rPr>
        <w:t>https://doi.org/10.1016/j.jhep.2016.06.018. </w:t>
      </w:r>
    </w:p>
    <w:p w:rsidR="00065E6D" w:rsidRPr="000F3DC9" w:rsidRDefault="00065E6D" w:rsidP="000F3DC9">
      <w:pPr>
        <w:autoSpaceDE w:val="0"/>
        <w:autoSpaceDN w:val="0"/>
        <w:adjustRightInd w:val="0"/>
        <w:spacing w:after="0"/>
        <w:jc w:val="both"/>
        <w:rPr>
          <w:rFonts w:asciiTheme="majorBidi" w:hAnsiTheme="majorBidi" w:cstheme="majorBidi"/>
          <w:szCs w:val="24"/>
        </w:rPr>
      </w:pPr>
    </w:p>
    <w:p w:rsidR="00065E6D" w:rsidRPr="000F3DC9" w:rsidRDefault="00065E6D" w:rsidP="000F3DC9">
      <w:pPr>
        <w:autoSpaceDE w:val="0"/>
        <w:autoSpaceDN w:val="0"/>
        <w:adjustRightInd w:val="0"/>
        <w:spacing w:after="0"/>
        <w:jc w:val="both"/>
        <w:rPr>
          <w:rFonts w:asciiTheme="majorBidi" w:hAnsiTheme="majorBidi" w:cstheme="majorBidi"/>
          <w:szCs w:val="24"/>
        </w:rPr>
      </w:pPr>
      <w:r w:rsidRPr="000F3DC9">
        <w:rPr>
          <w:rFonts w:asciiTheme="majorBidi" w:hAnsiTheme="majorBidi" w:cstheme="majorBidi"/>
          <w:szCs w:val="24"/>
        </w:rPr>
        <w:t>34-Ekstedt M, Franzén LE, Mathiesen UL, et al. Long-term follow-up of patients with NAFLD and elevated liver enzymes. Hepatology 2006;44:865-873.</w:t>
      </w:r>
    </w:p>
    <w:p w:rsidR="00065E6D" w:rsidRPr="000F3DC9" w:rsidRDefault="00065E6D" w:rsidP="000F3DC9">
      <w:pPr>
        <w:autoSpaceDE w:val="0"/>
        <w:autoSpaceDN w:val="0"/>
        <w:adjustRightInd w:val="0"/>
        <w:spacing w:after="0"/>
        <w:jc w:val="both"/>
        <w:rPr>
          <w:rFonts w:asciiTheme="majorBidi" w:hAnsiTheme="majorBidi" w:cstheme="majorBidi"/>
          <w:szCs w:val="24"/>
        </w:rPr>
      </w:pPr>
    </w:p>
    <w:p w:rsidR="00065E6D" w:rsidRPr="000F3DC9" w:rsidRDefault="00065E6D" w:rsidP="000F3DC9">
      <w:pPr>
        <w:autoSpaceDE w:val="0"/>
        <w:autoSpaceDN w:val="0"/>
        <w:adjustRightInd w:val="0"/>
        <w:spacing w:after="0"/>
        <w:jc w:val="both"/>
        <w:rPr>
          <w:rStyle w:val="HTMLCite"/>
          <w:rFonts w:asciiTheme="majorBidi" w:hAnsiTheme="majorBidi" w:cstheme="majorBidi"/>
          <w:i w:val="0"/>
          <w:iCs w:val="0"/>
          <w:szCs w:val="24"/>
        </w:rPr>
      </w:pPr>
      <w:r w:rsidRPr="000F3DC9">
        <w:rPr>
          <w:rFonts w:asciiTheme="majorBidi" w:hAnsiTheme="majorBidi" w:cstheme="majorBidi"/>
          <w:szCs w:val="24"/>
        </w:rPr>
        <w:t>35.  </w:t>
      </w:r>
      <w:r w:rsidRPr="000F3DC9">
        <w:rPr>
          <w:rStyle w:val="HTMLCite"/>
          <w:rFonts w:asciiTheme="majorBidi" w:hAnsiTheme="majorBidi" w:cstheme="majorBidi"/>
          <w:i w:val="0"/>
          <w:iCs w:val="0"/>
          <w:szCs w:val="24"/>
        </w:rPr>
        <w:t>Elbaz, Tamer; Esmat, Gamal. </w:t>
      </w:r>
      <w:hyperlink r:id="rId25" w:history="1">
        <w:r w:rsidRPr="000F3DC9">
          <w:rPr>
            <w:rStyle w:val="Hyperlink"/>
            <w:rFonts w:asciiTheme="majorBidi" w:hAnsiTheme="majorBidi" w:cstheme="majorBidi"/>
            <w:color w:val="auto"/>
            <w:szCs w:val="24"/>
            <w:u w:val="none"/>
          </w:rPr>
          <w:t>"Hepatic and Intestinal Schistosomiasis: Review"</w:t>
        </w:r>
      </w:hyperlink>
      <w:r w:rsidRPr="000F3DC9">
        <w:rPr>
          <w:rStyle w:val="HTMLCite"/>
          <w:rFonts w:asciiTheme="majorBidi" w:hAnsiTheme="majorBidi" w:cstheme="majorBidi"/>
          <w:i w:val="0"/>
          <w:iCs w:val="0"/>
          <w:szCs w:val="24"/>
        </w:rPr>
        <w:t>. Journal of Advanced Research 2013; </w:t>
      </w:r>
      <w:r w:rsidRPr="000F3DC9">
        <w:rPr>
          <w:rStyle w:val="HTMLCite"/>
          <w:rFonts w:asciiTheme="majorBidi" w:hAnsiTheme="majorBidi" w:cstheme="majorBidi"/>
          <w:b/>
          <w:bCs/>
          <w:i w:val="0"/>
          <w:iCs w:val="0"/>
          <w:szCs w:val="24"/>
        </w:rPr>
        <w:t>4</w:t>
      </w:r>
      <w:r w:rsidRPr="000F3DC9">
        <w:rPr>
          <w:rStyle w:val="HTMLCite"/>
          <w:rFonts w:asciiTheme="majorBidi" w:hAnsiTheme="majorBidi" w:cstheme="majorBidi"/>
          <w:i w:val="0"/>
          <w:iCs w:val="0"/>
          <w:szCs w:val="24"/>
        </w:rPr>
        <w:t> (5): 445–452. https://doi.org/</w:t>
      </w:r>
      <w:hyperlink r:id="rId26" w:history="1">
        <w:r w:rsidRPr="000F3DC9">
          <w:rPr>
            <w:rStyle w:val="Hyperlink"/>
            <w:rFonts w:asciiTheme="majorBidi" w:hAnsiTheme="majorBidi" w:cstheme="majorBidi"/>
            <w:color w:val="auto"/>
            <w:szCs w:val="24"/>
            <w:u w:val="none"/>
          </w:rPr>
          <w:t>10.1016/j.jare.2012.12.001</w:t>
        </w:r>
      </w:hyperlink>
      <w:r w:rsidRPr="000F3DC9">
        <w:rPr>
          <w:rStyle w:val="HTMLCite"/>
          <w:rFonts w:asciiTheme="majorBidi" w:hAnsiTheme="majorBidi" w:cstheme="majorBidi"/>
          <w:i w:val="0"/>
          <w:iCs w:val="0"/>
          <w:szCs w:val="24"/>
        </w:rPr>
        <w:t>. </w:t>
      </w:r>
    </w:p>
    <w:p w:rsidR="00BD4322" w:rsidRPr="000F3DC9" w:rsidRDefault="00BD4322" w:rsidP="000F3DC9">
      <w:pPr>
        <w:pStyle w:val="Default"/>
        <w:spacing w:line="276" w:lineRule="auto"/>
        <w:ind w:left="284"/>
        <w:jc w:val="both"/>
        <w:rPr>
          <w:rFonts w:asciiTheme="majorBidi" w:hAnsiTheme="majorBidi" w:cstheme="majorBidi"/>
          <w:b/>
          <w:bCs/>
          <w:color w:val="auto"/>
        </w:rPr>
      </w:pPr>
    </w:p>
    <w:p w:rsidR="002D3CB2" w:rsidRPr="000F3DC9" w:rsidRDefault="002D3CB2" w:rsidP="000F3DC9">
      <w:pPr>
        <w:jc w:val="both"/>
        <w:rPr>
          <w:rFonts w:asciiTheme="majorBidi" w:hAnsiTheme="majorBidi" w:cstheme="majorBidi"/>
          <w:b/>
          <w:bCs/>
          <w:szCs w:val="24"/>
        </w:rPr>
      </w:pPr>
      <w:r w:rsidRPr="000F3DC9">
        <w:rPr>
          <w:rFonts w:asciiTheme="majorBidi" w:hAnsiTheme="majorBidi" w:cstheme="majorBidi"/>
          <w:szCs w:val="24"/>
          <w:lang w:bidi="ar-YE"/>
        </w:rPr>
        <w:t>T</w:t>
      </w:r>
      <w:r w:rsidRPr="000F3DC9">
        <w:rPr>
          <w:rFonts w:asciiTheme="majorBidi" w:hAnsiTheme="majorBidi" w:cstheme="majorBidi"/>
          <w:szCs w:val="24"/>
        </w:rPr>
        <w:t xml:space="preserve">able 1: Socio-demographic characteristics of GIT patients admitted into the medical wards </w:t>
      </w:r>
      <w:r w:rsidRPr="000F3DC9">
        <w:rPr>
          <w:rFonts w:asciiTheme="majorBidi" w:eastAsiaTheme="minorEastAsia" w:hAnsiTheme="majorBidi" w:cstheme="majorBidi"/>
          <w:szCs w:val="24"/>
          <w:lang w:bidi="ar-YE"/>
        </w:rPr>
        <w:t xml:space="preserve">in </w:t>
      </w:r>
      <w:r w:rsidR="00B724D9" w:rsidRPr="000F3DC9">
        <w:rPr>
          <w:rStyle w:val="y2iqfc"/>
          <w:rFonts w:asciiTheme="majorBidi" w:hAnsiTheme="majorBidi" w:cstheme="majorBidi"/>
          <w:szCs w:val="24"/>
        </w:rPr>
        <w:t>Al-Thawra tertiary Hospital</w:t>
      </w:r>
      <w:r w:rsidRPr="000F3DC9">
        <w:rPr>
          <w:rFonts w:asciiTheme="majorBidi" w:eastAsiaTheme="minorEastAsia" w:hAnsiTheme="majorBidi" w:cstheme="majorBidi"/>
          <w:szCs w:val="24"/>
          <w:lang w:bidi="ar-YE"/>
        </w:rPr>
        <w:t xml:space="preserve"> </w:t>
      </w:r>
      <w:r w:rsidRPr="000F3DC9">
        <w:rPr>
          <w:rFonts w:asciiTheme="majorBidi" w:hAnsiTheme="majorBidi" w:cstheme="majorBidi"/>
          <w:szCs w:val="24"/>
        </w:rPr>
        <w:t xml:space="preserve"> (n=516) </w:t>
      </w:r>
    </w:p>
    <w:p w:rsidR="002D3CB2" w:rsidRPr="000F3DC9" w:rsidRDefault="002D3CB2" w:rsidP="000F3DC9">
      <w:pPr>
        <w:pStyle w:val="BodyText"/>
        <w:spacing w:before="7" w:line="276" w:lineRule="auto"/>
        <w:jc w:val="both"/>
        <w:rPr>
          <w:rFonts w:asciiTheme="majorBidi" w:hAnsiTheme="majorBidi" w:cstheme="majorBidi"/>
        </w:rPr>
      </w:pPr>
    </w:p>
    <w:tbl>
      <w:tblPr>
        <w:tblStyle w:val="TableGrid"/>
        <w:tblW w:w="5529" w:type="dxa"/>
        <w:tblInd w:w="1242" w:type="dxa"/>
        <w:tblLayout w:type="fixed"/>
        <w:tblLook w:val="04A0"/>
      </w:tblPr>
      <w:tblGrid>
        <w:gridCol w:w="3741"/>
        <w:gridCol w:w="1673"/>
        <w:gridCol w:w="34"/>
        <w:gridCol w:w="81"/>
      </w:tblGrid>
      <w:tr w:rsidR="002D3CB2" w:rsidRPr="000F3DC9" w:rsidTr="00157F53">
        <w:trPr>
          <w:gridAfter w:val="1"/>
          <w:wAfter w:w="81" w:type="dxa"/>
          <w:cantSplit/>
        </w:trPr>
        <w:tc>
          <w:tcPr>
            <w:tcW w:w="3741" w:type="dxa"/>
            <w:shd w:val="clear" w:color="auto" w:fill="EEECE1" w:themeFill="background2"/>
          </w:tcPr>
          <w:p w:rsidR="002D3CB2" w:rsidRPr="000F3DC9" w:rsidRDefault="002D3CB2" w:rsidP="000F3DC9">
            <w:pPr>
              <w:spacing w:line="276" w:lineRule="auto"/>
              <w:contextualSpacing/>
              <w:jc w:val="both"/>
              <w:rPr>
                <w:rFonts w:asciiTheme="majorBidi" w:hAnsiTheme="majorBidi" w:cstheme="majorBidi"/>
                <w:b/>
                <w:bCs/>
                <w:sz w:val="24"/>
                <w:szCs w:val="24"/>
                <w:lang w:bidi="ar-YE"/>
              </w:rPr>
            </w:pPr>
            <w:r w:rsidRPr="000F3DC9">
              <w:rPr>
                <w:rFonts w:asciiTheme="majorBidi" w:hAnsiTheme="majorBidi" w:cstheme="majorBidi"/>
                <w:b/>
                <w:bCs/>
                <w:sz w:val="24"/>
                <w:szCs w:val="24"/>
                <w:lang w:bidi="ar-YE"/>
              </w:rPr>
              <w:t>Variables</w:t>
            </w:r>
          </w:p>
        </w:tc>
        <w:tc>
          <w:tcPr>
            <w:tcW w:w="1707" w:type="dxa"/>
            <w:gridSpan w:val="2"/>
            <w:shd w:val="clear" w:color="auto" w:fill="EEECE1" w:themeFill="background2"/>
          </w:tcPr>
          <w:p w:rsidR="002D3CB2" w:rsidRPr="000F3DC9" w:rsidRDefault="002D3CB2" w:rsidP="000F3DC9">
            <w:pPr>
              <w:pStyle w:val="ListParagraph"/>
              <w:spacing w:line="276" w:lineRule="auto"/>
              <w:ind w:left="0"/>
              <w:jc w:val="both"/>
              <w:rPr>
                <w:rFonts w:asciiTheme="majorBidi" w:hAnsiTheme="majorBidi" w:cstheme="majorBidi"/>
                <w:b/>
                <w:bCs/>
                <w:sz w:val="24"/>
                <w:szCs w:val="24"/>
                <w:lang w:bidi="ar-YE"/>
              </w:rPr>
            </w:pPr>
            <w:r w:rsidRPr="000F3DC9">
              <w:rPr>
                <w:rFonts w:asciiTheme="majorBidi" w:hAnsiTheme="majorBidi" w:cstheme="majorBidi"/>
                <w:b/>
                <w:bCs/>
                <w:sz w:val="24"/>
                <w:szCs w:val="24"/>
                <w:lang w:bidi="ar-YE"/>
              </w:rPr>
              <w:t>n(%)</w:t>
            </w:r>
          </w:p>
        </w:tc>
      </w:tr>
      <w:tr w:rsidR="002D3CB2" w:rsidRPr="000F3DC9" w:rsidTr="00157F53">
        <w:trPr>
          <w:gridAfter w:val="2"/>
          <w:wAfter w:w="115" w:type="dxa"/>
          <w:cantSplit/>
        </w:trPr>
        <w:tc>
          <w:tcPr>
            <w:tcW w:w="5414" w:type="dxa"/>
            <w:gridSpan w:val="2"/>
          </w:tcPr>
          <w:p w:rsidR="002D3CB2" w:rsidRPr="000F3DC9" w:rsidRDefault="002D3CB2" w:rsidP="000F3DC9">
            <w:pPr>
              <w:pStyle w:val="ListParagraph"/>
              <w:spacing w:line="276" w:lineRule="auto"/>
              <w:ind w:left="0"/>
              <w:jc w:val="both"/>
              <w:rPr>
                <w:rFonts w:asciiTheme="majorBidi" w:hAnsiTheme="majorBidi" w:cstheme="majorBidi"/>
                <w:sz w:val="24"/>
                <w:szCs w:val="24"/>
                <w:lang w:bidi="ar-YE"/>
              </w:rPr>
            </w:pPr>
            <w:r w:rsidRPr="000F3DC9">
              <w:rPr>
                <w:rFonts w:asciiTheme="majorBidi" w:hAnsiTheme="majorBidi" w:cstheme="majorBidi"/>
                <w:b/>
                <w:bCs/>
                <w:sz w:val="24"/>
                <w:szCs w:val="24"/>
              </w:rPr>
              <w:t>Age</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&lt;25</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45 (8.7)</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25-34</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87 (16.9)</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35-44</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119 (23.1)</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45-54</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81 (15.7)</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&gt;=55</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184 (35.7)</w:t>
            </w:r>
          </w:p>
        </w:tc>
      </w:tr>
      <w:tr w:rsidR="002D3CB2" w:rsidRPr="000F3DC9" w:rsidTr="00157F53">
        <w:trPr>
          <w:gridAfter w:val="2"/>
          <w:wAfter w:w="115" w:type="dxa"/>
          <w:cantSplit/>
        </w:trPr>
        <w:tc>
          <w:tcPr>
            <w:tcW w:w="5414" w:type="dxa"/>
            <w:gridSpan w:val="2"/>
          </w:tcPr>
          <w:p w:rsidR="002D3CB2" w:rsidRPr="000F3DC9" w:rsidRDefault="002D3CB2" w:rsidP="000F3DC9">
            <w:pPr>
              <w:pStyle w:val="ListParagraph"/>
              <w:spacing w:line="276" w:lineRule="auto"/>
              <w:ind w:left="0"/>
              <w:jc w:val="both"/>
              <w:rPr>
                <w:rFonts w:asciiTheme="majorBidi" w:hAnsiTheme="majorBidi" w:cstheme="majorBidi"/>
                <w:b/>
                <w:bCs/>
                <w:sz w:val="24"/>
                <w:szCs w:val="24"/>
                <w:lang w:bidi="ar-YE"/>
              </w:rPr>
            </w:pPr>
            <w:r w:rsidRPr="000F3DC9">
              <w:rPr>
                <w:rFonts w:asciiTheme="majorBidi" w:hAnsiTheme="majorBidi" w:cstheme="majorBidi"/>
                <w:b/>
                <w:bCs/>
                <w:sz w:val="24"/>
                <w:szCs w:val="24"/>
              </w:rPr>
              <w:t>Sex</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Male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295 (52)</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Female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221 (42.8)</w:t>
            </w:r>
          </w:p>
        </w:tc>
      </w:tr>
      <w:tr w:rsidR="002D3CB2" w:rsidRPr="000F3DC9" w:rsidTr="00157F53">
        <w:trPr>
          <w:gridAfter w:val="2"/>
          <w:wAfter w:w="115" w:type="dxa"/>
          <w:cantSplit/>
        </w:trPr>
        <w:tc>
          <w:tcPr>
            <w:tcW w:w="5414" w:type="dxa"/>
            <w:gridSpan w:val="2"/>
          </w:tcPr>
          <w:p w:rsidR="002D3CB2" w:rsidRPr="000F3DC9" w:rsidRDefault="002D3CB2" w:rsidP="000F3DC9">
            <w:pPr>
              <w:spacing w:line="276" w:lineRule="auto"/>
              <w:jc w:val="both"/>
              <w:rPr>
                <w:rFonts w:asciiTheme="majorBidi" w:hAnsiTheme="majorBidi" w:cstheme="majorBidi"/>
                <w:b/>
                <w:bCs/>
                <w:sz w:val="24"/>
                <w:szCs w:val="24"/>
                <w:lang w:bidi="ar-YE"/>
              </w:rPr>
            </w:pPr>
            <w:r w:rsidRPr="000F3DC9">
              <w:rPr>
                <w:rFonts w:asciiTheme="majorBidi" w:hAnsiTheme="majorBidi" w:cstheme="majorBidi"/>
                <w:b/>
                <w:bCs/>
                <w:sz w:val="24"/>
                <w:szCs w:val="24"/>
              </w:rPr>
              <w:t>Residence</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Urban</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371 (71.9)</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Rural</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145 (28.1)</w:t>
            </w:r>
          </w:p>
        </w:tc>
      </w:tr>
      <w:tr w:rsidR="002D3CB2" w:rsidRPr="000F3DC9" w:rsidTr="00157F53">
        <w:trPr>
          <w:gridAfter w:val="2"/>
          <w:wAfter w:w="115" w:type="dxa"/>
          <w:cantSplit/>
        </w:trPr>
        <w:tc>
          <w:tcPr>
            <w:tcW w:w="5414" w:type="dxa"/>
            <w:gridSpan w:val="2"/>
          </w:tcPr>
          <w:p w:rsidR="002D3CB2" w:rsidRPr="000F3DC9" w:rsidRDefault="002D3CB2" w:rsidP="000F3DC9">
            <w:pPr>
              <w:spacing w:line="276" w:lineRule="auto"/>
              <w:jc w:val="both"/>
              <w:rPr>
                <w:rFonts w:asciiTheme="majorBidi" w:eastAsia="Times New Roman" w:hAnsiTheme="majorBidi" w:cstheme="majorBidi"/>
                <w:b/>
                <w:bCs/>
                <w:sz w:val="24"/>
                <w:szCs w:val="24"/>
              </w:rPr>
            </w:pPr>
            <w:r w:rsidRPr="000F3DC9">
              <w:rPr>
                <w:rFonts w:asciiTheme="majorBidi" w:eastAsia="Times New Roman" w:hAnsiTheme="majorBidi" w:cstheme="majorBidi"/>
                <w:b/>
                <w:bCs/>
                <w:sz w:val="24"/>
                <w:szCs w:val="24"/>
              </w:rPr>
              <w:t>Marital Status</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Married</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417 (80.8)</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Unmarried</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99  (19.2)</w:t>
            </w:r>
          </w:p>
        </w:tc>
      </w:tr>
      <w:tr w:rsidR="002D3CB2" w:rsidRPr="000F3DC9" w:rsidTr="00157F53">
        <w:trPr>
          <w:cantSplit/>
        </w:trPr>
        <w:tc>
          <w:tcPr>
            <w:tcW w:w="5529" w:type="dxa"/>
            <w:gridSpan w:val="4"/>
          </w:tcPr>
          <w:p w:rsidR="002D3CB2" w:rsidRPr="000F3DC9" w:rsidRDefault="002D3CB2" w:rsidP="000F3DC9">
            <w:pPr>
              <w:spacing w:line="276" w:lineRule="auto"/>
              <w:jc w:val="both"/>
              <w:rPr>
                <w:rFonts w:asciiTheme="majorBidi" w:hAnsiTheme="majorBidi" w:cstheme="majorBidi"/>
                <w:b/>
                <w:bCs/>
                <w:sz w:val="24"/>
                <w:szCs w:val="24"/>
                <w:lang w:bidi="ar-YE"/>
              </w:rPr>
            </w:pPr>
            <w:r w:rsidRPr="000F3DC9">
              <w:rPr>
                <w:rFonts w:asciiTheme="majorBidi" w:hAnsiTheme="majorBidi" w:cstheme="majorBidi"/>
                <w:b/>
                <w:bCs/>
                <w:sz w:val="24"/>
                <w:szCs w:val="24"/>
              </w:rPr>
              <w:t>Education</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Illiterate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243 (47.1)</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Primary school</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130 (25.2)</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Secondary school</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86 (16.7)</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Collage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35 (6.8)</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University and above</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22 (4.3)</w:t>
            </w:r>
          </w:p>
        </w:tc>
      </w:tr>
      <w:tr w:rsidR="002D3CB2" w:rsidRPr="000F3DC9" w:rsidTr="00157F53">
        <w:trPr>
          <w:gridAfter w:val="1"/>
          <w:wAfter w:w="81" w:type="dxa"/>
          <w:cantSplit/>
        </w:trPr>
        <w:tc>
          <w:tcPr>
            <w:tcW w:w="3741" w:type="dxa"/>
          </w:tcPr>
          <w:p w:rsidR="002D3CB2" w:rsidRPr="000F3DC9" w:rsidRDefault="002D3CB2" w:rsidP="000F3DC9">
            <w:pPr>
              <w:spacing w:line="276" w:lineRule="auto"/>
              <w:jc w:val="both"/>
              <w:rPr>
                <w:rFonts w:asciiTheme="majorBidi" w:eastAsia="Times New Roman" w:hAnsiTheme="majorBidi" w:cstheme="majorBidi"/>
                <w:b/>
                <w:bCs/>
                <w:sz w:val="24"/>
                <w:szCs w:val="24"/>
              </w:rPr>
            </w:pPr>
            <w:r w:rsidRPr="000F3DC9">
              <w:rPr>
                <w:rFonts w:asciiTheme="majorBidi" w:eastAsia="Times New Roman" w:hAnsiTheme="majorBidi" w:cstheme="majorBidi"/>
                <w:b/>
                <w:bCs/>
                <w:sz w:val="24"/>
                <w:szCs w:val="24"/>
              </w:rPr>
              <w:t>Total</w:t>
            </w:r>
          </w:p>
        </w:tc>
        <w:tc>
          <w:tcPr>
            <w:tcW w:w="1707" w:type="dxa"/>
            <w:gridSpan w:val="2"/>
          </w:tcPr>
          <w:p w:rsidR="002D3CB2" w:rsidRPr="000F3DC9" w:rsidRDefault="002D3CB2" w:rsidP="000F3DC9">
            <w:pPr>
              <w:spacing w:line="276" w:lineRule="auto"/>
              <w:jc w:val="both"/>
              <w:rPr>
                <w:rFonts w:asciiTheme="majorBidi" w:eastAsia="Times New Roman" w:hAnsiTheme="majorBidi" w:cstheme="majorBidi"/>
                <w:b/>
                <w:bCs/>
                <w:sz w:val="24"/>
                <w:szCs w:val="24"/>
              </w:rPr>
            </w:pPr>
            <w:r w:rsidRPr="000F3DC9">
              <w:rPr>
                <w:rFonts w:asciiTheme="majorBidi" w:eastAsia="Times New Roman" w:hAnsiTheme="majorBidi" w:cstheme="majorBidi"/>
                <w:b/>
                <w:bCs/>
                <w:sz w:val="24"/>
                <w:szCs w:val="24"/>
              </w:rPr>
              <w:t>516 (100)</w:t>
            </w:r>
          </w:p>
        </w:tc>
      </w:tr>
    </w:tbl>
    <w:p w:rsidR="002D3CB2" w:rsidRPr="000F3DC9" w:rsidRDefault="002D3CB2" w:rsidP="000F3DC9">
      <w:pPr>
        <w:pStyle w:val="BodyText"/>
        <w:spacing w:before="7" w:line="276" w:lineRule="auto"/>
        <w:jc w:val="both"/>
        <w:rPr>
          <w:rFonts w:asciiTheme="majorBidi" w:hAnsiTheme="majorBidi" w:cstheme="majorBidi"/>
        </w:rPr>
      </w:pPr>
    </w:p>
    <w:p w:rsidR="002D3CB2" w:rsidRPr="000F3DC9" w:rsidRDefault="002D3CB2" w:rsidP="000F3DC9">
      <w:pPr>
        <w:jc w:val="both"/>
        <w:rPr>
          <w:rFonts w:asciiTheme="majorBidi" w:hAnsiTheme="majorBidi" w:cstheme="majorBidi"/>
          <w:szCs w:val="24"/>
        </w:rPr>
      </w:pPr>
      <w:r w:rsidRPr="000F3DC9">
        <w:rPr>
          <w:rFonts w:asciiTheme="majorBidi" w:hAnsiTheme="majorBidi" w:cstheme="majorBidi"/>
          <w:szCs w:val="24"/>
          <w:lang w:bidi="ar-YE"/>
        </w:rPr>
        <w:t>T</w:t>
      </w:r>
      <w:r w:rsidRPr="000F3DC9">
        <w:rPr>
          <w:rFonts w:asciiTheme="majorBidi" w:hAnsiTheme="majorBidi" w:cstheme="majorBidi"/>
          <w:szCs w:val="24"/>
        </w:rPr>
        <w:t>able 2:</w:t>
      </w:r>
      <w:r w:rsidRPr="000F3DC9">
        <w:rPr>
          <w:rFonts w:asciiTheme="majorBidi" w:hAnsiTheme="majorBidi" w:cstheme="majorBidi"/>
          <w:b/>
          <w:bCs/>
          <w:szCs w:val="24"/>
        </w:rPr>
        <w:t xml:space="preserve"> </w:t>
      </w:r>
      <w:r w:rsidRPr="000F3DC9">
        <w:rPr>
          <w:rFonts w:asciiTheme="majorBidi" w:hAnsiTheme="majorBidi" w:cstheme="majorBidi"/>
          <w:szCs w:val="24"/>
        </w:rPr>
        <w:t xml:space="preserve">Socio-demographic characteristics of liver diseases patients admitted into the medical wards </w:t>
      </w:r>
      <w:r w:rsidRPr="000F3DC9">
        <w:rPr>
          <w:rFonts w:asciiTheme="majorBidi" w:eastAsiaTheme="minorEastAsia" w:hAnsiTheme="majorBidi" w:cstheme="majorBidi"/>
          <w:szCs w:val="24"/>
          <w:lang w:bidi="ar-YE"/>
        </w:rPr>
        <w:t xml:space="preserve">in </w:t>
      </w:r>
      <w:r w:rsidR="00B724D9" w:rsidRPr="000F3DC9">
        <w:rPr>
          <w:rStyle w:val="y2iqfc"/>
          <w:rFonts w:asciiTheme="majorBidi" w:hAnsiTheme="majorBidi" w:cstheme="majorBidi"/>
          <w:szCs w:val="24"/>
        </w:rPr>
        <w:t xml:space="preserve">Al-Thawra tertiary Hospital </w:t>
      </w:r>
      <w:r w:rsidRPr="000F3DC9">
        <w:rPr>
          <w:rFonts w:asciiTheme="majorBidi" w:hAnsiTheme="majorBidi" w:cstheme="majorBidi"/>
          <w:szCs w:val="24"/>
        </w:rPr>
        <w:t>(n=155) (Sana’a, Yemen 2021)</w:t>
      </w:r>
    </w:p>
    <w:p w:rsidR="002D3CB2" w:rsidRPr="000F3DC9" w:rsidRDefault="002D3CB2" w:rsidP="000F3DC9">
      <w:pPr>
        <w:pStyle w:val="BodyText"/>
        <w:spacing w:before="7" w:line="276" w:lineRule="auto"/>
        <w:jc w:val="both"/>
        <w:rPr>
          <w:rFonts w:asciiTheme="majorBidi" w:hAnsiTheme="majorBidi" w:cstheme="majorBidi"/>
        </w:rPr>
      </w:pPr>
    </w:p>
    <w:tbl>
      <w:tblPr>
        <w:tblStyle w:val="TableGrid"/>
        <w:tblW w:w="5104" w:type="dxa"/>
        <w:tblLayout w:type="fixed"/>
        <w:tblLook w:val="04A0"/>
      </w:tblPr>
      <w:tblGrid>
        <w:gridCol w:w="3397"/>
        <w:gridCol w:w="1707"/>
      </w:tblGrid>
      <w:tr w:rsidR="002D3CB2" w:rsidRPr="000F3DC9" w:rsidTr="00157F53">
        <w:trPr>
          <w:cantSplit/>
        </w:trPr>
        <w:tc>
          <w:tcPr>
            <w:tcW w:w="3397" w:type="dxa"/>
            <w:shd w:val="clear" w:color="auto" w:fill="EEECE1" w:themeFill="background2"/>
          </w:tcPr>
          <w:p w:rsidR="002D3CB2" w:rsidRPr="000F3DC9" w:rsidRDefault="002D3CB2" w:rsidP="000F3DC9">
            <w:pPr>
              <w:spacing w:line="276" w:lineRule="auto"/>
              <w:contextualSpacing/>
              <w:jc w:val="both"/>
              <w:rPr>
                <w:rFonts w:asciiTheme="majorBidi" w:hAnsiTheme="majorBidi" w:cstheme="majorBidi"/>
                <w:b/>
                <w:bCs/>
                <w:sz w:val="24"/>
                <w:szCs w:val="24"/>
                <w:lang w:bidi="ar-YE"/>
              </w:rPr>
            </w:pPr>
            <w:r w:rsidRPr="000F3DC9">
              <w:rPr>
                <w:rFonts w:asciiTheme="majorBidi" w:hAnsiTheme="majorBidi" w:cstheme="majorBidi"/>
                <w:b/>
                <w:bCs/>
                <w:sz w:val="24"/>
                <w:szCs w:val="24"/>
                <w:lang w:bidi="ar-YE"/>
              </w:rPr>
              <w:t>Variables</w:t>
            </w:r>
          </w:p>
        </w:tc>
        <w:tc>
          <w:tcPr>
            <w:tcW w:w="1707" w:type="dxa"/>
            <w:shd w:val="clear" w:color="auto" w:fill="EEECE1" w:themeFill="background2"/>
          </w:tcPr>
          <w:p w:rsidR="002D3CB2" w:rsidRPr="000F3DC9" w:rsidRDefault="002D3CB2" w:rsidP="000F3DC9">
            <w:pPr>
              <w:pStyle w:val="ListParagraph"/>
              <w:spacing w:line="276" w:lineRule="auto"/>
              <w:ind w:left="0"/>
              <w:jc w:val="both"/>
              <w:rPr>
                <w:rFonts w:asciiTheme="majorBidi" w:hAnsiTheme="majorBidi" w:cstheme="majorBidi"/>
                <w:b/>
                <w:bCs/>
                <w:sz w:val="24"/>
                <w:szCs w:val="24"/>
                <w:lang w:bidi="ar-YE"/>
              </w:rPr>
            </w:pPr>
            <w:r w:rsidRPr="000F3DC9">
              <w:rPr>
                <w:rFonts w:asciiTheme="majorBidi" w:hAnsiTheme="majorBidi" w:cstheme="majorBidi"/>
                <w:b/>
                <w:bCs/>
                <w:sz w:val="24"/>
                <w:szCs w:val="24"/>
                <w:lang w:bidi="ar-YE"/>
              </w:rPr>
              <w:t>n(%)</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hAnsiTheme="majorBidi" w:cstheme="majorBidi"/>
                <w:b/>
                <w:bCs/>
                <w:sz w:val="24"/>
                <w:szCs w:val="24"/>
              </w:rPr>
              <w:t>Age</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&lt;25</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9 (5.8)</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25-34</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27 (17.4)</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35-44</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35 (22.6)</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45-54</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25 (16.1)</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&gt;=55</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59 (38.1)</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hAnsiTheme="majorBidi" w:cstheme="majorBidi"/>
                <w:b/>
                <w:bCs/>
                <w:sz w:val="24"/>
                <w:szCs w:val="24"/>
              </w:rPr>
              <w:t>Sex</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Male</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86 (55.5)</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Female</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69 (44.5)</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hAnsiTheme="majorBidi" w:cstheme="majorBidi"/>
                <w:b/>
                <w:bCs/>
                <w:sz w:val="24"/>
                <w:szCs w:val="24"/>
              </w:rPr>
              <w:t>Residence</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Urban</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110 (71)</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Rural</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45 (29)</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b/>
                <w:bCs/>
                <w:sz w:val="24"/>
                <w:szCs w:val="24"/>
              </w:rPr>
              <w:t xml:space="preserve">Marital Status  </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Married</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136 (87.7)</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Unmarried</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19 (12.3)</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hAnsiTheme="majorBidi" w:cstheme="majorBidi"/>
                <w:b/>
                <w:bCs/>
                <w:sz w:val="24"/>
                <w:szCs w:val="24"/>
              </w:rPr>
              <w:t>Education</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Illiterate</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74 (47.7)</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Primary school</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39 (25.2)</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Secondary school</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26 (16.8)</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Collage</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11 (7.1)</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University and above</w:t>
            </w:r>
          </w:p>
        </w:tc>
        <w:tc>
          <w:tcPr>
            <w:tcW w:w="1707"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5 (3.2)</w:t>
            </w:r>
          </w:p>
        </w:tc>
      </w:tr>
      <w:tr w:rsidR="002D3CB2" w:rsidRPr="000F3DC9" w:rsidTr="00157F53">
        <w:trPr>
          <w:cantSplit/>
        </w:trPr>
        <w:tc>
          <w:tcPr>
            <w:tcW w:w="3397" w:type="dxa"/>
          </w:tcPr>
          <w:p w:rsidR="002D3CB2" w:rsidRPr="000F3DC9" w:rsidRDefault="002D3CB2" w:rsidP="000F3DC9">
            <w:pPr>
              <w:spacing w:line="276" w:lineRule="auto"/>
              <w:jc w:val="both"/>
              <w:rPr>
                <w:rFonts w:asciiTheme="majorBidi" w:eastAsia="Times New Roman" w:hAnsiTheme="majorBidi" w:cstheme="majorBidi"/>
                <w:b/>
                <w:bCs/>
                <w:sz w:val="24"/>
                <w:szCs w:val="24"/>
              </w:rPr>
            </w:pPr>
            <w:r w:rsidRPr="000F3DC9">
              <w:rPr>
                <w:rFonts w:asciiTheme="majorBidi" w:eastAsia="Times New Roman" w:hAnsiTheme="majorBidi" w:cstheme="majorBidi"/>
                <w:b/>
                <w:bCs/>
                <w:sz w:val="24"/>
                <w:szCs w:val="24"/>
              </w:rPr>
              <w:t>Total</w:t>
            </w:r>
          </w:p>
        </w:tc>
        <w:tc>
          <w:tcPr>
            <w:tcW w:w="1707" w:type="dxa"/>
          </w:tcPr>
          <w:p w:rsidR="002D3CB2" w:rsidRPr="000F3DC9" w:rsidRDefault="002D3CB2" w:rsidP="000F3DC9">
            <w:pPr>
              <w:spacing w:line="276" w:lineRule="auto"/>
              <w:jc w:val="both"/>
              <w:rPr>
                <w:rFonts w:asciiTheme="majorBidi" w:eastAsia="Times New Roman" w:hAnsiTheme="majorBidi" w:cstheme="majorBidi"/>
                <w:b/>
                <w:bCs/>
                <w:sz w:val="24"/>
                <w:szCs w:val="24"/>
              </w:rPr>
            </w:pPr>
            <w:r w:rsidRPr="000F3DC9">
              <w:rPr>
                <w:rFonts w:asciiTheme="majorBidi" w:eastAsia="Times New Roman" w:hAnsiTheme="majorBidi" w:cstheme="majorBidi"/>
                <w:b/>
                <w:bCs/>
                <w:sz w:val="24"/>
                <w:szCs w:val="24"/>
              </w:rPr>
              <w:t>155 (100)</w:t>
            </w:r>
          </w:p>
        </w:tc>
      </w:tr>
    </w:tbl>
    <w:p w:rsidR="002D3CB2" w:rsidRPr="000F3DC9" w:rsidRDefault="002D3CB2" w:rsidP="000F3DC9">
      <w:pPr>
        <w:pStyle w:val="BodyText"/>
        <w:spacing w:before="7" w:line="276" w:lineRule="auto"/>
        <w:jc w:val="both"/>
        <w:rPr>
          <w:rFonts w:asciiTheme="majorBidi" w:hAnsiTheme="majorBidi" w:cstheme="majorBidi"/>
        </w:rPr>
      </w:pPr>
    </w:p>
    <w:p w:rsidR="002D3CB2" w:rsidRPr="000F3DC9" w:rsidRDefault="002D3CB2" w:rsidP="000F3DC9">
      <w:pPr>
        <w:jc w:val="both"/>
        <w:rPr>
          <w:rFonts w:asciiTheme="majorBidi" w:eastAsia="Times New Roman" w:hAnsiTheme="majorBidi" w:cstheme="majorBidi"/>
          <w:szCs w:val="24"/>
          <w:lang w:bidi="ar-YE"/>
        </w:rPr>
      </w:pPr>
    </w:p>
    <w:p w:rsidR="002D3CB2" w:rsidRPr="000F3DC9" w:rsidRDefault="002D3CB2" w:rsidP="000F3DC9">
      <w:pPr>
        <w:pStyle w:val="BodyText"/>
        <w:spacing w:before="7" w:line="276" w:lineRule="auto"/>
        <w:jc w:val="both"/>
        <w:rPr>
          <w:rFonts w:asciiTheme="majorBidi" w:hAnsiTheme="majorBidi" w:cstheme="majorBidi"/>
        </w:rPr>
      </w:pPr>
      <w:r w:rsidRPr="000F3DC9">
        <w:rPr>
          <w:rFonts w:asciiTheme="majorBidi" w:hAnsiTheme="majorBidi" w:cstheme="majorBidi"/>
          <w:lang w:bidi="ar-YE"/>
        </w:rPr>
        <w:lastRenderedPageBreak/>
        <w:t>T</w:t>
      </w:r>
      <w:r w:rsidRPr="000F3DC9">
        <w:rPr>
          <w:rFonts w:asciiTheme="majorBidi" w:hAnsiTheme="majorBidi" w:cstheme="majorBidi"/>
        </w:rPr>
        <w:t xml:space="preserve">able 3: The </w:t>
      </w:r>
      <w:r w:rsidRPr="000F3DC9">
        <w:rPr>
          <w:rFonts w:asciiTheme="majorBidi" w:hAnsiTheme="majorBidi" w:cstheme="majorBidi"/>
          <w:lang w:bidi="ar-YE"/>
        </w:rPr>
        <w:t xml:space="preserve">etiological causes of liver diseases for </w:t>
      </w:r>
      <w:r w:rsidRPr="000F3DC9">
        <w:rPr>
          <w:rFonts w:asciiTheme="majorBidi" w:hAnsiTheme="majorBidi" w:cstheme="majorBidi"/>
        </w:rPr>
        <w:t xml:space="preserve">patients admitted into the medical wards </w:t>
      </w:r>
      <w:r w:rsidRPr="000F3DC9">
        <w:rPr>
          <w:rFonts w:asciiTheme="majorBidi" w:eastAsiaTheme="minorEastAsia" w:hAnsiTheme="majorBidi" w:cstheme="majorBidi"/>
          <w:lang w:bidi="ar-YE"/>
        </w:rPr>
        <w:t xml:space="preserve">in </w:t>
      </w:r>
      <w:r w:rsidR="00D26E6E" w:rsidRPr="000F3DC9">
        <w:rPr>
          <w:rStyle w:val="y2iqfc"/>
          <w:rFonts w:asciiTheme="majorBidi" w:hAnsiTheme="majorBidi" w:cstheme="majorBidi"/>
        </w:rPr>
        <w:t>Al-Thawra tertiary Hospital</w:t>
      </w:r>
      <w:r w:rsidRPr="000F3DC9">
        <w:rPr>
          <w:rFonts w:asciiTheme="majorBidi" w:eastAsiaTheme="minorEastAsia" w:hAnsiTheme="majorBidi" w:cstheme="majorBidi"/>
          <w:lang w:bidi="ar-YE"/>
        </w:rPr>
        <w:t xml:space="preserve"> </w:t>
      </w:r>
      <w:r w:rsidRPr="000F3DC9">
        <w:rPr>
          <w:rFonts w:asciiTheme="majorBidi" w:hAnsiTheme="majorBidi" w:cstheme="majorBidi"/>
        </w:rPr>
        <w:t xml:space="preserve"> (n=155) (Sana’a, Yemen 2021)</w:t>
      </w:r>
    </w:p>
    <w:p w:rsidR="002D3CB2" w:rsidRPr="000F3DC9" w:rsidRDefault="002D3CB2" w:rsidP="000F3DC9">
      <w:pPr>
        <w:pStyle w:val="BodyText"/>
        <w:spacing w:before="7" w:line="276" w:lineRule="auto"/>
        <w:jc w:val="both"/>
        <w:rPr>
          <w:rFonts w:asciiTheme="majorBidi" w:hAnsiTheme="majorBidi" w:cstheme="majorBidi"/>
        </w:rPr>
      </w:pPr>
    </w:p>
    <w:tbl>
      <w:tblPr>
        <w:tblStyle w:val="TableGrid"/>
        <w:tblW w:w="6912" w:type="dxa"/>
        <w:tblLayout w:type="fixed"/>
        <w:tblLook w:val="04A0"/>
      </w:tblPr>
      <w:tblGrid>
        <w:gridCol w:w="4928"/>
        <w:gridCol w:w="1984"/>
      </w:tblGrid>
      <w:tr w:rsidR="002D3CB2" w:rsidRPr="000F3DC9" w:rsidTr="00157F53">
        <w:trPr>
          <w:cantSplit/>
        </w:trPr>
        <w:tc>
          <w:tcPr>
            <w:tcW w:w="4928" w:type="dxa"/>
            <w:shd w:val="clear" w:color="auto" w:fill="EEECE1" w:themeFill="background2"/>
          </w:tcPr>
          <w:p w:rsidR="002D3CB2" w:rsidRPr="000F3DC9" w:rsidRDefault="002D3CB2" w:rsidP="000F3DC9">
            <w:pPr>
              <w:spacing w:line="276" w:lineRule="auto"/>
              <w:contextualSpacing/>
              <w:jc w:val="both"/>
              <w:rPr>
                <w:rFonts w:asciiTheme="majorBidi" w:hAnsiTheme="majorBidi" w:cstheme="majorBidi"/>
                <w:b/>
                <w:bCs/>
                <w:sz w:val="24"/>
                <w:szCs w:val="24"/>
                <w:lang w:bidi="ar-YE"/>
              </w:rPr>
            </w:pPr>
            <w:r w:rsidRPr="000F3DC9">
              <w:rPr>
                <w:rFonts w:asciiTheme="majorBidi" w:hAnsiTheme="majorBidi" w:cstheme="majorBidi"/>
                <w:sz w:val="24"/>
                <w:szCs w:val="24"/>
                <w:lang w:bidi="ar-YE"/>
              </w:rPr>
              <w:t>Etiological causes</w:t>
            </w:r>
          </w:p>
        </w:tc>
        <w:tc>
          <w:tcPr>
            <w:tcW w:w="1984" w:type="dxa"/>
            <w:shd w:val="clear" w:color="auto" w:fill="EEECE1" w:themeFill="background2"/>
          </w:tcPr>
          <w:p w:rsidR="002D3CB2" w:rsidRPr="000F3DC9" w:rsidRDefault="002D3CB2" w:rsidP="000F3DC9">
            <w:pPr>
              <w:pStyle w:val="ListParagraph"/>
              <w:spacing w:line="276" w:lineRule="auto"/>
              <w:ind w:left="0"/>
              <w:jc w:val="both"/>
              <w:rPr>
                <w:rFonts w:asciiTheme="majorBidi" w:hAnsiTheme="majorBidi" w:cstheme="majorBidi"/>
                <w:b/>
                <w:bCs/>
                <w:sz w:val="24"/>
                <w:szCs w:val="24"/>
                <w:lang w:bidi="ar-YE"/>
              </w:rPr>
            </w:pPr>
            <w:r w:rsidRPr="000F3DC9">
              <w:rPr>
                <w:rFonts w:asciiTheme="majorBidi" w:hAnsiTheme="majorBidi" w:cstheme="majorBidi"/>
                <w:b/>
                <w:bCs/>
                <w:sz w:val="24"/>
                <w:szCs w:val="24"/>
                <w:lang w:bidi="ar-YE"/>
              </w:rPr>
              <w:t>n(%)</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Autoimmune hepatitis</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43 (27.7)</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hAnsiTheme="majorBidi" w:cstheme="majorBidi"/>
                <w:sz w:val="24"/>
                <w:szCs w:val="24"/>
              </w:rPr>
              <w:t xml:space="preserve"> Non-alcoholic fatty  liver disease</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35 (22.6)</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Infective viral hepatitis (HBV, HCV)</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32 (20.6)</w:t>
            </w:r>
          </w:p>
        </w:tc>
      </w:tr>
      <w:tr w:rsidR="002D3CB2" w:rsidRPr="000F3DC9" w:rsidTr="00157F53">
        <w:trPr>
          <w:cantSplit/>
          <w:trHeight w:val="251"/>
        </w:trPr>
        <w:tc>
          <w:tcPr>
            <w:tcW w:w="4928" w:type="dxa"/>
          </w:tcPr>
          <w:p w:rsidR="002D3CB2" w:rsidRPr="000F3DC9" w:rsidRDefault="002D3CB2" w:rsidP="000F3DC9">
            <w:pPr>
              <w:spacing w:line="276" w:lineRule="auto"/>
              <w:jc w:val="both"/>
              <w:rPr>
                <w:rFonts w:asciiTheme="majorBidi" w:hAnsiTheme="majorBidi" w:cstheme="majorBidi"/>
                <w:sz w:val="24"/>
                <w:szCs w:val="24"/>
              </w:rPr>
            </w:pPr>
            <w:r w:rsidRPr="000F3DC9">
              <w:rPr>
                <w:rFonts w:asciiTheme="majorBidi" w:hAnsiTheme="majorBidi" w:cstheme="majorBidi"/>
                <w:sz w:val="24"/>
                <w:szCs w:val="24"/>
              </w:rPr>
              <w:t>Schistosomasis</w:t>
            </w:r>
          </w:p>
        </w:tc>
        <w:tc>
          <w:tcPr>
            <w:tcW w:w="1984" w:type="dxa"/>
          </w:tcPr>
          <w:p w:rsidR="002D3CB2" w:rsidRPr="000F3DC9" w:rsidRDefault="002D3CB2" w:rsidP="000F3DC9">
            <w:pPr>
              <w:spacing w:line="276" w:lineRule="auto"/>
              <w:jc w:val="both"/>
              <w:rPr>
                <w:rFonts w:asciiTheme="majorBidi" w:hAnsiTheme="majorBidi" w:cstheme="majorBidi"/>
                <w:sz w:val="24"/>
                <w:szCs w:val="24"/>
              </w:rPr>
            </w:pPr>
            <w:r w:rsidRPr="000F3DC9">
              <w:rPr>
                <w:rFonts w:asciiTheme="majorBidi" w:hAnsiTheme="majorBidi" w:cstheme="majorBidi"/>
                <w:sz w:val="24"/>
                <w:szCs w:val="24"/>
              </w:rPr>
              <w:t>17 (11)</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 xml:space="preserve">Toxic hepatitis </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7 (4.5)</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Herbals toxic hepatitis</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6 (3.9)</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Chemical toxic</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1 (0.64)</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hAnsiTheme="majorBidi" w:cstheme="majorBidi"/>
                <w:sz w:val="24"/>
                <w:szCs w:val="24"/>
              </w:rPr>
              <w:t>alcoholic liver disease</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7 (4.5)</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Biliary diseases /obstructions</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6 (3.9)</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Inherited/Metabolites</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 (1.9)</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Vascular</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3 (1.9)</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Neoplastic</w:t>
            </w:r>
          </w:p>
        </w:tc>
        <w:tc>
          <w:tcPr>
            <w:tcW w:w="1984" w:type="dxa"/>
          </w:tcPr>
          <w:p w:rsidR="002D3CB2" w:rsidRPr="000F3DC9" w:rsidRDefault="002D3CB2" w:rsidP="000F3DC9">
            <w:pPr>
              <w:spacing w:line="276" w:lineRule="auto"/>
              <w:jc w:val="both"/>
              <w:rPr>
                <w:rFonts w:asciiTheme="majorBidi" w:eastAsia="Times New Roman" w:hAnsiTheme="majorBidi" w:cstheme="majorBidi"/>
                <w:sz w:val="24"/>
                <w:szCs w:val="24"/>
              </w:rPr>
            </w:pPr>
            <w:r w:rsidRPr="000F3DC9">
              <w:rPr>
                <w:rFonts w:asciiTheme="majorBidi" w:eastAsia="Times New Roman" w:hAnsiTheme="majorBidi" w:cstheme="majorBidi"/>
                <w:sz w:val="24"/>
                <w:szCs w:val="24"/>
              </w:rPr>
              <w:t>2 (1.3)</w:t>
            </w:r>
          </w:p>
        </w:tc>
      </w:tr>
      <w:tr w:rsidR="002D3CB2" w:rsidRPr="000F3DC9" w:rsidTr="00157F53">
        <w:trPr>
          <w:cantSplit/>
        </w:trPr>
        <w:tc>
          <w:tcPr>
            <w:tcW w:w="4928" w:type="dxa"/>
          </w:tcPr>
          <w:p w:rsidR="002D3CB2" w:rsidRPr="000F3DC9" w:rsidRDefault="002D3CB2" w:rsidP="000F3DC9">
            <w:pPr>
              <w:spacing w:line="276" w:lineRule="auto"/>
              <w:jc w:val="both"/>
              <w:rPr>
                <w:rFonts w:asciiTheme="majorBidi" w:eastAsia="Times New Roman" w:hAnsiTheme="majorBidi" w:cstheme="majorBidi"/>
                <w:b/>
                <w:bCs/>
                <w:sz w:val="24"/>
                <w:szCs w:val="24"/>
              </w:rPr>
            </w:pPr>
            <w:r w:rsidRPr="000F3DC9">
              <w:rPr>
                <w:rFonts w:asciiTheme="majorBidi" w:eastAsia="Times New Roman" w:hAnsiTheme="majorBidi" w:cstheme="majorBidi"/>
                <w:b/>
                <w:bCs/>
                <w:sz w:val="24"/>
                <w:szCs w:val="24"/>
              </w:rPr>
              <w:t>Total</w:t>
            </w:r>
          </w:p>
        </w:tc>
        <w:tc>
          <w:tcPr>
            <w:tcW w:w="1984" w:type="dxa"/>
          </w:tcPr>
          <w:p w:rsidR="002D3CB2" w:rsidRPr="000F3DC9" w:rsidRDefault="002D3CB2" w:rsidP="000F3DC9">
            <w:pPr>
              <w:spacing w:line="276" w:lineRule="auto"/>
              <w:jc w:val="both"/>
              <w:rPr>
                <w:rFonts w:asciiTheme="majorBidi" w:eastAsia="Times New Roman" w:hAnsiTheme="majorBidi" w:cstheme="majorBidi"/>
                <w:b/>
                <w:bCs/>
                <w:sz w:val="24"/>
                <w:szCs w:val="24"/>
              </w:rPr>
            </w:pPr>
            <w:r w:rsidRPr="000F3DC9">
              <w:rPr>
                <w:rFonts w:asciiTheme="majorBidi" w:eastAsia="Times New Roman" w:hAnsiTheme="majorBidi" w:cstheme="majorBidi"/>
                <w:b/>
                <w:bCs/>
                <w:sz w:val="24"/>
                <w:szCs w:val="24"/>
              </w:rPr>
              <w:t>155 (100)</w:t>
            </w:r>
          </w:p>
        </w:tc>
      </w:tr>
    </w:tbl>
    <w:p w:rsidR="002D3CB2" w:rsidRPr="000F3DC9" w:rsidRDefault="002D3CB2" w:rsidP="000F3DC9">
      <w:pPr>
        <w:pStyle w:val="BodyText"/>
        <w:spacing w:before="7" w:line="276" w:lineRule="auto"/>
        <w:jc w:val="both"/>
        <w:rPr>
          <w:rFonts w:asciiTheme="majorBidi" w:hAnsiTheme="majorBidi" w:cstheme="majorBidi"/>
        </w:rPr>
      </w:pPr>
    </w:p>
    <w:p w:rsidR="002D3CB2" w:rsidRPr="000F3DC9" w:rsidRDefault="002D3CB2" w:rsidP="000F3DC9">
      <w:pPr>
        <w:autoSpaceDE w:val="0"/>
        <w:autoSpaceDN w:val="0"/>
        <w:adjustRightInd w:val="0"/>
        <w:spacing w:after="240"/>
        <w:contextualSpacing/>
        <w:jc w:val="both"/>
        <w:rPr>
          <w:rFonts w:asciiTheme="majorBidi" w:hAnsiTheme="majorBidi" w:cstheme="majorBidi"/>
          <w:b/>
          <w:bCs/>
          <w:szCs w:val="24"/>
        </w:rPr>
      </w:pPr>
    </w:p>
    <w:tbl>
      <w:tblPr>
        <w:tblW w:w="11555" w:type="dxa"/>
        <w:tblLook w:val="04A0"/>
      </w:tblPr>
      <w:tblGrid>
        <w:gridCol w:w="10176"/>
        <w:gridCol w:w="303"/>
        <w:gridCol w:w="304"/>
        <w:gridCol w:w="248"/>
        <w:gridCol w:w="262"/>
        <w:gridCol w:w="262"/>
      </w:tblGrid>
      <w:tr w:rsidR="002D3CB2" w:rsidRPr="000F3DC9" w:rsidTr="00157F53">
        <w:trPr>
          <w:trHeight w:val="300"/>
        </w:trPr>
        <w:tc>
          <w:tcPr>
            <w:tcW w:w="10176"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color w:val="010205"/>
                <w:szCs w:val="24"/>
              </w:rPr>
            </w:pPr>
          </w:p>
          <w:p w:rsidR="002D3CB2" w:rsidRPr="000F3DC9" w:rsidRDefault="002D3CB2" w:rsidP="000F3DC9">
            <w:pPr>
              <w:spacing w:after="0"/>
              <w:jc w:val="both"/>
              <w:rPr>
                <w:rFonts w:asciiTheme="majorBidi" w:eastAsia="Times New Roman" w:hAnsiTheme="majorBidi" w:cstheme="majorBidi"/>
                <w:color w:val="010205"/>
                <w:szCs w:val="24"/>
                <w:rtl/>
              </w:rPr>
            </w:pPr>
          </w:p>
          <w:p w:rsidR="002D3CB2" w:rsidRPr="000F3DC9" w:rsidRDefault="002D3CB2" w:rsidP="000F3DC9">
            <w:pPr>
              <w:spacing w:after="0"/>
              <w:jc w:val="both"/>
              <w:rPr>
                <w:rFonts w:asciiTheme="majorBidi" w:eastAsia="Times New Roman" w:hAnsiTheme="majorBidi" w:cstheme="majorBidi"/>
                <w:color w:val="010205"/>
                <w:szCs w:val="24"/>
              </w:rPr>
            </w:pPr>
          </w:p>
          <w:p w:rsidR="002D3CB2" w:rsidRPr="000F3DC9" w:rsidRDefault="002D3CB2" w:rsidP="000F3DC9">
            <w:pPr>
              <w:contextualSpacing/>
              <w:jc w:val="both"/>
              <w:rPr>
                <w:rFonts w:asciiTheme="majorBidi" w:hAnsiTheme="majorBidi" w:cstheme="majorBidi"/>
                <w:b/>
                <w:bCs/>
                <w:szCs w:val="24"/>
              </w:rPr>
            </w:pPr>
            <w:r w:rsidRPr="000F3DC9">
              <w:rPr>
                <w:rFonts w:asciiTheme="majorBidi" w:hAnsiTheme="majorBidi" w:cstheme="majorBidi"/>
                <w:b/>
                <w:bCs/>
                <w:szCs w:val="24"/>
              </w:rPr>
              <w:t xml:space="preserve"> </w:t>
            </w:r>
          </w:p>
          <w:p w:rsidR="002D3CB2" w:rsidRPr="000F3DC9" w:rsidRDefault="002D3CB2" w:rsidP="000F3DC9">
            <w:pPr>
              <w:pStyle w:val="ListParagraph"/>
              <w:ind w:left="375"/>
              <w:jc w:val="both"/>
              <w:rPr>
                <w:rFonts w:asciiTheme="majorBidi" w:hAnsiTheme="majorBidi" w:cstheme="majorBidi"/>
                <w:b/>
                <w:bCs/>
                <w:szCs w:val="24"/>
              </w:rPr>
            </w:pPr>
          </w:p>
          <w:p w:rsidR="002D3CB2" w:rsidRPr="000F3DC9" w:rsidRDefault="002D3CB2" w:rsidP="000F3DC9">
            <w:pPr>
              <w:jc w:val="both"/>
              <w:rPr>
                <w:rFonts w:asciiTheme="majorBidi" w:hAnsiTheme="majorBidi" w:cstheme="majorBidi"/>
                <w:b/>
                <w:bCs/>
                <w:szCs w:val="24"/>
              </w:rPr>
            </w:pPr>
            <w:r w:rsidRPr="000F3DC9">
              <w:rPr>
                <w:rFonts w:asciiTheme="majorBidi" w:hAnsiTheme="majorBidi" w:cstheme="majorBidi"/>
                <w:noProof/>
                <w:szCs w:val="24"/>
              </w:rPr>
              <w:drawing>
                <wp:inline distT="0" distB="0" distL="0" distR="0">
                  <wp:extent cx="6096000" cy="2743200"/>
                  <wp:effectExtent l="0" t="0" r="0" b="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D3CB2" w:rsidRPr="000F3DC9" w:rsidRDefault="002D3CB2" w:rsidP="000F3DC9">
            <w:pPr>
              <w:spacing w:after="0"/>
              <w:jc w:val="both"/>
              <w:rPr>
                <w:rFonts w:asciiTheme="majorBidi" w:eastAsia="Times New Roman" w:hAnsiTheme="majorBidi" w:cstheme="majorBidi"/>
                <w:color w:val="010205"/>
                <w:szCs w:val="24"/>
              </w:rPr>
            </w:pPr>
          </w:p>
        </w:tc>
        <w:tc>
          <w:tcPr>
            <w:tcW w:w="303"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c>
          <w:tcPr>
            <w:tcW w:w="304"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c>
          <w:tcPr>
            <w:tcW w:w="248"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c>
          <w:tcPr>
            <w:tcW w:w="262"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c>
          <w:tcPr>
            <w:tcW w:w="262" w:type="dxa"/>
            <w:tcBorders>
              <w:top w:val="nil"/>
              <w:left w:val="nil"/>
              <w:bottom w:val="nil"/>
              <w:right w:val="nil"/>
            </w:tcBorders>
            <w:shd w:val="clear" w:color="auto" w:fill="auto"/>
            <w:noWrap/>
            <w:vAlign w:val="bottom"/>
            <w:hideMark/>
          </w:tcPr>
          <w:p w:rsidR="002D3CB2" w:rsidRPr="000F3DC9" w:rsidRDefault="002D3CB2" w:rsidP="000F3DC9">
            <w:pPr>
              <w:spacing w:after="0"/>
              <w:jc w:val="both"/>
              <w:rPr>
                <w:rFonts w:asciiTheme="majorBidi" w:eastAsia="Times New Roman" w:hAnsiTheme="majorBidi" w:cstheme="majorBidi"/>
                <w:szCs w:val="24"/>
              </w:rPr>
            </w:pPr>
          </w:p>
        </w:tc>
      </w:tr>
    </w:tbl>
    <w:p w:rsidR="002D3CB2" w:rsidRPr="000F3DC9" w:rsidRDefault="002D3CB2" w:rsidP="000F3DC9">
      <w:pPr>
        <w:contextualSpacing/>
        <w:jc w:val="both"/>
        <w:rPr>
          <w:rFonts w:asciiTheme="majorBidi" w:hAnsiTheme="majorBidi" w:cstheme="majorBidi"/>
          <w:szCs w:val="24"/>
        </w:rPr>
      </w:pPr>
      <w:r w:rsidRPr="000F3DC9">
        <w:rPr>
          <w:rFonts w:asciiTheme="majorBidi" w:hAnsiTheme="majorBidi" w:cstheme="majorBidi"/>
          <w:b/>
          <w:bCs/>
          <w:szCs w:val="24"/>
        </w:rPr>
        <w:t xml:space="preserve"> </w:t>
      </w:r>
      <w:r w:rsidRPr="000F3DC9">
        <w:rPr>
          <w:rFonts w:asciiTheme="majorBidi" w:hAnsiTheme="majorBidi" w:cstheme="majorBidi"/>
          <w:szCs w:val="24"/>
        </w:rPr>
        <w:t xml:space="preserve">Figure 1: Identifying the complications among patients </w:t>
      </w:r>
      <w:r w:rsidRPr="000F3DC9">
        <w:rPr>
          <w:rFonts w:asciiTheme="majorBidi" w:hAnsiTheme="majorBidi" w:cstheme="majorBidi"/>
          <w:spacing w:val="-2"/>
          <w:szCs w:val="24"/>
        </w:rPr>
        <w:t>(n=155)</w:t>
      </w:r>
      <w:r w:rsidRPr="000F3DC9">
        <w:rPr>
          <w:rFonts w:asciiTheme="majorBidi" w:hAnsiTheme="majorBidi" w:cstheme="majorBidi"/>
          <w:szCs w:val="24"/>
          <w:lang w:bidi="ar-YE"/>
        </w:rPr>
        <w:t xml:space="preserve"> (Sana’a, Yemen 2021)</w:t>
      </w:r>
    </w:p>
    <w:p w:rsidR="002D3CB2" w:rsidRPr="000F3DC9" w:rsidRDefault="002D3CB2" w:rsidP="000F3DC9">
      <w:pPr>
        <w:contextualSpacing/>
        <w:jc w:val="both"/>
        <w:rPr>
          <w:rFonts w:asciiTheme="majorBidi" w:hAnsiTheme="majorBidi" w:cstheme="majorBidi"/>
          <w:szCs w:val="24"/>
        </w:rPr>
      </w:pPr>
    </w:p>
    <w:p w:rsidR="002D3CB2" w:rsidRPr="000F3DC9" w:rsidRDefault="002D3CB2" w:rsidP="000F3DC9">
      <w:pPr>
        <w:spacing w:before="100" w:beforeAutospacing="1" w:after="240"/>
        <w:jc w:val="both"/>
        <w:rPr>
          <w:rFonts w:asciiTheme="majorBidi" w:hAnsiTheme="majorBidi" w:cstheme="majorBidi"/>
          <w:b/>
          <w:bCs/>
          <w:szCs w:val="24"/>
        </w:rPr>
      </w:pPr>
    </w:p>
    <w:p w:rsidR="002D3CB2" w:rsidRPr="000F3DC9" w:rsidRDefault="002D3CB2" w:rsidP="000F3DC9">
      <w:pPr>
        <w:spacing w:before="100" w:beforeAutospacing="1" w:after="240"/>
        <w:jc w:val="both"/>
        <w:rPr>
          <w:rFonts w:asciiTheme="majorBidi" w:hAnsiTheme="majorBidi" w:cstheme="majorBidi"/>
          <w:b/>
          <w:bCs/>
          <w:szCs w:val="24"/>
        </w:rPr>
      </w:pPr>
    </w:p>
    <w:p w:rsidR="002D3CB2" w:rsidRPr="000F3DC9" w:rsidRDefault="002D3CB2" w:rsidP="000F3DC9">
      <w:pPr>
        <w:spacing w:before="100" w:beforeAutospacing="1" w:after="240"/>
        <w:ind w:firstLine="383"/>
        <w:jc w:val="both"/>
        <w:rPr>
          <w:rFonts w:asciiTheme="majorBidi" w:hAnsiTheme="majorBidi" w:cstheme="majorBidi"/>
          <w:b/>
          <w:bCs/>
          <w:szCs w:val="24"/>
        </w:rPr>
      </w:pPr>
      <w:r w:rsidRPr="000F3DC9">
        <w:rPr>
          <w:rFonts w:asciiTheme="majorBidi" w:hAnsiTheme="majorBidi" w:cstheme="majorBidi"/>
          <w:noProof/>
          <w:szCs w:val="24"/>
        </w:rPr>
        <w:drawing>
          <wp:inline distT="0" distB="0" distL="0" distR="0">
            <wp:extent cx="5514975" cy="2743200"/>
            <wp:effectExtent l="0" t="0" r="9525"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D3CB2" w:rsidRPr="000F3DC9" w:rsidRDefault="002D3CB2" w:rsidP="000F3DC9">
      <w:pPr>
        <w:contextualSpacing/>
        <w:jc w:val="both"/>
        <w:rPr>
          <w:rFonts w:asciiTheme="majorBidi" w:hAnsiTheme="majorBidi" w:cstheme="majorBidi"/>
          <w:szCs w:val="24"/>
          <w:lang w:bidi="ar-YE"/>
        </w:rPr>
      </w:pPr>
      <w:r w:rsidRPr="000F3DC9">
        <w:rPr>
          <w:rFonts w:asciiTheme="majorBidi" w:hAnsiTheme="majorBidi" w:cstheme="majorBidi"/>
          <w:szCs w:val="24"/>
        </w:rPr>
        <w:t xml:space="preserve">Figure 2: Identifying the outcomes among patients </w:t>
      </w:r>
      <w:r w:rsidRPr="000F3DC9">
        <w:rPr>
          <w:rFonts w:asciiTheme="majorBidi" w:hAnsiTheme="majorBidi" w:cstheme="majorBidi"/>
          <w:spacing w:val="-2"/>
          <w:szCs w:val="24"/>
        </w:rPr>
        <w:t>(n=155)</w:t>
      </w:r>
      <w:r w:rsidRPr="000F3DC9">
        <w:rPr>
          <w:rFonts w:asciiTheme="majorBidi" w:hAnsiTheme="majorBidi" w:cstheme="majorBidi"/>
          <w:szCs w:val="24"/>
          <w:lang w:bidi="ar-YE"/>
        </w:rPr>
        <w:t xml:space="preserve"> (Sana’a, Yemen 2021)</w:t>
      </w:r>
    </w:p>
    <w:p w:rsidR="002D3CB2" w:rsidRPr="000F3DC9" w:rsidRDefault="002D3CB2" w:rsidP="000F3DC9">
      <w:pPr>
        <w:contextualSpacing/>
        <w:jc w:val="both"/>
        <w:rPr>
          <w:rFonts w:asciiTheme="majorBidi" w:hAnsiTheme="majorBidi" w:cstheme="majorBidi"/>
          <w:b/>
          <w:bCs/>
          <w:szCs w:val="24"/>
        </w:rPr>
      </w:pPr>
    </w:p>
    <w:p w:rsidR="002D3CB2" w:rsidRPr="000F3DC9" w:rsidRDefault="002D3CB2" w:rsidP="000F3DC9">
      <w:pPr>
        <w:pStyle w:val="Default"/>
        <w:spacing w:line="276" w:lineRule="auto"/>
        <w:ind w:left="284"/>
        <w:jc w:val="both"/>
        <w:rPr>
          <w:rFonts w:asciiTheme="majorBidi" w:hAnsiTheme="majorBidi" w:cstheme="majorBidi"/>
          <w:b/>
          <w:bCs/>
          <w:color w:val="auto"/>
        </w:rPr>
      </w:pPr>
    </w:p>
    <w:sectPr w:rsidR="002D3CB2" w:rsidRPr="000F3DC9" w:rsidSect="000F3DC9">
      <w:type w:val="continuous"/>
      <w:pgSz w:w="15840" w:h="24480" w:code="3"/>
      <w:pgMar w:top="663" w:right="1800" w:bottom="426" w:left="1800"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56F" w:rsidRDefault="000B256F" w:rsidP="00265E37">
      <w:pPr>
        <w:spacing w:after="0" w:line="240" w:lineRule="auto"/>
      </w:pPr>
      <w:r>
        <w:separator/>
      </w:r>
    </w:p>
  </w:endnote>
  <w:endnote w:type="continuationSeparator" w:id="1">
    <w:p w:rsidR="000B256F" w:rsidRDefault="000B256F" w:rsidP="0026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FA" w:rsidRDefault="00A468FA">
    <w:pPr>
      <w:pStyle w:val="Footer"/>
      <w:jc w:val="center"/>
    </w:pPr>
  </w:p>
  <w:p w:rsidR="00A468FA" w:rsidRDefault="00A46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56F" w:rsidRDefault="000B256F" w:rsidP="00265E37">
      <w:pPr>
        <w:spacing w:after="0" w:line="240" w:lineRule="auto"/>
      </w:pPr>
      <w:r>
        <w:separator/>
      </w:r>
    </w:p>
  </w:footnote>
  <w:footnote w:type="continuationSeparator" w:id="1">
    <w:p w:rsidR="000B256F" w:rsidRDefault="000B256F" w:rsidP="00265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C9" w:rsidRDefault="000F3D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2313" o:spid="_x0000_s58370" type="#_x0000_t136" style="position:absolute;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C9" w:rsidRDefault="000F3D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2314" o:spid="_x0000_s58371" type="#_x0000_t136" style="position:absolute;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C9" w:rsidRDefault="000F3D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2312" o:spid="_x0000_s58369" type="#_x0000_t136" style="position:absolute;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044"/>
    <w:multiLevelType w:val="multilevel"/>
    <w:tmpl w:val="6046C8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86311C"/>
    <w:multiLevelType w:val="multilevel"/>
    <w:tmpl w:val="8918CE72"/>
    <w:lvl w:ilvl="0">
      <w:start w:val="1"/>
      <w:numFmt w:val="decimal"/>
      <w:lvlText w:val="3.%1:"/>
      <w:lvlJc w:val="left"/>
      <w:pPr>
        <w:ind w:left="927" w:hanging="360"/>
      </w:pPr>
    </w:lvl>
    <w:lvl w:ilvl="1">
      <w:numFmt w:val="bullet"/>
      <w:lvlText w:val="•"/>
      <w:lvlJc w:val="left"/>
      <w:pPr>
        <w:ind w:left="1647" w:hanging="360"/>
      </w:pPr>
      <w:rPr>
        <w:rFonts w:ascii="Arial" w:hAnsi="Arial"/>
      </w:rPr>
    </w:lvl>
    <w:lvl w:ilvl="2">
      <w:numFmt w:val="bullet"/>
      <w:lvlText w:val="•"/>
      <w:lvlJc w:val="left"/>
      <w:pPr>
        <w:ind w:left="2367" w:hanging="360"/>
      </w:pPr>
      <w:rPr>
        <w:rFonts w:ascii="Arial" w:hAnsi="Arial"/>
      </w:rPr>
    </w:lvl>
    <w:lvl w:ilvl="3">
      <w:numFmt w:val="bullet"/>
      <w:lvlText w:val="•"/>
      <w:lvlJc w:val="left"/>
      <w:pPr>
        <w:ind w:left="3087" w:hanging="360"/>
      </w:pPr>
      <w:rPr>
        <w:rFonts w:ascii="Arial" w:hAnsi="Arial"/>
      </w:rPr>
    </w:lvl>
    <w:lvl w:ilvl="4">
      <w:numFmt w:val="bullet"/>
      <w:lvlText w:val="•"/>
      <w:lvlJc w:val="left"/>
      <w:pPr>
        <w:ind w:left="3807" w:hanging="360"/>
      </w:pPr>
      <w:rPr>
        <w:rFonts w:ascii="Arial" w:hAnsi="Arial"/>
      </w:rPr>
    </w:lvl>
    <w:lvl w:ilvl="5">
      <w:numFmt w:val="bullet"/>
      <w:lvlText w:val="•"/>
      <w:lvlJc w:val="left"/>
      <w:pPr>
        <w:ind w:left="4527" w:hanging="360"/>
      </w:pPr>
      <w:rPr>
        <w:rFonts w:ascii="Arial" w:hAnsi="Arial"/>
      </w:rPr>
    </w:lvl>
    <w:lvl w:ilvl="6">
      <w:numFmt w:val="bullet"/>
      <w:lvlText w:val="•"/>
      <w:lvlJc w:val="left"/>
      <w:pPr>
        <w:ind w:left="5247" w:hanging="360"/>
      </w:pPr>
      <w:rPr>
        <w:rFonts w:ascii="Arial" w:hAnsi="Arial"/>
      </w:rPr>
    </w:lvl>
    <w:lvl w:ilvl="7">
      <w:numFmt w:val="bullet"/>
      <w:lvlText w:val="•"/>
      <w:lvlJc w:val="left"/>
      <w:pPr>
        <w:ind w:left="5967" w:hanging="360"/>
      </w:pPr>
      <w:rPr>
        <w:rFonts w:ascii="Arial" w:hAnsi="Arial"/>
      </w:rPr>
    </w:lvl>
    <w:lvl w:ilvl="8">
      <w:numFmt w:val="bullet"/>
      <w:lvlText w:val="•"/>
      <w:lvlJc w:val="left"/>
      <w:pPr>
        <w:ind w:left="6687" w:hanging="360"/>
      </w:pPr>
      <w:rPr>
        <w:rFonts w:ascii="Arial" w:hAnsi="Arial"/>
      </w:rPr>
    </w:lvl>
  </w:abstractNum>
  <w:abstractNum w:abstractNumId="2">
    <w:nsid w:val="022314CB"/>
    <w:multiLevelType w:val="hybridMultilevel"/>
    <w:tmpl w:val="07BAB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CC3635"/>
    <w:multiLevelType w:val="multilevel"/>
    <w:tmpl w:val="136C71D6"/>
    <w:lvl w:ilvl="0">
      <w:start w:val="1"/>
      <w:numFmt w:val="decimal"/>
      <w:lvlText w:val="%1."/>
      <w:lvlJc w:val="left"/>
      <w:pPr>
        <w:ind w:left="360" w:hanging="360"/>
      </w:pPr>
      <w:rPr>
        <w:rFonts w:cs="Times New Roman"/>
        <w:b w:val="0"/>
        <w:bCs w:val="0"/>
      </w:rPr>
    </w:lvl>
    <w:lvl w:ilvl="1">
      <w:start w:val="6"/>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5053435"/>
    <w:multiLevelType w:val="multilevel"/>
    <w:tmpl w:val="2E48E57A"/>
    <w:lvl w:ilvl="0">
      <w:start w:val="1"/>
      <w:numFmt w:val="decimal"/>
      <w:lvlText w:val="%1."/>
      <w:lvlJc w:val="left"/>
      <w:pPr>
        <w:ind w:left="1146" w:hanging="360"/>
      </w:pPr>
      <w:rPr>
        <w:lang w:val="en-U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08334919"/>
    <w:multiLevelType w:val="multilevel"/>
    <w:tmpl w:val="15828300"/>
    <w:lvl w:ilvl="0">
      <w:start w:val="1"/>
      <w:numFmt w:val="decimal"/>
      <w:lvlText w:val="2.%1:"/>
      <w:lvlJc w:val="left"/>
      <w:pPr>
        <w:ind w:left="927" w:hanging="360"/>
      </w:pPr>
    </w:lvl>
    <w:lvl w:ilvl="1">
      <w:numFmt w:val="bullet"/>
      <w:lvlText w:val="•"/>
      <w:lvlJc w:val="left"/>
      <w:pPr>
        <w:ind w:left="1647" w:hanging="360"/>
      </w:pPr>
      <w:rPr>
        <w:rFonts w:ascii="Arial" w:hAnsi="Arial"/>
      </w:rPr>
    </w:lvl>
    <w:lvl w:ilvl="2">
      <w:numFmt w:val="bullet"/>
      <w:lvlText w:val="•"/>
      <w:lvlJc w:val="left"/>
      <w:pPr>
        <w:ind w:left="2367" w:hanging="360"/>
      </w:pPr>
      <w:rPr>
        <w:rFonts w:ascii="Arial" w:hAnsi="Arial"/>
      </w:rPr>
    </w:lvl>
    <w:lvl w:ilvl="3">
      <w:numFmt w:val="bullet"/>
      <w:lvlText w:val="•"/>
      <w:lvlJc w:val="left"/>
      <w:pPr>
        <w:ind w:left="3087" w:hanging="360"/>
      </w:pPr>
      <w:rPr>
        <w:rFonts w:ascii="Arial" w:hAnsi="Arial"/>
      </w:rPr>
    </w:lvl>
    <w:lvl w:ilvl="4">
      <w:numFmt w:val="bullet"/>
      <w:lvlText w:val="•"/>
      <w:lvlJc w:val="left"/>
      <w:pPr>
        <w:ind w:left="3807" w:hanging="360"/>
      </w:pPr>
      <w:rPr>
        <w:rFonts w:ascii="Arial" w:hAnsi="Arial"/>
      </w:rPr>
    </w:lvl>
    <w:lvl w:ilvl="5">
      <w:numFmt w:val="bullet"/>
      <w:lvlText w:val="•"/>
      <w:lvlJc w:val="left"/>
      <w:pPr>
        <w:ind w:left="4527" w:hanging="360"/>
      </w:pPr>
      <w:rPr>
        <w:rFonts w:ascii="Arial" w:hAnsi="Arial"/>
      </w:rPr>
    </w:lvl>
    <w:lvl w:ilvl="6">
      <w:numFmt w:val="bullet"/>
      <w:lvlText w:val="•"/>
      <w:lvlJc w:val="left"/>
      <w:pPr>
        <w:ind w:left="5247" w:hanging="360"/>
      </w:pPr>
      <w:rPr>
        <w:rFonts w:ascii="Arial" w:hAnsi="Arial"/>
      </w:rPr>
    </w:lvl>
    <w:lvl w:ilvl="7">
      <w:numFmt w:val="bullet"/>
      <w:lvlText w:val="•"/>
      <w:lvlJc w:val="left"/>
      <w:pPr>
        <w:ind w:left="5967" w:hanging="360"/>
      </w:pPr>
      <w:rPr>
        <w:rFonts w:ascii="Arial" w:hAnsi="Arial"/>
      </w:rPr>
    </w:lvl>
    <w:lvl w:ilvl="8">
      <w:numFmt w:val="bullet"/>
      <w:lvlText w:val="•"/>
      <w:lvlJc w:val="left"/>
      <w:pPr>
        <w:ind w:left="6687" w:hanging="360"/>
      </w:pPr>
      <w:rPr>
        <w:rFonts w:ascii="Arial" w:hAnsi="Arial"/>
      </w:rPr>
    </w:lvl>
  </w:abstractNum>
  <w:abstractNum w:abstractNumId="6">
    <w:nsid w:val="087358D8"/>
    <w:multiLevelType w:val="hybridMultilevel"/>
    <w:tmpl w:val="C7824430"/>
    <w:lvl w:ilvl="0" w:tplc="4D66DAD4">
      <w:start w:val="3"/>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E57A1"/>
    <w:multiLevelType w:val="hybridMultilevel"/>
    <w:tmpl w:val="FB18921C"/>
    <w:lvl w:ilvl="0" w:tplc="0409000B">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0BA14D93"/>
    <w:multiLevelType w:val="multilevel"/>
    <w:tmpl w:val="9B4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F41F18"/>
    <w:multiLevelType w:val="multilevel"/>
    <w:tmpl w:val="2AC6579C"/>
    <w:lvl w:ilvl="0">
      <w:numFmt w:val="bullet"/>
      <w:lvlText w:val=""/>
      <w:lvlJc w:val="left"/>
      <w:pPr>
        <w:ind w:left="1647" w:hanging="360"/>
      </w:pPr>
      <w:rPr>
        <w:rFonts w:ascii="Wingdings" w:hAnsi="Wingdings"/>
      </w:rPr>
    </w:lvl>
    <w:lvl w:ilvl="1">
      <w:numFmt w:val="bullet"/>
      <w:lvlText w:val="o"/>
      <w:lvlJc w:val="left"/>
      <w:pPr>
        <w:ind w:left="2367" w:hanging="360"/>
      </w:pPr>
      <w:rPr>
        <w:rFonts w:ascii="Courier New" w:hAnsi="Courier New" w:cs="Courier New"/>
      </w:r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10">
    <w:nsid w:val="14315824"/>
    <w:multiLevelType w:val="hybridMultilevel"/>
    <w:tmpl w:val="33FE1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456CE"/>
    <w:multiLevelType w:val="multilevel"/>
    <w:tmpl w:val="D068B72E"/>
    <w:lvl w:ilvl="0">
      <w:start w:val="1"/>
      <w:numFmt w:val="decimal"/>
      <w:lvlText w:val="1.%1:"/>
      <w:lvlJc w:val="left"/>
      <w:pPr>
        <w:ind w:left="927" w:hanging="360"/>
      </w:pPr>
    </w:lvl>
    <w:lvl w:ilvl="1">
      <w:numFmt w:val="bullet"/>
      <w:lvlText w:val="•"/>
      <w:lvlJc w:val="left"/>
      <w:pPr>
        <w:ind w:left="1647" w:hanging="360"/>
      </w:pPr>
      <w:rPr>
        <w:rFonts w:ascii="Arial" w:hAnsi="Arial"/>
      </w:rPr>
    </w:lvl>
    <w:lvl w:ilvl="2">
      <w:numFmt w:val="bullet"/>
      <w:lvlText w:val="•"/>
      <w:lvlJc w:val="left"/>
      <w:pPr>
        <w:ind w:left="2367" w:hanging="360"/>
      </w:pPr>
      <w:rPr>
        <w:rFonts w:ascii="Arial" w:hAnsi="Arial"/>
      </w:rPr>
    </w:lvl>
    <w:lvl w:ilvl="3">
      <w:numFmt w:val="bullet"/>
      <w:lvlText w:val="•"/>
      <w:lvlJc w:val="left"/>
      <w:pPr>
        <w:ind w:left="3087" w:hanging="360"/>
      </w:pPr>
      <w:rPr>
        <w:rFonts w:ascii="Arial" w:hAnsi="Arial"/>
      </w:rPr>
    </w:lvl>
    <w:lvl w:ilvl="4">
      <w:numFmt w:val="bullet"/>
      <w:lvlText w:val="•"/>
      <w:lvlJc w:val="left"/>
      <w:pPr>
        <w:ind w:left="3807" w:hanging="360"/>
      </w:pPr>
      <w:rPr>
        <w:rFonts w:ascii="Arial" w:hAnsi="Arial"/>
      </w:rPr>
    </w:lvl>
    <w:lvl w:ilvl="5">
      <w:numFmt w:val="bullet"/>
      <w:lvlText w:val="•"/>
      <w:lvlJc w:val="left"/>
      <w:pPr>
        <w:ind w:left="4527" w:hanging="360"/>
      </w:pPr>
      <w:rPr>
        <w:rFonts w:ascii="Arial" w:hAnsi="Arial"/>
      </w:rPr>
    </w:lvl>
    <w:lvl w:ilvl="6">
      <w:numFmt w:val="bullet"/>
      <w:lvlText w:val="•"/>
      <w:lvlJc w:val="left"/>
      <w:pPr>
        <w:ind w:left="5247" w:hanging="360"/>
      </w:pPr>
      <w:rPr>
        <w:rFonts w:ascii="Arial" w:hAnsi="Arial"/>
      </w:rPr>
    </w:lvl>
    <w:lvl w:ilvl="7">
      <w:numFmt w:val="bullet"/>
      <w:lvlText w:val="•"/>
      <w:lvlJc w:val="left"/>
      <w:pPr>
        <w:ind w:left="5967" w:hanging="360"/>
      </w:pPr>
      <w:rPr>
        <w:rFonts w:ascii="Arial" w:hAnsi="Arial"/>
      </w:rPr>
    </w:lvl>
    <w:lvl w:ilvl="8">
      <w:numFmt w:val="bullet"/>
      <w:lvlText w:val="•"/>
      <w:lvlJc w:val="left"/>
      <w:pPr>
        <w:ind w:left="6687" w:hanging="360"/>
      </w:pPr>
      <w:rPr>
        <w:rFonts w:ascii="Arial" w:hAnsi="Arial"/>
      </w:rPr>
    </w:lvl>
  </w:abstractNum>
  <w:abstractNum w:abstractNumId="12">
    <w:nsid w:val="17247EC0"/>
    <w:multiLevelType w:val="multilevel"/>
    <w:tmpl w:val="9BF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F07E58"/>
    <w:multiLevelType w:val="hybridMultilevel"/>
    <w:tmpl w:val="A2E24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C8513C"/>
    <w:multiLevelType w:val="hybridMultilevel"/>
    <w:tmpl w:val="7B8C2E3A"/>
    <w:lvl w:ilvl="0" w:tplc="8910A3A0">
      <w:start w:val="1"/>
      <w:numFmt w:val="decimal"/>
      <w:lvlText w:val="%1."/>
      <w:lvlJc w:val="left"/>
      <w:pPr>
        <w:ind w:left="377" w:hanging="360"/>
      </w:pPr>
      <w:rPr>
        <w:rFonts w:cs="Times New Roman"/>
        <w:b w:val="0"/>
        <w:bCs w:val="0"/>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15">
    <w:nsid w:val="1B09610D"/>
    <w:multiLevelType w:val="hybridMultilevel"/>
    <w:tmpl w:val="9628E28C"/>
    <w:lvl w:ilvl="0" w:tplc="D82A767A">
      <w:start w:val="1"/>
      <w:numFmt w:val="bullet"/>
      <w:lvlText w:val=""/>
      <w:lvlJc w:val="left"/>
      <w:pPr>
        <w:ind w:left="76" w:hanging="360"/>
      </w:pPr>
      <w:rPr>
        <w:rFonts w:ascii="Wingdings" w:eastAsia="Calibri" w:hAnsi="Wingdings" w:cstheme="majorBidi"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6">
    <w:nsid w:val="1CA92713"/>
    <w:multiLevelType w:val="hybridMultilevel"/>
    <w:tmpl w:val="CFE8B2B2"/>
    <w:lvl w:ilvl="0" w:tplc="4BAA39D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7187D6E"/>
    <w:multiLevelType w:val="hybridMultilevel"/>
    <w:tmpl w:val="D17C1B88"/>
    <w:lvl w:ilvl="0" w:tplc="98489EA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nsid w:val="275F2E3A"/>
    <w:multiLevelType w:val="hybridMultilevel"/>
    <w:tmpl w:val="68F61B74"/>
    <w:lvl w:ilvl="0" w:tplc="8910A3A0">
      <w:start w:val="1"/>
      <w:numFmt w:val="decimal"/>
      <w:lvlText w:val="%1."/>
      <w:lvlJc w:val="left"/>
      <w:pPr>
        <w:ind w:left="377" w:hanging="360"/>
      </w:pPr>
      <w:rPr>
        <w:rFonts w:cs="Times New Roman"/>
        <w:b w:val="0"/>
        <w:bCs w:val="0"/>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19">
    <w:nsid w:val="2CB54B23"/>
    <w:multiLevelType w:val="multilevel"/>
    <w:tmpl w:val="7AE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BD1228"/>
    <w:multiLevelType w:val="multilevel"/>
    <w:tmpl w:val="B7468EE2"/>
    <w:lvl w:ilvl="0">
      <w:start w:val="1"/>
      <w:numFmt w:val="decimal"/>
      <w:lvlText w:val="%1."/>
      <w:lvlJc w:val="left"/>
      <w:pPr>
        <w:ind w:left="377" w:hanging="360"/>
      </w:pPr>
      <w:rPr>
        <w:rFonts w:cs="Times New Roman"/>
        <w:b w:val="0"/>
        <w:bCs w:val="0"/>
      </w:rPr>
    </w:lvl>
    <w:lvl w:ilvl="1">
      <w:start w:val="1"/>
      <w:numFmt w:val="decimal"/>
      <w:isLgl/>
      <w:lvlText w:val="%1.%2"/>
      <w:lvlJc w:val="left"/>
      <w:pPr>
        <w:ind w:left="813" w:hanging="360"/>
      </w:pPr>
      <w:rPr>
        <w:rFonts w:hint="default"/>
      </w:rPr>
    </w:lvl>
    <w:lvl w:ilvl="2">
      <w:start w:val="1"/>
      <w:numFmt w:val="decimal"/>
      <w:isLgl/>
      <w:lvlText w:val="%1.%2.%3"/>
      <w:lvlJc w:val="left"/>
      <w:pPr>
        <w:ind w:left="1609" w:hanging="720"/>
      </w:pPr>
      <w:rPr>
        <w:rFonts w:hint="default"/>
      </w:rPr>
    </w:lvl>
    <w:lvl w:ilvl="3">
      <w:start w:val="1"/>
      <w:numFmt w:val="decimal"/>
      <w:isLgl/>
      <w:lvlText w:val="%1.%2.%3.%4"/>
      <w:lvlJc w:val="left"/>
      <w:pPr>
        <w:ind w:left="2045" w:hanging="72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277" w:hanging="1080"/>
      </w:pPr>
      <w:rPr>
        <w:rFonts w:hint="default"/>
      </w:rPr>
    </w:lvl>
    <w:lvl w:ilvl="6">
      <w:start w:val="1"/>
      <w:numFmt w:val="decimal"/>
      <w:isLgl/>
      <w:lvlText w:val="%1.%2.%3.%4.%5.%6.%7"/>
      <w:lvlJc w:val="left"/>
      <w:pPr>
        <w:ind w:left="4073"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305" w:hanging="1800"/>
      </w:pPr>
      <w:rPr>
        <w:rFonts w:hint="default"/>
      </w:rPr>
    </w:lvl>
  </w:abstractNum>
  <w:abstractNum w:abstractNumId="21">
    <w:nsid w:val="2F785C4F"/>
    <w:multiLevelType w:val="hybridMultilevel"/>
    <w:tmpl w:val="215E55AE"/>
    <w:lvl w:ilvl="0" w:tplc="0409000F">
      <w:start w:val="1"/>
      <w:numFmt w:val="decimal"/>
      <w:lvlText w:val="%1."/>
      <w:lvlJc w:val="left"/>
      <w:pPr>
        <w:ind w:left="377" w:hanging="360"/>
      </w:pPr>
      <w:rPr>
        <w:rFonts w:cs="Times New Roman"/>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22">
    <w:nsid w:val="34ED1874"/>
    <w:multiLevelType w:val="hybridMultilevel"/>
    <w:tmpl w:val="A6BAA130"/>
    <w:lvl w:ilvl="0" w:tplc="8910A3A0">
      <w:start w:val="1"/>
      <w:numFmt w:val="decimal"/>
      <w:lvlText w:val="%1."/>
      <w:lvlJc w:val="left"/>
      <w:pPr>
        <w:ind w:left="377" w:hanging="360"/>
      </w:pPr>
      <w:rPr>
        <w:rFonts w:cs="Times New Roman"/>
        <w:b w:val="0"/>
        <w:bCs w:val="0"/>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23">
    <w:nsid w:val="3936171A"/>
    <w:multiLevelType w:val="multilevel"/>
    <w:tmpl w:val="C60A2B00"/>
    <w:lvl w:ilvl="0">
      <w:start w:val="1"/>
      <w:numFmt w:val="decimal"/>
      <w:lvlText w:val="4.%1:"/>
      <w:lvlJc w:val="left"/>
      <w:pPr>
        <w:ind w:left="927" w:hanging="360"/>
      </w:pPr>
    </w:lvl>
    <w:lvl w:ilvl="1">
      <w:numFmt w:val="bullet"/>
      <w:lvlText w:val="•"/>
      <w:lvlJc w:val="left"/>
      <w:pPr>
        <w:ind w:left="1647" w:hanging="360"/>
      </w:pPr>
      <w:rPr>
        <w:rFonts w:ascii="Arial" w:hAnsi="Arial"/>
      </w:rPr>
    </w:lvl>
    <w:lvl w:ilvl="2">
      <w:numFmt w:val="bullet"/>
      <w:lvlText w:val="•"/>
      <w:lvlJc w:val="left"/>
      <w:pPr>
        <w:ind w:left="2367" w:hanging="360"/>
      </w:pPr>
      <w:rPr>
        <w:rFonts w:ascii="Arial" w:hAnsi="Arial"/>
      </w:rPr>
    </w:lvl>
    <w:lvl w:ilvl="3">
      <w:numFmt w:val="bullet"/>
      <w:lvlText w:val="•"/>
      <w:lvlJc w:val="left"/>
      <w:pPr>
        <w:ind w:left="3087" w:hanging="360"/>
      </w:pPr>
      <w:rPr>
        <w:rFonts w:ascii="Arial" w:hAnsi="Arial"/>
      </w:rPr>
    </w:lvl>
    <w:lvl w:ilvl="4">
      <w:numFmt w:val="bullet"/>
      <w:lvlText w:val="•"/>
      <w:lvlJc w:val="left"/>
      <w:pPr>
        <w:ind w:left="3807" w:hanging="360"/>
      </w:pPr>
      <w:rPr>
        <w:rFonts w:ascii="Arial" w:hAnsi="Arial"/>
      </w:rPr>
    </w:lvl>
    <w:lvl w:ilvl="5">
      <w:numFmt w:val="bullet"/>
      <w:lvlText w:val="•"/>
      <w:lvlJc w:val="left"/>
      <w:pPr>
        <w:ind w:left="4527" w:hanging="360"/>
      </w:pPr>
      <w:rPr>
        <w:rFonts w:ascii="Arial" w:hAnsi="Arial"/>
      </w:rPr>
    </w:lvl>
    <w:lvl w:ilvl="6">
      <w:numFmt w:val="bullet"/>
      <w:lvlText w:val="•"/>
      <w:lvlJc w:val="left"/>
      <w:pPr>
        <w:ind w:left="5247" w:hanging="360"/>
      </w:pPr>
      <w:rPr>
        <w:rFonts w:ascii="Arial" w:hAnsi="Arial"/>
      </w:rPr>
    </w:lvl>
    <w:lvl w:ilvl="7">
      <w:numFmt w:val="bullet"/>
      <w:lvlText w:val="•"/>
      <w:lvlJc w:val="left"/>
      <w:pPr>
        <w:ind w:left="5967" w:hanging="360"/>
      </w:pPr>
      <w:rPr>
        <w:rFonts w:ascii="Arial" w:hAnsi="Arial"/>
      </w:rPr>
    </w:lvl>
    <w:lvl w:ilvl="8">
      <w:numFmt w:val="bullet"/>
      <w:lvlText w:val="•"/>
      <w:lvlJc w:val="left"/>
      <w:pPr>
        <w:ind w:left="6687" w:hanging="360"/>
      </w:pPr>
      <w:rPr>
        <w:rFonts w:ascii="Arial" w:hAnsi="Arial"/>
      </w:rPr>
    </w:lvl>
  </w:abstractNum>
  <w:abstractNum w:abstractNumId="24">
    <w:nsid w:val="46AA242B"/>
    <w:multiLevelType w:val="hybridMultilevel"/>
    <w:tmpl w:val="EF7285FE"/>
    <w:lvl w:ilvl="0" w:tplc="093E062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5">
    <w:nsid w:val="4C191EA2"/>
    <w:multiLevelType w:val="multilevel"/>
    <w:tmpl w:val="CEDC69A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1E3E63"/>
    <w:multiLevelType w:val="hybridMultilevel"/>
    <w:tmpl w:val="BE8A27A2"/>
    <w:lvl w:ilvl="0" w:tplc="A2703EB2">
      <w:start w:val="5"/>
      <w:numFmt w:val="decimal"/>
      <w:lvlText w:val="%1."/>
      <w:lvlJc w:val="left"/>
      <w:pPr>
        <w:ind w:left="502" w:hanging="360"/>
      </w:pPr>
      <w:rPr>
        <w:rFonts w:ascii="Times New Roman" w:hAnsi="Times New Roman" w:cs="Times New Roman"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970720F"/>
    <w:multiLevelType w:val="hybridMultilevel"/>
    <w:tmpl w:val="42FC4CDC"/>
    <w:lvl w:ilvl="0" w:tplc="1EDA1C5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nsid w:val="5E5D5513"/>
    <w:multiLevelType w:val="hybridMultilevel"/>
    <w:tmpl w:val="6CE879EA"/>
    <w:lvl w:ilvl="0" w:tplc="96DAD794">
      <w:start w:val="1"/>
      <w:numFmt w:val="upperLetter"/>
      <w:lvlText w:val="%1."/>
      <w:lvlJc w:val="left"/>
      <w:pPr>
        <w:ind w:left="785" w:hanging="360"/>
      </w:pPr>
      <w:rPr>
        <w:rFonts w:ascii="Times New Roman" w:eastAsia="Calibri" w:hAnsi="Times New Roman" w:cs="Times New Roman"/>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607234AA"/>
    <w:multiLevelType w:val="multilevel"/>
    <w:tmpl w:val="357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747BA3"/>
    <w:multiLevelType w:val="multilevel"/>
    <w:tmpl w:val="43882B52"/>
    <w:lvl w:ilvl="0">
      <w:start w:val="1"/>
      <w:numFmt w:val="decimal"/>
      <w:lvlText w:val="%1."/>
      <w:lvlJc w:val="left"/>
      <w:pPr>
        <w:ind w:left="360" w:hanging="360"/>
      </w:pPr>
      <w:rPr>
        <w:rFonts w:cs="Times New Roman"/>
      </w:rPr>
    </w:lvl>
    <w:lvl w:ilvl="1">
      <w:start w:val="12"/>
      <w:numFmt w:val="decimal"/>
      <w:isLgl/>
      <w:lvlText w:val="%1.%2."/>
      <w:lvlJc w:val="left"/>
      <w:pPr>
        <w:ind w:left="1250" w:hanging="1125"/>
      </w:pPr>
      <w:rPr>
        <w:rFonts w:hint="default"/>
      </w:rPr>
    </w:lvl>
    <w:lvl w:ilvl="2">
      <w:start w:val="2"/>
      <w:numFmt w:val="decimal"/>
      <w:isLgl/>
      <w:lvlText w:val="%1.%2.%3."/>
      <w:lvlJc w:val="left"/>
      <w:pPr>
        <w:ind w:left="1375" w:hanging="1125"/>
      </w:pPr>
      <w:rPr>
        <w:rFonts w:hint="default"/>
      </w:rPr>
    </w:lvl>
    <w:lvl w:ilvl="3">
      <w:start w:val="1"/>
      <w:numFmt w:val="decimal"/>
      <w:isLgl/>
      <w:lvlText w:val="%1.%2.%3.%4."/>
      <w:lvlJc w:val="left"/>
      <w:pPr>
        <w:ind w:left="1500" w:hanging="1125"/>
      </w:pPr>
      <w:rPr>
        <w:rFonts w:hint="default"/>
      </w:rPr>
    </w:lvl>
    <w:lvl w:ilvl="4">
      <w:start w:val="1"/>
      <w:numFmt w:val="decimal"/>
      <w:isLgl/>
      <w:lvlText w:val="%1.%2.%3.%4.%5."/>
      <w:lvlJc w:val="left"/>
      <w:pPr>
        <w:ind w:left="1625" w:hanging="1125"/>
      </w:pPr>
      <w:rPr>
        <w:rFonts w:hint="default"/>
      </w:rPr>
    </w:lvl>
    <w:lvl w:ilvl="5">
      <w:start w:val="1"/>
      <w:numFmt w:val="decimal"/>
      <w:isLgl/>
      <w:lvlText w:val="%1.%2.%3.%4.%5.%6."/>
      <w:lvlJc w:val="left"/>
      <w:pPr>
        <w:ind w:left="206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75" w:hanging="1800"/>
      </w:pPr>
      <w:rPr>
        <w:rFonts w:hint="default"/>
      </w:rPr>
    </w:lvl>
    <w:lvl w:ilvl="8">
      <w:start w:val="1"/>
      <w:numFmt w:val="decimal"/>
      <w:isLgl/>
      <w:lvlText w:val="%1.%2.%3.%4.%5.%6.%7.%8.%9."/>
      <w:lvlJc w:val="left"/>
      <w:pPr>
        <w:ind w:left="3160" w:hanging="2160"/>
      </w:pPr>
      <w:rPr>
        <w:rFonts w:hint="default"/>
      </w:rPr>
    </w:lvl>
  </w:abstractNum>
  <w:abstractNum w:abstractNumId="31">
    <w:nsid w:val="68DF113D"/>
    <w:multiLevelType w:val="hybridMultilevel"/>
    <w:tmpl w:val="010210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2">
    <w:nsid w:val="6C4E3704"/>
    <w:multiLevelType w:val="hybridMultilevel"/>
    <w:tmpl w:val="840E7EFE"/>
    <w:lvl w:ilvl="0" w:tplc="F5EC0C7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nsid w:val="6C885D22"/>
    <w:multiLevelType w:val="hybridMultilevel"/>
    <w:tmpl w:val="8564F05C"/>
    <w:lvl w:ilvl="0" w:tplc="5D086E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C05F98"/>
    <w:multiLevelType w:val="multilevel"/>
    <w:tmpl w:val="9F68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4363C7"/>
    <w:multiLevelType w:val="hybridMultilevel"/>
    <w:tmpl w:val="595A2B1E"/>
    <w:lvl w:ilvl="0" w:tplc="7AF8E302">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0142A"/>
    <w:multiLevelType w:val="multilevel"/>
    <w:tmpl w:val="E68C1F2A"/>
    <w:lvl w:ilvl="0">
      <w:start w:val="1"/>
      <w:numFmt w:val="decimal"/>
      <w:lvlText w:val="%1."/>
      <w:lvlJc w:val="left"/>
      <w:pPr>
        <w:ind w:left="377" w:hanging="360"/>
      </w:pPr>
      <w:rPr>
        <w:rFonts w:cs="Times New Roman"/>
        <w:b w:val="0"/>
        <w:bCs w:val="0"/>
      </w:rPr>
    </w:lvl>
    <w:lvl w:ilvl="1">
      <w:start w:val="3"/>
      <w:numFmt w:val="decimal"/>
      <w:isLgl/>
      <w:lvlText w:val="%1.%2"/>
      <w:lvlJc w:val="left"/>
      <w:pPr>
        <w:ind w:left="437" w:hanging="420"/>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1097" w:hanging="1080"/>
      </w:pPr>
      <w:rPr>
        <w:rFonts w:hint="default"/>
      </w:rPr>
    </w:lvl>
    <w:lvl w:ilvl="4">
      <w:start w:val="1"/>
      <w:numFmt w:val="decimal"/>
      <w:isLgl/>
      <w:lvlText w:val="%1.%2.%3.%4.%5"/>
      <w:lvlJc w:val="left"/>
      <w:pPr>
        <w:ind w:left="1097" w:hanging="1080"/>
      </w:pPr>
      <w:rPr>
        <w:rFonts w:hint="default"/>
      </w:rPr>
    </w:lvl>
    <w:lvl w:ilvl="5">
      <w:start w:val="1"/>
      <w:numFmt w:val="decimal"/>
      <w:isLgl/>
      <w:lvlText w:val="%1.%2.%3.%4.%5.%6"/>
      <w:lvlJc w:val="left"/>
      <w:pPr>
        <w:ind w:left="1457" w:hanging="144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817" w:hanging="1800"/>
      </w:pPr>
      <w:rPr>
        <w:rFonts w:hint="default"/>
      </w:rPr>
    </w:lvl>
    <w:lvl w:ilvl="8">
      <w:start w:val="1"/>
      <w:numFmt w:val="decimal"/>
      <w:isLgl/>
      <w:lvlText w:val="%1.%2.%3.%4.%5.%6.%7.%8.%9"/>
      <w:lvlJc w:val="left"/>
      <w:pPr>
        <w:ind w:left="2177" w:hanging="2160"/>
      </w:pPr>
      <w:rPr>
        <w:rFonts w:hint="default"/>
      </w:rPr>
    </w:lvl>
  </w:abstractNum>
  <w:abstractNum w:abstractNumId="37">
    <w:nsid w:val="708443D8"/>
    <w:multiLevelType w:val="multilevel"/>
    <w:tmpl w:val="016E4E60"/>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098513B"/>
    <w:multiLevelType w:val="hybridMultilevel"/>
    <w:tmpl w:val="8FFE93F0"/>
    <w:lvl w:ilvl="0" w:tplc="8910A3A0">
      <w:start w:val="1"/>
      <w:numFmt w:val="decimal"/>
      <w:lvlText w:val="%1."/>
      <w:lvlJc w:val="left"/>
      <w:pPr>
        <w:ind w:left="502" w:hanging="360"/>
      </w:pPr>
      <w:rPr>
        <w:rFonts w:cs="Times New Roman"/>
        <w:b w:val="0"/>
        <w:bCs w:val="0"/>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9">
    <w:nsid w:val="713C568D"/>
    <w:multiLevelType w:val="hybridMultilevel"/>
    <w:tmpl w:val="BDA85A3A"/>
    <w:lvl w:ilvl="0" w:tplc="8910A3A0">
      <w:start w:val="1"/>
      <w:numFmt w:val="decimal"/>
      <w:lvlText w:val="%1."/>
      <w:lvlJc w:val="left"/>
      <w:pPr>
        <w:ind w:left="377" w:hanging="360"/>
      </w:pPr>
      <w:rPr>
        <w:rFonts w:cs="Times New Roman"/>
        <w:b w:val="0"/>
        <w:bCs w:val="0"/>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40">
    <w:nsid w:val="71604180"/>
    <w:multiLevelType w:val="multilevel"/>
    <w:tmpl w:val="3DC4070A"/>
    <w:lvl w:ilvl="0">
      <w:start w:val="1"/>
      <w:numFmt w:val="decimal"/>
      <w:lvlText w:val="%1."/>
      <w:lvlJc w:val="left"/>
      <w:pPr>
        <w:ind w:left="450" w:hanging="450"/>
      </w:pPr>
    </w:lvl>
    <w:lvl w:ilvl="1">
      <w:start w:val="1"/>
      <w:numFmt w:val="decimal"/>
      <w:lvlText w:val="%1.%2."/>
      <w:lvlJc w:val="left"/>
      <w:pPr>
        <w:ind w:left="436"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56" w:hanging="1080"/>
      </w:pPr>
    </w:lvl>
    <w:lvl w:ilvl="5">
      <w:start w:val="1"/>
      <w:numFmt w:val="decimal"/>
      <w:lvlText w:val="%1.%2.%3.%4.%5.%6."/>
      <w:lvlJc w:val="left"/>
      <w:pPr>
        <w:ind w:left="20" w:hanging="1440"/>
      </w:pPr>
    </w:lvl>
    <w:lvl w:ilvl="6">
      <w:start w:val="1"/>
      <w:numFmt w:val="decimal"/>
      <w:lvlText w:val="%1.%2.%3.%4.%5.%6.%7."/>
      <w:lvlJc w:val="left"/>
      <w:pPr>
        <w:ind w:left="96" w:hanging="1800"/>
      </w:pPr>
    </w:lvl>
    <w:lvl w:ilvl="7">
      <w:start w:val="1"/>
      <w:numFmt w:val="decimal"/>
      <w:lvlText w:val="%1.%2.%3.%4.%5.%6.%7.%8."/>
      <w:lvlJc w:val="left"/>
      <w:pPr>
        <w:ind w:left="-188" w:hanging="1800"/>
      </w:pPr>
    </w:lvl>
    <w:lvl w:ilvl="8">
      <w:start w:val="1"/>
      <w:numFmt w:val="decimal"/>
      <w:lvlText w:val="%1.%2.%3.%4.%5.%6.%7.%8.%9."/>
      <w:lvlJc w:val="left"/>
      <w:pPr>
        <w:ind w:left="-112" w:hanging="2160"/>
      </w:pPr>
    </w:lvl>
  </w:abstractNum>
  <w:abstractNum w:abstractNumId="41">
    <w:nsid w:val="73A84C26"/>
    <w:multiLevelType w:val="hybridMultilevel"/>
    <w:tmpl w:val="2AEE48D0"/>
    <w:lvl w:ilvl="0" w:tplc="3364CDFE">
      <w:start w:val="1"/>
      <w:numFmt w:val="lowerLetter"/>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42">
    <w:nsid w:val="7428753E"/>
    <w:multiLevelType w:val="hybridMultilevel"/>
    <w:tmpl w:val="245AF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46D4126"/>
    <w:multiLevelType w:val="multilevel"/>
    <w:tmpl w:val="4662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A24A3"/>
    <w:multiLevelType w:val="hybridMultilevel"/>
    <w:tmpl w:val="EF7AE09C"/>
    <w:lvl w:ilvl="0" w:tplc="B8A06A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6D52E3A"/>
    <w:multiLevelType w:val="hybridMultilevel"/>
    <w:tmpl w:val="FADEBDFA"/>
    <w:lvl w:ilvl="0" w:tplc="EBA6E7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DD7944"/>
    <w:multiLevelType w:val="multilevel"/>
    <w:tmpl w:val="F0E2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E2583A"/>
    <w:multiLevelType w:val="hybridMultilevel"/>
    <w:tmpl w:val="AFF85B08"/>
    <w:lvl w:ilvl="0" w:tplc="980ECE16">
      <w:start w:val="1"/>
      <w:numFmt w:val="decimal"/>
      <w:lvlText w:val="%1-"/>
      <w:lvlJc w:val="left"/>
      <w:pPr>
        <w:ind w:left="720" w:hanging="360"/>
      </w:pPr>
      <w:rPr>
        <w:rFonts w:asciiTheme="majorBidi" w:hAnsiTheme="majorBidi" w:cstheme="maj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017B13"/>
    <w:multiLevelType w:val="multilevel"/>
    <w:tmpl w:val="9384A4FA"/>
    <w:lvl w:ilvl="0">
      <w:numFmt w:val="bullet"/>
      <w:lvlText w:val=""/>
      <w:lvlJc w:val="left"/>
      <w:pPr>
        <w:ind w:left="1647" w:hanging="360"/>
      </w:pPr>
      <w:rPr>
        <w:rFonts w:ascii="Symbol" w:hAnsi="Symbol"/>
      </w:rPr>
    </w:lvl>
    <w:lvl w:ilvl="1">
      <w:numFmt w:val="bullet"/>
      <w:lvlText w:val="o"/>
      <w:lvlJc w:val="left"/>
      <w:pPr>
        <w:ind w:left="2367" w:hanging="360"/>
      </w:pPr>
      <w:rPr>
        <w:rFonts w:ascii="Courier New" w:hAnsi="Courier New" w:cs="Courier New"/>
      </w:r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49">
    <w:nsid w:val="7F4559EF"/>
    <w:multiLevelType w:val="multilevel"/>
    <w:tmpl w:val="E278B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9"/>
  </w:num>
  <w:num w:numId="3">
    <w:abstractNumId w:val="19"/>
  </w:num>
  <w:num w:numId="4">
    <w:abstractNumId w:val="8"/>
  </w:num>
  <w:num w:numId="5">
    <w:abstractNumId w:val="47"/>
  </w:num>
  <w:num w:numId="6">
    <w:abstractNumId w:val="46"/>
  </w:num>
  <w:num w:numId="7">
    <w:abstractNumId w:val="12"/>
  </w:num>
  <w:num w:numId="8">
    <w:abstractNumId w:val="40"/>
  </w:num>
  <w:num w:numId="9">
    <w:abstractNumId w:val="41"/>
  </w:num>
  <w:num w:numId="10">
    <w:abstractNumId w:val="25"/>
  </w:num>
  <w:num w:numId="11">
    <w:abstractNumId w:val="4"/>
  </w:num>
  <w:num w:numId="12">
    <w:abstractNumId w:val="0"/>
  </w:num>
  <w:num w:numId="13">
    <w:abstractNumId w:val="9"/>
  </w:num>
  <w:num w:numId="14">
    <w:abstractNumId w:val="6"/>
  </w:num>
  <w:num w:numId="15">
    <w:abstractNumId w:val="11"/>
  </w:num>
  <w:num w:numId="16">
    <w:abstractNumId w:val="5"/>
  </w:num>
  <w:num w:numId="17">
    <w:abstractNumId w:val="1"/>
  </w:num>
  <w:num w:numId="18">
    <w:abstractNumId w:val="23"/>
  </w:num>
  <w:num w:numId="19">
    <w:abstractNumId w:val="48"/>
  </w:num>
  <w:num w:numId="20">
    <w:abstractNumId w:val="14"/>
  </w:num>
  <w:num w:numId="21">
    <w:abstractNumId w:val="39"/>
  </w:num>
  <w:num w:numId="22">
    <w:abstractNumId w:val="38"/>
  </w:num>
  <w:num w:numId="23">
    <w:abstractNumId w:val="42"/>
  </w:num>
  <w:num w:numId="24">
    <w:abstractNumId w:val="2"/>
  </w:num>
  <w:num w:numId="25">
    <w:abstractNumId w:val="13"/>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6"/>
  </w:num>
  <w:num w:numId="36">
    <w:abstractNumId w:val="35"/>
  </w:num>
  <w:num w:numId="37">
    <w:abstractNumId w:val="37"/>
  </w:num>
  <w:num w:numId="38">
    <w:abstractNumId w:val="24"/>
  </w:num>
  <w:num w:numId="39">
    <w:abstractNumId w:val="32"/>
  </w:num>
  <w:num w:numId="40">
    <w:abstractNumId w:val="33"/>
  </w:num>
  <w:num w:numId="41">
    <w:abstractNumId w:val="45"/>
  </w:num>
  <w:num w:numId="42">
    <w:abstractNumId w:val="15"/>
  </w:num>
  <w:num w:numId="43">
    <w:abstractNumId w:val="16"/>
  </w:num>
  <w:num w:numId="44">
    <w:abstractNumId w:val="27"/>
  </w:num>
  <w:num w:numId="45">
    <w:abstractNumId w:val="10"/>
  </w:num>
  <w:num w:numId="46">
    <w:abstractNumId w:val="7"/>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43"/>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9394"/>
    <o:shapelayout v:ext="edit">
      <o:idmap v:ext="edit" data="57"/>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w2ee0p95xrresa2cxz5z5e5a2axzs9wv9&quot;&gt;my thesis&lt;record-ids&gt;&lt;item&gt;383&lt;/item&gt;&lt;item&gt;384&lt;/item&gt;&lt;item&gt;385&lt;/item&gt;&lt;item&gt;386&lt;/item&gt;&lt;item&gt;387&lt;/item&gt;&lt;item&gt;388&lt;/item&gt;&lt;item&gt;389&lt;/item&gt;&lt;item&gt;390&lt;/item&gt;&lt;/record-ids&gt;&lt;/item&gt;&lt;/Libraries&gt;"/>
  </w:docVars>
  <w:rsids>
    <w:rsidRoot w:val="00917C5D"/>
    <w:rsid w:val="000017B1"/>
    <w:rsid w:val="00004603"/>
    <w:rsid w:val="00005615"/>
    <w:rsid w:val="000072E7"/>
    <w:rsid w:val="0001005A"/>
    <w:rsid w:val="000100F0"/>
    <w:rsid w:val="000112FE"/>
    <w:rsid w:val="00013179"/>
    <w:rsid w:val="000139EB"/>
    <w:rsid w:val="00016AB0"/>
    <w:rsid w:val="00017780"/>
    <w:rsid w:val="000236F4"/>
    <w:rsid w:val="00024096"/>
    <w:rsid w:val="00024906"/>
    <w:rsid w:val="000249A6"/>
    <w:rsid w:val="00033D1E"/>
    <w:rsid w:val="000341C1"/>
    <w:rsid w:val="0003499F"/>
    <w:rsid w:val="0004227C"/>
    <w:rsid w:val="00042498"/>
    <w:rsid w:val="000425DD"/>
    <w:rsid w:val="000447BF"/>
    <w:rsid w:val="000448F2"/>
    <w:rsid w:val="00055460"/>
    <w:rsid w:val="00056A9E"/>
    <w:rsid w:val="00057CFD"/>
    <w:rsid w:val="00060050"/>
    <w:rsid w:val="000625DD"/>
    <w:rsid w:val="00064398"/>
    <w:rsid w:val="00064EFA"/>
    <w:rsid w:val="00065E6D"/>
    <w:rsid w:val="00066970"/>
    <w:rsid w:val="0006739D"/>
    <w:rsid w:val="000705B2"/>
    <w:rsid w:val="00073FA1"/>
    <w:rsid w:val="0008094B"/>
    <w:rsid w:val="000827CF"/>
    <w:rsid w:val="000832E1"/>
    <w:rsid w:val="00083FE8"/>
    <w:rsid w:val="00086275"/>
    <w:rsid w:val="00087C8E"/>
    <w:rsid w:val="000907F2"/>
    <w:rsid w:val="00090F4A"/>
    <w:rsid w:val="0009208B"/>
    <w:rsid w:val="0009285B"/>
    <w:rsid w:val="000949AB"/>
    <w:rsid w:val="000A090F"/>
    <w:rsid w:val="000A12D3"/>
    <w:rsid w:val="000A325C"/>
    <w:rsid w:val="000A6986"/>
    <w:rsid w:val="000A7B71"/>
    <w:rsid w:val="000B256F"/>
    <w:rsid w:val="000B5B28"/>
    <w:rsid w:val="000C0033"/>
    <w:rsid w:val="000C0039"/>
    <w:rsid w:val="000C3B2F"/>
    <w:rsid w:val="000C496C"/>
    <w:rsid w:val="000C5A0B"/>
    <w:rsid w:val="000C6F79"/>
    <w:rsid w:val="000C7490"/>
    <w:rsid w:val="000C7F43"/>
    <w:rsid w:val="000D22B7"/>
    <w:rsid w:val="000D27FE"/>
    <w:rsid w:val="000D2E60"/>
    <w:rsid w:val="000D647B"/>
    <w:rsid w:val="000E21FA"/>
    <w:rsid w:val="000E2C22"/>
    <w:rsid w:val="000E2F0C"/>
    <w:rsid w:val="000F0557"/>
    <w:rsid w:val="000F3DC9"/>
    <w:rsid w:val="000F4E91"/>
    <w:rsid w:val="000F7BA9"/>
    <w:rsid w:val="000F7F3E"/>
    <w:rsid w:val="00100109"/>
    <w:rsid w:val="001003A0"/>
    <w:rsid w:val="001007CD"/>
    <w:rsid w:val="00101ED4"/>
    <w:rsid w:val="00102765"/>
    <w:rsid w:val="00103CDB"/>
    <w:rsid w:val="00104A69"/>
    <w:rsid w:val="00104FAD"/>
    <w:rsid w:val="00105037"/>
    <w:rsid w:val="00106B6D"/>
    <w:rsid w:val="001105A0"/>
    <w:rsid w:val="00111DC6"/>
    <w:rsid w:val="0011377E"/>
    <w:rsid w:val="00114BC9"/>
    <w:rsid w:val="00115B43"/>
    <w:rsid w:val="00115EE4"/>
    <w:rsid w:val="0011631B"/>
    <w:rsid w:val="00124025"/>
    <w:rsid w:val="00124DEA"/>
    <w:rsid w:val="00125B6E"/>
    <w:rsid w:val="00126BC4"/>
    <w:rsid w:val="001332E8"/>
    <w:rsid w:val="001355FE"/>
    <w:rsid w:val="001368FE"/>
    <w:rsid w:val="00137A09"/>
    <w:rsid w:val="001406AC"/>
    <w:rsid w:val="001411BD"/>
    <w:rsid w:val="001412E2"/>
    <w:rsid w:val="00142058"/>
    <w:rsid w:val="00143CE6"/>
    <w:rsid w:val="001459F7"/>
    <w:rsid w:val="00145B46"/>
    <w:rsid w:val="00150A04"/>
    <w:rsid w:val="00153928"/>
    <w:rsid w:val="001547E3"/>
    <w:rsid w:val="00156C22"/>
    <w:rsid w:val="00157B4D"/>
    <w:rsid w:val="00157D04"/>
    <w:rsid w:val="00160398"/>
    <w:rsid w:val="00164952"/>
    <w:rsid w:val="001676EA"/>
    <w:rsid w:val="00167FB1"/>
    <w:rsid w:val="00167FB9"/>
    <w:rsid w:val="00170715"/>
    <w:rsid w:val="00171C26"/>
    <w:rsid w:val="0017269D"/>
    <w:rsid w:val="00172951"/>
    <w:rsid w:val="001735AD"/>
    <w:rsid w:val="00173FAC"/>
    <w:rsid w:val="00180614"/>
    <w:rsid w:val="00180D41"/>
    <w:rsid w:val="00194172"/>
    <w:rsid w:val="00194670"/>
    <w:rsid w:val="00195220"/>
    <w:rsid w:val="00195485"/>
    <w:rsid w:val="00196B7D"/>
    <w:rsid w:val="00196C42"/>
    <w:rsid w:val="00197908"/>
    <w:rsid w:val="001A4B69"/>
    <w:rsid w:val="001A5F17"/>
    <w:rsid w:val="001B05E9"/>
    <w:rsid w:val="001B0A48"/>
    <w:rsid w:val="001B1386"/>
    <w:rsid w:val="001B17DD"/>
    <w:rsid w:val="001B484B"/>
    <w:rsid w:val="001B4A2F"/>
    <w:rsid w:val="001B4F78"/>
    <w:rsid w:val="001B5199"/>
    <w:rsid w:val="001B594C"/>
    <w:rsid w:val="001B628F"/>
    <w:rsid w:val="001B637F"/>
    <w:rsid w:val="001B7735"/>
    <w:rsid w:val="001C2C32"/>
    <w:rsid w:val="001C4807"/>
    <w:rsid w:val="001C64DB"/>
    <w:rsid w:val="001C7746"/>
    <w:rsid w:val="001D0744"/>
    <w:rsid w:val="001D5276"/>
    <w:rsid w:val="001D5313"/>
    <w:rsid w:val="001E402C"/>
    <w:rsid w:val="001E705D"/>
    <w:rsid w:val="001E742C"/>
    <w:rsid w:val="001F0757"/>
    <w:rsid w:val="001F3B24"/>
    <w:rsid w:val="001F60CD"/>
    <w:rsid w:val="001F6F02"/>
    <w:rsid w:val="001F7ECB"/>
    <w:rsid w:val="002000C6"/>
    <w:rsid w:val="002003AD"/>
    <w:rsid w:val="002008E3"/>
    <w:rsid w:val="00200C85"/>
    <w:rsid w:val="00201181"/>
    <w:rsid w:val="00202530"/>
    <w:rsid w:val="0020563F"/>
    <w:rsid w:val="002064AE"/>
    <w:rsid w:val="00207E67"/>
    <w:rsid w:val="0021170B"/>
    <w:rsid w:val="00213204"/>
    <w:rsid w:val="00215FBE"/>
    <w:rsid w:val="002169FD"/>
    <w:rsid w:val="002174B0"/>
    <w:rsid w:val="00217929"/>
    <w:rsid w:val="002208AD"/>
    <w:rsid w:val="00221B69"/>
    <w:rsid w:val="00223079"/>
    <w:rsid w:val="002246A4"/>
    <w:rsid w:val="00232333"/>
    <w:rsid w:val="00233D82"/>
    <w:rsid w:val="00235707"/>
    <w:rsid w:val="0023587D"/>
    <w:rsid w:val="00237384"/>
    <w:rsid w:val="00240EA4"/>
    <w:rsid w:val="00242408"/>
    <w:rsid w:val="00242F73"/>
    <w:rsid w:val="00243920"/>
    <w:rsid w:val="002443F5"/>
    <w:rsid w:val="002467DA"/>
    <w:rsid w:val="00252007"/>
    <w:rsid w:val="00256F51"/>
    <w:rsid w:val="00260A06"/>
    <w:rsid w:val="0026483D"/>
    <w:rsid w:val="00265E37"/>
    <w:rsid w:val="002729F1"/>
    <w:rsid w:val="00272CED"/>
    <w:rsid w:val="00275514"/>
    <w:rsid w:val="002822BF"/>
    <w:rsid w:val="002829C6"/>
    <w:rsid w:val="00283D47"/>
    <w:rsid w:val="002860EB"/>
    <w:rsid w:val="00287DB0"/>
    <w:rsid w:val="002906DA"/>
    <w:rsid w:val="002921C0"/>
    <w:rsid w:val="0029226E"/>
    <w:rsid w:val="00293EEE"/>
    <w:rsid w:val="00294BDB"/>
    <w:rsid w:val="002970A1"/>
    <w:rsid w:val="00297A8D"/>
    <w:rsid w:val="002A046F"/>
    <w:rsid w:val="002A1997"/>
    <w:rsid w:val="002A29BB"/>
    <w:rsid w:val="002A2F12"/>
    <w:rsid w:val="002A4071"/>
    <w:rsid w:val="002A438E"/>
    <w:rsid w:val="002A682A"/>
    <w:rsid w:val="002B0756"/>
    <w:rsid w:val="002B4FF0"/>
    <w:rsid w:val="002C0ADD"/>
    <w:rsid w:val="002C1254"/>
    <w:rsid w:val="002C3330"/>
    <w:rsid w:val="002D0CF0"/>
    <w:rsid w:val="002D0E52"/>
    <w:rsid w:val="002D3CB2"/>
    <w:rsid w:val="002D6723"/>
    <w:rsid w:val="002D7354"/>
    <w:rsid w:val="002E04E5"/>
    <w:rsid w:val="002E1C40"/>
    <w:rsid w:val="002E662F"/>
    <w:rsid w:val="002E6C79"/>
    <w:rsid w:val="002F0AF0"/>
    <w:rsid w:val="002F4583"/>
    <w:rsid w:val="002F5627"/>
    <w:rsid w:val="002F5E9A"/>
    <w:rsid w:val="002F6C81"/>
    <w:rsid w:val="00302910"/>
    <w:rsid w:val="00302B33"/>
    <w:rsid w:val="00303A65"/>
    <w:rsid w:val="003056D5"/>
    <w:rsid w:val="00312627"/>
    <w:rsid w:val="003149DB"/>
    <w:rsid w:val="00314E1A"/>
    <w:rsid w:val="00316204"/>
    <w:rsid w:val="00320AFB"/>
    <w:rsid w:val="00322926"/>
    <w:rsid w:val="00324737"/>
    <w:rsid w:val="00325F68"/>
    <w:rsid w:val="00330852"/>
    <w:rsid w:val="003329AF"/>
    <w:rsid w:val="00333AC8"/>
    <w:rsid w:val="00340167"/>
    <w:rsid w:val="003414CE"/>
    <w:rsid w:val="0034494A"/>
    <w:rsid w:val="00346D6A"/>
    <w:rsid w:val="003516FE"/>
    <w:rsid w:val="003523C7"/>
    <w:rsid w:val="003562BA"/>
    <w:rsid w:val="00361182"/>
    <w:rsid w:val="0036152B"/>
    <w:rsid w:val="00362473"/>
    <w:rsid w:val="00367F3D"/>
    <w:rsid w:val="003705FD"/>
    <w:rsid w:val="00371F6B"/>
    <w:rsid w:val="003747D7"/>
    <w:rsid w:val="0037509C"/>
    <w:rsid w:val="0038273C"/>
    <w:rsid w:val="00383E9A"/>
    <w:rsid w:val="0038571E"/>
    <w:rsid w:val="00386AD8"/>
    <w:rsid w:val="003911C8"/>
    <w:rsid w:val="003918BC"/>
    <w:rsid w:val="00391956"/>
    <w:rsid w:val="00391F94"/>
    <w:rsid w:val="0039226F"/>
    <w:rsid w:val="0039286C"/>
    <w:rsid w:val="00393B61"/>
    <w:rsid w:val="00395A23"/>
    <w:rsid w:val="003A24EC"/>
    <w:rsid w:val="003A5065"/>
    <w:rsid w:val="003A664F"/>
    <w:rsid w:val="003A6BAC"/>
    <w:rsid w:val="003B0214"/>
    <w:rsid w:val="003B3081"/>
    <w:rsid w:val="003B51AF"/>
    <w:rsid w:val="003B7474"/>
    <w:rsid w:val="003C17AE"/>
    <w:rsid w:val="003C3F5C"/>
    <w:rsid w:val="003C743A"/>
    <w:rsid w:val="003C7E1D"/>
    <w:rsid w:val="003D3C32"/>
    <w:rsid w:val="003D4E98"/>
    <w:rsid w:val="003E4756"/>
    <w:rsid w:val="003E5E88"/>
    <w:rsid w:val="003E6EE1"/>
    <w:rsid w:val="003F0E57"/>
    <w:rsid w:val="003F184B"/>
    <w:rsid w:val="003F308A"/>
    <w:rsid w:val="003F3526"/>
    <w:rsid w:val="003F5F26"/>
    <w:rsid w:val="003F6B01"/>
    <w:rsid w:val="003F77AF"/>
    <w:rsid w:val="00400185"/>
    <w:rsid w:val="00401F66"/>
    <w:rsid w:val="004071BE"/>
    <w:rsid w:val="0040759C"/>
    <w:rsid w:val="00407BAE"/>
    <w:rsid w:val="004120E6"/>
    <w:rsid w:val="00413162"/>
    <w:rsid w:val="004136F6"/>
    <w:rsid w:val="00421A41"/>
    <w:rsid w:val="00424745"/>
    <w:rsid w:val="00427FB0"/>
    <w:rsid w:val="004303F4"/>
    <w:rsid w:val="004330BD"/>
    <w:rsid w:val="004336BE"/>
    <w:rsid w:val="0043377F"/>
    <w:rsid w:val="0043788D"/>
    <w:rsid w:val="004411AD"/>
    <w:rsid w:val="004422E2"/>
    <w:rsid w:val="00444411"/>
    <w:rsid w:val="0044455C"/>
    <w:rsid w:val="00446E44"/>
    <w:rsid w:val="00452CFA"/>
    <w:rsid w:val="00452DC9"/>
    <w:rsid w:val="00453A60"/>
    <w:rsid w:val="004558C2"/>
    <w:rsid w:val="004566BC"/>
    <w:rsid w:val="004567BA"/>
    <w:rsid w:val="004607D1"/>
    <w:rsid w:val="0046271F"/>
    <w:rsid w:val="00462E6B"/>
    <w:rsid w:val="0046393C"/>
    <w:rsid w:val="0046467A"/>
    <w:rsid w:val="004706E9"/>
    <w:rsid w:val="004709FF"/>
    <w:rsid w:val="00472A9A"/>
    <w:rsid w:val="004736EF"/>
    <w:rsid w:val="0047590F"/>
    <w:rsid w:val="0047749B"/>
    <w:rsid w:val="0048020D"/>
    <w:rsid w:val="00482447"/>
    <w:rsid w:val="00483653"/>
    <w:rsid w:val="0048535C"/>
    <w:rsid w:val="0048661F"/>
    <w:rsid w:val="004874A7"/>
    <w:rsid w:val="004874B6"/>
    <w:rsid w:val="0049446C"/>
    <w:rsid w:val="00495118"/>
    <w:rsid w:val="00495C11"/>
    <w:rsid w:val="00496010"/>
    <w:rsid w:val="004A6E3E"/>
    <w:rsid w:val="004A7B5C"/>
    <w:rsid w:val="004B3397"/>
    <w:rsid w:val="004B3470"/>
    <w:rsid w:val="004B5A6A"/>
    <w:rsid w:val="004C36BE"/>
    <w:rsid w:val="004C3F26"/>
    <w:rsid w:val="004C416E"/>
    <w:rsid w:val="004C608A"/>
    <w:rsid w:val="004C6B6B"/>
    <w:rsid w:val="004D1AFD"/>
    <w:rsid w:val="004D2F7B"/>
    <w:rsid w:val="004D370B"/>
    <w:rsid w:val="004D66DF"/>
    <w:rsid w:val="004D7534"/>
    <w:rsid w:val="004D780F"/>
    <w:rsid w:val="004D7B8B"/>
    <w:rsid w:val="004E044B"/>
    <w:rsid w:val="004E3C2B"/>
    <w:rsid w:val="004F1231"/>
    <w:rsid w:val="004F33C2"/>
    <w:rsid w:val="004F34C6"/>
    <w:rsid w:val="004F422E"/>
    <w:rsid w:val="004F54E9"/>
    <w:rsid w:val="004F6B32"/>
    <w:rsid w:val="0050248B"/>
    <w:rsid w:val="00503616"/>
    <w:rsid w:val="00505A04"/>
    <w:rsid w:val="0050605C"/>
    <w:rsid w:val="0050649A"/>
    <w:rsid w:val="005072AC"/>
    <w:rsid w:val="00507689"/>
    <w:rsid w:val="00512ED2"/>
    <w:rsid w:val="00514EF7"/>
    <w:rsid w:val="00517E1C"/>
    <w:rsid w:val="00521392"/>
    <w:rsid w:val="00521EDA"/>
    <w:rsid w:val="005221E1"/>
    <w:rsid w:val="00527EDB"/>
    <w:rsid w:val="00530D25"/>
    <w:rsid w:val="00532CE6"/>
    <w:rsid w:val="00534E26"/>
    <w:rsid w:val="005365D7"/>
    <w:rsid w:val="00536B7C"/>
    <w:rsid w:val="00537346"/>
    <w:rsid w:val="00543361"/>
    <w:rsid w:val="00544A8A"/>
    <w:rsid w:val="00551980"/>
    <w:rsid w:val="0055399B"/>
    <w:rsid w:val="00557E28"/>
    <w:rsid w:val="00560A04"/>
    <w:rsid w:val="00562AAF"/>
    <w:rsid w:val="00565099"/>
    <w:rsid w:val="005734C0"/>
    <w:rsid w:val="00574AAC"/>
    <w:rsid w:val="00575A5D"/>
    <w:rsid w:val="00577451"/>
    <w:rsid w:val="00580068"/>
    <w:rsid w:val="00580455"/>
    <w:rsid w:val="00582776"/>
    <w:rsid w:val="00582BC2"/>
    <w:rsid w:val="00586B17"/>
    <w:rsid w:val="0059090C"/>
    <w:rsid w:val="00590EBE"/>
    <w:rsid w:val="00590FCF"/>
    <w:rsid w:val="00593336"/>
    <w:rsid w:val="00593AE9"/>
    <w:rsid w:val="00596A31"/>
    <w:rsid w:val="005A1CE9"/>
    <w:rsid w:val="005A29A2"/>
    <w:rsid w:val="005A3CAF"/>
    <w:rsid w:val="005A5A04"/>
    <w:rsid w:val="005B0439"/>
    <w:rsid w:val="005B0E31"/>
    <w:rsid w:val="005B5397"/>
    <w:rsid w:val="005B5D56"/>
    <w:rsid w:val="005C0AC7"/>
    <w:rsid w:val="005C14C9"/>
    <w:rsid w:val="005C27F1"/>
    <w:rsid w:val="005C37B8"/>
    <w:rsid w:val="005C5D8E"/>
    <w:rsid w:val="005D12E2"/>
    <w:rsid w:val="005D3A72"/>
    <w:rsid w:val="005D7C78"/>
    <w:rsid w:val="005E006D"/>
    <w:rsid w:val="005E07D2"/>
    <w:rsid w:val="005E0BA8"/>
    <w:rsid w:val="005E0DED"/>
    <w:rsid w:val="005E3A5D"/>
    <w:rsid w:val="005E475F"/>
    <w:rsid w:val="005E6C2C"/>
    <w:rsid w:val="005E7228"/>
    <w:rsid w:val="005F5DA7"/>
    <w:rsid w:val="005F66B9"/>
    <w:rsid w:val="005F6A37"/>
    <w:rsid w:val="006059BA"/>
    <w:rsid w:val="0061048A"/>
    <w:rsid w:val="006131FC"/>
    <w:rsid w:val="00616458"/>
    <w:rsid w:val="00620442"/>
    <w:rsid w:val="00621CD3"/>
    <w:rsid w:val="00622637"/>
    <w:rsid w:val="00622A89"/>
    <w:rsid w:val="00622B7D"/>
    <w:rsid w:val="00631257"/>
    <w:rsid w:val="006329C2"/>
    <w:rsid w:val="00637B73"/>
    <w:rsid w:val="006508E9"/>
    <w:rsid w:val="0065279B"/>
    <w:rsid w:val="006527CD"/>
    <w:rsid w:val="00652863"/>
    <w:rsid w:val="0065363F"/>
    <w:rsid w:val="006569CF"/>
    <w:rsid w:val="00657EC4"/>
    <w:rsid w:val="00661C8D"/>
    <w:rsid w:val="00662505"/>
    <w:rsid w:val="006627FB"/>
    <w:rsid w:val="0066281C"/>
    <w:rsid w:val="00662E53"/>
    <w:rsid w:val="006661AA"/>
    <w:rsid w:val="00666DDE"/>
    <w:rsid w:val="006671A4"/>
    <w:rsid w:val="0067075C"/>
    <w:rsid w:val="006736D5"/>
    <w:rsid w:val="006769D2"/>
    <w:rsid w:val="00681BFF"/>
    <w:rsid w:val="00681DD4"/>
    <w:rsid w:val="0068336B"/>
    <w:rsid w:val="00686971"/>
    <w:rsid w:val="00687954"/>
    <w:rsid w:val="00693203"/>
    <w:rsid w:val="00693850"/>
    <w:rsid w:val="006955EB"/>
    <w:rsid w:val="006A068C"/>
    <w:rsid w:val="006A2010"/>
    <w:rsid w:val="006A28D4"/>
    <w:rsid w:val="006A60FF"/>
    <w:rsid w:val="006B0289"/>
    <w:rsid w:val="006B0D0E"/>
    <w:rsid w:val="006B2800"/>
    <w:rsid w:val="006B2995"/>
    <w:rsid w:val="006B2D69"/>
    <w:rsid w:val="006B3B91"/>
    <w:rsid w:val="006B4248"/>
    <w:rsid w:val="006B6042"/>
    <w:rsid w:val="006B72B8"/>
    <w:rsid w:val="006C0EEC"/>
    <w:rsid w:val="006C4F1C"/>
    <w:rsid w:val="006C6550"/>
    <w:rsid w:val="006C6AD5"/>
    <w:rsid w:val="006C7357"/>
    <w:rsid w:val="006C7F77"/>
    <w:rsid w:val="006D068B"/>
    <w:rsid w:val="006D3FF6"/>
    <w:rsid w:val="006D4F19"/>
    <w:rsid w:val="006D7DF3"/>
    <w:rsid w:val="006E3857"/>
    <w:rsid w:val="006E515C"/>
    <w:rsid w:val="006E6527"/>
    <w:rsid w:val="006E6D2D"/>
    <w:rsid w:val="006E7186"/>
    <w:rsid w:val="006E7355"/>
    <w:rsid w:val="006F0732"/>
    <w:rsid w:val="006F7CF0"/>
    <w:rsid w:val="00700B3B"/>
    <w:rsid w:val="00700D13"/>
    <w:rsid w:val="0070169E"/>
    <w:rsid w:val="007044ED"/>
    <w:rsid w:val="007046E9"/>
    <w:rsid w:val="00704F69"/>
    <w:rsid w:val="007075F7"/>
    <w:rsid w:val="00711220"/>
    <w:rsid w:val="007157F9"/>
    <w:rsid w:val="00721265"/>
    <w:rsid w:val="00723ED5"/>
    <w:rsid w:val="00723F26"/>
    <w:rsid w:val="007242B0"/>
    <w:rsid w:val="00727E18"/>
    <w:rsid w:val="007322B0"/>
    <w:rsid w:val="00733FA5"/>
    <w:rsid w:val="00734357"/>
    <w:rsid w:val="007344FC"/>
    <w:rsid w:val="00735585"/>
    <w:rsid w:val="0073593C"/>
    <w:rsid w:val="007361E6"/>
    <w:rsid w:val="00736C87"/>
    <w:rsid w:val="00744056"/>
    <w:rsid w:val="00753164"/>
    <w:rsid w:val="007539F7"/>
    <w:rsid w:val="007549DA"/>
    <w:rsid w:val="0075530A"/>
    <w:rsid w:val="007555A9"/>
    <w:rsid w:val="0075566A"/>
    <w:rsid w:val="007559C4"/>
    <w:rsid w:val="00757F93"/>
    <w:rsid w:val="00760376"/>
    <w:rsid w:val="00760CDB"/>
    <w:rsid w:val="00762092"/>
    <w:rsid w:val="00762308"/>
    <w:rsid w:val="0076418D"/>
    <w:rsid w:val="00764CE2"/>
    <w:rsid w:val="007656BF"/>
    <w:rsid w:val="007705B6"/>
    <w:rsid w:val="00770CCA"/>
    <w:rsid w:val="00771038"/>
    <w:rsid w:val="007715EB"/>
    <w:rsid w:val="007728FD"/>
    <w:rsid w:val="00772A58"/>
    <w:rsid w:val="00772A81"/>
    <w:rsid w:val="007736B9"/>
    <w:rsid w:val="00774418"/>
    <w:rsid w:val="0077500B"/>
    <w:rsid w:val="0077731B"/>
    <w:rsid w:val="00777CCA"/>
    <w:rsid w:val="00777F2E"/>
    <w:rsid w:val="00781229"/>
    <w:rsid w:val="00781669"/>
    <w:rsid w:val="00782B20"/>
    <w:rsid w:val="007843B7"/>
    <w:rsid w:val="0078489A"/>
    <w:rsid w:val="007864A5"/>
    <w:rsid w:val="0078716B"/>
    <w:rsid w:val="007873A1"/>
    <w:rsid w:val="0079450D"/>
    <w:rsid w:val="007952C3"/>
    <w:rsid w:val="00795378"/>
    <w:rsid w:val="00797787"/>
    <w:rsid w:val="007A20B7"/>
    <w:rsid w:val="007A2455"/>
    <w:rsid w:val="007A520E"/>
    <w:rsid w:val="007A6538"/>
    <w:rsid w:val="007B0CFF"/>
    <w:rsid w:val="007B2BC5"/>
    <w:rsid w:val="007B3294"/>
    <w:rsid w:val="007B34BB"/>
    <w:rsid w:val="007B6948"/>
    <w:rsid w:val="007B6A12"/>
    <w:rsid w:val="007B6AD2"/>
    <w:rsid w:val="007B7CBD"/>
    <w:rsid w:val="007C11D9"/>
    <w:rsid w:val="007C1830"/>
    <w:rsid w:val="007C3258"/>
    <w:rsid w:val="007C40A4"/>
    <w:rsid w:val="007C5397"/>
    <w:rsid w:val="007D18D2"/>
    <w:rsid w:val="007D20BA"/>
    <w:rsid w:val="007D3D4E"/>
    <w:rsid w:val="007D51FB"/>
    <w:rsid w:val="007E3269"/>
    <w:rsid w:val="007F18A4"/>
    <w:rsid w:val="007F43DD"/>
    <w:rsid w:val="007F5F28"/>
    <w:rsid w:val="007F677F"/>
    <w:rsid w:val="007F7618"/>
    <w:rsid w:val="0080085A"/>
    <w:rsid w:val="008075AF"/>
    <w:rsid w:val="0081749C"/>
    <w:rsid w:val="00822C2F"/>
    <w:rsid w:val="00822F2D"/>
    <w:rsid w:val="008240AE"/>
    <w:rsid w:val="00824C45"/>
    <w:rsid w:val="00831397"/>
    <w:rsid w:val="00831732"/>
    <w:rsid w:val="00833400"/>
    <w:rsid w:val="00833C93"/>
    <w:rsid w:val="00834393"/>
    <w:rsid w:val="0083446B"/>
    <w:rsid w:val="00841973"/>
    <w:rsid w:val="0084223B"/>
    <w:rsid w:val="00844AE0"/>
    <w:rsid w:val="00846C9E"/>
    <w:rsid w:val="0084749F"/>
    <w:rsid w:val="008501E2"/>
    <w:rsid w:val="00850CCE"/>
    <w:rsid w:val="00851580"/>
    <w:rsid w:val="00851728"/>
    <w:rsid w:val="008524DE"/>
    <w:rsid w:val="008527CD"/>
    <w:rsid w:val="00853734"/>
    <w:rsid w:val="00865884"/>
    <w:rsid w:val="00866DE6"/>
    <w:rsid w:val="00871024"/>
    <w:rsid w:val="00872DE5"/>
    <w:rsid w:val="0087323D"/>
    <w:rsid w:val="00877304"/>
    <w:rsid w:val="008803B1"/>
    <w:rsid w:val="008828A1"/>
    <w:rsid w:val="008830AA"/>
    <w:rsid w:val="00885A4D"/>
    <w:rsid w:val="0088607F"/>
    <w:rsid w:val="008909E8"/>
    <w:rsid w:val="00891606"/>
    <w:rsid w:val="00892E66"/>
    <w:rsid w:val="00893EE2"/>
    <w:rsid w:val="00894401"/>
    <w:rsid w:val="00895DC1"/>
    <w:rsid w:val="008977F7"/>
    <w:rsid w:val="008A069E"/>
    <w:rsid w:val="008A1272"/>
    <w:rsid w:val="008A3987"/>
    <w:rsid w:val="008A4ABA"/>
    <w:rsid w:val="008A4B8E"/>
    <w:rsid w:val="008A50EB"/>
    <w:rsid w:val="008A5245"/>
    <w:rsid w:val="008A5444"/>
    <w:rsid w:val="008A6356"/>
    <w:rsid w:val="008B0FCA"/>
    <w:rsid w:val="008B21CC"/>
    <w:rsid w:val="008B2267"/>
    <w:rsid w:val="008B343E"/>
    <w:rsid w:val="008B5505"/>
    <w:rsid w:val="008C0384"/>
    <w:rsid w:val="008C06FE"/>
    <w:rsid w:val="008C2B97"/>
    <w:rsid w:val="008C366D"/>
    <w:rsid w:val="008C64CB"/>
    <w:rsid w:val="008C7DD0"/>
    <w:rsid w:val="008C7EA8"/>
    <w:rsid w:val="008D0C43"/>
    <w:rsid w:val="008D2DB5"/>
    <w:rsid w:val="008D47D4"/>
    <w:rsid w:val="008D61B6"/>
    <w:rsid w:val="008E09AC"/>
    <w:rsid w:val="008E107B"/>
    <w:rsid w:val="008E1149"/>
    <w:rsid w:val="008F194F"/>
    <w:rsid w:val="008F2682"/>
    <w:rsid w:val="008F40DE"/>
    <w:rsid w:val="008F7AAA"/>
    <w:rsid w:val="009009D0"/>
    <w:rsid w:val="00901ACF"/>
    <w:rsid w:val="00902382"/>
    <w:rsid w:val="009030E8"/>
    <w:rsid w:val="00903511"/>
    <w:rsid w:val="00903664"/>
    <w:rsid w:val="00905891"/>
    <w:rsid w:val="009075CD"/>
    <w:rsid w:val="0090790B"/>
    <w:rsid w:val="00910F80"/>
    <w:rsid w:val="0091285D"/>
    <w:rsid w:val="00914D7E"/>
    <w:rsid w:val="0091509C"/>
    <w:rsid w:val="00916EC0"/>
    <w:rsid w:val="00917875"/>
    <w:rsid w:val="00917BAE"/>
    <w:rsid w:val="00917C5D"/>
    <w:rsid w:val="00920662"/>
    <w:rsid w:val="00920B6F"/>
    <w:rsid w:val="00921702"/>
    <w:rsid w:val="009225FC"/>
    <w:rsid w:val="00927913"/>
    <w:rsid w:val="00930E70"/>
    <w:rsid w:val="00931073"/>
    <w:rsid w:val="00932729"/>
    <w:rsid w:val="00933B34"/>
    <w:rsid w:val="00935E27"/>
    <w:rsid w:val="00936232"/>
    <w:rsid w:val="00941727"/>
    <w:rsid w:val="0094584C"/>
    <w:rsid w:val="00946829"/>
    <w:rsid w:val="00947805"/>
    <w:rsid w:val="0095197B"/>
    <w:rsid w:val="00952914"/>
    <w:rsid w:val="009562EC"/>
    <w:rsid w:val="009570E3"/>
    <w:rsid w:val="009636CB"/>
    <w:rsid w:val="009652EA"/>
    <w:rsid w:val="0097101D"/>
    <w:rsid w:val="0097161B"/>
    <w:rsid w:val="009746E6"/>
    <w:rsid w:val="00974759"/>
    <w:rsid w:val="0097519B"/>
    <w:rsid w:val="00986EDE"/>
    <w:rsid w:val="0098708C"/>
    <w:rsid w:val="00994E3E"/>
    <w:rsid w:val="00995210"/>
    <w:rsid w:val="0099760A"/>
    <w:rsid w:val="009A0A1E"/>
    <w:rsid w:val="009A1F04"/>
    <w:rsid w:val="009A23F6"/>
    <w:rsid w:val="009A6425"/>
    <w:rsid w:val="009B3304"/>
    <w:rsid w:val="009B5160"/>
    <w:rsid w:val="009C0755"/>
    <w:rsid w:val="009C212C"/>
    <w:rsid w:val="009C2993"/>
    <w:rsid w:val="009C47B1"/>
    <w:rsid w:val="009C5946"/>
    <w:rsid w:val="009D23C0"/>
    <w:rsid w:val="009D3C92"/>
    <w:rsid w:val="009D406B"/>
    <w:rsid w:val="009D577A"/>
    <w:rsid w:val="009D5847"/>
    <w:rsid w:val="009E0964"/>
    <w:rsid w:val="009E6DB1"/>
    <w:rsid w:val="009F0FA9"/>
    <w:rsid w:val="009F2293"/>
    <w:rsid w:val="009F2A51"/>
    <w:rsid w:val="009F39E0"/>
    <w:rsid w:val="009F4092"/>
    <w:rsid w:val="009F6188"/>
    <w:rsid w:val="009F6EAE"/>
    <w:rsid w:val="009F7015"/>
    <w:rsid w:val="009F73CA"/>
    <w:rsid w:val="00A008D1"/>
    <w:rsid w:val="00A04105"/>
    <w:rsid w:val="00A04AD9"/>
    <w:rsid w:val="00A0647A"/>
    <w:rsid w:val="00A06980"/>
    <w:rsid w:val="00A10E70"/>
    <w:rsid w:val="00A121B2"/>
    <w:rsid w:val="00A12E63"/>
    <w:rsid w:val="00A14F88"/>
    <w:rsid w:val="00A17F7F"/>
    <w:rsid w:val="00A2367E"/>
    <w:rsid w:val="00A24225"/>
    <w:rsid w:val="00A27584"/>
    <w:rsid w:val="00A33554"/>
    <w:rsid w:val="00A40A22"/>
    <w:rsid w:val="00A40CA3"/>
    <w:rsid w:val="00A40D7C"/>
    <w:rsid w:val="00A464A9"/>
    <w:rsid w:val="00A468FA"/>
    <w:rsid w:val="00A5114F"/>
    <w:rsid w:val="00A57AC1"/>
    <w:rsid w:val="00A57ADB"/>
    <w:rsid w:val="00A62972"/>
    <w:rsid w:val="00A67DCD"/>
    <w:rsid w:val="00A70FE3"/>
    <w:rsid w:val="00A71CD6"/>
    <w:rsid w:val="00A73DFD"/>
    <w:rsid w:val="00A771E8"/>
    <w:rsid w:val="00A77D12"/>
    <w:rsid w:val="00A80ED6"/>
    <w:rsid w:val="00A82EC1"/>
    <w:rsid w:val="00A855FA"/>
    <w:rsid w:val="00A8766F"/>
    <w:rsid w:val="00A9054E"/>
    <w:rsid w:val="00A9152A"/>
    <w:rsid w:val="00A933CA"/>
    <w:rsid w:val="00A946A5"/>
    <w:rsid w:val="00AA1C03"/>
    <w:rsid w:val="00AA1E08"/>
    <w:rsid w:val="00AA3695"/>
    <w:rsid w:val="00AA549B"/>
    <w:rsid w:val="00AB2597"/>
    <w:rsid w:val="00AB414A"/>
    <w:rsid w:val="00AB606B"/>
    <w:rsid w:val="00AB72A5"/>
    <w:rsid w:val="00AC145C"/>
    <w:rsid w:val="00AC2363"/>
    <w:rsid w:val="00AD3677"/>
    <w:rsid w:val="00AD3EE0"/>
    <w:rsid w:val="00AD65BE"/>
    <w:rsid w:val="00AE04E3"/>
    <w:rsid w:val="00AE304B"/>
    <w:rsid w:val="00AE5DE0"/>
    <w:rsid w:val="00AE67D4"/>
    <w:rsid w:val="00AF0C9A"/>
    <w:rsid w:val="00AF24D1"/>
    <w:rsid w:val="00AF2D31"/>
    <w:rsid w:val="00AF6260"/>
    <w:rsid w:val="00AF7353"/>
    <w:rsid w:val="00AF7B78"/>
    <w:rsid w:val="00B00001"/>
    <w:rsid w:val="00B015EC"/>
    <w:rsid w:val="00B0276C"/>
    <w:rsid w:val="00B07C1F"/>
    <w:rsid w:val="00B11685"/>
    <w:rsid w:val="00B13CB9"/>
    <w:rsid w:val="00B15B32"/>
    <w:rsid w:val="00B16F9C"/>
    <w:rsid w:val="00B17F14"/>
    <w:rsid w:val="00B2223E"/>
    <w:rsid w:val="00B2279C"/>
    <w:rsid w:val="00B242DF"/>
    <w:rsid w:val="00B24732"/>
    <w:rsid w:val="00B24DB6"/>
    <w:rsid w:val="00B261DF"/>
    <w:rsid w:val="00B2662B"/>
    <w:rsid w:val="00B27B91"/>
    <w:rsid w:val="00B31AFF"/>
    <w:rsid w:val="00B33CAC"/>
    <w:rsid w:val="00B33E09"/>
    <w:rsid w:val="00B3516A"/>
    <w:rsid w:val="00B44D8A"/>
    <w:rsid w:val="00B5474A"/>
    <w:rsid w:val="00B54D17"/>
    <w:rsid w:val="00B56DDA"/>
    <w:rsid w:val="00B57912"/>
    <w:rsid w:val="00B57987"/>
    <w:rsid w:val="00B625E9"/>
    <w:rsid w:val="00B67D54"/>
    <w:rsid w:val="00B7114B"/>
    <w:rsid w:val="00B71226"/>
    <w:rsid w:val="00B72437"/>
    <w:rsid w:val="00B724D9"/>
    <w:rsid w:val="00B727F0"/>
    <w:rsid w:val="00B75938"/>
    <w:rsid w:val="00B7789C"/>
    <w:rsid w:val="00B81F7C"/>
    <w:rsid w:val="00B83045"/>
    <w:rsid w:val="00B83A80"/>
    <w:rsid w:val="00B84691"/>
    <w:rsid w:val="00B8559E"/>
    <w:rsid w:val="00B85DE4"/>
    <w:rsid w:val="00B8645A"/>
    <w:rsid w:val="00B86AEF"/>
    <w:rsid w:val="00B86E9B"/>
    <w:rsid w:val="00B91680"/>
    <w:rsid w:val="00B92679"/>
    <w:rsid w:val="00B92CF1"/>
    <w:rsid w:val="00B939CE"/>
    <w:rsid w:val="00B953CF"/>
    <w:rsid w:val="00B957F7"/>
    <w:rsid w:val="00B95DE6"/>
    <w:rsid w:val="00B96426"/>
    <w:rsid w:val="00B97DD9"/>
    <w:rsid w:val="00BA077A"/>
    <w:rsid w:val="00BA134C"/>
    <w:rsid w:val="00BA27B5"/>
    <w:rsid w:val="00BA3CBA"/>
    <w:rsid w:val="00BA5D8D"/>
    <w:rsid w:val="00BB17E5"/>
    <w:rsid w:val="00BB1C79"/>
    <w:rsid w:val="00BB34C1"/>
    <w:rsid w:val="00BB7C84"/>
    <w:rsid w:val="00BC1F98"/>
    <w:rsid w:val="00BC50E5"/>
    <w:rsid w:val="00BC5A45"/>
    <w:rsid w:val="00BC611B"/>
    <w:rsid w:val="00BC61FA"/>
    <w:rsid w:val="00BC664C"/>
    <w:rsid w:val="00BD0E60"/>
    <w:rsid w:val="00BD1B7C"/>
    <w:rsid w:val="00BD1F14"/>
    <w:rsid w:val="00BD279E"/>
    <w:rsid w:val="00BD2819"/>
    <w:rsid w:val="00BD2BC0"/>
    <w:rsid w:val="00BD377F"/>
    <w:rsid w:val="00BD3859"/>
    <w:rsid w:val="00BD4322"/>
    <w:rsid w:val="00BD4ABE"/>
    <w:rsid w:val="00BE3C6D"/>
    <w:rsid w:val="00BE47A8"/>
    <w:rsid w:val="00BE6523"/>
    <w:rsid w:val="00BE6B48"/>
    <w:rsid w:val="00BF2CDA"/>
    <w:rsid w:val="00BF3820"/>
    <w:rsid w:val="00BF52C2"/>
    <w:rsid w:val="00BF713F"/>
    <w:rsid w:val="00BF7883"/>
    <w:rsid w:val="00C00D56"/>
    <w:rsid w:val="00C050C5"/>
    <w:rsid w:val="00C11410"/>
    <w:rsid w:val="00C131F0"/>
    <w:rsid w:val="00C14978"/>
    <w:rsid w:val="00C214EC"/>
    <w:rsid w:val="00C221D4"/>
    <w:rsid w:val="00C232A9"/>
    <w:rsid w:val="00C240C5"/>
    <w:rsid w:val="00C242A3"/>
    <w:rsid w:val="00C24326"/>
    <w:rsid w:val="00C24DEF"/>
    <w:rsid w:val="00C25D70"/>
    <w:rsid w:val="00C30E98"/>
    <w:rsid w:val="00C3205E"/>
    <w:rsid w:val="00C33712"/>
    <w:rsid w:val="00C34067"/>
    <w:rsid w:val="00C342AE"/>
    <w:rsid w:val="00C415F6"/>
    <w:rsid w:val="00C43A3E"/>
    <w:rsid w:val="00C4515C"/>
    <w:rsid w:val="00C50305"/>
    <w:rsid w:val="00C525C5"/>
    <w:rsid w:val="00C5696C"/>
    <w:rsid w:val="00C616B9"/>
    <w:rsid w:val="00C61FEF"/>
    <w:rsid w:val="00C6583F"/>
    <w:rsid w:val="00C679B0"/>
    <w:rsid w:val="00C679B8"/>
    <w:rsid w:val="00C71C4F"/>
    <w:rsid w:val="00C735C1"/>
    <w:rsid w:val="00C73835"/>
    <w:rsid w:val="00C77776"/>
    <w:rsid w:val="00C8048D"/>
    <w:rsid w:val="00C80D89"/>
    <w:rsid w:val="00C8160A"/>
    <w:rsid w:val="00C81A82"/>
    <w:rsid w:val="00C83740"/>
    <w:rsid w:val="00C87BA7"/>
    <w:rsid w:val="00C9114D"/>
    <w:rsid w:val="00C91FD4"/>
    <w:rsid w:val="00C94208"/>
    <w:rsid w:val="00C94C19"/>
    <w:rsid w:val="00C9509E"/>
    <w:rsid w:val="00C956E5"/>
    <w:rsid w:val="00C96735"/>
    <w:rsid w:val="00C973A7"/>
    <w:rsid w:val="00CA2D48"/>
    <w:rsid w:val="00CA42C8"/>
    <w:rsid w:val="00CA43FF"/>
    <w:rsid w:val="00CA479A"/>
    <w:rsid w:val="00CA63AA"/>
    <w:rsid w:val="00CA6973"/>
    <w:rsid w:val="00CB17F4"/>
    <w:rsid w:val="00CB35D7"/>
    <w:rsid w:val="00CB3FCD"/>
    <w:rsid w:val="00CB7E86"/>
    <w:rsid w:val="00CC03B7"/>
    <w:rsid w:val="00CC07A6"/>
    <w:rsid w:val="00CC14DB"/>
    <w:rsid w:val="00CC1F02"/>
    <w:rsid w:val="00CC4AB0"/>
    <w:rsid w:val="00CC72CA"/>
    <w:rsid w:val="00CD105A"/>
    <w:rsid w:val="00CD1467"/>
    <w:rsid w:val="00CD150D"/>
    <w:rsid w:val="00CD3442"/>
    <w:rsid w:val="00CD42EF"/>
    <w:rsid w:val="00CD4306"/>
    <w:rsid w:val="00CD5364"/>
    <w:rsid w:val="00CD6507"/>
    <w:rsid w:val="00CE065F"/>
    <w:rsid w:val="00CE41A3"/>
    <w:rsid w:val="00CE49C0"/>
    <w:rsid w:val="00CE57D8"/>
    <w:rsid w:val="00CE73FB"/>
    <w:rsid w:val="00CE7A7B"/>
    <w:rsid w:val="00CF0E96"/>
    <w:rsid w:val="00CF1282"/>
    <w:rsid w:val="00CF1482"/>
    <w:rsid w:val="00CF28B3"/>
    <w:rsid w:val="00CF671C"/>
    <w:rsid w:val="00D00442"/>
    <w:rsid w:val="00D041C1"/>
    <w:rsid w:val="00D04D78"/>
    <w:rsid w:val="00D122E1"/>
    <w:rsid w:val="00D124CF"/>
    <w:rsid w:val="00D13C2B"/>
    <w:rsid w:val="00D1526C"/>
    <w:rsid w:val="00D20BBE"/>
    <w:rsid w:val="00D210E4"/>
    <w:rsid w:val="00D231CC"/>
    <w:rsid w:val="00D2442D"/>
    <w:rsid w:val="00D268DF"/>
    <w:rsid w:val="00D26A37"/>
    <w:rsid w:val="00D26D48"/>
    <w:rsid w:val="00D26E6E"/>
    <w:rsid w:val="00D27C04"/>
    <w:rsid w:val="00D30159"/>
    <w:rsid w:val="00D3404B"/>
    <w:rsid w:val="00D349BE"/>
    <w:rsid w:val="00D36D83"/>
    <w:rsid w:val="00D40B3E"/>
    <w:rsid w:val="00D4126C"/>
    <w:rsid w:val="00D432DB"/>
    <w:rsid w:val="00D45ED9"/>
    <w:rsid w:val="00D50124"/>
    <w:rsid w:val="00D50863"/>
    <w:rsid w:val="00D53CB1"/>
    <w:rsid w:val="00D54929"/>
    <w:rsid w:val="00D54A4D"/>
    <w:rsid w:val="00D55DEA"/>
    <w:rsid w:val="00D60D5A"/>
    <w:rsid w:val="00D62C46"/>
    <w:rsid w:val="00D63D67"/>
    <w:rsid w:val="00D642BE"/>
    <w:rsid w:val="00D67D67"/>
    <w:rsid w:val="00D71A8B"/>
    <w:rsid w:val="00D73EF1"/>
    <w:rsid w:val="00D74D84"/>
    <w:rsid w:val="00D808AA"/>
    <w:rsid w:val="00D813F5"/>
    <w:rsid w:val="00D8354B"/>
    <w:rsid w:val="00D843B6"/>
    <w:rsid w:val="00D8505F"/>
    <w:rsid w:val="00D85AEC"/>
    <w:rsid w:val="00D9080C"/>
    <w:rsid w:val="00D9096D"/>
    <w:rsid w:val="00D94781"/>
    <w:rsid w:val="00DA081A"/>
    <w:rsid w:val="00DA1481"/>
    <w:rsid w:val="00DA1CA5"/>
    <w:rsid w:val="00DA2545"/>
    <w:rsid w:val="00DB5C42"/>
    <w:rsid w:val="00DC346A"/>
    <w:rsid w:val="00DC3D60"/>
    <w:rsid w:val="00DC4CA4"/>
    <w:rsid w:val="00DC6366"/>
    <w:rsid w:val="00DC6770"/>
    <w:rsid w:val="00DC6A36"/>
    <w:rsid w:val="00DC7904"/>
    <w:rsid w:val="00DD44D4"/>
    <w:rsid w:val="00DD5D9D"/>
    <w:rsid w:val="00DD790D"/>
    <w:rsid w:val="00DE005B"/>
    <w:rsid w:val="00DE2B7C"/>
    <w:rsid w:val="00DE2BF7"/>
    <w:rsid w:val="00DE36FC"/>
    <w:rsid w:val="00DE4D0F"/>
    <w:rsid w:val="00DE4F4D"/>
    <w:rsid w:val="00DE6887"/>
    <w:rsid w:val="00DF098C"/>
    <w:rsid w:val="00DF1100"/>
    <w:rsid w:val="00DF1DC5"/>
    <w:rsid w:val="00DF1F2B"/>
    <w:rsid w:val="00DF2C81"/>
    <w:rsid w:val="00DF320F"/>
    <w:rsid w:val="00DF4ECA"/>
    <w:rsid w:val="00DF5DCD"/>
    <w:rsid w:val="00DF6D47"/>
    <w:rsid w:val="00E03CAC"/>
    <w:rsid w:val="00E075D8"/>
    <w:rsid w:val="00E11BD2"/>
    <w:rsid w:val="00E125C9"/>
    <w:rsid w:val="00E12D6F"/>
    <w:rsid w:val="00E16220"/>
    <w:rsid w:val="00E163CD"/>
    <w:rsid w:val="00E16620"/>
    <w:rsid w:val="00E17370"/>
    <w:rsid w:val="00E23DB1"/>
    <w:rsid w:val="00E23F64"/>
    <w:rsid w:val="00E24632"/>
    <w:rsid w:val="00E24E81"/>
    <w:rsid w:val="00E25431"/>
    <w:rsid w:val="00E26550"/>
    <w:rsid w:val="00E30F93"/>
    <w:rsid w:val="00E410BC"/>
    <w:rsid w:val="00E41AD9"/>
    <w:rsid w:val="00E43A98"/>
    <w:rsid w:val="00E44B98"/>
    <w:rsid w:val="00E50ED2"/>
    <w:rsid w:val="00E526B3"/>
    <w:rsid w:val="00E54492"/>
    <w:rsid w:val="00E546BA"/>
    <w:rsid w:val="00E54B10"/>
    <w:rsid w:val="00E62B95"/>
    <w:rsid w:val="00E6413C"/>
    <w:rsid w:val="00E65744"/>
    <w:rsid w:val="00E6722A"/>
    <w:rsid w:val="00E672A6"/>
    <w:rsid w:val="00E7233D"/>
    <w:rsid w:val="00E73871"/>
    <w:rsid w:val="00E74F0E"/>
    <w:rsid w:val="00E75BFB"/>
    <w:rsid w:val="00E75D49"/>
    <w:rsid w:val="00E761B3"/>
    <w:rsid w:val="00E7774E"/>
    <w:rsid w:val="00E81739"/>
    <w:rsid w:val="00E848E0"/>
    <w:rsid w:val="00E84C23"/>
    <w:rsid w:val="00E86A69"/>
    <w:rsid w:val="00E91853"/>
    <w:rsid w:val="00E973B1"/>
    <w:rsid w:val="00E97603"/>
    <w:rsid w:val="00EA11A6"/>
    <w:rsid w:val="00EA22B3"/>
    <w:rsid w:val="00EB013A"/>
    <w:rsid w:val="00EB08B1"/>
    <w:rsid w:val="00EB2A72"/>
    <w:rsid w:val="00EB560E"/>
    <w:rsid w:val="00EB5D1E"/>
    <w:rsid w:val="00EB7F42"/>
    <w:rsid w:val="00EC02F5"/>
    <w:rsid w:val="00EC2DB6"/>
    <w:rsid w:val="00EC4B6C"/>
    <w:rsid w:val="00EC5173"/>
    <w:rsid w:val="00EC5513"/>
    <w:rsid w:val="00ED03E1"/>
    <w:rsid w:val="00ED0400"/>
    <w:rsid w:val="00ED1A98"/>
    <w:rsid w:val="00ED2207"/>
    <w:rsid w:val="00ED34D5"/>
    <w:rsid w:val="00ED41D5"/>
    <w:rsid w:val="00ED62B0"/>
    <w:rsid w:val="00ED706F"/>
    <w:rsid w:val="00ED7368"/>
    <w:rsid w:val="00EE03DB"/>
    <w:rsid w:val="00EE3075"/>
    <w:rsid w:val="00EE3BED"/>
    <w:rsid w:val="00EE4076"/>
    <w:rsid w:val="00EE7787"/>
    <w:rsid w:val="00EF151C"/>
    <w:rsid w:val="00EF30E2"/>
    <w:rsid w:val="00EF4BDF"/>
    <w:rsid w:val="00F00BEC"/>
    <w:rsid w:val="00F0152D"/>
    <w:rsid w:val="00F02C77"/>
    <w:rsid w:val="00F03020"/>
    <w:rsid w:val="00F06A4B"/>
    <w:rsid w:val="00F11F8C"/>
    <w:rsid w:val="00F13EE0"/>
    <w:rsid w:val="00F1472F"/>
    <w:rsid w:val="00F213E7"/>
    <w:rsid w:val="00F21CBD"/>
    <w:rsid w:val="00F22A38"/>
    <w:rsid w:val="00F253DE"/>
    <w:rsid w:val="00F26623"/>
    <w:rsid w:val="00F3007E"/>
    <w:rsid w:val="00F323FC"/>
    <w:rsid w:val="00F32F98"/>
    <w:rsid w:val="00F35C90"/>
    <w:rsid w:val="00F40DB3"/>
    <w:rsid w:val="00F417C1"/>
    <w:rsid w:val="00F42092"/>
    <w:rsid w:val="00F4583B"/>
    <w:rsid w:val="00F508C0"/>
    <w:rsid w:val="00F518A0"/>
    <w:rsid w:val="00F55185"/>
    <w:rsid w:val="00F57F6A"/>
    <w:rsid w:val="00F61B44"/>
    <w:rsid w:val="00F6214D"/>
    <w:rsid w:val="00F6458A"/>
    <w:rsid w:val="00F65F55"/>
    <w:rsid w:val="00F7278F"/>
    <w:rsid w:val="00F730A0"/>
    <w:rsid w:val="00F76F71"/>
    <w:rsid w:val="00F81B67"/>
    <w:rsid w:val="00F81D50"/>
    <w:rsid w:val="00F82070"/>
    <w:rsid w:val="00F8218A"/>
    <w:rsid w:val="00F83CFC"/>
    <w:rsid w:val="00F83F5C"/>
    <w:rsid w:val="00F86283"/>
    <w:rsid w:val="00F876E5"/>
    <w:rsid w:val="00F87831"/>
    <w:rsid w:val="00F921C4"/>
    <w:rsid w:val="00F92F02"/>
    <w:rsid w:val="00F966AA"/>
    <w:rsid w:val="00FA2153"/>
    <w:rsid w:val="00FA4D70"/>
    <w:rsid w:val="00FA4E9B"/>
    <w:rsid w:val="00FA704C"/>
    <w:rsid w:val="00FA7723"/>
    <w:rsid w:val="00FB1282"/>
    <w:rsid w:val="00FB2BEE"/>
    <w:rsid w:val="00FB3928"/>
    <w:rsid w:val="00FB621B"/>
    <w:rsid w:val="00FB6529"/>
    <w:rsid w:val="00FB6B50"/>
    <w:rsid w:val="00FB7524"/>
    <w:rsid w:val="00FB7EBB"/>
    <w:rsid w:val="00FB7FCE"/>
    <w:rsid w:val="00FC02ED"/>
    <w:rsid w:val="00FC28AE"/>
    <w:rsid w:val="00FC2A70"/>
    <w:rsid w:val="00FC4A5C"/>
    <w:rsid w:val="00FC5CFB"/>
    <w:rsid w:val="00FC6D8E"/>
    <w:rsid w:val="00FC76A4"/>
    <w:rsid w:val="00FD058A"/>
    <w:rsid w:val="00FD3D05"/>
    <w:rsid w:val="00FD6FF1"/>
    <w:rsid w:val="00FE019C"/>
    <w:rsid w:val="00FE189D"/>
    <w:rsid w:val="00FE636B"/>
    <w:rsid w:val="00FE7425"/>
    <w:rsid w:val="00FF25FF"/>
    <w:rsid w:val="00FF374E"/>
    <w:rsid w:val="00FF500B"/>
    <w:rsid w:val="00FF507E"/>
    <w:rsid w:val="00FF55AC"/>
    <w:rsid w:val="00FF6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9285B"/>
    <w:rPr>
      <w:rFonts w:ascii="Times New Roman" w:hAnsi="Times New Roman"/>
      <w:sz w:val="24"/>
    </w:rPr>
  </w:style>
  <w:style w:type="paragraph" w:styleId="Heading1">
    <w:name w:val="heading 1"/>
    <w:basedOn w:val="Normal"/>
    <w:next w:val="Normal"/>
    <w:link w:val="Heading1Char"/>
    <w:uiPriority w:val="99"/>
    <w:qFormat/>
    <w:rsid w:val="00BB7C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semiHidden/>
    <w:unhideWhenUsed/>
    <w:qFormat/>
    <w:rsid w:val="00D53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56F51"/>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C33712"/>
    <w:pPr>
      <w:spacing w:before="100" w:beforeAutospacing="1" w:after="100" w:afterAutospacing="1" w:line="240" w:lineRule="auto"/>
      <w:outlineLvl w:val="3"/>
    </w:pPr>
    <w:rPr>
      <w:rFonts w:eastAsia="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7C84"/>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nhideWhenUsed/>
    <w:rsid w:val="00BB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7C84"/>
    <w:rPr>
      <w:rFonts w:ascii="Tahoma" w:hAnsi="Tahoma" w:cs="Tahoma"/>
      <w:sz w:val="16"/>
      <w:szCs w:val="16"/>
    </w:rPr>
  </w:style>
  <w:style w:type="paragraph" w:customStyle="1" w:styleId="EndNoteBibliographyTitle">
    <w:name w:val="EndNote Bibliography Title"/>
    <w:basedOn w:val="Normal"/>
    <w:link w:val="EndNoteBibliographyTitleChar"/>
    <w:rsid w:val="002906D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906DA"/>
    <w:rPr>
      <w:rFonts w:ascii="Times New Roman" w:hAnsi="Times New Roman" w:cs="Times New Roman"/>
      <w:noProof/>
      <w:sz w:val="24"/>
    </w:rPr>
  </w:style>
  <w:style w:type="paragraph" w:customStyle="1" w:styleId="EndNoteBibliography">
    <w:name w:val="EndNote Bibliography"/>
    <w:basedOn w:val="Normal"/>
    <w:link w:val="EndNoteBibliographyChar"/>
    <w:rsid w:val="002906DA"/>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2906DA"/>
    <w:rPr>
      <w:rFonts w:ascii="Times New Roman" w:hAnsi="Times New Roman" w:cs="Times New Roman"/>
      <w:noProof/>
      <w:sz w:val="24"/>
    </w:rPr>
  </w:style>
  <w:style w:type="paragraph" w:customStyle="1" w:styleId="Default">
    <w:name w:val="Default"/>
    <w:rsid w:val="00661C8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265E37"/>
    <w:pPr>
      <w:spacing w:after="0" w:line="240" w:lineRule="auto"/>
    </w:pPr>
    <w:rPr>
      <w:sz w:val="20"/>
      <w:szCs w:val="20"/>
    </w:rPr>
  </w:style>
  <w:style w:type="character" w:customStyle="1" w:styleId="FootnoteTextChar">
    <w:name w:val="Footnote Text Char"/>
    <w:basedOn w:val="DefaultParagraphFont"/>
    <w:link w:val="FootnoteText"/>
    <w:rsid w:val="00265E37"/>
    <w:rPr>
      <w:rFonts w:ascii="Times New Roman" w:hAnsi="Times New Roman"/>
      <w:sz w:val="20"/>
      <w:szCs w:val="20"/>
    </w:rPr>
  </w:style>
  <w:style w:type="character" w:styleId="FootnoteReference">
    <w:name w:val="footnote reference"/>
    <w:basedOn w:val="DefaultParagraphFont"/>
    <w:uiPriority w:val="99"/>
    <w:semiHidden/>
    <w:unhideWhenUsed/>
    <w:rsid w:val="00265E37"/>
    <w:rPr>
      <w:vertAlign w:val="superscript"/>
    </w:rPr>
  </w:style>
  <w:style w:type="table" w:styleId="TableGrid">
    <w:name w:val="Table Grid"/>
    <w:basedOn w:val="TableNormal"/>
    <w:uiPriority w:val="39"/>
    <w:rsid w:val="00EE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E03DB"/>
    <w:pPr>
      <w:spacing w:line="240" w:lineRule="auto"/>
    </w:pPr>
    <w:rPr>
      <w:b/>
      <w:bCs/>
      <w:color w:val="4F81BD" w:themeColor="accent1"/>
      <w:sz w:val="18"/>
      <w:szCs w:val="18"/>
    </w:rPr>
  </w:style>
  <w:style w:type="table" w:customStyle="1" w:styleId="TableGrid1">
    <w:name w:val="Table Grid1"/>
    <w:basedOn w:val="TableNormal"/>
    <w:next w:val="TableGrid"/>
    <w:rsid w:val="00CD1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467"/>
    <w:rPr>
      <w:rFonts w:ascii="Times New Roman" w:hAnsi="Times New Roman"/>
      <w:sz w:val="24"/>
    </w:rPr>
  </w:style>
  <w:style w:type="paragraph" w:styleId="Footer">
    <w:name w:val="footer"/>
    <w:basedOn w:val="Normal"/>
    <w:link w:val="FooterChar"/>
    <w:uiPriority w:val="99"/>
    <w:unhideWhenUsed/>
    <w:rsid w:val="00CD1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467"/>
    <w:rPr>
      <w:rFonts w:ascii="Times New Roman" w:hAnsi="Times New Roman"/>
      <w:sz w:val="24"/>
    </w:rPr>
  </w:style>
  <w:style w:type="table" w:customStyle="1" w:styleId="TableGrid4">
    <w:name w:val="Table Grid4"/>
    <w:basedOn w:val="TableNormal"/>
    <w:next w:val="TableGrid"/>
    <w:uiPriority w:val="59"/>
    <w:rsid w:val="00F50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830AA"/>
  </w:style>
  <w:style w:type="character" w:styleId="Hyperlink">
    <w:name w:val="Hyperlink"/>
    <w:basedOn w:val="DefaultParagraphFont"/>
    <w:uiPriority w:val="99"/>
    <w:unhideWhenUsed/>
    <w:rsid w:val="007E3269"/>
    <w:rPr>
      <w:color w:val="0000FF" w:themeColor="hyperlink"/>
      <w:u w:val="single"/>
    </w:rPr>
  </w:style>
  <w:style w:type="character" w:customStyle="1" w:styleId="orcid-id-https">
    <w:name w:val="orcid-id-https"/>
    <w:basedOn w:val="DefaultParagraphFont"/>
    <w:rsid w:val="0004227C"/>
  </w:style>
  <w:style w:type="character" w:customStyle="1" w:styleId="CharAttribute8">
    <w:name w:val="CharAttribute8"/>
    <w:basedOn w:val="DefaultParagraphFont"/>
    <w:rsid w:val="0004227C"/>
    <w:rPr>
      <w:rFonts w:ascii="Cambria" w:hAnsi="Cambria" w:hint="default"/>
      <w:color w:val="0000FF"/>
      <w:u w:val="single"/>
    </w:rPr>
  </w:style>
  <w:style w:type="paragraph" w:styleId="HTMLPreformatted">
    <w:name w:val="HTML Preformatted"/>
    <w:basedOn w:val="Normal"/>
    <w:link w:val="HTMLPreformattedChar"/>
    <w:uiPriority w:val="99"/>
    <w:unhideWhenUsed/>
    <w:rsid w:val="003A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24EC"/>
    <w:rPr>
      <w:rFonts w:ascii="Courier New" w:eastAsia="Times New Roman" w:hAnsi="Courier New" w:cs="Courier New"/>
      <w:sz w:val="20"/>
      <w:szCs w:val="20"/>
    </w:rPr>
  </w:style>
  <w:style w:type="character" w:customStyle="1" w:styleId="y2iqfc">
    <w:name w:val="y2iqfc"/>
    <w:basedOn w:val="DefaultParagraphFont"/>
    <w:rsid w:val="003A24EC"/>
  </w:style>
  <w:style w:type="character" w:customStyle="1" w:styleId="identifier">
    <w:name w:val="identifier"/>
    <w:basedOn w:val="DefaultParagraphFont"/>
    <w:rsid w:val="00D36D83"/>
  </w:style>
  <w:style w:type="character" w:customStyle="1" w:styleId="id-label">
    <w:name w:val="id-label"/>
    <w:basedOn w:val="DefaultParagraphFont"/>
    <w:rsid w:val="00D36D83"/>
  </w:style>
  <w:style w:type="character" w:customStyle="1" w:styleId="authors-list-item">
    <w:name w:val="authors-list-item"/>
    <w:basedOn w:val="DefaultParagraphFont"/>
    <w:rsid w:val="00D36D83"/>
  </w:style>
  <w:style w:type="character" w:customStyle="1" w:styleId="comma">
    <w:name w:val="comma"/>
    <w:basedOn w:val="DefaultParagraphFont"/>
    <w:rsid w:val="00D36D83"/>
  </w:style>
  <w:style w:type="character" w:customStyle="1" w:styleId="hgkelc">
    <w:name w:val="hgkelc"/>
    <w:basedOn w:val="DefaultParagraphFont"/>
    <w:rsid w:val="00256F51"/>
  </w:style>
  <w:style w:type="character" w:customStyle="1" w:styleId="Heading3Char">
    <w:name w:val="Heading 3 Char"/>
    <w:basedOn w:val="DefaultParagraphFont"/>
    <w:link w:val="Heading3"/>
    <w:uiPriority w:val="9"/>
    <w:rsid w:val="00256F5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CB35D7"/>
    <w:rPr>
      <w:i/>
      <w:iCs/>
    </w:rPr>
  </w:style>
  <w:style w:type="character" w:customStyle="1" w:styleId="reference-accessdate">
    <w:name w:val="reference-accessdate"/>
    <w:basedOn w:val="DefaultParagraphFont"/>
    <w:rsid w:val="00CB35D7"/>
  </w:style>
  <w:style w:type="character" w:customStyle="1" w:styleId="nowrap">
    <w:name w:val="nowrap"/>
    <w:basedOn w:val="DefaultParagraphFont"/>
    <w:rsid w:val="00CB35D7"/>
  </w:style>
  <w:style w:type="character" w:customStyle="1" w:styleId="Heading2Char">
    <w:name w:val="Heading 2 Char"/>
    <w:basedOn w:val="DefaultParagraphFont"/>
    <w:link w:val="Heading2"/>
    <w:semiHidden/>
    <w:rsid w:val="00D53CB1"/>
    <w:rPr>
      <w:rFonts w:asciiTheme="majorHAnsi" w:eastAsiaTheme="majorEastAsia" w:hAnsiTheme="majorHAnsi" w:cstheme="majorBidi"/>
      <w:b/>
      <w:bCs/>
      <w:color w:val="4F81BD" w:themeColor="accent1"/>
      <w:sz w:val="26"/>
      <w:szCs w:val="26"/>
    </w:rPr>
  </w:style>
  <w:style w:type="character" w:customStyle="1" w:styleId="fm-vol-iss-date">
    <w:name w:val="fm-vol-iss-date"/>
    <w:basedOn w:val="DefaultParagraphFont"/>
    <w:rsid w:val="00EF4BDF"/>
  </w:style>
  <w:style w:type="character" w:customStyle="1" w:styleId="doi">
    <w:name w:val="doi"/>
    <w:basedOn w:val="DefaultParagraphFont"/>
    <w:rsid w:val="00EF4BDF"/>
  </w:style>
  <w:style w:type="character" w:customStyle="1" w:styleId="label">
    <w:name w:val="label"/>
    <w:basedOn w:val="DefaultParagraphFont"/>
    <w:rsid w:val="002D7354"/>
  </w:style>
  <w:style w:type="character" w:customStyle="1" w:styleId="docurl">
    <w:name w:val="docurl"/>
    <w:basedOn w:val="DefaultParagraphFont"/>
    <w:rsid w:val="008A3987"/>
  </w:style>
  <w:style w:type="character" w:customStyle="1" w:styleId="author-sup-separator">
    <w:name w:val="author-sup-separator"/>
    <w:basedOn w:val="DefaultParagraphFont"/>
    <w:rsid w:val="00E17370"/>
  </w:style>
  <w:style w:type="character" w:customStyle="1" w:styleId="citation-doi">
    <w:name w:val="citation-doi"/>
    <w:basedOn w:val="DefaultParagraphFont"/>
    <w:rsid w:val="00E17370"/>
  </w:style>
  <w:style w:type="character" w:customStyle="1" w:styleId="secondary-date">
    <w:name w:val="secondary-date"/>
    <w:basedOn w:val="DefaultParagraphFont"/>
    <w:rsid w:val="00E17370"/>
  </w:style>
  <w:style w:type="character" w:customStyle="1" w:styleId="value">
    <w:name w:val="value"/>
    <w:basedOn w:val="DefaultParagraphFont"/>
    <w:rsid w:val="004B3397"/>
  </w:style>
  <w:style w:type="character" w:customStyle="1" w:styleId="name">
    <w:name w:val="name"/>
    <w:basedOn w:val="DefaultParagraphFont"/>
    <w:rsid w:val="004B3397"/>
  </w:style>
  <w:style w:type="character" w:customStyle="1" w:styleId="title">
    <w:name w:val="title"/>
    <w:basedOn w:val="DefaultParagraphFont"/>
    <w:rsid w:val="00BD377F"/>
  </w:style>
  <w:style w:type="character" w:customStyle="1" w:styleId="A11">
    <w:name w:val="A11"/>
    <w:uiPriority w:val="99"/>
    <w:rsid w:val="00947805"/>
    <w:rPr>
      <w:rFonts w:cs="Times New Roman PS"/>
      <w:color w:val="000000"/>
      <w:sz w:val="11"/>
      <w:szCs w:val="11"/>
    </w:rPr>
  </w:style>
  <w:style w:type="paragraph" w:customStyle="1" w:styleId="Pa15">
    <w:name w:val="Pa15"/>
    <w:basedOn w:val="Default"/>
    <w:next w:val="Default"/>
    <w:uiPriority w:val="99"/>
    <w:rsid w:val="00711220"/>
    <w:pPr>
      <w:spacing w:line="201" w:lineRule="atLeast"/>
    </w:pPr>
    <w:rPr>
      <w:rFonts w:ascii="Times New Roman PS" w:hAnsi="Times New Roman PS" w:cstheme="minorBidi"/>
      <w:color w:val="auto"/>
    </w:rPr>
  </w:style>
  <w:style w:type="paragraph" w:customStyle="1" w:styleId="Pa24">
    <w:name w:val="Pa24"/>
    <w:basedOn w:val="Default"/>
    <w:next w:val="Default"/>
    <w:uiPriority w:val="99"/>
    <w:rsid w:val="00B33E09"/>
    <w:pPr>
      <w:spacing w:line="281" w:lineRule="atLeast"/>
    </w:pPr>
    <w:rPr>
      <w:rFonts w:ascii="Gill Sans MT" w:hAnsi="Gill Sans MT" w:cstheme="minorBidi"/>
      <w:color w:val="auto"/>
    </w:rPr>
  </w:style>
  <w:style w:type="paragraph" w:customStyle="1" w:styleId="Pa13">
    <w:name w:val="Pa13"/>
    <w:basedOn w:val="Default"/>
    <w:next w:val="Default"/>
    <w:uiPriority w:val="99"/>
    <w:rsid w:val="00B33E09"/>
    <w:pPr>
      <w:spacing w:line="281" w:lineRule="atLeast"/>
    </w:pPr>
    <w:rPr>
      <w:rFonts w:ascii="Gill Sans MT" w:hAnsi="Gill Sans MT" w:cstheme="minorBidi"/>
      <w:color w:val="auto"/>
    </w:rPr>
  </w:style>
  <w:style w:type="paragraph" w:customStyle="1" w:styleId="Pa14">
    <w:name w:val="Pa14"/>
    <w:basedOn w:val="Default"/>
    <w:next w:val="Default"/>
    <w:uiPriority w:val="99"/>
    <w:rsid w:val="00B7114B"/>
    <w:pPr>
      <w:spacing w:line="201" w:lineRule="atLeast"/>
    </w:pPr>
    <w:rPr>
      <w:rFonts w:ascii="Times New Roman PS" w:hAnsi="Times New Roman PS" w:cstheme="minorBidi"/>
      <w:color w:val="auto"/>
    </w:rPr>
  </w:style>
  <w:style w:type="paragraph" w:customStyle="1" w:styleId="Pa27">
    <w:name w:val="Pa27"/>
    <w:basedOn w:val="Normal"/>
    <w:next w:val="Normal"/>
    <w:uiPriority w:val="99"/>
    <w:rsid w:val="00577451"/>
    <w:pPr>
      <w:autoSpaceDE w:val="0"/>
      <w:autoSpaceDN w:val="0"/>
      <w:adjustRightInd w:val="0"/>
      <w:spacing w:after="0" w:line="161" w:lineRule="atLeast"/>
    </w:pPr>
    <w:rPr>
      <w:rFonts w:ascii="Times New Roman PS" w:hAnsi="Times New Roman PS"/>
      <w:szCs w:val="24"/>
    </w:rPr>
  </w:style>
  <w:style w:type="character" w:customStyle="1" w:styleId="A7">
    <w:name w:val="A7"/>
    <w:uiPriority w:val="99"/>
    <w:rsid w:val="00577451"/>
    <w:rPr>
      <w:rFonts w:cs="Gill Sans MT"/>
      <w:color w:val="000000"/>
      <w:sz w:val="12"/>
      <w:szCs w:val="12"/>
    </w:rPr>
  </w:style>
  <w:style w:type="paragraph" w:styleId="NormalWeb">
    <w:name w:val="Normal (Web)"/>
    <w:basedOn w:val="Normal"/>
    <w:link w:val="NormalWebChar"/>
    <w:uiPriority w:val="99"/>
    <w:unhideWhenUsed/>
    <w:rsid w:val="00577451"/>
    <w:pPr>
      <w:spacing w:before="100" w:beforeAutospacing="1" w:after="100" w:afterAutospacing="1" w:line="240" w:lineRule="auto"/>
    </w:pPr>
    <w:rPr>
      <w:rFonts w:eastAsia="Times New Roman" w:cs="Times New Roman"/>
      <w:szCs w:val="24"/>
    </w:rPr>
  </w:style>
  <w:style w:type="paragraph" w:customStyle="1" w:styleId="Pa26">
    <w:name w:val="Pa26"/>
    <w:basedOn w:val="Default"/>
    <w:next w:val="Default"/>
    <w:uiPriority w:val="99"/>
    <w:rsid w:val="00577451"/>
    <w:pPr>
      <w:spacing w:line="161" w:lineRule="atLeast"/>
    </w:pPr>
    <w:rPr>
      <w:rFonts w:ascii="Times New Roman PS" w:hAnsi="Times New Roman PS" w:cstheme="minorBidi"/>
      <w:color w:val="auto"/>
    </w:rPr>
  </w:style>
  <w:style w:type="character" w:styleId="Strong">
    <w:name w:val="Strong"/>
    <w:basedOn w:val="DefaultParagraphFont"/>
    <w:uiPriority w:val="22"/>
    <w:qFormat/>
    <w:rsid w:val="0043788D"/>
    <w:rPr>
      <w:b/>
      <w:bCs/>
    </w:rPr>
  </w:style>
  <w:style w:type="paragraph" w:styleId="ListParagraph">
    <w:name w:val="List Paragraph"/>
    <w:basedOn w:val="Normal"/>
    <w:uiPriority w:val="34"/>
    <w:qFormat/>
    <w:rsid w:val="005D7C78"/>
    <w:pPr>
      <w:ind w:left="720"/>
      <w:contextualSpacing/>
    </w:pPr>
  </w:style>
  <w:style w:type="character" w:customStyle="1" w:styleId="Heading4Char">
    <w:name w:val="Heading 4 Char"/>
    <w:basedOn w:val="DefaultParagraphFont"/>
    <w:link w:val="Heading4"/>
    <w:uiPriority w:val="9"/>
    <w:rsid w:val="00C33712"/>
    <w:rPr>
      <w:rFonts w:ascii="Times New Roman" w:eastAsia="Times New Roman" w:hAnsi="Times New Roman" w:cs="Times New Roman"/>
      <w:b/>
      <w:bCs/>
      <w:sz w:val="29"/>
      <w:szCs w:val="29"/>
    </w:rPr>
  </w:style>
  <w:style w:type="paragraph" w:styleId="Bibliography">
    <w:name w:val="Bibliography"/>
    <w:basedOn w:val="Normal"/>
    <w:next w:val="Normal"/>
    <w:rsid w:val="00C33712"/>
    <w:pPr>
      <w:suppressAutoHyphens/>
      <w:autoSpaceDN w:val="0"/>
      <w:bidi/>
      <w:spacing w:after="160" w:line="240" w:lineRule="auto"/>
      <w:textAlignment w:val="baseline"/>
    </w:pPr>
    <w:rPr>
      <w:rFonts w:ascii="Calibri" w:eastAsia="Calibri" w:hAnsi="Calibri" w:cs="Arial"/>
      <w:sz w:val="22"/>
    </w:rPr>
  </w:style>
  <w:style w:type="numbering" w:customStyle="1" w:styleId="NoList1">
    <w:name w:val="No List1"/>
    <w:next w:val="NoList"/>
    <w:semiHidden/>
    <w:rsid w:val="00C33712"/>
  </w:style>
  <w:style w:type="paragraph" w:customStyle="1" w:styleId="1">
    <w:name w:val="سرد الفقرات1"/>
    <w:basedOn w:val="Normal"/>
    <w:uiPriority w:val="99"/>
    <w:qFormat/>
    <w:rsid w:val="00C33712"/>
    <w:pPr>
      <w:bidi/>
      <w:ind w:left="720"/>
      <w:contextualSpacing/>
    </w:pPr>
    <w:rPr>
      <w:rFonts w:ascii="Calibri" w:eastAsia="Calibri" w:hAnsi="Calibri" w:cs="Arial"/>
      <w:sz w:val="22"/>
    </w:rPr>
  </w:style>
  <w:style w:type="paragraph" w:customStyle="1" w:styleId="ListParagraph1">
    <w:name w:val="List Paragraph1"/>
    <w:basedOn w:val="Normal"/>
    <w:rsid w:val="00C33712"/>
    <w:pPr>
      <w:bidi/>
      <w:ind w:left="720"/>
      <w:contextualSpacing/>
    </w:pPr>
    <w:rPr>
      <w:rFonts w:ascii="Calibri" w:eastAsia="Calibri" w:hAnsi="Calibri" w:cs="Arial"/>
      <w:sz w:val="22"/>
    </w:rPr>
  </w:style>
  <w:style w:type="character" w:styleId="PageNumber">
    <w:name w:val="page number"/>
    <w:rsid w:val="00C33712"/>
    <w:rPr>
      <w:rFonts w:cs="Times New Roman"/>
    </w:rPr>
  </w:style>
  <w:style w:type="paragraph" w:customStyle="1" w:styleId="Pa1">
    <w:name w:val="Pa1"/>
    <w:basedOn w:val="Normal"/>
    <w:next w:val="Normal"/>
    <w:uiPriority w:val="99"/>
    <w:rsid w:val="00C33712"/>
    <w:pPr>
      <w:autoSpaceDE w:val="0"/>
      <w:autoSpaceDN w:val="0"/>
      <w:adjustRightInd w:val="0"/>
      <w:spacing w:after="0" w:line="241" w:lineRule="atLeast"/>
    </w:pPr>
    <w:rPr>
      <w:rFonts w:ascii="Cambria" w:hAnsi="Cambria"/>
      <w:szCs w:val="24"/>
    </w:rPr>
  </w:style>
  <w:style w:type="character" w:customStyle="1" w:styleId="A4">
    <w:name w:val="A4"/>
    <w:uiPriority w:val="99"/>
    <w:rsid w:val="00C33712"/>
    <w:rPr>
      <w:rFonts w:cs="Cambria"/>
      <w:b/>
      <w:bCs/>
      <w:color w:val="000000"/>
      <w:sz w:val="16"/>
      <w:szCs w:val="16"/>
    </w:rPr>
  </w:style>
  <w:style w:type="numbering" w:customStyle="1" w:styleId="NoList2">
    <w:name w:val="No List2"/>
    <w:next w:val="NoList"/>
    <w:uiPriority w:val="99"/>
    <w:semiHidden/>
    <w:unhideWhenUsed/>
    <w:rsid w:val="00C33712"/>
  </w:style>
  <w:style w:type="paragraph" w:styleId="BodyText">
    <w:name w:val="Body Text"/>
    <w:basedOn w:val="Normal"/>
    <w:link w:val="BodyTextChar"/>
    <w:uiPriority w:val="99"/>
    <w:rsid w:val="00C33712"/>
    <w:pPr>
      <w:bidi/>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rsid w:val="00C33712"/>
    <w:rPr>
      <w:rFonts w:ascii="Times New Roman" w:eastAsia="Times New Roman" w:hAnsi="Times New Roman" w:cs="Times New Roman"/>
      <w:sz w:val="24"/>
      <w:szCs w:val="24"/>
    </w:rPr>
  </w:style>
  <w:style w:type="character" w:customStyle="1" w:styleId="FootnoteTextChar1">
    <w:name w:val="Footnote Text Char1"/>
    <w:basedOn w:val="DefaultParagraphFont"/>
    <w:uiPriority w:val="99"/>
    <w:semiHidden/>
    <w:rsid w:val="00C33712"/>
    <w:rPr>
      <w:sz w:val="20"/>
      <w:szCs w:val="20"/>
    </w:rPr>
  </w:style>
  <w:style w:type="character" w:styleId="Emphasis">
    <w:name w:val="Emphasis"/>
    <w:basedOn w:val="DefaultParagraphFont"/>
    <w:uiPriority w:val="20"/>
    <w:qFormat/>
    <w:rsid w:val="00C33712"/>
    <w:rPr>
      <w:rFonts w:cs="Times New Roman"/>
      <w:i/>
      <w:iCs/>
    </w:rPr>
  </w:style>
  <w:style w:type="character" w:customStyle="1" w:styleId="EndnoteTextChar">
    <w:name w:val="Endnote Text Char"/>
    <w:basedOn w:val="DefaultParagraphFont"/>
    <w:link w:val="EndnoteText"/>
    <w:rsid w:val="00C33712"/>
    <w:rPr>
      <w:rFonts w:ascii="Times New Roman" w:eastAsia="SimSun" w:hAnsi="Times New Roman" w:cs="Times New Roman"/>
      <w:sz w:val="20"/>
      <w:szCs w:val="20"/>
      <w:lang w:eastAsia="zh-CN"/>
    </w:rPr>
  </w:style>
  <w:style w:type="paragraph" w:styleId="EndnoteText">
    <w:name w:val="endnote text"/>
    <w:basedOn w:val="Normal"/>
    <w:link w:val="EndnoteTextChar"/>
    <w:rsid w:val="00C33712"/>
    <w:pPr>
      <w:spacing w:after="0" w:line="240" w:lineRule="auto"/>
    </w:pPr>
    <w:rPr>
      <w:rFonts w:eastAsia="SimSun" w:cs="Times New Roman"/>
      <w:sz w:val="20"/>
      <w:szCs w:val="20"/>
      <w:lang w:eastAsia="zh-CN"/>
    </w:rPr>
  </w:style>
  <w:style w:type="character" w:customStyle="1" w:styleId="EndnoteTextChar1">
    <w:name w:val="Endnote Text Char1"/>
    <w:basedOn w:val="DefaultParagraphFont"/>
    <w:link w:val="EndnoteText"/>
    <w:uiPriority w:val="99"/>
    <w:semiHidden/>
    <w:rsid w:val="00C33712"/>
    <w:rPr>
      <w:rFonts w:ascii="Times New Roman" w:hAnsi="Times New Roman"/>
      <w:sz w:val="20"/>
      <w:szCs w:val="20"/>
    </w:rPr>
  </w:style>
  <w:style w:type="character" w:customStyle="1" w:styleId="hps">
    <w:name w:val="hps"/>
    <w:basedOn w:val="DefaultParagraphFont"/>
    <w:rsid w:val="00C33712"/>
  </w:style>
  <w:style w:type="character" w:customStyle="1" w:styleId="longtext">
    <w:name w:val="long_text"/>
    <w:basedOn w:val="DefaultParagraphFont"/>
    <w:rsid w:val="00C33712"/>
  </w:style>
  <w:style w:type="character" w:customStyle="1" w:styleId="st">
    <w:name w:val="st"/>
    <w:basedOn w:val="DefaultParagraphFont"/>
    <w:rsid w:val="00C33712"/>
  </w:style>
  <w:style w:type="character" w:customStyle="1" w:styleId="sehl">
    <w:name w:val="sehl"/>
    <w:basedOn w:val="DefaultParagraphFont"/>
    <w:rsid w:val="00C33712"/>
  </w:style>
  <w:style w:type="paragraph" w:customStyle="1" w:styleId="txtdetails">
    <w:name w:val="txtdetails"/>
    <w:basedOn w:val="Normal"/>
    <w:rsid w:val="00C33712"/>
    <w:pPr>
      <w:spacing w:before="100" w:beforeAutospacing="1" w:after="100" w:afterAutospacing="1" w:line="240" w:lineRule="auto"/>
    </w:pPr>
    <w:rPr>
      <w:rFonts w:eastAsia="Times New Roman" w:cs="Times New Roman"/>
      <w:szCs w:val="24"/>
    </w:rPr>
  </w:style>
  <w:style w:type="character" w:customStyle="1" w:styleId="shorttext1">
    <w:name w:val="short_text1"/>
    <w:basedOn w:val="DefaultParagraphFont"/>
    <w:uiPriority w:val="99"/>
    <w:rsid w:val="00C33712"/>
    <w:rPr>
      <w:rFonts w:cs="Times New Roman"/>
      <w:sz w:val="24"/>
      <w:szCs w:val="24"/>
    </w:rPr>
  </w:style>
  <w:style w:type="character" w:styleId="LineNumber">
    <w:name w:val="line number"/>
    <w:basedOn w:val="DefaultParagraphFont"/>
    <w:uiPriority w:val="99"/>
    <w:semiHidden/>
    <w:unhideWhenUsed/>
    <w:rsid w:val="00C33712"/>
  </w:style>
  <w:style w:type="paragraph" w:customStyle="1" w:styleId="aff">
    <w:name w:val="aff"/>
    <w:basedOn w:val="Normal"/>
    <w:uiPriority w:val="99"/>
    <w:rsid w:val="00C33712"/>
    <w:pPr>
      <w:spacing w:before="100" w:beforeAutospacing="1" w:after="100" w:afterAutospacing="1" w:line="240" w:lineRule="auto"/>
    </w:pPr>
    <w:rPr>
      <w:rFonts w:eastAsia="Malgun Gothic" w:cs="Times New Roman"/>
      <w:szCs w:val="24"/>
    </w:rPr>
  </w:style>
  <w:style w:type="paragraph" w:customStyle="1" w:styleId="authors">
    <w:name w:val="authors"/>
    <w:basedOn w:val="Normal"/>
    <w:uiPriority w:val="99"/>
    <w:rsid w:val="00C33712"/>
    <w:pPr>
      <w:spacing w:before="100" w:beforeAutospacing="1" w:after="100" w:afterAutospacing="1" w:line="240" w:lineRule="auto"/>
    </w:pPr>
    <w:rPr>
      <w:rFonts w:eastAsia="Times New Roman" w:cs="Times New Roman"/>
      <w:szCs w:val="24"/>
    </w:rPr>
  </w:style>
  <w:style w:type="character" w:customStyle="1" w:styleId="content2">
    <w:name w:val="content2"/>
    <w:basedOn w:val="DefaultParagraphFont"/>
    <w:rsid w:val="00C33712"/>
  </w:style>
  <w:style w:type="character" w:customStyle="1" w:styleId="url">
    <w:name w:val="url"/>
    <w:basedOn w:val="DefaultParagraphFont"/>
    <w:rsid w:val="00C33712"/>
  </w:style>
  <w:style w:type="character" w:customStyle="1" w:styleId="street-address">
    <w:name w:val="street-address"/>
    <w:basedOn w:val="DefaultParagraphFont"/>
    <w:rsid w:val="00C33712"/>
  </w:style>
  <w:style w:type="character" w:customStyle="1" w:styleId="Date1">
    <w:name w:val="Date1"/>
    <w:basedOn w:val="DefaultParagraphFont"/>
    <w:rsid w:val="00C33712"/>
  </w:style>
  <w:style w:type="character" w:customStyle="1" w:styleId="mw-headline">
    <w:name w:val="mw-headline"/>
    <w:basedOn w:val="DefaultParagraphFont"/>
    <w:rsid w:val="00C33712"/>
  </w:style>
  <w:style w:type="table" w:customStyle="1" w:styleId="TableGrid2">
    <w:name w:val="Table Grid2"/>
    <w:basedOn w:val="TableNormal"/>
    <w:next w:val="TableGrid"/>
    <w:uiPriority w:val="59"/>
    <w:rsid w:val="00C3371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ype">
    <w:name w:val="articletype"/>
    <w:basedOn w:val="DefaultParagraphFont"/>
    <w:rsid w:val="00C33712"/>
  </w:style>
  <w:style w:type="character" w:customStyle="1" w:styleId="pseudotab">
    <w:name w:val="pseudotab"/>
    <w:basedOn w:val="DefaultParagraphFont"/>
    <w:rsid w:val="00C33712"/>
  </w:style>
  <w:style w:type="character" w:customStyle="1" w:styleId="slug-pages">
    <w:name w:val="slug-pages"/>
    <w:basedOn w:val="DefaultParagraphFont"/>
    <w:rsid w:val="00C33712"/>
  </w:style>
  <w:style w:type="character" w:customStyle="1" w:styleId="citation-volume">
    <w:name w:val="citation-volume"/>
    <w:basedOn w:val="DefaultParagraphFont"/>
    <w:rsid w:val="00C33712"/>
  </w:style>
  <w:style w:type="character" w:customStyle="1" w:styleId="citation-issue">
    <w:name w:val="citation-issue"/>
    <w:basedOn w:val="DefaultParagraphFont"/>
    <w:rsid w:val="00C33712"/>
  </w:style>
  <w:style w:type="character" w:customStyle="1" w:styleId="citation-flpages">
    <w:name w:val="citation-flpages"/>
    <w:basedOn w:val="DefaultParagraphFont"/>
    <w:rsid w:val="00C33712"/>
  </w:style>
  <w:style w:type="character" w:customStyle="1" w:styleId="10">
    <w:name w:val="تاريخ1"/>
    <w:basedOn w:val="DefaultParagraphFont"/>
    <w:rsid w:val="00C33712"/>
  </w:style>
  <w:style w:type="character" w:customStyle="1" w:styleId="hvr">
    <w:name w:val="hvr"/>
    <w:basedOn w:val="DefaultParagraphFont"/>
    <w:rsid w:val="00C33712"/>
  </w:style>
  <w:style w:type="paragraph" w:customStyle="1" w:styleId="MDPI14history">
    <w:name w:val="MDPI_1.4_history"/>
    <w:basedOn w:val="Normal"/>
    <w:next w:val="Normal"/>
    <w:qFormat/>
    <w:rsid w:val="00C33712"/>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character" w:customStyle="1" w:styleId="citation-journal">
    <w:name w:val="citation-journal"/>
    <w:basedOn w:val="DefaultParagraphFont"/>
    <w:rsid w:val="00E86A69"/>
  </w:style>
  <w:style w:type="character" w:customStyle="1" w:styleId="citation-year">
    <w:name w:val="citation-year"/>
    <w:basedOn w:val="DefaultParagraphFont"/>
    <w:rsid w:val="00E86A69"/>
  </w:style>
  <w:style w:type="character" w:customStyle="1" w:styleId="doilabel">
    <w:name w:val="doi__label"/>
    <w:basedOn w:val="DefaultParagraphFont"/>
    <w:rsid w:val="00E86A69"/>
  </w:style>
  <w:style w:type="character" w:customStyle="1" w:styleId="NormalWebChar">
    <w:name w:val="Normal (Web) Char"/>
    <w:basedOn w:val="DefaultParagraphFont"/>
    <w:link w:val="NormalWeb"/>
    <w:uiPriority w:val="99"/>
    <w:rsid w:val="00E12D6F"/>
    <w:rPr>
      <w:rFonts w:ascii="Times New Roman" w:eastAsia="Times New Roman" w:hAnsi="Times New Roman" w:cs="Times New Roman"/>
      <w:sz w:val="24"/>
      <w:szCs w:val="24"/>
    </w:rPr>
  </w:style>
  <w:style w:type="character" w:customStyle="1" w:styleId="capture-id">
    <w:name w:val="capture-id"/>
    <w:basedOn w:val="DefaultParagraphFont"/>
    <w:rsid w:val="001C2C32"/>
  </w:style>
  <w:style w:type="character" w:customStyle="1" w:styleId="mw-editsection">
    <w:name w:val="mw-editsection"/>
    <w:basedOn w:val="DefaultParagraphFont"/>
    <w:rsid w:val="00974759"/>
  </w:style>
  <w:style w:type="character" w:customStyle="1" w:styleId="mw-editsection-bracket">
    <w:name w:val="mw-editsection-bracket"/>
    <w:basedOn w:val="DefaultParagraphFont"/>
    <w:rsid w:val="00974759"/>
  </w:style>
  <w:style w:type="character" w:customStyle="1" w:styleId="A6">
    <w:name w:val="A6"/>
    <w:uiPriority w:val="99"/>
    <w:rsid w:val="00065E6D"/>
    <w:rPr>
      <w:rFonts w:cs="Cambri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5B"/>
    <w:rPr>
      <w:rFonts w:ascii="Times New Roman" w:hAnsi="Times New Roman"/>
      <w:sz w:val="24"/>
    </w:rPr>
  </w:style>
  <w:style w:type="paragraph" w:styleId="Heading1">
    <w:name w:val="heading 1"/>
    <w:basedOn w:val="Normal"/>
    <w:next w:val="Normal"/>
    <w:link w:val="Heading1Char"/>
    <w:uiPriority w:val="9"/>
    <w:qFormat/>
    <w:rsid w:val="00BB7C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C84"/>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BB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84"/>
    <w:rPr>
      <w:rFonts w:ascii="Tahoma" w:hAnsi="Tahoma" w:cs="Tahoma"/>
      <w:sz w:val="16"/>
      <w:szCs w:val="16"/>
    </w:rPr>
  </w:style>
  <w:style w:type="paragraph" w:customStyle="1" w:styleId="EndNoteBibliographyTitle">
    <w:name w:val="EndNote Bibliography Title"/>
    <w:basedOn w:val="Normal"/>
    <w:link w:val="EndNoteBibliographyTitleChar"/>
    <w:rsid w:val="002906D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906DA"/>
    <w:rPr>
      <w:rFonts w:ascii="Times New Roman" w:hAnsi="Times New Roman" w:cs="Times New Roman"/>
      <w:noProof/>
      <w:sz w:val="24"/>
    </w:rPr>
  </w:style>
  <w:style w:type="paragraph" w:customStyle="1" w:styleId="EndNoteBibliography">
    <w:name w:val="EndNote Bibliography"/>
    <w:basedOn w:val="Normal"/>
    <w:link w:val="EndNoteBibliographyChar"/>
    <w:rsid w:val="002906DA"/>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2906DA"/>
    <w:rPr>
      <w:rFonts w:ascii="Times New Roman" w:hAnsi="Times New Roman" w:cs="Times New Roman"/>
      <w:noProof/>
      <w:sz w:val="24"/>
    </w:rPr>
  </w:style>
  <w:style w:type="paragraph" w:customStyle="1" w:styleId="Default">
    <w:name w:val="Default"/>
    <w:rsid w:val="00661C8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65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E37"/>
    <w:rPr>
      <w:rFonts w:ascii="Times New Roman" w:hAnsi="Times New Roman"/>
      <w:sz w:val="20"/>
      <w:szCs w:val="20"/>
    </w:rPr>
  </w:style>
  <w:style w:type="character" w:styleId="FootnoteReference">
    <w:name w:val="footnote reference"/>
    <w:basedOn w:val="DefaultParagraphFont"/>
    <w:uiPriority w:val="99"/>
    <w:semiHidden/>
    <w:unhideWhenUsed/>
    <w:rsid w:val="00265E37"/>
    <w:rPr>
      <w:vertAlign w:val="superscript"/>
    </w:rPr>
  </w:style>
  <w:style w:type="table" w:styleId="TableGrid">
    <w:name w:val="Table Grid"/>
    <w:basedOn w:val="TableNormal"/>
    <w:uiPriority w:val="59"/>
    <w:rsid w:val="00EE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E03DB"/>
    <w:pPr>
      <w:spacing w:line="240" w:lineRule="auto"/>
    </w:pPr>
    <w:rPr>
      <w:b/>
      <w:bCs/>
      <w:color w:val="4F81BD" w:themeColor="accent1"/>
      <w:sz w:val="18"/>
      <w:szCs w:val="18"/>
    </w:rPr>
  </w:style>
  <w:style w:type="table" w:customStyle="1" w:styleId="TableGrid1">
    <w:name w:val="Table Grid1"/>
    <w:basedOn w:val="TableNormal"/>
    <w:next w:val="TableGrid"/>
    <w:rsid w:val="00CD1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467"/>
    <w:rPr>
      <w:rFonts w:ascii="Times New Roman" w:hAnsi="Times New Roman"/>
      <w:sz w:val="24"/>
    </w:rPr>
  </w:style>
  <w:style w:type="paragraph" w:styleId="Footer">
    <w:name w:val="footer"/>
    <w:basedOn w:val="Normal"/>
    <w:link w:val="FooterChar"/>
    <w:uiPriority w:val="99"/>
    <w:unhideWhenUsed/>
    <w:rsid w:val="00CD1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467"/>
    <w:rPr>
      <w:rFonts w:ascii="Times New Roman" w:hAnsi="Times New Roman"/>
      <w:sz w:val="24"/>
    </w:rPr>
  </w:style>
  <w:style w:type="table" w:customStyle="1" w:styleId="TableGrid4">
    <w:name w:val="Table Grid4"/>
    <w:basedOn w:val="TableNormal"/>
    <w:next w:val="TableGrid"/>
    <w:uiPriority w:val="59"/>
    <w:rsid w:val="00F50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8076">
      <w:bodyDiv w:val="1"/>
      <w:marLeft w:val="0"/>
      <w:marRight w:val="0"/>
      <w:marTop w:val="0"/>
      <w:marBottom w:val="0"/>
      <w:divBdr>
        <w:top w:val="none" w:sz="0" w:space="0" w:color="auto"/>
        <w:left w:val="none" w:sz="0" w:space="0" w:color="auto"/>
        <w:bottom w:val="none" w:sz="0" w:space="0" w:color="auto"/>
        <w:right w:val="none" w:sz="0" w:space="0" w:color="auto"/>
      </w:divBdr>
    </w:div>
    <w:div w:id="39860904">
      <w:bodyDiv w:val="1"/>
      <w:marLeft w:val="0"/>
      <w:marRight w:val="0"/>
      <w:marTop w:val="0"/>
      <w:marBottom w:val="0"/>
      <w:divBdr>
        <w:top w:val="none" w:sz="0" w:space="0" w:color="auto"/>
        <w:left w:val="none" w:sz="0" w:space="0" w:color="auto"/>
        <w:bottom w:val="none" w:sz="0" w:space="0" w:color="auto"/>
        <w:right w:val="none" w:sz="0" w:space="0" w:color="auto"/>
      </w:divBdr>
    </w:div>
    <w:div w:id="83303392">
      <w:bodyDiv w:val="1"/>
      <w:marLeft w:val="0"/>
      <w:marRight w:val="0"/>
      <w:marTop w:val="0"/>
      <w:marBottom w:val="0"/>
      <w:divBdr>
        <w:top w:val="none" w:sz="0" w:space="0" w:color="auto"/>
        <w:left w:val="none" w:sz="0" w:space="0" w:color="auto"/>
        <w:bottom w:val="none" w:sz="0" w:space="0" w:color="auto"/>
        <w:right w:val="none" w:sz="0" w:space="0" w:color="auto"/>
      </w:divBdr>
    </w:div>
    <w:div w:id="92868154">
      <w:bodyDiv w:val="1"/>
      <w:marLeft w:val="0"/>
      <w:marRight w:val="0"/>
      <w:marTop w:val="0"/>
      <w:marBottom w:val="0"/>
      <w:divBdr>
        <w:top w:val="none" w:sz="0" w:space="0" w:color="auto"/>
        <w:left w:val="none" w:sz="0" w:space="0" w:color="auto"/>
        <w:bottom w:val="none" w:sz="0" w:space="0" w:color="auto"/>
        <w:right w:val="none" w:sz="0" w:space="0" w:color="auto"/>
      </w:divBdr>
    </w:div>
    <w:div w:id="108360201">
      <w:bodyDiv w:val="1"/>
      <w:marLeft w:val="0"/>
      <w:marRight w:val="0"/>
      <w:marTop w:val="0"/>
      <w:marBottom w:val="0"/>
      <w:divBdr>
        <w:top w:val="none" w:sz="0" w:space="0" w:color="auto"/>
        <w:left w:val="none" w:sz="0" w:space="0" w:color="auto"/>
        <w:bottom w:val="none" w:sz="0" w:space="0" w:color="auto"/>
        <w:right w:val="none" w:sz="0" w:space="0" w:color="auto"/>
      </w:divBdr>
    </w:div>
    <w:div w:id="123156210">
      <w:bodyDiv w:val="1"/>
      <w:marLeft w:val="0"/>
      <w:marRight w:val="0"/>
      <w:marTop w:val="0"/>
      <w:marBottom w:val="0"/>
      <w:divBdr>
        <w:top w:val="none" w:sz="0" w:space="0" w:color="auto"/>
        <w:left w:val="none" w:sz="0" w:space="0" w:color="auto"/>
        <w:bottom w:val="none" w:sz="0" w:space="0" w:color="auto"/>
        <w:right w:val="none" w:sz="0" w:space="0" w:color="auto"/>
      </w:divBdr>
    </w:div>
    <w:div w:id="127167058">
      <w:bodyDiv w:val="1"/>
      <w:marLeft w:val="0"/>
      <w:marRight w:val="0"/>
      <w:marTop w:val="0"/>
      <w:marBottom w:val="0"/>
      <w:divBdr>
        <w:top w:val="none" w:sz="0" w:space="0" w:color="auto"/>
        <w:left w:val="none" w:sz="0" w:space="0" w:color="auto"/>
        <w:bottom w:val="none" w:sz="0" w:space="0" w:color="auto"/>
        <w:right w:val="none" w:sz="0" w:space="0" w:color="auto"/>
      </w:divBdr>
    </w:div>
    <w:div w:id="159125773">
      <w:bodyDiv w:val="1"/>
      <w:marLeft w:val="0"/>
      <w:marRight w:val="0"/>
      <w:marTop w:val="0"/>
      <w:marBottom w:val="0"/>
      <w:divBdr>
        <w:top w:val="none" w:sz="0" w:space="0" w:color="auto"/>
        <w:left w:val="none" w:sz="0" w:space="0" w:color="auto"/>
        <w:bottom w:val="none" w:sz="0" w:space="0" w:color="auto"/>
        <w:right w:val="none" w:sz="0" w:space="0" w:color="auto"/>
      </w:divBdr>
      <w:divsChild>
        <w:div w:id="451553628">
          <w:marLeft w:val="0"/>
          <w:marRight w:val="0"/>
          <w:marTop w:val="0"/>
          <w:marBottom w:val="0"/>
          <w:divBdr>
            <w:top w:val="none" w:sz="0" w:space="0" w:color="auto"/>
            <w:left w:val="none" w:sz="0" w:space="0" w:color="auto"/>
            <w:bottom w:val="none" w:sz="0" w:space="0" w:color="auto"/>
            <w:right w:val="none" w:sz="0" w:space="0" w:color="auto"/>
          </w:divBdr>
        </w:div>
        <w:div w:id="13776957">
          <w:marLeft w:val="0"/>
          <w:marRight w:val="0"/>
          <w:marTop w:val="0"/>
          <w:marBottom w:val="0"/>
          <w:divBdr>
            <w:top w:val="none" w:sz="0" w:space="0" w:color="auto"/>
            <w:left w:val="none" w:sz="0" w:space="0" w:color="auto"/>
            <w:bottom w:val="none" w:sz="0" w:space="0" w:color="auto"/>
            <w:right w:val="none" w:sz="0" w:space="0" w:color="auto"/>
          </w:divBdr>
          <w:divsChild>
            <w:div w:id="1441031739">
              <w:marLeft w:val="0"/>
              <w:marRight w:val="0"/>
              <w:marTop w:val="0"/>
              <w:marBottom w:val="0"/>
              <w:divBdr>
                <w:top w:val="none" w:sz="0" w:space="0" w:color="auto"/>
                <w:left w:val="none" w:sz="0" w:space="0" w:color="auto"/>
                <w:bottom w:val="none" w:sz="0" w:space="0" w:color="auto"/>
                <w:right w:val="none" w:sz="0" w:space="0" w:color="auto"/>
              </w:divBdr>
              <w:divsChild>
                <w:div w:id="474611774">
                  <w:marLeft w:val="0"/>
                  <w:marRight w:val="0"/>
                  <w:marTop w:val="0"/>
                  <w:marBottom w:val="0"/>
                  <w:divBdr>
                    <w:top w:val="none" w:sz="0" w:space="0" w:color="auto"/>
                    <w:left w:val="none" w:sz="0" w:space="0" w:color="auto"/>
                    <w:bottom w:val="none" w:sz="0" w:space="0" w:color="auto"/>
                    <w:right w:val="none" w:sz="0" w:space="0" w:color="auto"/>
                  </w:divBdr>
                  <w:divsChild>
                    <w:div w:id="910038265">
                      <w:marLeft w:val="0"/>
                      <w:marRight w:val="0"/>
                      <w:marTop w:val="0"/>
                      <w:marBottom w:val="0"/>
                      <w:divBdr>
                        <w:top w:val="none" w:sz="0" w:space="0" w:color="auto"/>
                        <w:left w:val="none" w:sz="0" w:space="0" w:color="auto"/>
                        <w:bottom w:val="none" w:sz="0" w:space="0" w:color="auto"/>
                        <w:right w:val="none" w:sz="0" w:space="0" w:color="auto"/>
                      </w:divBdr>
                      <w:divsChild>
                        <w:div w:id="1412198269">
                          <w:marLeft w:val="0"/>
                          <w:marRight w:val="0"/>
                          <w:marTop w:val="0"/>
                          <w:marBottom w:val="0"/>
                          <w:divBdr>
                            <w:top w:val="none" w:sz="0" w:space="0" w:color="auto"/>
                            <w:left w:val="none" w:sz="0" w:space="0" w:color="auto"/>
                            <w:bottom w:val="none" w:sz="0" w:space="0" w:color="auto"/>
                            <w:right w:val="none" w:sz="0" w:space="0" w:color="auto"/>
                          </w:divBdr>
                          <w:divsChild>
                            <w:div w:id="14108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7382">
      <w:bodyDiv w:val="1"/>
      <w:marLeft w:val="0"/>
      <w:marRight w:val="0"/>
      <w:marTop w:val="0"/>
      <w:marBottom w:val="0"/>
      <w:divBdr>
        <w:top w:val="none" w:sz="0" w:space="0" w:color="auto"/>
        <w:left w:val="none" w:sz="0" w:space="0" w:color="auto"/>
        <w:bottom w:val="none" w:sz="0" w:space="0" w:color="auto"/>
        <w:right w:val="none" w:sz="0" w:space="0" w:color="auto"/>
      </w:divBdr>
    </w:div>
    <w:div w:id="193076866">
      <w:bodyDiv w:val="1"/>
      <w:marLeft w:val="0"/>
      <w:marRight w:val="0"/>
      <w:marTop w:val="0"/>
      <w:marBottom w:val="0"/>
      <w:divBdr>
        <w:top w:val="none" w:sz="0" w:space="0" w:color="auto"/>
        <w:left w:val="none" w:sz="0" w:space="0" w:color="auto"/>
        <w:bottom w:val="none" w:sz="0" w:space="0" w:color="auto"/>
        <w:right w:val="none" w:sz="0" w:space="0" w:color="auto"/>
      </w:divBdr>
    </w:div>
    <w:div w:id="220218111">
      <w:bodyDiv w:val="1"/>
      <w:marLeft w:val="0"/>
      <w:marRight w:val="0"/>
      <w:marTop w:val="0"/>
      <w:marBottom w:val="0"/>
      <w:divBdr>
        <w:top w:val="none" w:sz="0" w:space="0" w:color="auto"/>
        <w:left w:val="none" w:sz="0" w:space="0" w:color="auto"/>
        <w:bottom w:val="none" w:sz="0" w:space="0" w:color="auto"/>
        <w:right w:val="none" w:sz="0" w:space="0" w:color="auto"/>
      </w:divBdr>
    </w:div>
    <w:div w:id="229921753">
      <w:bodyDiv w:val="1"/>
      <w:marLeft w:val="0"/>
      <w:marRight w:val="0"/>
      <w:marTop w:val="0"/>
      <w:marBottom w:val="0"/>
      <w:divBdr>
        <w:top w:val="none" w:sz="0" w:space="0" w:color="auto"/>
        <w:left w:val="none" w:sz="0" w:space="0" w:color="auto"/>
        <w:bottom w:val="none" w:sz="0" w:space="0" w:color="auto"/>
        <w:right w:val="none" w:sz="0" w:space="0" w:color="auto"/>
      </w:divBdr>
    </w:div>
    <w:div w:id="262230138">
      <w:bodyDiv w:val="1"/>
      <w:marLeft w:val="0"/>
      <w:marRight w:val="0"/>
      <w:marTop w:val="0"/>
      <w:marBottom w:val="0"/>
      <w:divBdr>
        <w:top w:val="none" w:sz="0" w:space="0" w:color="auto"/>
        <w:left w:val="none" w:sz="0" w:space="0" w:color="auto"/>
        <w:bottom w:val="none" w:sz="0" w:space="0" w:color="auto"/>
        <w:right w:val="none" w:sz="0" w:space="0" w:color="auto"/>
      </w:divBdr>
    </w:div>
    <w:div w:id="269314428">
      <w:bodyDiv w:val="1"/>
      <w:marLeft w:val="0"/>
      <w:marRight w:val="0"/>
      <w:marTop w:val="0"/>
      <w:marBottom w:val="0"/>
      <w:divBdr>
        <w:top w:val="none" w:sz="0" w:space="0" w:color="auto"/>
        <w:left w:val="none" w:sz="0" w:space="0" w:color="auto"/>
        <w:bottom w:val="none" w:sz="0" w:space="0" w:color="auto"/>
        <w:right w:val="none" w:sz="0" w:space="0" w:color="auto"/>
      </w:divBdr>
    </w:div>
    <w:div w:id="300430158">
      <w:bodyDiv w:val="1"/>
      <w:marLeft w:val="0"/>
      <w:marRight w:val="0"/>
      <w:marTop w:val="0"/>
      <w:marBottom w:val="0"/>
      <w:divBdr>
        <w:top w:val="none" w:sz="0" w:space="0" w:color="auto"/>
        <w:left w:val="none" w:sz="0" w:space="0" w:color="auto"/>
        <w:bottom w:val="none" w:sz="0" w:space="0" w:color="auto"/>
        <w:right w:val="none" w:sz="0" w:space="0" w:color="auto"/>
      </w:divBdr>
    </w:div>
    <w:div w:id="311983170">
      <w:bodyDiv w:val="1"/>
      <w:marLeft w:val="0"/>
      <w:marRight w:val="0"/>
      <w:marTop w:val="0"/>
      <w:marBottom w:val="0"/>
      <w:divBdr>
        <w:top w:val="none" w:sz="0" w:space="0" w:color="auto"/>
        <w:left w:val="none" w:sz="0" w:space="0" w:color="auto"/>
        <w:bottom w:val="none" w:sz="0" w:space="0" w:color="auto"/>
        <w:right w:val="none" w:sz="0" w:space="0" w:color="auto"/>
      </w:divBdr>
    </w:div>
    <w:div w:id="325788204">
      <w:bodyDiv w:val="1"/>
      <w:marLeft w:val="0"/>
      <w:marRight w:val="0"/>
      <w:marTop w:val="0"/>
      <w:marBottom w:val="0"/>
      <w:divBdr>
        <w:top w:val="none" w:sz="0" w:space="0" w:color="auto"/>
        <w:left w:val="none" w:sz="0" w:space="0" w:color="auto"/>
        <w:bottom w:val="none" w:sz="0" w:space="0" w:color="auto"/>
        <w:right w:val="none" w:sz="0" w:space="0" w:color="auto"/>
      </w:divBdr>
    </w:div>
    <w:div w:id="330761282">
      <w:bodyDiv w:val="1"/>
      <w:marLeft w:val="0"/>
      <w:marRight w:val="0"/>
      <w:marTop w:val="0"/>
      <w:marBottom w:val="0"/>
      <w:divBdr>
        <w:top w:val="none" w:sz="0" w:space="0" w:color="auto"/>
        <w:left w:val="none" w:sz="0" w:space="0" w:color="auto"/>
        <w:bottom w:val="none" w:sz="0" w:space="0" w:color="auto"/>
        <w:right w:val="none" w:sz="0" w:space="0" w:color="auto"/>
      </w:divBdr>
    </w:div>
    <w:div w:id="343289734">
      <w:bodyDiv w:val="1"/>
      <w:marLeft w:val="0"/>
      <w:marRight w:val="0"/>
      <w:marTop w:val="0"/>
      <w:marBottom w:val="0"/>
      <w:divBdr>
        <w:top w:val="none" w:sz="0" w:space="0" w:color="auto"/>
        <w:left w:val="none" w:sz="0" w:space="0" w:color="auto"/>
        <w:bottom w:val="none" w:sz="0" w:space="0" w:color="auto"/>
        <w:right w:val="none" w:sz="0" w:space="0" w:color="auto"/>
      </w:divBdr>
    </w:div>
    <w:div w:id="356347774">
      <w:bodyDiv w:val="1"/>
      <w:marLeft w:val="0"/>
      <w:marRight w:val="0"/>
      <w:marTop w:val="0"/>
      <w:marBottom w:val="0"/>
      <w:divBdr>
        <w:top w:val="none" w:sz="0" w:space="0" w:color="auto"/>
        <w:left w:val="none" w:sz="0" w:space="0" w:color="auto"/>
        <w:bottom w:val="none" w:sz="0" w:space="0" w:color="auto"/>
        <w:right w:val="none" w:sz="0" w:space="0" w:color="auto"/>
      </w:divBdr>
    </w:div>
    <w:div w:id="368072701">
      <w:bodyDiv w:val="1"/>
      <w:marLeft w:val="0"/>
      <w:marRight w:val="0"/>
      <w:marTop w:val="0"/>
      <w:marBottom w:val="0"/>
      <w:divBdr>
        <w:top w:val="none" w:sz="0" w:space="0" w:color="auto"/>
        <w:left w:val="none" w:sz="0" w:space="0" w:color="auto"/>
        <w:bottom w:val="none" w:sz="0" w:space="0" w:color="auto"/>
        <w:right w:val="none" w:sz="0" w:space="0" w:color="auto"/>
      </w:divBdr>
    </w:div>
    <w:div w:id="371266928">
      <w:bodyDiv w:val="1"/>
      <w:marLeft w:val="0"/>
      <w:marRight w:val="0"/>
      <w:marTop w:val="0"/>
      <w:marBottom w:val="0"/>
      <w:divBdr>
        <w:top w:val="none" w:sz="0" w:space="0" w:color="auto"/>
        <w:left w:val="none" w:sz="0" w:space="0" w:color="auto"/>
        <w:bottom w:val="none" w:sz="0" w:space="0" w:color="auto"/>
        <w:right w:val="none" w:sz="0" w:space="0" w:color="auto"/>
      </w:divBdr>
    </w:div>
    <w:div w:id="374428963">
      <w:bodyDiv w:val="1"/>
      <w:marLeft w:val="0"/>
      <w:marRight w:val="0"/>
      <w:marTop w:val="0"/>
      <w:marBottom w:val="0"/>
      <w:divBdr>
        <w:top w:val="none" w:sz="0" w:space="0" w:color="auto"/>
        <w:left w:val="none" w:sz="0" w:space="0" w:color="auto"/>
        <w:bottom w:val="none" w:sz="0" w:space="0" w:color="auto"/>
        <w:right w:val="none" w:sz="0" w:space="0" w:color="auto"/>
      </w:divBdr>
    </w:div>
    <w:div w:id="409736976">
      <w:bodyDiv w:val="1"/>
      <w:marLeft w:val="0"/>
      <w:marRight w:val="0"/>
      <w:marTop w:val="0"/>
      <w:marBottom w:val="0"/>
      <w:divBdr>
        <w:top w:val="none" w:sz="0" w:space="0" w:color="auto"/>
        <w:left w:val="none" w:sz="0" w:space="0" w:color="auto"/>
        <w:bottom w:val="none" w:sz="0" w:space="0" w:color="auto"/>
        <w:right w:val="none" w:sz="0" w:space="0" w:color="auto"/>
      </w:divBdr>
    </w:div>
    <w:div w:id="421688473">
      <w:bodyDiv w:val="1"/>
      <w:marLeft w:val="0"/>
      <w:marRight w:val="0"/>
      <w:marTop w:val="0"/>
      <w:marBottom w:val="0"/>
      <w:divBdr>
        <w:top w:val="none" w:sz="0" w:space="0" w:color="auto"/>
        <w:left w:val="none" w:sz="0" w:space="0" w:color="auto"/>
        <w:bottom w:val="none" w:sz="0" w:space="0" w:color="auto"/>
        <w:right w:val="none" w:sz="0" w:space="0" w:color="auto"/>
      </w:divBdr>
    </w:div>
    <w:div w:id="426274665">
      <w:bodyDiv w:val="1"/>
      <w:marLeft w:val="0"/>
      <w:marRight w:val="0"/>
      <w:marTop w:val="0"/>
      <w:marBottom w:val="0"/>
      <w:divBdr>
        <w:top w:val="none" w:sz="0" w:space="0" w:color="auto"/>
        <w:left w:val="none" w:sz="0" w:space="0" w:color="auto"/>
        <w:bottom w:val="none" w:sz="0" w:space="0" w:color="auto"/>
        <w:right w:val="none" w:sz="0" w:space="0" w:color="auto"/>
      </w:divBdr>
    </w:div>
    <w:div w:id="427501422">
      <w:bodyDiv w:val="1"/>
      <w:marLeft w:val="0"/>
      <w:marRight w:val="0"/>
      <w:marTop w:val="0"/>
      <w:marBottom w:val="0"/>
      <w:divBdr>
        <w:top w:val="none" w:sz="0" w:space="0" w:color="auto"/>
        <w:left w:val="none" w:sz="0" w:space="0" w:color="auto"/>
        <w:bottom w:val="none" w:sz="0" w:space="0" w:color="auto"/>
        <w:right w:val="none" w:sz="0" w:space="0" w:color="auto"/>
      </w:divBdr>
    </w:div>
    <w:div w:id="435636522">
      <w:bodyDiv w:val="1"/>
      <w:marLeft w:val="0"/>
      <w:marRight w:val="0"/>
      <w:marTop w:val="0"/>
      <w:marBottom w:val="0"/>
      <w:divBdr>
        <w:top w:val="none" w:sz="0" w:space="0" w:color="auto"/>
        <w:left w:val="none" w:sz="0" w:space="0" w:color="auto"/>
        <w:bottom w:val="none" w:sz="0" w:space="0" w:color="auto"/>
        <w:right w:val="none" w:sz="0" w:space="0" w:color="auto"/>
      </w:divBdr>
    </w:div>
    <w:div w:id="437219364">
      <w:bodyDiv w:val="1"/>
      <w:marLeft w:val="0"/>
      <w:marRight w:val="0"/>
      <w:marTop w:val="0"/>
      <w:marBottom w:val="0"/>
      <w:divBdr>
        <w:top w:val="none" w:sz="0" w:space="0" w:color="auto"/>
        <w:left w:val="none" w:sz="0" w:space="0" w:color="auto"/>
        <w:bottom w:val="none" w:sz="0" w:space="0" w:color="auto"/>
        <w:right w:val="none" w:sz="0" w:space="0" w:color="auto"/>
      </w:divBdr>
    </w:div>
    <w:div w:id="442848535">
      <w:bodyDiv w:val="1"/>
      <w:marLeft w:val="0"/>
      <w:marRight w:val="0"/>
      <w:marTop w:val="0"/>
      <w:marBottom w:val="0"/>
      <w:divBdr>
        <w:top w:val="none" w:sz="0" w:space="0" w:color="auto"/>
        <w:left w:val="none" w:sz="0" w:space="0" w:color="auto"/>
        <w:bottom w:val="none" w:sz="0" w:space="0" w:color="auto"/>
        <w:right w:val="none" w:sz="0" w:space="0" w:color="auto"/>
      </w:divBdr>
    </w:div>
    <w:div w:id="464083483">
      <w:bodyDiv w:val="1"/>
      <w:marLeft w:val="0"/>
      <w:marRight w:val="0"/>
      <w:marTop w:val="0"/>
      <w:marBottom w:val="0"/>
      <w:divBdr>
        <w:top w:val="none" w:sz="0" w:space="0" w:color="auto"/>
        <w:left w:val="none" w:sz="0" w:space="0" w:color="auto"/>
        <w:bottom w:val="none" w:sz="0" w:space="0" w:color="auto"/>
        <w:right w:val="none" w:sz="0" w:space="0" w:color="auto"/>
      </w:divBdr>
    </w:div>
    <w:div w:id="464129987">
      <w:bodyDiv w:val="1"/>
      <w:marLeft w:val="0"/>
      <w:marRight w:val="0"/>
      <w:marTop w:val="0"/>
      <w:marBottom w:val="0"/>
      <w:divBdr>
        <w:top w:val="none" w:sz="0" w:space="0" w:color="auto"/>
        <w:left w:val="none" w:sz="0" w:space="0" w:color="auto"/>
        <w:bottom w:val="none" w:sz="0" w:space="0" w:color="auto"/>
        <w:right w:val="none" w:sz="0" w:space="0" w:color="auto"/>
      </w:divBdr>
    </w:div>
    <w:div w:id="469783264">
      <w:bodyDiv w:val="1"/>
      <w:marLeft w:val="0"/>
      <w:marRight w:val="0"/>
      <w:marTop w:val="0"/>
      <w:marBottom w:val="0"/>
      <w:divBdr>
        <w:top w:val="none" w:sz="0" w:space="0" w:color="auto"/>
        <w:left w:val="none" w:sz="0" w:space="0" w:color="auto"/>
        <w:bottom w:val="none" w:sz="0" w:space="0" w:color="auto"/>
        <w:right w:val="none" w:sz="0" w:space="0" w:color="auto"/>
      </w:divBdr>
    </w:div>
    <w:div w:id="476846523">
      <w:bodyDiv w:val="1"/>
      <w:marLeft w:val="0"/>
      <w:marRight w:val="0"/>
      <w:marTop w:val="0"/>
      <w:marBottom w:val="0"/>
      <w:divBdr>
        <w:top w:val="none" w:sz="0" w:space="0" w:color="auto"/>
        <w:left w:val="none" w:sz="0" w:space="0" w:color="auto"/>
        <w:bottom w:val="none" w:sz="0" w:space="0" w:color="auto"/>
        <w:right w:val="none" w:sz="0" w:space="0" w:color="auto"/>
      </w:divBdr>
    </w:div>
    <w:div w:id="493837279">
      <w:bodyDiv w:val="1"/>
      <w:marLeft w:val="0"/>
      <w:marRight w:val="0"/>
      <w:marTop w:val="0"/>
      <w:marBottom w:val="0"/>
      <w:divBdr>
        <w:top w:val="none" w:sz="0" w:space="0" w:color="auto"/>
        <w:left w:val="none" w:sz="0" w:space="0" w:color="auto"/>
        <w:bottom w:val="none" w:sz="0" w:space="0" w:color="auto"/>
        <w:right w:val="none" w:sz="0" w:space="0" w:color="auto"/>
      </w:divBdr>
    </w:div>
    <w:div w:id="499348884">
      <w:bodyDiv w:val="1"/>
      <w:marLeft w:val="0"/>
      <w:marRight w:val="0"/>
      <w:marTop w:val="0"/>
      <w:marBottom w:val="0"/>
      <w:divBdr>
        <w:top w:val="none" w:sz="0" w:space="0" w:color="auto"/>
        <w:left w:val="none" w:sz="0" w:space="0" w:color="auto"/>
        <w:bottom w:val="none" w:sz="0" w:space="0" w:color="auto"/>
        <w:right w:val="none" w:sz="0" w:space="0" w:color="auto"/>
      </w:divBdr>
    </w:div>
    <w:div w:id="511384092">
      <w:bodyDiv w:val="1"/>
      <w:marLeft w:val="0"/>
      <w:marRight w:val="0"/>
      <w:marTop w:val="0"/>
      <w:marBottom w:val="0"/>
      <w:divBdr>
        <w:top w:val="none" w:sz="0" w:space="0" w:color="auto"/>
        <w:left w:val="none" w:sz="0" w:space="0" w:color="auto"/>
        <w:bottom w:val="none" w:sz="0" w:space="0" w:color="auto"/>
        <w:right w:val="none" w:sz="0" w:space="0" w:color="auto"/>
      </w:divBdr>
    </w:div>
    <w:div w:id="521435479">
      <w:bodyDiv w:val="1"/>
      <w:marLeft w:val="0"/>
      <w:marRight w:val="0"/>
      <w:marTop w:val="0"/>
      <w:marBottom w:val="0"/>
      <w:divBdr>
        <w:top w:val="none" w:sz="0" w:space="0" w:color="auto"/>
        <w:left w:val="none" w:sz="0" w:space="0" w:color="auto"/>
        <w:bottom w:val="none" w:sz="0" w:space="0" w:color="auto"/>
        <w:right w:val="none" w:sz="0" w:space="0" w:color="auto"/>
      </w:divBdr>
    </w:div>
    <w:div w:id="537814539">
      <w:bodyDiv w:val="1"/>
      <w:marLeft w:val="0"/>
      <w:marRight w:val="0"/>
      <w:marTop w:val="0"/>
      <w:marBottom w:val="0"/>
      <w:divBdr>
        <w:top w:val="none" w:sz="0" w:space="0" w:color="auto"/>
        <w:left w:val="none" w:sz="0" w:space="0" w:color="auto"/>
        <w:bottom w:val="none" w:sz="0" w:space="0" w:color="auto"/>
        <w:right w:val="none" w:sz="0" w:space="0" w:color="auto"/>
      </w:divBdr>
    </w:div>
    <w:div w:id="540242232">
      <w:bodyDiv w:val="1"/>
      <w:marLeft w:val="0"/>
      <w:marRight w:val="0"/>
      <w:marTop w:val="0"/>
      <w:marBottom w:val="0"/>
      <w:divBdr>
        <w:top w:val="none" w:sz="0" w:space="0" w:color="auto"/>
        <w:left w:val="none" w:sz="0" w:space="0" w:color="auto"/>
        <w:bottom w:val="none" w:sz="0" w:space="0" w:color="auto"/>
        <w:right w:val="none" w:sz="0" w:space="0" w:color="auto"/>
      </w:divBdr>
    </w:div>
    <w:div w:id="547685040">
      <w:bodyDiv w:val="1"/>
      <w:marLeft w:val="0"/>
      <w:marRight w:val="0"/>
      <w:marTop w:val="0"/>
      <w:marBottom w:val="0"/>
      <w:divBdr>
        <w:top w:val="none" w:sz="0" w:space="0" w:color="auto"/>
        <w:left w:val="none" w:sz="0" w:space="0" w:color="auto"/>
        <w:bottom w:val="none" w:sz="0" w:space="0" w:color="auto"/>
        <w:right w:val="none" w:sz="0" w:space="0" w:color="auto"/>
      </w:divBdr>
    </w:div>
    <w:div w:id="551506808">
      <w:bodyDiv w:val="1"/>
      <w:marLeft w:val="0"/>
      <w:marRight w:val="0"/>
      <w:marTop w:val="0"/>
      <w:marBottom w:val="0"/>
      <w:divBdr>
        <w:top w:val="none" w:sz="0" w:space="0" w:color="auto"/>
        <w:left w:val="none" w:sz="0" w:space="0" w:color="auto"/>
        <w:bottom w:val="none" w:sz="0" w:space="0" w:color="auto"/>
        <w:right w:val="none" w:sz="0" w:space="0" w:color="auto"/>
      </w:divBdr>
    </w:div>
    <w:div w:id="563299506">
      <w:bodyDiv w:val="1"/>
      <w:marLeft w:val="0"/>
      <w:marRight w:val="0"/>
      <w:marTop w:val="0"/>
      <w:marBottom w:val="0"/>
      <w:divBdr>
        <w:top w:val="none" w:sz="0" w:space="0" w:color="auto"/>
        <w:left w:val="none" w:sz="0" w:space="0" w:color="auto"/>
        <w:bottom w:val="none" w:sz="0" w:space="0" w:color="auto"/>
        <w:right w:val="none" w:sz="0" w:space="0" w:color="auto"/>
      </w:divBdr>
    </w:div>
    <w:div w:id="570315533">
      <w:bodyDiv w:val="1"/>
      <w:marLeft w:val="0"/>
      <w:marRight w:val="0"/>
      <w:marTop w:val="0"/>
      <w:marBottom w:val="0"/>
      <w:divBdr>
        <w:top w:val="none" w:sz="0" w:space="0" w:color="auto"/>
        <w:left w:val="none" w:sz="0" w:space="0" w:color="auto"/>
        <w:bottom w:val="none" w:sz="0" w:space="0" w:color="auto"/>
        <w:right w:val="none" w:sz="0" w:space="0" w:color="auto"/>
      </w:divBdr>
    </w:div>
    <w:div w:id="579173716">
      <w:bodyDiv w:val="1"/>
      <w:marLeft w:val="0"/>
      <w:marRight w:val="0"/>
      <w:marTop w:val="0"/>
      <w:marBottom w:val="0"/>
      <w:divBdr>
        <w:top w:val="none" w:sz="0" w:space="0" w:color="auto"/>
        <w:left w:val="none" w:sz="0" w:space="0" w:color="auto"/>
        <w:bottom w:val="none" w:sz="0" w:space="0" w:color="auto"/>
        <w:right w:val="none" w:sz="0" w:space="0" w:color="auto"/>
      </w:divBdr>
    </w:div>
    <w:div w:id="603000806">
      <w:bodyDiv w:val="1"/>
      <w:marLeft w:val="0"/>
      <w:marRight w:val="0"/>
      <w:marTop w:val="0"/>
      <w:marBottom w:val="0"/>
      <w:divBdr>
        <w:top w:val="none" w:sz="0" w:space="0" w:color="auto"/>
        <w:left w:val="none" w:sz="0" w:space="0" w:color="auto"/>
        <w:bottom w:val="none" w:sz="0" w:space="0" w:color="auto"/>
        <w:right w:val="none" w:sz="0" w:space="0" w:color="auto"/>
      </w:divBdr>
    </w:div>
    <w:div w:id="608898134">
      <w:bodyDiv w:val="1"/>
      <w:marLeft w:val="0"/>
      <w:marRight w:val="0"/>
      <w:marTop w:val="0"/>
      <w:marBottom w:val="0"/>
      <w:divBdr>
        <w:top w:val="none" w:sz="0" w:space="0" w:color="auto"/>
        <w:left w:val="none" w:sz="0" w:space="0" w:color="auto"/>
        <w:bottom w:val="none" w:sz="0" w:space="0" w:color="auto"/>
        <w:right w:val="none" w:sz="0" w:space="0" w:color="auto"/>
      </w:divBdr>
    </w:div>
    <w:div w:id="624429809">
      <w:bodyDiv w:val="1"/>
      <w:marLeft w:val="0"/>
      <w:marRight w:val="0"/>
      <w:marTop w:val="0"/>
      <w:marBottom w:val="0"/>
      <w:divBdr>
        <w:top w:val="none" w:sz="0" w:space="0" w:color="auto"/>
        <w:left w:val="none" w:sz="0" w:space="0" w:color="auto"/>
        <w:bottom w:val="none" w:sz="0" w:space="0" w:color="auto"/>
        <w:right w:val="none" w:sz="0" w:space="0" w:color="auto"/>
      </w:divBdr>
    </w:div>
    <w:div w:id="627468774">
      <w:bodyDiv w:val="1"/>
      <w:marLeft w:val="0"/>
      <w:marRight w:val="0"/>
      <w:marTop w:val="0"/>
      <w:marBottom w:val="0"/>
      <w:divBdr>
        <w:top w:val="none" w:sz="0" w:space="0" w:color="auto"/>
        <w:left w:val="none" w:sz="0" w:space="0" w:color="auto"/>
        <w:bottom w:val="none" w:sz="0" w:space="0" w:color="auto"/>
        <w:right w:val="none" w:sz="0" w:space="0" w:color="auto"/>
      </w:divBdr>
    </w:div>
    <w:div w:id="629827387">
      <w:bodyDiv w:val="1"/>
      <w:marLeft w:val="0"/>
      <w:marRight w:val="0"/>
      <w:marTop w:val="0"/>
      <w:marBottom w:val="0"/>
      <w:divBdr>
        <w:top w:val="none" w:sz="0" w:space="0" w:color="auto"/>
        <w:left w:val="none" w:sz="0" w:space="0" w:color="auto"/>
        <w:bottom w:val="none" w:sz="0" w:space="0" w:color="auto"/>
        <w:right w:val="none" w:sz="0" w:space="0" w:color="auto"/>
      </w:divBdr>
    </w:div>
    <w:div w:id="633605811">
      <w:bodyDiv w:val="1"/>
      <w:marLeft w:val="0"/>
      <w:marRight w:val="0"/>
      <w:marTop w:val="0"/>
      <w:marBottom w:val="0"/>
      <w:divBdr>
        <w:top w:val="none" w:sz="0" w:space="0" w:color="auto"/>
        <w:left w:val="none" w:sz="0" w:space="0" w:color="auto"/>
        <w:bottom w:val="none" w:sz="0" w:space="0" w:color="auto"/>
        <w:right w:val="none" w:sz="0" w:space="0" w:color="auto"/>
      </w:divBdr>
    </w:div>
    <w:div w:id="639768496">
      <w:bodyDiv w:val="1"/>
      <w:marLeft w:val="0"/>
      <w:marRight w:val="0"/>
      <w:marTop w:val="0"/>
      <w:marBottom w:val="0"/>
      <w:divBdr>
        <w:top w:val="none" w:sz="0" w:space="0" w:color="auto"/>
        <w:left w:val="none" w:sz="0" w:space="0" w:color="auto"/>
        <w:bottom w:val="none" w:sz="0" w:space="0" w:color="auto"/>
        <w:right w:val="none" w:sz="0" w:space="0" w:color="auto"/>
      </w:divBdr>
    </w:div>
    <w:div w:id="645283362">
      <w:bodyDiv w:val="1"/>
      <w:marLeft w:val="0"/>
      <w:marRight w:val="0"/>
      <w:marTop w:val="0"/>
      <w:marBottom w:val="0"/>
      <w:divBdr>
        <w:top w:val="none" w:sz="0" w:space="0" w:color="auto"/>
        <w:left w:val="none" w:sz="0" w:space="0" w:color="auto"/>
        <w:bottom w:val="none" w:sz="0" w:space="0" w:color="auto"/>
        <w:right w:val="none" w:sz="0" w:space="0" w:color="auto"/>
      </w:divBdr>
    </w:div>
    <w:div w:id="655843501">
      <w:bodyDiv w:val="1"/>
      <w:marLeft w:val="0"/>
      <w:marRight w:val="0"/>
      <w:marTop w:val="0"/>
      <w:marBottom w:val="0"/>
      <w:divBdr>
        <w:top w:val="none" w:sz="0" w:space="0" w:color="auto"/>
        <w:left w:val="none" w:sz="0" w:space="0" w:color="auto"/>
        <w:bottom w:val="none" w:sz="0" w:space="0" w:color="auto"/>
        <w:right w:val="none" w:sz="0" w:space="0" w:color="auto"/>
      </w:divBdr>
    </w:div>
    <w:div w:id="695348294">
      <w:bodyDiv w:val="1"/>
      <w:marLeft w:val="0"/>
      <w:marRight w:val="0"/>
      <w:marTop w:val="0"/>
      <w:marBottom w:val="0"/>
      <w:divBdr>
        <w:top w:val="none" w:sz="0" w:space="0" w:color="auto"/>
        <w:left w:val="none" w:sz="0" w:space="0" w:color="auto"/>
        <w:bottom w:val="none" w:sz="0" w:space="0" w:color="auto"/>
        <w:right w:val="none" w:sz="0" w:space="0" w:color="auto"/>
      </w:divBdr>
    </w:div>
    <w:div w:id="698243484">
      <w:bodyDiv w:val="1"/>
      <w:marLeft w:val="0"/>
      <w:marRight w:val="0"/>
      <w:marTop w:val="0"/>
      <w:marBottom w:val="0"/>
      <w:divBdr>
        <w:top w:val="none" w:sz="0" w:space="0" w:color="auto"/>
        <w:left w:val="none" w:sz="0" w:space="0" w:color="auto"/>
        <w:bottom w:val="none" w:sz="0" w:space="0" w:color="auto"/>
        <w:right w:val="none" w:sz="0" w:space="0" w:color="auto"/>
      </w:divBdr>
      <w:divsChild>
        <w:div w:id="1532646859">
          <w:marLeft w:val="336"/>
          <w:marRight w:val="0"/>
          <w:marTop w:val="120"/>
          <w:marBottom w:val="312"/>
          <w:divBdr>
            <w:top w:val="none" w:sz="0" w:space="0" w:color="auto"/>
            <w:left w:val="none" w:sz="0" w:space="0" w:color="auto"/>
            <w:bottom w:val="none" w:sz="0" w:space="0" w:color="auto"/>
            <w:right w:val="none" w:sz="0" w:space="0" w:color="auto"/>
          </w:divBdr>
          <w:divsChild>
            <w:div w:id="151545960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727342218">
      <w:bodyDiv w:val="1"/>
      <w:marLeft w:val="0"/>
      <w:marRight w:val="0"/>
      <w:marTop w:val="0"/>
      <w:marBottom w:val="0"/>
      <w:divBdr>
        <w:top w:val="none" w:sz="0" w:space="0" w:color="auto"/>
        <w:left w:val="none" w:sz="0" w:space="0" w:color="auto"/>
        <w:bottom w:val="none" w:sz="0" w:space="0" w:color="auto"/>
        <w:right w:val="none" w:sz="0" w:space="0" w:color="auto"/>
      </w:divBdr>
    </w:div>
    <w:div w:id="737481698">
      <w:bodyDiv w:val="1"/>
      <w:marLeft w:val="0"/>
      <w:marRight w:val="0"/>
      <w:marTop w:val="0"/>
      <w:marBottom w:val="0"/>
      <w:divBdr>
        <w:top w:val="none" w:sz="0" w:space="0" w:color="auto"/>
        <w:left w:val="none" w:sz="0" w:space="0" w:color="auto"/>
        <w:bottom w:val="none" w:sz="0" w:space="0" w:color="auto"/>
        <w:right w:val="none" w:sz="0" w:space="0" w:color="auto"/>
      </w:divBdr>
    </w:div>
    <w:div w:id="789081984">
      <w:bodyDiv w:val="1"/>
      <w:marLeft w:val="0"/>
      <w:marRight w:val="0"/>
      <w:marTop w:val="0"/>
      <w:marBottom w:val="0"/>
      <w:divBdr>
        <w:top w:val="none" w:sz="0" w:space="0" w:color="auto"/>
        <w:left w:val="none" w:sz="0" w:space="0" w:color="auto"/>
        <w:bottom w:val="none" w:sz="0" w:space="0" w:color="auto"/>
        <w:right w:val="none" w:sz="0" w:space="0" w:color="auto"/>
      </w:divBdr>
      <w:divsChild>
        <w:div w:id="495611058">
          <w:marLeft w:val="0"/>
          <w:marRight w:val="0"/>
          <w:marTop w:val="0"/>
          <w:marBottom w:val="0"/>
          <w:divBdr>
            <w:top w:val="none" w:sz="0" w:space="0" w:color="auto"/>
            <w:left w:val="none" w:sz="0" w:space="0" w:color="auto"/>
            <w:bottom w:val="none" w:sz="0" w:space="0" w:color="auto"/>
            <w:right w:val="none" w:sz="0" w:space="0" w:color="auto"/>
          </w:divBdr>
          <w:divsChild>
            <w:div w:id="2135562179">
              <w:marLeft w:val="0"/>
              <w:marRight w:val="0"/>
              <w:marTop w:val="0"/>
              <w:marBottom w:val="0"/>
              <w:divBdr>
                <w:top w:val="none" w:sz="0" w:space="0" w:color="auto"/>
                <w:left w:val="none" w:sz="0" w:space="0" w:color="auto"/>
                <w:bottom w:val="none" w:sz="0" w:space="0" w:color="auto"/>
                <w:right w:val="none" w:sz="0" w:space="0" w:color="auto"/>
              </w:divBdr>
              <w:divsChild>
                <w:div w:id="1358309822">
                  <w:marLeft w:val="0"/>
                  <w:marRight w:val="0"/>
                  <w:marTop w:val="0"/>
                  <w:marBottom w:val="0"/>
                  <w:divBdr>
                    <w:top w:val="none" w:sz="0" w:space="0" w:color="auto"/>
                    <w:left w:val="none" w:sz="0" w:space="0" w:color="auto"/>
                    <w:bottom w:val="none" w:sz="0" w:space="0" w:color="auto"/>
                    <w:right w:val="none" w:sz="0" w:space="0" w:color="auto"/>
                  </w:divBdr>
                  <w:divsChild>
                    <w:div w:id="1763527927">
                      <w:marLeft w:val="0"/>
                      <w:marRight w:val="2041"/>
                      <w:marTop w:val="0"/>
                      <w:marBottom w:val="0"/>
                      <w:divBdr>
                        <w:top w:val="none" w:sz="0" w:space="0" w:color="auto"/>
                        <w:left w:val="none" w:sz="0" w:space="0" w:color="auto"/>
                        <w:bottom w:val="none" w:sz="0" w:space="0" w:color="auto"/>
                        <w:right w:val="none" w:sz="0" w:space="0" w:color="auto"/>
                      </w:divBdr>
                      <w:divsChild>
                        <w:div w:id="165021509">
                          <w:marLeft w:val="0"/>
                          <w:marRight w:val="0"/>
                          <w:marTop w:val="0"/>
                          <w:marBottom w:val="0"/>
                          <w:divBdr>
                            <w:top w:val="none" w:sz="0" w:space="0" w:color="auto"/>
                            <w:left w:val="none" w:sz="0" w:space="0" w:color="auto"/>
                            <w:bottom w:val="none" w:sz="0" w:space="0" w:color="auto"/>
                            <w:right w:val="none" w:sz="0" w:space="0" w:color="auto"/>
                          </w:divBdr>
                          <w:divsChild>
                            <w:div w:id="20779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4878">
          <w:marLeft w:val="0"/>
          <w:marRight w:val="0"/>
          <w:marTop w:val="0"/>
          <w:marBottom w:val="0"/>
          <w:divBdr>
            <w:top w:val="none" w:sz="0" w:space="0" w:color="auto"/>
            <w:left w:val="none" w:sz="0" w:space="0" w:color="auto"/>
            <w:bottom w:val="none" w:sz="0" w:space="0" w:color="auto"/>
            <w:right w:val="none" w:sz="0" w:space="0" w:color="auto"/>
          </w:divBdr>
          <w:divsChild>
            <w:div w:id="378089108">
              <w:marLeft w:val="0"/>
              <w:marRight w:val="0"/>
              <w:marTop w:val="0"/>
              <w:marBottom w:val="0"/>
              <w:divBdr>
                <w:top w:val="none" w:sz="0" w:space="0" w:color="auto"/>
                <w:left w:val="none" w:sz="0" w:space="0" w:color="auto"/>
                <w:bottom w:val="none" w:sz="0" w:space="0" w:color="auto"/>
                <w:right w:val="none" w:sz="0" w:space="0" w:color="auto"/>
              </w:divBdr>
              <w:divsChild>
                <w:div w:id="1084644225">
                  <w:marLeft w:val="0"/>
                  <w:marRight w:val="0"/>
                  <w:marTop w:val="0"/>
                  <w:marBottom w:val="0"/>
                  <w:divBdr>
                    <w:top w:val="none" w:sz="0" w:space="0" w:color="auto"/>
                    <w:left w:val="none" w:sz="0" w:space="0" w:color="auto"/>
                    <w:bottom w:val="none" w:sz="0" w:space="0" w:color="auto"/>
                    <w:right w:val="none" w:sz="0" w:space="0" w:color="auto"/>
                  </w:divBdr>
                  <w:divsChild>
                    <w:div w:id="903101539">
                      <w:marLeft w:val="0"/>
                      <w:marRight w:val="0"/>
                      <w:marTop w:val="0"/>
                      <w:marBottom w:val="0"/>
                      <w:divBdr>
                        <w:top w:val="none" w:sz="0" w:space="0" w:color="auto"/>
                        <w:left w:val="none" w:sz="0" w:space="0" w:color="auto"/>
                        <w:bottom w:val="none" w:sz="0" w:space="0" w:color="auto"/>
                        <w:right w:val="none" w:sz="0" w:space="0" w:color="auto"/>
                      </w:divBdr>
                      <w:divsChild>
                        <w:div w:id="125467171">
                          <w:marLeft w:val="0"/>
                          <w:marRight w:val="0"/>
                          <w:marTop w:val="0"/>
                          <w:marBottom w:val="0"/>
                          <w:divBdr>
                            <w:top w:val="none" w:sz="0" w:space="0" w:color="auto"/>
                            <w:left w:val="none" w:sz="0" w:space="0" w:color="auto"/>
                            <w:bottom w:val="none" w:sz="0" w:space="0" w:color="auto"/>
                            <w:right w:val="none" w:sz="0" w:space="0" w:color="auto"/>
                          </w:divBdr>
                          <w:divsChild>
                            <w:div w:id="134221108">
                              <w:marLeft w:val="0"/>
                              <w:marRight w:val="0"/>
                              <w:marTop w:val="68"/>
                              <w:marBottom w:val="0"/>
                              <w:divBdr>
                                <w:top w:val="none" w:sz="0" w:space="0" w:color="auto"/>
                                <w:left w:val="none" w:sz="0" w:space="0" w:color="auto"/>
                                <w:bottom w:val="none" w:sz="0" w:space="0" w:color="auto"/>
                                <w:right w:val="none" w:sz="0" w:space="0" w:color="auto"/>
                              </w:divBdr>
                              <w:divsChild>
                                <w:div w:id="767390958">
                                  <w:marLeft w:val="0"/>
                                  <w:marRight w:val="0"/>
                                  <w:marTop w:val="0"/>
                                  <w:marBottom w:val="499"/>
                                  <w:divBdr>
                                    <w:top w:val="none" w:sz="0" w:space="0" w:color="auto"/>
                                    <w:left w:val="none" w:sz="0" w:space="0" w:color="auto"/>
                                    <w:bottom w:val="none" w:sz="0" w:space="0" w:color="auto"/>
                                    <w:right w:val="none" w:sz="0" w:space="0" w:color="auto"/>
                                  </w:divBdr>
                                  <w:divsChild>
                                    <w:div w:id="1943760598">
                                      <w:marLeft w:val="0"/>
                                      <w:marRight w:val="0"/>
                                      <w:marTop w:val="0"/>
                                      <w:marBottom w:val="340"/>
                                      <w:divBdr>
                                        <w:top w:val="none" w:sz="0" w:space="0" w:color="auto"/>
                                        <w:left w:val="none" w:sz="0" w:space="0" w:color="auto"/>
                                        <w:bottom w:val="none" w:sz="0" w:space="0" w:color="auto"/>
                                        <w:right w:val="none" w:sz="0" w:space="0" w:color="auto"/>
                                      </w:divBdr>
                                      <w:divsChild>
                                        <w:div w:id="1870532579">
                                          <w:marLeft w:val="0"/>
                                          <w:marRight w:val="0"/>
                                          <w:marTop w:val="0"/>
                                          <w:marBottom w:val="0"/>
                                          <w:divBdr>
                                            <w:top w:val="none" w:sz="0" w:space="0" w:color="auto"/>
                                            <w:left w:val="none" w:sz="0" w:space="0" w:color="auto"/>
                                            <w:bottom w:val="none" w:sz="0" w:space="0" w:color="auto"/>
                                            <w:right w:val="none" w:sz="0" w:space="0" w:color="auto"/>
                                          </w:divBdr>
                                          <w:divsChild>
                                            <w:div w:id="1569415167">
                                              <w:marLeft w:val="0"/>
                                              <w:marRight w:val="0"/>
                                              <w:marTop w:val="0"/>
                                              <w:marBottom w:val="0"/>
                                              <w:divBdr>
                                                <w:top w:val="none" w:sz="0" w:space="0" w:color="auto"/>
                                                <w:left w:val="none" w:sz="0" w:space="0" w:color="auto"/>
                                                <w:bottom w:val="none" w:sz="0" w:space="0" w:color="auto"/>
                                                <w:right w:val="none" w:sz="0" w:space="0" w:color="auto"/>
                                              </w:divBdr>
                                              <w:divsChild>
                                                <w:div w:id="292291280">
                                                  <w:marLeft w:val="0"/>
                                                  <w:marRight w:val="0"/>
                                                  <w:marTop w:val="0"/>
                                                  <w:marBottom w:val="0"/>
                                                  <w:divBdr>
                                                    <w:top w:val="none" w:sz="0" w:space="0" w:color="auto"/>
                                                    <w:left w:val="none" w:sz="0" w:space="0" w:color="auto"/>
                                                    <w:bottom w:val="none" w:sz="0" w:space="0" w:color="auto"/>
                                                    <w:right w:val="none" w:sz="0" w:space="0" w:color="auto"/>
                                                  </w:divBdr>
                                                  <w:divsChild>
                                                    <w:div w:id="560404612">
                                                      <w:marLeft w:val="0"/>
                                                      <w:marRight w:val="0"/>
                                                      <w:marTop w:val="0"/>
                                                      <w:marBottom w:val="0"/>
                                                      <w:divBdr>
                                                        <w:top w:val="none" w:sz="0" w:space="0" w:color="auto"/>
                                                        <w:left w:val="none" w:sz="0" w:space="0" w:color="auto"/>
                                                        <w:bottom w:val="none" w:sz="0" w:space="0" w:color="auto"/>
                                                        <w:right w:val="none" w:sz="0" w:space="0" w:color="auto"/>
                                                      </w:divBdr>
                                                      <w:divsChild>
                                                        <w:div w:id="193857557">
                                                          <w:marLeft w:val="0"/>
                                                          <w:marRight w:val="0"/>
                                                          <w:marTop w:val="0"/>
                                                          <w:marBottom w:val="0"/>
                                                          <w:divBdr>
                                                            <w:top w:val="none" w:sz="0" w:space="0" w:color="auto"/>
                                                            <w:left w:val="none" w:sz="0" w:space="0" w:color="auto"/>
                                                            <w:bottom w:val="none" w:sz="0" w:space="0" w:color="auto"/>
                                                            <w:right w:val="none" w:sz="0" w:space="0" w:color="auto"/>
                                                          </w:divBdr>
                                                          <w:divsChild>
                                                            <w:div w:id="1414010738">
                                                              <w:marLeft w:val="0"/>
                                                              <w:marRight w:val="0"/>
                                                              <w:marTop w:val="0"/>
                                                              <w:marBottom w:val="0"/>
                                                              <w:divBdr>
                                                                <w:top w:val="none" w:sz="0" w:space="0" w:color="auto"/>
                                                                <w:left w:val="none" w:sz="0" w:space="0" w:color="auto"/>
                                                                <w:bottom w:val="none" w:sz="0" w:space="0" w:color="auto"/>
                                                                <w:right w:val="none" w:sz="0" w:space="0" w:color="auto"/>
                                                              </w:divBdr>
                                                              <w:divsChild>
                                                                <w:div w:id="744717343">
                                                                  <w:marLeft w:val="0"/>
                                                                  <w:marRight w:val="0"/>
                                                                  <w:marTop w:val="0"/>
                                                                  <w:marBottom w:val="0"/>
                                                                  <w:divBdr>
                                                                    <w:top w:val="none" w:sz="0" w:space="0" w:color="auto"/>
                                                                    <w:left w:val="none" w:sz="0" w:space="0" w:color="auto"/>
                                                                    <w:bottom w:val="none" w:sz="0" w:space="0" w:color="auto"/>
                                                                    <w:right w:val="none" w:sz="0" w:space="0" w:color="auto"/>
                                                                  </w:divBdr>
                                                                  <w:divsChild>
                                                                    <w:div w:id="739987039">
                                                                      <w:marLeft w:val="0"/>
                                                                      <w:marRight w:val="0"/>
                                                                      <w:marTop w:val="0"/>
                                                                      <w:marBottom w:val="0"/>
                                                                      <w:divBdr>
                                                                        <w:top w:val="none" w:sz="0" w:space="0" w:color="auto"/>
                                                                        <w:left w:val="none" w:sz="0" w:space="0" w:color="auto"/>
                                                                        <w:bottom w:val="none" w:sz="0" w:space="0" w:color="auto"/>
                                                                        <w:right w:val="none" w:sz="0" w:space="0" w:color="auto"/>
                                                                      </w:divBdr>
                                                                      <w:divsChild>
                                                                        <w:div w:id="571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035352">
      <w:bodyDiv w:val="1"/>
      <w:marLeft w:val="0"/>
      <w:marRight w:val="0"/>
      <w:marTop w:val="0"/>
      <w:marBottom w:val="0"/>
      <w:divBdr>
        <w:top w:val="none" w:sz="0" w:space="0" w:color="auto"/>
        <w:left w:val="none" w:sz="0" w:space="0" w:color="auto"/>
        <w:bottom w:val="none" w:sz="0" w:space="0" w:color="auto"/>
        <w:right w:val="none" w:sz="0" w:space="0" w:color="auto"/>
      </w:divBdr>
    </w:div>
    <w:div w:id="849486459">
      <w:bodyDiv w:val="1"/>
      <w:marLeft w:val="0"/>
      <w:marRight w:val="0"/>
      <w:marTop w:val="0"/>
      <w:marBottom w:val="0"/>
      <w:divBdr>
        <w:top w:val="none" w:sz="0" w:space="0" w:color="auto"/>
        <w:left w:val="none" w:sz="0" w:space="0" w:color="auto"/>
        <w:bottom w:val="none" w:sz="0" w:space="0" w:color="auto"/>
        <w:right w:val="none" w:sz="0" w:space="0" w:color="auto"/>
      </w:divBdr>
    </w:div>
    <w:div w:id="856117752">
      <w:bodyDiv w:val="1"/>
      <w:marLeft w:val="0"/>
      <w:marRight w:val="0"/>
      <w:marTop w:val="0"/>
      <w:marBottom w:val="0"/>
      <w:divBdr>
        <w:top w:val="none" w:sz="0" w:space="0" w:color="auto"/>
        <w:left w:val="none" w:sz="0" w:space="0" w:color="auto"/>
        <w:bottom w:val="none" w:sz="0" w:space="0" w:color="auto"/>
        <w:right w:val="none" w:sz="0" w:space="0" w:color="auto"/>
      </w:divBdr>
    </w:div>
    <w:div w:id="863401320">
      <w:bodyDiv w:val="1"/>
      <w:marLeft w:val="0"/>
      <w:marRight w:val="0"/>
      <w:marTop w:val="0"/>
      <w:marBottom w:val="0"/>
      <w:divBdr>
        <w:top w:val="none" w:sz="0" w:space="0" w:color="auto"/>
        <w:left w:val="none" w:sz="0" w:space="0" w:color="auto"/>
        <w:bottom w:val="none" w:sz="0" w:space="0" w:color="auto"/>
        <w:right w:val="none" w:sz="0" w:space="0" w:color="auto"/>
      </w:divBdr>
    </w:div>
    <w:div w:id="902184363">
      <w:bodyDiv w:val="1"/>
      <w:marLeft w:val="0"/>
      <w:marRight w:val="0"/>
      <w:marTop w:val="0"/>
      <w:marBottom w:val="0"/>
      <w:divBdr>
        <w:top w:val="none" w:sz="0" w:space="0" w:color="auto"/>
        <w:left w:val="none" w:sz="0" w:space="0" w:color="auto"/>
        <w:bottom w:val="none" w:sz="0" w:space="0" w:color="auto"/>
        <w:right w:val="none" w:sz="0" w:space="0" w:color="auto"/>
      </w:divBdr>
    </w:div>
    <w:div w:id="913011631">
      <w:bodyDiv w:val="1"/>
      <w:marLeft w:val="0"/>
      <w:marRight w:val="0"/>
      <w:marTop w:val="0"/>
      <w:marBottom w:val="0"/>
      <w:divBdr>
        <w:top w:val="none" w:sz="0" w:space="0" w:color="auto"/>
        <w:left w:val="none" w:sz="0" w:space="0" w:color="auto"/>
        <w:bottom w:val="none" w:sz="0" w:space="0" w:color="auto"/>
        <w:right w:val="none" w:sz="0" w:space="0" w:color="auto"/>
      </w:divBdr>
    </w:div>
    <w:div w:id="926961199">
      <w:bodyDiv w:val="1"/>
      <w:marLeft w:val="0"/>
      <w:marRight w:val="0"/>
      <w:marTop w:val="0"/>
      <w:marBottom w:val="0"/>
      <w:divBdr>
        <w:top w:val="none" w:sz="0" w:space="0" w:color="auto"/>
        <w:left w:val="none" w:sz="0" w:space="0" w:color="auto"/>
        <w:bottom w:val="none" w:sz="0" w:space="0" w:color="auto"/>
        <w:right w:val="none" w:sz="0" w:space="0" w:color="auto"/>
      </w:divBdr>
    </w:div>
    <w:div w:id="929390929">
      <w:bodyDiv w:val="1"/>
      <w:marLeft w:val="0"/>
      <w:marRight w:val="0"/>
      <w:marTop w:val="0"/>
      <w:marBottom w:val="0"/>
      <w:divBdr>
        <w:top w:val="none" w:sz="0" w:space="0" w:color="auto"/>
        <w:left w:val="none" w:sz="0" w:space="0" w:color="auto"/>
        <w:bottom w:val="none" w:sz="0" w:space="0" w:color="auto"/>
        <w:right w:val="none" w:sz="0" w:space="0" w:color="auto"/>
      </w:divBdr>
    </w:div>
    <w:div w:id="957369180">
      <w:bodyDiv w:val="1"/>
      <w:marLeft w:val="0"/>
      <w:marRight w:val="0"/>
      <w:marTop w:val="0"/>
      <w:marBottom w:val="0"/>
      <w:divBdr>
        <w:top w:val="none" w:sz="0" w:space="0" w:color="auto"/>
        <w:left w:val="none" w:sz="0" w:space="0" w:color="auto"/>
        <w:bottom w:val="none" w:sz="0" w:space="0" w:color="auto"/>
        <w:right w:val="none" w:sz="0" w:space="0" w:color="auto"/>
      </w:divBdr>
    </w:div>
    <w:div w:id="968897015">
      <w:bodyDiv w:val="1"/>
      <w:marLeft w:val="0"/>
      <w:marRight w:val="0"/>
      <w:marTop w:val="0"/>
      <w:marBottom w:val="0"/>
      <w:divBdr>
        <w:top w:val="none" w:sz="0" w:space="0" w:color="auto"/>
        <w:left w:val="none" w:sz="0" w:space="0" w:color="auto"/>
        <w:bottom w:val="none" w:sz="0" w:space="0" w:color="auto"/>
        <w:right w:val="none" w:sz="0" w:space="0" w:color="auto"/>
      </w:divBdr>
    </w:div>
    <w:div w:id="977996569">
      <w:bodyDiv w:val="1"/>
      <w:marLeft w:val="0"/>
      <w:marRight w:val="0"/>
      <w:marTop w:val="0"/>
      <w:marBottom w:val="0"/>
      <w:divBdr>
        <w:top w:val="none" w:sz="0" w:space="0" w:color="auto"/>
        <w:left w:val="none" w:sz="0" w:space="0" w:color="auto"/>
        <w:bottom w:val="none" w:sz="0" w:space="0" w:color="auto"/>
        <w:right w:val="none" w:sz="0" w:space="0" w:color="auto"/>
      </w:divBdr>
    </w:div>
    <w:div w:id="996105692">
      <w:bodyDiv w:val="1"/>
      <w:marLeft w:val="0"/>
      <w:marRight w:val="0"/>
      <w:marTop w:val="0"/>
      <w:marBottom w:val="0"/>
      <w:divBdr>
        <w:top w:val="none" w:sz="0" w:space="0" w:color="auto"/>
        <w:left w:val="none" w:sz="0" w:space="0" w:color="auto"/>
        <w:bottom w:val="none" w:sz="0" w:space="0" w:color="auto"/>
        <w:right w:val="none" w:sz="0" w:space="0" w:color="auto"/>
      </w:divBdr>
    </w:div>
    <w:div w:id="1074279821">
      <w:bodyDiv w:val="1"/>
      <w:marLeft w:val="0"/>
      <w:marRight w:val="0"/>
      <w:marTop w:val="0"/>
      <w:marBottom w:val="0"/>
      <w:divBdr>
        <w:top w:val="none" w:sz="0" w:space="0" w:color="auto"/>
        <w:left w:val="none" w:sz="0" w:space="0" w:color="auto"/>
        <w:bottom w:val="none" w:sz="0" w:space="0" w:color="auto"/>
        <w:right w:val="none" w:sz="0" w:space="0" w:color="auto"/>
      </w:divBdr>
    </w:div>
    <w:div w:id="1105347106">
      <w:bodyDiv w:val="1"/>
      <w:marLeft w:val="0"/>
      <w:marRight w:val="0"/>
      <w:marTop w:val="0"/>
      <w:marBottom w:val="0"/>
      <w:divBdr>
        <w:top w:val="none" w:sz="0" w:space="0" w:color="auto"/>
        <w:left w:val="none" w:sz="0" w:space="0" w:color="auto"/>
        <w:bottom w:val="none" w:sz="0" w:space="0" w:color="auto"/>
        <w:right w:val="none" w:sz="0" w:space="0" w:color="auto"/>
      </w:divBdr>
    </w:div>
    <w:div w:id="1110278132">
      <w:bodyDiv w:val="1"/>
      <w:marLeft w:val="0"/>
      <w:marRight w:val="0"/>
      <w:marTop w:val="0"/>
      <w:marBottom w:val="0"/>
      <w:divBdr>
        <w:top w:val="none" w:sz="0" w:space="0" w:color="auto"/>
        <w:left w:val="none" w:sz="0" w:space="0" w:color="auto"/>
        <w:bottom w:val="none" w:sz="0" w:space="0" w:color="auto"/>
        <w:right w:val="none" w:sz="0" w:space="0" w:color="auto"/>
      </w:divBdr>
    </w:div>
    <w:div w:id="1126195005">
      <w:bodyDiv w:val="1"/>
      <w:marLeft w:val="0"/>
      <w:marRight w:val="0"/>
      <w:marTop w:val="0"/>
      <w:marBottom w:val="0"/>
      <w:divBdr>
        <w:top w:val="none" w:sz="0" w:space="0" w:color="auto"/>
        <w:left w:val="none" w:sz="0" w:space="0" w:color="auto"/>
        <w:bottom w:val="none" w:sz="0" w:space="0" w:color="auto"/>
        <w:right w:val="none" w:sz="0" w:space="0" w:color="auto"/>
      </w:divBdr>
    </w:div>
    <w:div w:id="1142231308">
      <w:bodyDiv w:val="1"/>
      <w:marLeft w:val="0"/>
      <w:marRight w:val="0"/>
      <w:marTop w:val="0"/>
      <w:marBottom w:val="0"/>
      <w:divBdr>
        <w:top w:val="none" w:sz="0" w:space="0" w:color="auto"/>
        <w:left w:val="none" w:sz="0" w:space="0" w:color="auto"/>
        <w:bottom w:val="none" w:sz="0" w:space="0" w:color="auto"/>
        <w:right w:val="none" w:sz="0" w:space="0" w:color="auto"/>
      </w:divBdr>
    </w:div>
    <w:div w:id="1151799322">
      <w:bodyDiv w:val="1"/>
      <w:marLeft w:val="0"/>
      <w:marRight w:val="0"/>
      <w:marTop w:val="0"/>
      <w:marBottom w:val="0"/>
      <w:divBdr>
        <w:top w:val="none" w:sz="0" w:space="0" w:color="auto"/>
        <w:left w:val="none" w:sz="0" w:space="0" w:color="auto"/>
        <w:bottom w:val="none" w:sz="0" w:space="0" w:color="auto"/>
        <w:right w:val="none" w:sz="0" w:space="0" w:color="auto"/>
      </w:divBdr>
    </w:div>
    <w:div w:id="1172530982">
      <w:bodyDiv w:val="1"/>
      <w:marLeft w:val="0"/>
      <w:marRight w:val="0"/>
      <w:marTop w:val="0"/>
      <w:marBottom w:val="0"/>
      <w:divBdr>
        <w:top w:val="none" w:sz="0" w:space="0" w:color="auto"/>
        <w:left w:val="none" w:sz="0" w:space="0" w:color="auto"/>
        <w:bottom w:val="none" w:sz="0" w:space="0" w:color="auto"/>
        <w:right w:val="none" w:sz="0" w:space="0" w:color="auto"/>
      </w:divBdr>
    </w:div>
    <w:div w:id="1178083702">
      <w:bodyDiv w:val="1"/>
      <w:marLeft w:val="0"/>
      <w:marRight w:val="0"/>
      <w:marTop w:val="0"/>
      <w:marBottom w:val="0"/>
      <w:divBdr>
        <w:top w:val="none" w:sz="0" w:space="0" w:color="auto"/>
        <w:left w:val="none" w:sz="0" w:space="0" w:color="auto"/>
        <w:bottom w:val="none" w:sz="0" w:space="0" w:color="auto"/>
        <w:right w:val="none" w:sz="0" w:space="0" w:color="auto"/>
      </w:divBdr>
    </w:div>
    <w:div w:id="1192719537">
      <w:bodyDiv w:val="1"/>
      <w:marLeft w:val="0"/>
      <w:marRight w:val="0"/>
      <w:marTop w:val="0"/>
      <w:marBottom w:val="0"/>
      <w:divBdr>
        <w:top w:val="none" w:sz="0" w:space="0" w:color="auto"/>
        <w:left w:val="none" w:sz="0" w:space="0" w:color="auto"/>
        <w:bottom w:val="none" w:sz="0" w:space="0" w:color="auto"/>
        <w:right w:val="none" w:sz="0" w:space="0" w:color="auto"/>
      </w:divBdr>
    </w:div>
    <w:div w:id="1203060903">
      <w:bodyDiv w:val="1"/>
      <w:marLeft w:val="0"/>
      <w:marRight w:val="0"/>
      <w:marTop w:val="0"/>
      <w:marBottom w:val="0"/>
      <w:divBdr>
        <w:top w:val="none" w:sz="0" w:space="0" w:color="auto"/>
        <w:left w:val="none" w:sz="0" w:space="0" w:color="auto"/>
        <w:bottom w:val="none" w:sz="0" w:space="0" w:color="auto"/>
        <w:right w:val="none" w:sz="0" w:space="0" w:color="auto"/>
      </w:divBdr>
    </w:div>
    <w:div w:id="1208103926">
      <w:bodyDiv w:val="1"/>
      <w:marLeft w:val="0"/>
      <w:marRight w:val="0"/>
      <w:marTop w:val="0"/>
      <w:marBottom w:val="0"/>
      <w:divBdr>
        <w:top w:val="none" w:sz="0" w:space="0" w:color="auto"/>
        <w:left w:val="none" w:sz="0" w:space="0" w:color="auto"/>
        <w:bottom w:val="none" w:sz="0" w:space="0" w:color="auto"/>
        <w:right w:val="none" w:sz="0" w:space="0" w:color="auto"/>
      </w:divBdr>
    </w:div>
    <w:div w:id="1211302270">
      <w:bodyDiv w:val="1"/>
      <w:marLeft w:val="0"/>
      <w:marRight w:val="0"/>
      <w:marTop w:val="0"/>
      <w:marBottom w:val="0"/>
      <w:divBdr>
        <w:top w:val="none" w:sz="0" w:space="0" w:color="auto"/>
        <w:left w:val="none" w:sz="0" w:space="0" w:color="auto"/>
        <w:bottom w:val="none" w:sz="0" w:space="0" w:color="auto"/>
        <w:right w:val="none" w:sz="0" w:space="0" w:color="auto"/>
      </w:divBdr>
    </w:div>
    <w:div w:id="1267038268">
      <w:bodyDiv w:val="1"/>
      <w:marLeft w:val="0"/>
      <w:marRight w:val="0"/>
      <w:marTop w:val="0"/>
      <w:marBottom w:val="0"/>
      <w:divBdr>
        <w:top w:val="none" w:sz="0" w:space="0" w:color="auto"/>
        <w:left w:val="none" w:sz="0" w:space="0" w:color="auto"/>
        <w:bottom w:val="none" w:sz="0" w:space="0" w:color="auto"/>
        <w:right w:val="none" w:sz="0" w:space="0" w:color="auto"/>
      </w:divBdr>
    </w:div>
    <w:div w:id="1268730625">
      <w:bodyDiv w:val="1"/>
      <w:marLeft w:val="0"/>
      <w:marRight w:val="0"/>
      <w:marTop w:val="0"/>
      <w:marBottom w:val="0"/>
      <w:divBdr>
        <w:top w:val="none" w:sz="0" w:space="0" w:color="auto"/>
        <w:left w:val="none" w:sz="0" w:space="0" w:color="auto"/>
        <w:bottom w:val="none" w:sz="0" w:space="0" w:color="auto"/>
        <w:right w:val="none" w:sz="0" w:space="0" w:color="auto"/>
      </w:divBdr>
      <w:divsChild>
        <w:div w:id="213009437">
          <w:marLeft w:val="0"/>
          <w:marRight w:val="0"/>
          <w:marTop w:val="0"/>
          <w:marBottom w:val="0"/>
          <w:divBdr>
            <w:top w:val="none" w:sz="0" w:space="0" w:color="auto"/>
            <w:left w:val="none" w:sz="0" w:space="0" w:color="auto"/>
            <w:bottom w:val="none" w:sz="0" w:space="0" w:color="auto"/>
            <w:right w:val="none" w:sz="0" w:space="0" w:color="auto"/>
          </w:divBdr>
          <w:divsChild>
            <w:div w:id="609320832">
              <w:marLeft w:val="0"/>
              <w:marRight w:val="0"/>
              <w:marTop w:val="0"/>
              <w:marBottom w:val="0"/>
              <w:divBdr>
                <w:top w:val="none" w:sz="0" w:space="0" w:color="auto"/>
                <w:left w:val="none" w:sz="0" w:space="0" w:color="auto"/>
                <w:bottom w:val="none" w:sz="0" w:space="0" w:color="auto"/>
                <w:right w:val="none" w:sz="0" w:space="0" w:color="auto"/>
              </w:divBdr>
              <w:divsChild>
                <w:div w:id="781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481">
          <w:marLeft w:val="0"/>
          <w:marRight w:val="0"/>
          <w:marTop w:val="0"/>
          <w:marBottom w:val="0"/>
          <w:divBdr>
            <w:top w:val="none" w:sz="0" w:space="0" w:color="auto"/>
            <w:left w:val="none" w:sz="0" w:space="0" w:color="auto"/>
            <w:bottom w:val="none" w:sz="0" w:space="0" w:color="auto"/>
            <w:right w:val="none" w:sz="0" w:space="0" w:color="auto"/>
          </w:divBdr>
        </w:div>
      </w:divsChild>
    </w:div>
    <w:div w:id="1286540048">
      <w:bodyDiv w:val="1"/>
      <w:marLeft w:val="0"/>
      <w:marRight w:val="0"/>
      <w:marTop w:val="0"/>
      <w:marBottom w:val="0"/>
      <w:divBdr>
        <w:top w:val="none" w:sz="0" w:space="0" w:color="auto"/>
        <w:left w:val="none" w:sz="0" w:space="0" w:color="auto"/>
        <w:bottom w:val="none" w:sz="0" w:space="0" w:color="auto"/>
        <w:right w:val="none" w:sz="0" w:space="0" w:color="auto"/>
      </w:divBdr>
    </w:div>
    <w:div w:id="1290169147">
      <w:bodyDiv w:val="1"/>
      <w:marLeft w:val="0"/>
      <w:marRight w:val="0"/>
      <w:marTop w:val="0"/>
      <w:marBottom w:val="0"/>
      <w:divBdr>
        <w:top w:val="none" w:sz="0" w:space="0" w:color="auto"/>
        <w:left w:val="none" w:sz="0" w:space="0" w:color="auto"/>
        <w:bottom w:val="none" w:sz="0" w:space="0" w:color="auto"/>
        <w:right w:val="none" w:sz="0" w:space="0" w:color="auto"/>
      </w:divBdr>
    </w:div>
    <w:div w:id="1308897585">
      <w:bodyDiv w:val="1"/>
      <w:marLeft w:val="0"/>
      <w:marRight w:val="0"/>
      <w:marTop w:val="0"/>
      <w:marBottom w:val="0"/>
      <w:divBdr>
        <w:top w:val="none" w:sz="0" w:space="0" w:color="auto"/>
        <w:left w:val="none" w:sz="0" w:space="0" w:color="auto"/>
        <w:bottom w:val="none" w:sz="0" w:space="0" w:color="auto"/>
        <w:right w:val="none" w:sz="0" w:space="0" w:color="auto"/>
      </w:divBdr>
    </w:div>
    <w:div w:id="1328023012">
      <w:bodyDiv w:val="1"/>
      <w:marLeft w:val="0"/>
      <w:marRight w:val="0"/>
      <w:marTop w:val="0"/>
      <w:marBottom w:val="0"/>
      <w:divBdr>
        <w:top w:val="none" w:sz="0" w:space="0" w:color="auto"/>
        <w:left w:val="none" w:sz="0" w:space="0" w:color="auto"/>
        <w:bottom w:val="none" w:sz="0" w:space="0" w:color="auto"/>
        <w:right w:val="none" w:sz="0" w:space="0" w:color="auto"/>
      </w:divBdr>
    </w:div>
    <w:div w:id="1328947096">
      <w:bodyDiv w:val="1"/>
      <w:marLeft w:val="0"/>
      <w:marRight w:val="0"/>
      <w:marTop w:val="0"/>
      <w:marBottom w:val="0"/>
      <w:divBdr>
        <w:top w:val="none" w:sz="0" w:space="0" w:color="auto"/>
        <w:left w:val="none" w:sz="0" w:space="0" w:color="auto"/>
        <w:bottom w:val="none" w:sz="0" w:space="0" w:color="auto"/>
        <w:right w:val="none" w:sz="0" w:space="0" w:color="auto"/>
      </w:divBdr>
    </w:div>
    <w:div w:id="1339772576">
      <w:bodyDiv w:val="1"/>
      <w:marLeft w:val="0"/>
      <w:marRight w:val="0"/>
      <w:marTop w:val="0"/>
      <w:marBottom w:val="0"/>
      <w:divBdr>
        <w:top w:val="none" w:sz="0" w:space="0" w:color="auto"/>
        <w:left w:val="none" w:sz="0" w:space="0" w:color="auto"/>
        <w:bottom w:val="none" w:sz="0" w:space="0" w:color="auto"/>
        <w:right w:val="none" w:sz="0" w:space="0" w:color="auto"/>
      </w:divBdr>
    </w:div>
    <w:div w:id="1364090256">
      <w:bodyDiv w:val="1"/>
      <w:marLeft w:val="0"/>
      <w:marRight w:val="0"/>
      <w:marTop w:val="0"/>
      <w:marBottom w:val="0"/>
      <w:divBdr>
        <w:top w:val="none" w:sz="0" w:space="0" w:color="auto"/>
        <w:left w:val="none" w:sz="0" w:space="0" w:color="auto"/>
        <w:bottom w:val="none" w:sz="0" w:space="0" w:color="auto"/>
        <w:right w:val="none" w:sz="0" w:space="0" w:color="auto"/>
      </w:divBdr>
    </w:div>
    <w:div w:id="1386028212">
      <w:bodyDiv w:val="1"/>
      <w:marLeft w:val="0"/>
      <w:marRight w:val="0"/>
      <w:marTop w:val="0"/>
      <w:marBottom w:val="0"/>
      <w:divBdr>
        <w:top w:val="none" w:sz="0" w:space="0" w:color="auto"/>
        <w:left w:val="none" w:sz="0" w:space="0" w:color="auto"/>
        <w:bottom w:val="none" w:sz="0" w:space="0" w:color="auto"/>
        <w:right w:val="none" w:sz="0" w:space="0" w:color="auto"/>
      </w:divBdr>
    </w:div>
    <w:div w:id="1397822249">
      <w:bodyDiv w:val="1"/>
      <w:marLeft w:val="0"/>
      <w:marRight w:val="0"/>
      <w:marTop w:val="0"/>
      <w:marBottom w:val="0"/>
      <w:divBdr>
        <w:top w:val="none" w:sz="0" w:space="0" w:color="auto"/>
        <w:left w:val="none" w:sz="0" w:space="0" w:color="auto"/>
        <w:bottom w:val="none" w:sz="0" w:space="0" w:color="auto"/>
        <w:right w:val="none" w:sz="0" w:space="0" w:color="auto"/>
      </w:divBdr>
    </w:div>
    <w:div w:id="1432510012">
      <w:bodyDiv w:val="1"/>
      <w:marLeft w:val="0"/>
      <w:marRight w:val="0"/>
      <w:marTop w:val="0"/>
      <w:marBottom w:val="0"/>
      <w:divBdr>
        <w:top w:val="none" w:sz="0" w:space="0" w:color="auto"/>
        <w:left w:val="none" w:sz="0" w:space="0" w:color="auto"/>
        <w:bottom w:val="none" w:sz="0" w:space="0" w:color="auto"/>
        <w:right w:val="none" w:sz="0" w:space="0" w:color="auto"/>
      </w:divBdr>
    </w:div>
    <w:div w:id="1437097588">
      <w:bodyDiv w:val="1"/>
      <w:marLeft w:val="0"/>
      <w:marRight w:val="0"/>
      <w:marTop w:val="0"/>
      <w:marBottom w:val="0"/>
      <w:divBdr>
        <w:top w:val="none" w:sz="0" w:space="0" w:color="auto"/>
        <w:left w:val="none" w:sz="0" w:space="0" w:color="auto"/>
        <w:bottom w:val="none" w:sz="0" w:space="0" w:color="auto"/>
        <w:right w:val="none" w:sz="0" w:space="0" w:color="auto"/>
      </w:divBdr>
    </w:div>
    <w:div w:id="1452018152">
      <w:bodyDiv w:val="1"/>
      <w:marLeft w:val="0"/>
      <w:marRight w:val="0"/>
      <w:marTop w:val="0"/>
      <w:marBottom w:val="0"/>
      <w:divBdr>
        <w:top w:val="none" w:sz="0" w:space="0" w:color="auto"/>
        <w:left w:val="none" w:sz="0" w:space="0" w:color="auto"/>
        <w:bottom w:val="none" w:sz="0" w:space="0" w:color="auto"/>
        <w:right w:val="none" w:sz="0" w:space="0" w:color="auto"/>
      </w:divBdr>
    </w:div>
    <w:div w:id="1477406246">
      <w:bodyDiv w:val="1"/>
      <w:marLeft w:val="0"/>
      <w:marRight w:val="0"/>
      <w:marTop w:val="0"/>
      <w:marBottom w:val="0"/>
      <w:divBdr>
        <w:top w:val="none" w:sz="0" w:space="0" w:color="auto"/>
        <w:left w:val="none" w:sz="0" w:space="0" w:color="auto"/>
        <w:bottom w:val="none" w:sz="0" w:space="0" w:color="auto"/>
        <w:right w:val="none" w:sz="0" w:space="0" w:color="auto"/>
      </w:divBdr>
    </w:div>
    <w:div w:id="1506895594">
      <w:bodyDiv w:val="1"/>
      <w:marLeft w:val="0"/>
      <w:marRight w:val="0"/>
      <w:marTop w:val="0"/>
      <w:marBottom w:val="0"/>
      <w:divBdr>
        <w:top w:val="none" w:sz="0" w:space="0" w:color="auto"/>
        <w:left w:val="none" w:sz="0" w:space="0" w:color="auto"/>
        <w:bottom w:val="none" w:sz="0" w:space="0" w:color="auto"/>
        <w:right w:val="none" w:sz="0" w:space="0" w:color="auto"/>
      </w:divBdr>
    </w:div>
    <w:div w:id="1507744707">
      <w:bodyDiv w:val="1"/>
      <w:marLeft w:val="0"/>
      <w:marRight w:val="0"/>
      <w:marTop w:val="0"/>
      <w:marBottom w:val="0"/>
      <w:divBdr>
        <w:top w:val="none" w:sz="0" w:space="0" w:color="auto"/>
        <w:left w:val="none" w:sz="0" w:space="0" w:color="auto"/>
        <w:bottom w:val="none" w:sz="0" w:space="0" w:color="auto"/>
        <w:right w:val="none" w:sz="0" w:space="0" w:color="auto"/>
      </w:divBdr>
    </w:div>
    <w:div w:id="1517428143">
      <w:bodyDiv w:val="1"/>
      <w:marLeft w:val="0"/>
      <w:marRight w:val="0"/>
      <w:marTop w:val="0"/>
      <w:marBottom w:val="0"/>
      <w:divBdr>
        <w:top w:val="none" w:sz="0" w:space="0" w:color="auto"/>
        <w:left w:val="none" w:sz="0" w:space="0" w:color="auto"/>
        <w:bottom w:val="none" w:sz="0" w:space="0" w:color="auto"/>
        <w:right w:val="none" w:sz="0" w:space="0" w:color="auto"/>
      </w:divBdr>
    </w:div>
    <w:div w:id="1523784793">
      <w:bodyDiv w:val="1"/>
      <w:marLeft w:val="0"/>
      <w:marRight w:val="0"/>
      <w:marTop w:val="0"/>
      <w:marBottom w:val="0"/>
      <w:divBdr>
        <w:top w:val="none" w:sz="0" w:space="0" w:color="auto"/>
        <w:left w:val="none" w:sz="0" w:space="0" w:color="auto"/>
        <w:bottom w:val="none" w:sz="0" w:space="0" w:color="auto"/>
        <w:right w:val="none" w:sz="0" w:space="0" w:color="auto"/>
      </w:divBdr>
    </w:div>
    <w:div w:id="1539053404">
      <w:bodyDiv w:val="1"/>
      <w:marLeft w:val="0"/>
      <w:marRight w:val="0"/>
      <w:marTop w:val="0"/>
      <w:marBottom w:val="0"/>
      <w:divBdr>
        <w:top w:val="none" w:sz="0" w:space="0" w:color="auto"/>
        <w:left w:val="none" w:sz="0" w:space="0" w:color="auto"/>
        <w:bottom w:val="none" w:sz="0" w:space="0" w:color="auto"/>
        <w:right w:val="none" w:sz="0" w:space="0" w:color="auto"/>
      </w:divBdr>
    </w:div>
    <w:div w:id="1539515023">
      <w:bodyDiv w:val="1"/>
      <w:marLeft w:val="0"/>
      <w:marRight w:val="0"/>
      <w:marTop w:val="0"/>
      <w:marBottom w:val="0"/>
      <w:divBdr>
        <w:top w:val="none" w:sz="0" w:space="0" w:color="auto"/>
        <w:left w:val="none" w:sz="0" w:space="0" w:color="auto"/>
        <w:bottom w:val="none" w:sz="0" w:space="0" w:color="auto"/>
        <w:right w:val="none" w:sz="0" w:space="0" w:color="auto"/>
      </w:divBdr>
    </w:div>
    <w:div w:id="1547643749">
      <w:bodyDiv w:val="1"/>
      <w:marLeft w:val="0"/>
      <w:marRight w:val="0"/>
      <w:marTop w:val="0"/>
      <w:marBottom w:val="0"/>
      <w:divBdr>
        <w:top w:val="none" w:sz="0" w:space="0" w:color="auto"/>
        <w:left w:val="none" w:sz="0" w:space="0" w:color="auto"/>
        <w:bottom w:val="none" w:sz="0" w:space="0" w:color="auto"/>
        <w:right w:val="none" w:sz="0" w:space="0" w:color="auto"/>
      </w:divBdr>
    </w:div>
    <w:div w:id="1550147179">
      <w:bodyDiv w:val="1"/>
      <w:marLeft w:val="0"/>
      <w:marRight w:val="0"/>
      <w:marTop w:val="0"/>
      <w:marBottom w:val="0"/>
      <w:divBdr>
        <w:top w:val="none" w:sz="0" w:space="0" w:color="auto"/>
        <w:left w:val="none" w:sz="0" w:space="0" w:color="auto"/>
        <w:bottom w:val="none" w:sz="0" w:space="0" w:color="auto"/>
        <w:right w:val="none" w:sz="0" w:space="0" w:color="auto"/>
      </w:divBdr>
    </w:div>
    <w:div w:id="1568029265">
      <w:bodyDiv w:val="1"/>
      <w:marLeft w:val="0"/>
      <w:marRight w:val="0"/>
      <w:marTop w:val="0"/>
      <w:marBottom w:val="0"/>
      <w:divBdr>
        <w:top w:val="none" w:sz="0" w:space="0" w:color="auto"/>
        <w:left w:val="none" w:sz="0" w:space="0" w:color="auto"/>
        <w:bottom w:val="none" w:sz="0" w:space="0" w:color="auto"/>
        <w:right w:val="none" w:sz="0" w:space="0" w:color="auto"/>
      </w:divBdr>
    </w:div>
    <w:div w:id="1572041974">
      <w:bodyDiv w:val="1"/>
      <w:marLeft w:val="0"/>
      <w:marRight w:val="0"/>
      <w:marTop w:val="0"/>
      <w:marBottom w:val="0"/>
      <w:divBdr>
        <w:top w:val="none" w:sz="0" w:space="0" w:color="auto"/>
        <w:left w:val="none" w:sz="0" w:space="0" w:color="auto"/>
        <w:bottom w:val="none" w:sz="0" w:space="0" w:color="auto"/>
        <w:right w:val="none" w:sz="0" w:space="0" w:color="auto"/>
      </w:divBdr>
    </w:div>
    <w:div w:id="1621960426">
      <w:bodyDiv w:val="1"/>
      <w:marLeft w:val="0"/>
      <w:marRight w:val="0"/>
      <w:marTop w:val="0"/>
      <w:marBottom w:val="0"/>
      <w:divBdr>
        <w:top w:val="none" w:sz="0" w:space="0" w:color="auto"/>
        <w:left w:val="none" w:sz="0" w:space="0" w:color="auto"/>
        <w:bottom w:val="none" w:sz="0" w:space="0" w:color="auto"/>
        <w:right w:val="none" w:sz="0" w:space="0" w:color="auto"/>
      </w:divBdr>
    </w:div>
    <w:div w:id="1670476511">
      <w:bodyDiv w:val="1"/>
      <w:marLeft w:val="0"/>
      <w:marRight w:val="0"/>
      <w:marTop w:val="0"/>
      <w:marBottom w:val="0"/>
      <w:divBdr>
        <w:top w:val="none" w:sz="0" w:space="0" w:color="auto"/>
        <w:left w:val="none" w:sz="0" w:space="0" w:color="auto"/>
        <w:bottom w:val="none" w:sz="0" w:space="0" w:color="auto"/>
        <w:right w:val="none" w:sz="0" w:space="0" w:color="auto"/>
      </w:divBdr>
    </w:div>
    <w:div w:id="1719552594">
      <w:bodyDiv w:val="1"/>
      <w:marLeft w:val="0"/>
      <w:marRight w:val="0"/>
      <w:marTop w:val="0"/>
      <w:marBottom w:val="0"/>
      <w:divBdr>
        <w:top w:val="none" w:sz="0" w:space="0" w:color="auto"/>
        <w:left w:val="none" w:sz="0" w:space="0" w:color="auto"/>
        <w:bottom w:val="none" w:sz="0" w:space="0" w:color="auto"/>
        <w:right w:val="none" w:sz="0" w:space="0" w:color="auto"/>
      </w:divBdr>
    </w:div>
    <w:div w:id="1739942238">
      <w:bodyDiv w:val="1"/>
      <w:marLeft w:val="0"/>
      <w:marRight w:val="0"/>
      <w:marTop w:val="0"/>
      <w:marBottom w:val="0"/>
      <w:divBdr>
        <w:top w:val="none" w:sz="0" w:space="0" w:color="auto"/>
        <w:left w:val="none" w:sz="0" w:space="0" w:color="auto"/>
        <w:bottom w:val="none" w:sz="0" w:space="0" w:color="auto"/>
        <w:right w:val="none" w:sz="0" w:space="0" w:color="auto"/>
      </w:divBdr>
    </w:div>
    <w:div w:id="1756049252">
      <w:bodyDiv w:val="1"/>
      <w:marLeft w:val="0"/>
      <w:marRight w:val="0"/>
      <w:marTop w:val="0"/>
      <w:marBottom w:val="0"/>
      <w:divBdr>
        <w:top w:val="none" w:sz="0" w:space="0" w:color="auto"/>
        <w:left w:val="none" w:sz="0" w:space="0" w:color="auto"/>
        <w:bottom w:val="none" w:sz="0" w:space="0" w:color="auto"/>
        <w:right w:val="none" w:sz="0" w:space="0" w:color="auto"/>
      </w:divBdr>
    </w:div>
    <w:div w:id="1775204793">
      <w:bodyDiv w:val="1"/>
      <w:marLeft w:val="0"/>
      <w:marRight w:val="0"/>
      <w:marTop w:val="0"/>
      <w:marBottom w:val="0"/>
      <w:divBdr>
        <w:top w:val="none" w:sz="0" w:space="0" w:color="auto"/>
        <w:left w:val="none" w:sz="0" w:space="0" w:color="auto"/>
        <w:bottom w:val="none" w:sz="0" w:space="0" w:color="auto"/>
        <w:right w:val="none" w:sz="0" w:space="0" w:color="auto"/>
      </w:divBdr>
    </w:div>
    <w:div w:id="1778794381">
      <w:bodyDiv w:val="1"/>
      <w:marLeft w:val="0"/>
      <w:marRight w:val="0"/>
      <w:marTop w:val="0"/>
      <w:marBottom w:val="0"/>
      <w:divBdr>
        <w:top w:val="none" w:sz="0" w:space="0" w:color="auto"/>
        <w:left w:val="none" w:sz="0" w:space="0" w:color="auto"/>
        <w:bottom w:val="none" w:sz="0" w:space="0" w:color="auto"/>
        <w:right w:val="none" w:sz="0" w:space="0" w:color="auto"/>
      </w:divBdr>
    </w:div>
    <w:div w:id="1780222285">
      <w:bodyDiv w:val="1"/>
      <w:marLeft w:val="0"/>
      <w:marRight w:val="0"/>
      <w:marTop w:val="0"/>
      <w:marBottom w:val="0"/>
      <w:divBdr>
        <w:top w:val="none" w:sz="0" w:space="0" w:color="auto"/>
        <w:left w:val="none" w:sz="0" w:space="0" w:color="auto"/>
        <w:bottom w:val="none" w:sz="0" w:space="0" w:color="auto"/>
        <w:right w:val="none" w:sz="0" w:space="0" w:color="auto"/>
      </w:divBdr>
    </w:div>
    <w:div w:id="1780955411">
      <w:bodyDiv w:val="1"/>
      <w:marLeft w:val="0"/>
      <w:marRight w:val="0"/>
      <w:marTop w:val="0"/>
      <w:marBottom w:val="0"/>
      <w:divBdr>
        <w:top w:val="none" w:sz="0" w:space="0" w:color="auto"/>
        <w:left w:val="none" w:sz="0" w:space="0" w:color="auto"/>
        <w:bottom w:val="none" w:sz="0" w:space="0" w:color="auto"/>
        <w:right w:val="none" w:sz="0" w:space="0" w:color="auto"/>
      </w:divBdr>
    </w:div>
    <w:div w:id="1798572726">
      <w:bodyDiv w:val="1"/>
      <w:marLeft w:val="0"/>
      <w:marRight w:val="0"/>
      <w:marTop w:val="0"/>
      <w:marBottom w:val="0"/>
      <w:divBdr>
        <w:top w:val="none" w:sz="0" w:space="0" w:color="auto"/>
        <w:left w:val="none" w:sz="0" w:space="0" w:color="auto"/>
        <w:bottom w:val="none" w:sz="0" w:space="0" w:color="auto"/>
        <w:right w:val="none" w:sz="0" w:space="0" w:color="auto"/>
      </w:divBdr>
    </w:div>
    <w:div w:id="1807818666">
      <w:bodyDiv w:val="1"/>
      <w:marLeft w:val="0"/>
      <w:marRight w:val="0"/>
      <w:marTop w:val="0"/>
      <w:marBottom w:val="0"/>
      <w:divBdr>
        <w:top w:val="none" w:sz="0" w:space="0" w:color="auto"/>
        <w:left w:val="none" w:sz="0" w:space="0" w:color="auto"/>
        <w:bottom w:val="none" w:sz="0" w:space="0" w:color="auto"/>
        <w:right w:val="none" w:sz="0" w:space="0" w:color="auto"/>
      </w:divBdr>
    </w:div>
    <w:div w:id="1849102264">
      <w:bodyDiv w:val="1"/>
      <w:marLeft w:val="0"/>
      <w:marRight w:val="0"/>
      <w:marTop w:val="0"/>
      <w:marBottom w:val="0"/>
      <w:divBdr>
        <w:top w:val="none" w:sz="0" w:space="0" w:color="auto"/>
        <w:left w:val="none" w:sz="0" w:space="0" w:color="auto"/>
        <w:bottom w:val="none" w:sz="0" w:space="0" w:color="auto"/>
        <w:right w:val="none" w:sz="0" w:space="0" w:color="auto"/>
      </w:divBdr>
    </w:div>
    <w:div w:id="1856073679">
      <w:bodyDiv w:val="1"/>
      <w:marLeft w:val="0"/>
      <w:marRight w:val="0"/>
      <w:marTop w:val="0"/>
      <w:marBottom w:val="0"/>
      <w:divBdr>
        <w:top w:val="none" w:sz="0" w:space="0" w:color="auto"/>
        <w:left w:val="none" w:sz="0" w:space="0" w:color="auto"/>
        <w:bottom w:val="none" w:sz="0" w:space="0" w:color="auto"/>
        <w:right w:val="none" w:sz="0" w:space="0" w:color="auto"/>
      </w:divBdr>
    </w:div>
    <w:div w:id="1901012214">
      <w:bodyDiv w:val="1"/>
      <w:marLeft w:val="0"/>
      <w:marRight w:val="0"/>
      <w:marTop w:val="0"/>
      <w:marBottom w:val="0"/>
      <w:divBdr>
        <w:top w:val="none" w:sz="0" w:space="0" w:color="auto"/>
        <w:left w:val="none" w:sz="0" w:space="0" w:color="auto"/>
        <w:bottom w:val="none" w:sz="0" w:space="0" w:color="auto"/>
        <w:right w:val="none" w:sz="0" w:space="0" w:color="auto"/>
      </w:divBdr>
    </w:div>
    <w:div w:id="1961642816">
      <w:bodyDiv w:val="1"/>
      <w:marLeft w:val="0"/>
      <w:marRight w:val="0"/>
      <w:marTop w:val="0"/>
      <w:marBottom w:val="0"/>
      <w:divBdr>
        <w:top w:val="none" w:sz="0" w:space="0" w:color="auto"/>
        <w:left w:val="none" w:sz="0" w:space="0" w:color="auto"/>
        <w:bottom w:val="none" w:sz="0" w:space="0" w:color="auto"/>
        <w:right w:val="none" w:sz="0" w:space="0" w:color="auto"/>
      </w:divBdr>
    </w:div>
    <w:div w:id="1966739877">
      <w:bodyDiv w:val="1"/>
      <w:marLeft w:val="0"/>
      <w:marRight w:val="0"/>
      <w:marTop w:val="0"/>
      <w:marBottom w:val="0"/>
      <w:divBdr>
        <w:top w:val="none" w:sz="0" w:space="0" w:color="auto"/>
        <w:left w:val="none" w:sz="0" w:space="0" w:color="auto"/>
        <w:bottom w:val="none" w:sz="0" w:space="0" w:color="auto"/>
        <w:right w:val="none" w:sz="0" w:space="0" w:color="auto"/>
      </w:divBdr>
    </w:div>
    <w:div w:id="1969116552">
      <w:bodyDiv w:val="1"/>
      <w:marLeft w:val="0"/>
      <w:marRight w:val="0"/>
      <w:marTop w:val="0"/>
      <w:marBottom w:val="0"/>
      <w:divBdr>
        <w:top w:val="none" w:sz="0" w:space="0" w:color="auto"/>
        <w:left w:val="none" w:sz="0" w:space="0" w:color="auto"/>
        <w:bottom w:val="none" w:sz="0" w:space="0" w:color="auto"/>
        <w:right w:val="none" w:sz="0" w:space="0" w:color="auto"/>
      </w:divBdr>
    </w:div>
    <w:div w:id="1981495287">
      <w:bodyDiv w:val="1"/>
      <w:marLeft w:val="0"/>
      <w:marRight w:val="0"/>
      <w:marTop w:val="0"/>
      <w:marBottom w:val="0"/>
      <w:divBdr>
        <w:top w:val="none" w:sz="0" w:space="0" w:color="auto"/>
        <w:left w:val="none" w:sz="0" w:space="0" w:color="auto"/>
        <w:bottom w:val="none" w:sz="0" w:space="0" w:color="auto"/>
        <w:right w:val="none" w:sz="0" w:space="0" w:color="auto"/>
      </w:divBdr>
    </w:div>
    <w:div w:id="1982727585">
      <w:bodyDiv w:val="1"/>
      <w:marLeft w:val="0"/>
      <w:marRight w:val="0"/>
      <w:marTop w:val="0"/>
      <w:marBottom w:val="0"/>
      <w:divBdr>
        <w:top w:val="none" w:sz="0" w:space="0" w:color="auto"/>
        <w:left w:val="none" w:sz="0" w:space="0" w:color="auto"/>
        <w:bottom w:val="none" w:sz="0" w:space="0" w:color="auto"/>
        <w:right w:val="none" w:sz="0" w:space="0" w:color="auto"/>
      </w:divBdr>
    </w:div>
    <w:div w:id="2017346388">
      <w:bodyDiv w:val="1"/>
      <w:marLeft w:val="0"/>
      <w:marRight w:val="0"/>
      <w:marTop w:val="0"/>
      <w:marBottom w:val="0"/>
      <w:divBdr>
        <w:top w:val="none" w:sz="0" w:space="0" w:color="auto"/>
        <w:left w:val="none" w:sz="0" w:space="0" w:color="auto"/>
        <w:bottom w:val="none" w:sz="0" w:space="0" w:color="auto"/>
        <w:right w:val="none" w:sz="0" w:space="0" w:color="auto"/>
      </w:divBdr>
      <w:divsChild>
        <w:div w:id="422607994">
          <w:marLeft w:val="0"/>
          <w:marRight w:val="0"/>
          <w:marTop w:val="0"/>
          <w:marBottom w:val="0"/>
          <w:divBdr>
            <w:top w:val="none" w:sz="0" w:space="0" w:color="auto"/>
            <w:left w:val="none" w:sz="0" w:space="0" w:color="auto"/>
            <w:bottom w:val="none" w:sz="0" w:space="0" w:color="auto"/>
            <w:right w:val="none" w:sz="0" w:space="0" w:color="auto"/>
          </w:divBdr>
        </w:div>
        <w:div w:id="81604518">
          <w:marLeft w:val="0"/>
          <w:marRight w:val="0"/>
          <w:marTop w:val="0"/>
          <w:marBottom w:val="0"/>
          <w:divBdr>
            <w:top w:val="none" w:sz="0" w:space="0" w:color="auto"/>
            <w:left w:val="none" w:sz="0" w:space="0" w:color="auto"/>
            <w:bottom w:val="none" w:sz="0" w:space="0" w:color="auto"/>
            <w:right w:val="none" w:sz="0" w:space="0" w:color="auto"/>
          </w:divBdr>
          <w:divsChild>
            <w:div w:id="1053190833">
              <w:marLeft w:val="118"/>
              <w:marRight w:val="0"/>
              <w:marTop w:val="107"/>
              <w:marBottom w:val="0"/>
              <w:divBdr>
                <w:top w:val="none" w:sz="0" w:space="0" w:color="auto"/>
                <w:left w:val="none" w:sz="0" w:space="0" w:color="auto"/>
                <w:bottom w:val="none" w:sz="0" w:space="0" w:color="auto"/>
                <w:right w:val="none" w:sz="0" w:space="0" w:color="auto"/>
              </w:divBdr>
              <w:divsChild>
                <w:div w:id="634717446">
                  <w:marLeft w:val="0"/>
                  <w:marRight w:val="0"/>
                  <w:marTop w:val="0"/>
                  <w:marBottom w:val="0"/>
                  <w:divBdr>
                    <w:top w:val="none" w:sz="0" w:space="0" w:color="auto"/>
                    <w:left w:val="none" w:sz="0" w:space="0" w:color="auto"/>
                    <w:bottom w:val="none" w:sz="0" w:space="0" w:color="auto"/>
                    <w:right w:val="none" w:sz="0" w:space="0" w:color="auto"/>
                  </w:divBdr>
                  <w:divsChild>
                    <w:div w:id="291594708">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4476">
      <w:bodyDiv w:val="1"/>
      <w:marLeft w:val="0"/>
      <w:marRight w:val="0"/>
      <w:marTop w:val="0"/>
      <w:marBottom w:val="0"/>
      <w:divBdr>
        <w:top w:val="none" w:sz="0" w:space="0" w:color="auto"/>
        <w:left w:val="none" w:sz="0" w:space="0" w:color="auto"/>
        <w:bottom w:val="none" w:sz="0" w:space="0" w:color="auto"/>
        <w:right w:val="none" w:sz="0" w:space="0" w:color="auto"/>
      </w:divBdr>
    </w:div>
    <w:div w:id="2039693588">
      <w:bodyDiv w:val="1"/>
      <w:marLeft w:val="0"/>
      <w:marRight w:val="0"/>
      <w:marTop w:val="0"/>
      <w:marBottom w:val="0"/>
      <w:divBdr>
        <w:top w:val="none" w:sz="0" w:space="0" w:color="auto"/>
        <w:left w:val="none" w:sz="0" w:space="0" w:color="auto"/>
        <w:bottom w:val="none" w:sz="0" w:space="0" w:color="auto"/>
        <w:right w:val="none" w:sz="0" w:space="0" w:color="auto"/>
      </w:divBdr>
    </w:div>
    <w:div w:id="2069763145">
      <w:bodyDiv w:val="1"/>
      <w:marLeft w:val="0"/>
      <w:marRight w:val="0"/>
      <w:marTop w:val="0"/>
      <w:marBottom w:val="0"/>
      <w:divBdr>
        <w:top w:val="none" w:sz="0" w:space="0" w:color="auto"/>
        <w:left w:val="none" w:sz="0" w:space="0" w:color="auto"/>
        <w:bottom w:val="none" w:sz="0" w:space="0" w:color="auto"/>
        <w:right w:val="none" w:sz="0" w:space="0" w:color="auto"/>
      </w:divBdr>
    </w:div>
    <w:div w:id="2087995281">
      <w:bodyDiv w:val="1"/>
      <w:marLeft w:val="0"/>
      <w:marRight w:val="0"/>
      <w:marTop w:val="0"/>
      <w:marBottom w:val="0"/>
      <w:divBdr>
        <w:top w:val="none" w:sz="0" w:space="0" w:color="auto"/>
        <w:left w:val="none" w:sz="0" w:space="0" w:color="auto"/>
        <w:bottom w:val="none" w:sz="0" w:space="0" w:color="auto"/>
        <w:right w:val="none" w:sz="0" w:space="0" w:color="auto"/>
      </w:divBdr>
    </w:div>
    <w:div w:id="2102024268">
      <w:bodyDiv w:val="1"/>
      <w:marLeft w:val="0"/>
      <w:marRight w:val="0"/>
      <w:marTop w:val="0"/>
      <w:marBottom w:val="0"/>
      <w:divBdr>
        <w:top w:val="none" w:sz="0" w:space="0" w:color="auto"/>
        <w:left w:val="none" w:sz="0" w:space="0" w:color="auto"/>
        <w:bottom w:val="none" w:sz="0" w:space="0" w:color="auto"/>
        <w:right w:val="none" w:sz="0" w:space="0" w:color="auto"/>
      </w:divBdr>
    </w:div>
    <w:div w:id="2135175038">
      <w:bodyDiv w:val="1"/>
      <w:marLeft w:val="0"/>
      <w:marRight w:val="0"/>
      <w:marTop w:val="0"/>
      <w:marBottom w:val="0"/>
      <w:divBdr>
        <w:top w:val="none" w:sz="0" w:space="0" w:color="auto"/>
        <w:left w:val="none" w:sz="0" w:space="0" w:color="auto"/>
        <w:bottom w:val="none" w:sz="0" w:space="0" w:color="auto"/>
        <w:right w:val="none" w:sz="0" w:space="0" w:color="auto"/>
      </w:divBdr>
    </w:div>
    <w:div w:id="2138526601">
      <w:bodyDiv w:val="1"/>
      <w:marLeft w:val="0"/>
      <w:marRight w:val="0"/>
      <w:marTop w:val="0"/>
      <w:marBottom w:val="0"/>
      <w:divBdr>
        <w:top w:val="none" w:sz="0" w:space="0" w:color="auto"/>
        <w:left w:val="none" w:sz="0" w:space="0" w:color="auto"/>
        <w:bottom w:val="none" w:sz="0" w:space="0" w:color="auto"/>
        <w:right w:val="none" w:sz="0" w:space="0" w:color="auto"/>
      </w:divBdr>
    </w:div>
    <w:div w:id="2139376221">
      <w:bodyDiv w:val="1"/>
      <w:marLeft w:val="0"/>
      <w:marRight w:val="0"/>
      <w:marTop w:val="0"/>
      <w:marBottom w:val="0"/>
      <w:divBdr>
        <w:top w:val="none" w:sz="0" w:space="0" w:color="auto"/>
        <w:left w:val="none" w:sz="0" w:space="0" w:color="auto"/>
        <w:bottom w:val="none" w:sz="0" w:space="0" w:color="auto"/>
        <w:right w:val="none" w:sz="0" w:space="0" w:color="auto"/>
      </w:divBdr>
    </w:div>
    <w:div w:id="21471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2/hep.27406" TargetMode="External"/><Relationship Id="rId18" Type="http://schemas.openxmlformats.org/officeDocument/2006/relationships/hyperlink" Target="https://doi.org/10.1002/cld.1061" TargetMode="External"/><Relationship Id="rId26" Type="http://schemas.openxmlformats.org/officeDocument/2006/relationships/hyperlink" Target="https://doi.org/10.1016%2Fj.jare.2012.12.001" TargetMode="External"/><Relationship Id="rId3" Type="http://schemas.openxmlformats.org/officeDocument/2006/relationships/styles" Target="styles.xml"/><Relationship Id="rId21" Type="http://schemas.openxmlformats.org/officeDocument/2006/relationships/hyperlink" Target="http://livertox.nih.gov/Herbals_and_Dietary_Supplements.htm" TargetMode="External"/><Relationship Id="rId7" Type="http://schemas.openxmlformats.org/officeDocument/2006/relationships/endnotes" Target="endnotes.xml"/><Relationship Id="rId12" Type="http://schemas.openxmlformats.org/officeDocument/2006/relationships/hyperlink" Target="http://www.dilin.org/" TargetMode="External"/><Relationship Id="rId17" Type="http://schemas.openxmlformats.org/officeDocument/2006/relationships/hyperlink" Target="https://doi.org/10.3748%2Fwjg.v24.i44.4959" TargetMode="External"/><Relationship Id="rId25" Type="http://schemas.openxmlformats.org/officeDocument/2006/relationships/hyperlink" Target="https://www.ncbi.nlm.nih.gov/pmc/articles/PMC4293886" TargetMode="Externa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who.int/healt%20hinfo/%20globa%20l_burde%20n_disea%20se/" TargetMode="External"/><Relationship Id="rId20" Type="http://schemas.openxmlformats.org/officeDocument/2006/relationships/hyperlink" Target="https://doi.org/10.3350%2Fcmh.2012.18.3.24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en.wikipedia.org/wiki/Special:BookSources/978-0-07-180215-4" TargetMode="External"/><Relationship Id="rId5" Type="http://schemas.openxmlformats.org/officeDocument/2006/relationships/webSettings" Target="webSettings.xml"/><Relationship Id="rId15" Type="http://schemas.openxmlformats.org/officeDocument/2006/relationships/hyperlink" Target="https://doi.org/10.1111/nyas.12433" TargetMode="External"/><Relationship Id="rId23" Type="http://schemas.openxmlformats.org/officeDocument/2006/relationships/hyperlink" Target="https://en.wikipedia.org/wiki/ISBN_(identifier)" TargetMode="External"/><Relationship Id="rId28"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yperlink" Target="https://www.ncbi.nlm.nih.gov/pmc/articles/PMC346742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38/s41575-019-0186-y" TargetMode="External"/><Relationship Id="rId22" Type="http://schemas.openxmlformats.org/officeDocument/2006/relationships/hyperlink" Target="https://web.archive.org/web/20160508234736/http:/livertox.nih.gov/Herbals_and_Dietary_Supplements.htm" TargetMode="External"/><Relationship Id="rId27" Type="http://schemas.openxmlformats.org/officeDocument/2006/relationships/chart" Target="charts/chart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1575;&#1604;&#1605;&#1589;&#1606;&#16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1575;&#1604;&#1605;&#1589;&#1606;&#16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spPr>
            <a:solidFill>
              <a:schemeClr val="accent1"/>
            </a:solidFill>
            <a:ln>
              <a:noFill/>
            </a:ln>
            <a:effectLst/>
            <a:scene3d>
              <a:camera prst="orthographicFront"/>
              <a:lightRig rig="threePt" dir="t"/>
            </a:scene3d>
            <a:sp3d>
              <a:bevel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ورقة3!$A$29:$A$37</c:f>
              <c:strCache>
                <c:ptCount val="9"/>
                <c:pt idx="0">
                  <c:v>Anemia</c:v>
                </c:pt>
                <c:pt idx="1">
                  <c:v>Ascites</c:v>
                </c:pt>
                <c:pt idx="2">
                  <c:v>Coagulopathy</c:v>
                </c:pt>
                <c:pt idx="3">
                  <c:v>Upper gastroenterology</c:v>
                </c:pt>
                <c:pt idx="4">
                  <c:v>Lower gastroenterology</c:v>
                </c:pt>
                <c:pt idx="5">
                  <c:v>GB syndrome</c:v>
                </c:pt>
                <c:pt idx="6">
                  <c:v>Acute kidney failure</c:v>
                </c:pt>
                <c:pt idx="7">
                  <c:v>Acute liver failure</c:v>
                </c:pt>
                <c:pt idx="8">
                  <c:v>Pleural effusion</c:v>
                </c:pt>
              </c:strCache>
            </c:strRef>
          </c:cat>
          <c:val>
            <c:numRef>
              <c:f>ورقة3!$B$29:$B$37</c:f>
              <c:numCache>
                <c:formatCode>0.00%</c:formatCode>
                <c:ptCount val="9"/>
                <c:pt idx="0">
                  <c:v>0.56100000000000005</c:v>
                </c:pt>
                <c:pt idx="1">
                  <c:v>0.56799999999999995</c:v>
                </c:pt>
                <c:pt idx="2">
                  <c:v>0.41300000000000031</c:v>
                </c:pt>
                <c:pt idx="3">
                  <c:v>0.42600000000000032</c:v>
                </c:pt>
                <c:pt idx="4">
                  <c:v>0.23900000000000021</c:v>
                </c:pt>
                <c:pt idx="5">
                  <c:v>3.9000000000000062E-2</c:v>
                </c:pt>
                <c:pt idx="6" formatCode="0%">
                  <c:v>0.2</c:v>
                </c:pt>
                <c:pt idx="7">
                  <c:v>5.2000000000000109E-2</c:v>
                </c:pt>
                <c:pt idx="8">
                  <c:v>0.129</c:v>
                </c:pt>
              </c:numCache>
            </c:numRef>
          </c:val>
          <c:extLst xmlns:c16r2="http://schemas.microsoft.com/office/drawing/2015/06/chart">
            <c:ext xmlns:c16="http://schemas.microsoft.com/office/drawing/2014/chart" uri="{C3380CC4-5D6E-409C-BE32-E72D297353CC}">
              <c16:uniqueId val="{00000000-EFC4-4493-B1A4-1C916629E7B3}"/>
            </c:ext>
          </c:extLst>
        </c:ser>
        <c:gapWidth val="182"/>
        <c:axId val="47223552"/>
        <c:axId val="47225088"/>
      </c:barChart>
      <c:catAx>
        <c:axId val="472235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7225088"/>
        <c:crosses val="autoZero"/>
        <c:auto val="1"/>
        <c:lblAlgn val="ctr"/>
        <c:lblOffset val="100"/>
      </c:catAx>
      <c:valAx>
        <c:axId val="47225088"/>
        <c:scaling>
          <c:orientation val="minMax"/>
        </c:scaling>
        <c:delete val="1"/>
        <c:axPos val="b"/>
        <c:numFmt formatCode="0.00%" sourceLinked="1"/>
        <c:majorTickMark val="none"/>
        <c:tickLblPos val="none"/>
        <c:crossAx val="472235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ورقة3!$A$41</c:f>
              <c:strCache>
                <c:ptCount val="1"/>
                <c:pt idx="0">
                  <c:v>Progress to chronic hepatitis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ورقة3!$B$41</c:f>
              <c:numCache>
                <c:formatCode>0%</c:formatCode>
                <c:ptCount val="1"/>
                <c:pt idx="0">
                  <c:v>0.11</c:v>
                </c:pt>
              </c:numCache>
            </c:numRef>
          </c:val>
          <c:extLst xmlns:c16r2="http://schemas.microsoft.com/office/drawing/2015/06/chart">
            <c:ext xmlns:c16="http://schemas.microsoft.com/office/drawing/2014/chart" uri="{C3380CC4-5D6E-409C-BE32-E72D297353CC}">
              <c16:uniqueId val="{00000000-75CC-4479-80E3-CA39403EE679}"/>
            </c:ext>
          </c:extLst>
        </c:ser>
        <c:ser>
          <c:idx val="1"/>
          <c:order val="1"/>
          <c:tx>
            <c:strRef>
              <c:f>ورقة3!$A$42</c:f>
              <c:strCache>
                <c:ptCount val="1"/>
                <c:pt idx="0">
                  <c:v>Use of steroid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ورقة3!$B$42</c:f>
              <c:numCache>
                <c:formatCode>0.00%</c:formatCode>
                <c:ptCount val="1"/>
                <c:pt idx="0">
                  <c:v>0.10299999999999998</c:v>
                </c:pt>
              </c:numCache>
            </c:numRef>
          </c:val>
          <c:extLst xmlns:c16r2="http://schemas.microsoft.com/office/drawing/2015/06/chart">
            <c:ext xmlns:c16="http://schemas.microsoft.com/office/drawing/2014/chart" uri="{C3380CC4-5D6E-409C-BE32-E72D297353CC}">
              <c16:uniqueId val="{00000001-75CC-4479-80E3-CA39403EE679}"/>
            </c:ext>
          </c:extLst>
        </c:ser>
        <c:ser>
          <c:idx val="2"/>
          <c:order val="2"/>
          <c:tx>
            <c:strRef>
              <c:f>ورقة3!$A$43</c:f>
              <c:strCache>
                <c:ptCount val="1"/>
                <c:pt idx="0">
                  <c:v>Use of antiviral agent</c:v>
                </c:pt>
              </c:strCache>
            </c:strRef>
          </c:tx>
          <c:spPr>
            <a:solidFill>
              <a:schemeClr val="accent3"/>
            </a:solidFill>
            <a:ln>
              <a:noFill/>
            </a:ln>
            <a:effectLst/>
          </c:spPr>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5CC-4479-80E3-CA39403EE679}"/>
                </c:ext>
              </c:extLst>
            </c:dLbl>
            <c:delete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ورقة3!$B$43</c:f>
              <c:numCache>
                <c:formatCode>0.00%</c:formatCode>
                <c:ptCount val="1"/>
                <c:pt idx="0">
                  <c:v>5.1999999999999998E-2</c:v>
                </c:pt>
              </c:numCache>
            </c:numRef>
          </c:val>
          <c:extLst xmlns:c16r2="http://schemas.microsoft.com/office/drawing/2015/06/chart">
            <c:ext xmlns:c16="http://schemas.microsoft.com/office/drawing/2014/chart" uri="{C3380CC4-5D6E-409C-BE32-E72D297353CC}">
              <c16:uniqueId val="{00000003-75CC-4479-80E3-CA39403EE679}"/>
            </c:ext>
          </c:extLst>
        </c:ser>
        <c:ser>
          <c:idx val="3"/>
          <c:order val="3"/>
          <c:tx>
            <c:strRef>
              <c:f>ورقة3!$A$44</c:f>
              <c:strCache>
                <c:ptCount val="1"/>
                <c:pt idx="0">
                  <c:v>liver cirrhosis</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ورقة3!$B$44</c:f>
              <c:numCache>
                <c:formatCode>0.00%</c:formatCode>
                <c:ptCount val="1"/>
                <c:pt idx="0">
                  <c:v>0.12300000000000012</c:v>
                </c:pt>
              </c:numCache>
            </c:numRef>
          </c:val>
          <c:extLst xmlns:c16r2="http://schemas.microsoft.com/office/drawing/2015/06/chart">
            <c:ext xmlns:c16="http://schemas.microsoft.com/office/drawing/2014/chart" uri="{C3380CC4-5D6E-409C-BE32-E72D297353CC}">
              <c16:uniqueId val="{00000004-75CC-4479-80E3-CA39403EE679}"/>
            </c:ext>
          </c:extLst>
        </c:ser>
        <c:ser>
          <c:idx val="4"/>
          <c:order val="4"/>
          <c:tx>
            <c:strRef>
              <c:f>ورقة3!$A$45</c:f>
              <c:strCache>
                <c:ptCount val="1"/>
                <c:pt idx="0">
                  <c:v>Chronic liver failure</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ورقة3!$B$45</c:f>
              <c:numCache>
                <c:formatCode>0.00%</c:formatCode>
                <c:ptCount val="1"/>
                <c:pt idx="0">
                  <c:v>0.31600000000000095</c:v>
                </c:pt>
              </c:numCache>
            </c:numRef>
          </c:val>
          <c:extLst xmlns:c16r2="http://schemas.microsoft.com/office/drawing/2015/06/chart">
            <c:ext xmlns:c16="http://schemas.microsoft.com/office/drawing/2014/chart" uri="{C3380CC4-5D6E-409C-BE32-E72D297353CC}">
              <c16:uniqueId val="{00000005-75CC-4479-80E3-CA39403EE679}"/>
            </c:ext>
          </c:extLst>
        </c:ser>
        <c:ser>
          <c:idx val="5"/>
          <c:order val="5"/>
          <c:tx>
            <c:strRef>
              <c:f>ورقة3!$A$46</c:f>
              <c:strCache>
                <c:ptCount val="1"/>
                <c:pt idx="0">
                  <c:v>Hepatocellular carcinoma</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ورقة3!$B$46</c:f>
              <c:numCache>
                <c:formatCode>0.00%</c:formatCode>
                <c:ptCount val="1"/>
                <c:pt idx="0">
                  <c:v>5.1999999999999998E-2</c:v>
                </c:pt>
              </c:numCache>
            </c:numRef>
          </c:val>
          <c:extLst xmlns:c16r2="http://schemas.microsoft.com/office/drawing/2015/06/chart">
            <c:ext xmlns:c16="http://schemas.microsoft.com/office/drawing/2014/chart" uri="{C3380CC4-5D6E-409C-BE32-E72D297353CC}">
              <c16:uniqueId val="{00000006-75CC-4479-80E3-CA39403EE679}"/>
            </c:ext>
          </c:extLst>
        </c:ser>
        <c:ser>
          <c:idx val="6"/>
          <c:order val="6"/>
          <c:tx>
            <c:strRef>
              <c:f>ورقة3!$A$47</c:f>
              <c:strCache>
                <c:ptCount val="1"/>
                <c:pt idx="0">
                  <c:v>Death</c:v>
                </c:pt>
              </c:strCache>
            </c:strRef>
          </c:tx>
          <c:spPr>
            <a:solidFill>
              <a:schemeClr val="accent1">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ورقة3!$B$47</c:f>
              <c:numCache>
                <c:formatCode>0.00%</c:formatCode>
                <c:ptCount val="1"/>
                <c:pt idx="0">
                  <c:v>1.9000000000000059E-2</c:v>
                </c:pt>
              </c:numCache>
            </c:numRef>
          </c:val>
          <c:extLst xmlns:c16r2="http://schemas.microsoft.com/office/drawing/2015/06/chart">
            <c:ext xmlns:c16="http://schemas.microsoft.com/office/drawing/2014/chart" uri="{C3380CC4-5D6E-409C-BE32-E72D297353CC}">
              <c16:uniqueId val="{00000007-75CC-4479-80E3-CA39403EE679}"/>
            </c:ext>
          </c:extLst>
        </c:ser>
        <c:ser>
          <c:idx val="7"/>
          <c:order val="7"/>
          <c:tx>
            <c:strRef>
              <c:f>ورقة3!$A$48</c:f>
              <c:strCache>
                <c:ptCount val="1"/>
                <c:pt idx="0">
                  <c:v>Cured &amp; discharged</c:v>
                </c:pt>
              </c:strCache>
            </c:strRef>
          </c:tx>
          <c:spPr>
            <a:solidFill>
              <a:schemeClr val="accent2">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ورقة3!$B$48</c:f>
              <c:numCache>
                <c:formatCode>0.00%</c:formatCode>
                <c:ptCount val="1"/>
                <c:pt idx="0">
                  <c:v>0.37400000000000089</c:v>
                </c:pt>
              </c:numCache>
            </c:numRef>
          </c:val>
          <c:extLst xmlns:c16r2="http://schemas.microsoft.com/office/drawing/2015/06/chart">
            <c:ext xmlns:c16="http://schemas.microsoft.com/office/drawing/2014/chart" uri="{C3380CC4-5D6E-409C-BE32-E72D297353CC}">
              <c16:uniqueId val="{00000008-75CC-4479-80E3-CA39403EE679}"/>
            </c:ext>
          </c:extLst>
        </c:ser>
        <c:gapWidth val="219"/>
        <c:overlap val="-27"/>
        <c:axId val="58640256"/>
        <c:axId val="58641792"/>
      </c:barChart>
      <c:catAx>
        <c:axId val="5864025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41792"/>
        <c:crosses val="autoZero"/>
        <c:auto val="1"/>
        <c:lblAlgn val="ctr"/>
        <c:lblOffset val="100"/>
      </c:catAx>
      <c:valAx>
        <c:axId val="58641792"/>
        <c:scaling>
          <c:orientation val="minMax"/>
        </c:scaling>
        <c:delete val="1"/>
        <c:axPos val="l"/>
        <c:numFmt formatCode="0%" sourceLinked="1"/>
        <c:majorTickMark val="none"/>
        <c:tickLblPos val="none"/>
        <c:crossAx val="586402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MOP15</b:Tag>
    <b:SourceType>Report</b:SourceType>
    <b:Guid>{33E2F77B-5B86-4DEA-87D7-363F7FB5B6B1}</b:Guid>
    <b:Title>repruductive health report ,sana'a city, sana'a city</b:Title>
    <b:Year>2015</b:Year>
    <b:Author>
      <b:Author>
        <b:NameList>
          <b:Person>
            <b:Last>MOPHP</b:Last>
          </b:Person>
        </b:NameList>
      </b:Author>
    </b:Author>
    <b:City>Sana'a</b:City>
    <b:Publisher>Ministry of public health and population</b:Publisher>
    <b:RefOrder>84</b:RefOrder>
  </b:Source>
  <b:Source>
    <b:Tag>Yem13</b:Tag>
    <b:SourceType>ElectronicSource</b:SourceType>
    <b:Guid>{63F99849-87C8-4375-9B86-513530421890}</b:Guid>
    <b:Title>Yemen National Health Demographic Survey</b:Title>
    <b:Year>2013</b:Year>
    <b:Author>
      <b:Author>
        <b:NameList>
          <b:Person>
            <b:Last>MOPHP-Yemen</b:Last>
          </b:Person>
        </b:NameList>
      </b:Author>
    </b:Author>
    <b:City>sana'a:</b:City>
    <b:RefOrder>7</b:RefOrder>
  </b:Source>
  <b:Source>
    <b:Tag>CSO14</b:Tag>
    <b:SourceType>InternetSite</b:SourceType>
    <b:Guid>{3B05364A-C54E-435E-8177-28C4D365F542}</b:Guid>
    <b:Title>The General Population Housing and Establishment Census2014</b:Title>
    <b:Year>2014</b:Year>
    <b:Author>
      <b:Author>
        <b:NameList>
          <b:Person>
            <b:Last>YE-CSO</b:Last>
          </b:Person>
        </b:NameList>
      </b:Author>
    </b:Author>
    <b:City>Yemen</b:City>
    <b:YearAccessed>2017</b:YearAccessed>
    <b:MonthAccessed>January</b:MonthAccessed>
    <b:DayAccessed>15</b:DayAccessed>
    <b:URL>at: http://www.cso-yemen.org/content.php?actn=managecat&amp;cid=205</b:URL>
    <b:RefOrder>85</b:RefOrder>
  </b:Source>
  <b:Source>
    <b:Tag>Mel05</b:Tag>
    <b:SourceType>JournalArticle</b:SourceType>
    <b:Guid>{493C46FF-322B-4C2A-9A19-C579F297782B}</b:Guid>
    <b:Author>
      <b:Author>
        <b:NameList>
          <b:Person>
            <b:Last>Melkamu</b:Last>
            <b:First>Fenta</b:First>
          </b:Person>
        </b:NameList>
      </b:Author>
    </b:Author>
    <b:Title>factors affecting utilization of maternal health care services in Ayssiata and Dubti towns,Afar Regional State,North East Ethiopia. Addis Ababa</b:Title>
    <b:Year>2005</b:Year>
    <b:City>Addis Ababa</b:City>
    <b:RefOrder>86</b:RefOrder>
  </b:Source>
  <b:Source>
    <b:Tag>CDC18</b:Tag>
    <b:SourceType>InternetSite</b:SourceType>
    <b:Guid>{34397D51-2709-4FAA-8EB4-8C44609808A8}</b:Guid>
    <b:Author>
      <b:Author>
        <b:NameList>
          <b:Person>
            <b:Last>CDC</b:Last>
          </b:Person>
        </b:NameList>
      </b:Author>
    </b:Author>
    <b:YearAccessed>2018</b:YearAccessed>
    <b:MonthAccessed>September</b:MonthAccessed>
    <b:DayAccessed>10</b:DayAccessed>
    <b:URL>https://www.cdc.gov/epiinfo/index.html</b:URL>
    <b:Title>CDC</b:Title>
    <b:Year>2017</b:Year>
    <b:RefOrder>87</b:RefOrder>
  </b:Source>
</b:Sources>
</file>

<file path=customXml/itemProps1.xml><?xml version="1.0" encoding="utf-8"?>
<ds:datastoreItem xmlns:ds="http://schemas.openxmlformats.org/officeDocument/2006/customXml" ds:itemID="{BDA27119-5B2E-4C8B-818A-BC082CA4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6</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DR. KAPIL KUMAR</cp:lastModifiedBy>
  <cp:revision>374</cp:revision>
  <dcterms:created xsi:type="dcterms:W3CDTF">2022-04-08T18:29:00Z</dcterms:created>
  <dcterms:modified xsi:type="dcterms:W3CDTF">2022-08-08T11:36:00Z</dcterms:modified>
</cp:coreProperties>
</file>