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602" w:rsidRPr="006C1E68" w:rsidRDefault="00C26602" w:rsidP="00C26602">
      <w:pPr>
        <w:shd w:val="clear" w:color="auto" w:fill="00B050"/>
        <w:jc w:val="center"/>
        <w:rPr>
          <w:b/>
          <w:bCs/>
          <w:color w:val="FFFFFF"/>
          <w:szCs w:val="28"/>
        </w:rPr>
      </w:pPr>
      <w:bookmarkStart w:id="0" w:name="_Hlk92373082"/>
      <w:r w:rsidRPr="006C1E68">
        <w:rPr>
          <w:b/>
          <w:bCs/>
          <w:color w:val="FFFFFF"/>
          <w:szCs w:val="28"/>
        </w:rPr>
        <w:t>Reviewer’s Comments</w:t>
      </w:r>
    </w:p>
    <w:p w:rsidR="00BA7A26" w:rsidRDefault="00C26602" w:rsidP="00C72CCD">
      <w:pPr>
        <w:keepNext/>
        <w:spacing w:after="360" w:line="276" w:lineRule="auto"/>
        <w:outlineLvl w:val="0"/>
        <w:rPr>
          <w:rFonts w:eastAsia="MS Gothic"/>
          <w:b/>
          <w:bCs/>
          <w:sz w:val="24"/>
          <w:szCs w:val="24"/>
        </w:rPr>
      </w:pPr>
      <w:commentRangeStart w:id="1"/>
      <w:r>
        <w:rPr>
          <w:rFonts w:eastAsia="MS Gothic"/>
          <w:b/>
          <w:bCs/>
          <w:noProof/>
          <w:sz w:val="24"/>
          <w:szCs w:val="24"/>
          <w:lang w:eastAsia="en-US"/>
        </w:rPr>
        <w:drawing>
          <wp:inline distT="0" distB="0" distL="0" distR="0">
            <wp:extent cx="5943600" cy="1400148"/>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3600" cy="1400148"/>
                    </a:xfrm>
                    <a:prstGeom prst="rect">
                      <a:avLst/>
                    </a:prstGeom>
                    <a:noFill/>
                    <a:ln w="9525">
                      <a:noFill/>
                      <a:miter lim="800000"/>
                      <a:headEnd/>
                      <a:tailEnd/>
                    </a:ln>
                  </pic:spPr>
                </pic:pic>
              </a:graphicData>
            </a:graphic>
          </wp:inline>
        </w:drawing>
      </w:r>
      <w:commentRangeEnd w:id="1"/>
      <w:r>
        <w:rPr>
          <w:rStyle w:val="CommentReference"/>
          <w:rFonts w:ascii="Calibri" w:eastAsia="Calibri" w:hAnsi="Calibri" w:cs="Arial"/>
          <w:lang w:eastAsia="en-US"/>
        </w:rPr>
        <w:commentReference w:id="1"/>
      </w:r>
    </w:p>
    <w:p w:rsidR="00A657D6" w:rsidRPr="006154A9" w:rsidRDefault="00A657D6" w:rsidP="00BA7A26">
      <w:pPr>
        <w:keepNext/>
        <w:spacing w:after="360" w:line="276" w:lineRule="auto"/>
        <w:ind w:left="432"/>
        <w:outlineLvl w:val="0"/>
        <w:rPr>
          <w:rFonts w:eastAsia="MS Gothic"/>
          <w:b/>
          <w:bCs/>
          <w:sz w:val="24"/>
          <w:szCs w:val="24"/>
        </w:rPr>
      </w:pPr>
      <w:commentRangeStart w:id="2"/>
      <w:r w:rsidRPr="006154A9">
        <w:rPr>
          <w:rFonts w:eastAsia="MS Gothic"/>
          <w:b/>
          <w:bCs/>
          <w:sz w:val="24"/>
          <w:szCs w:val="24"/>
        </w:rPr>
        <w:t>Modified Fragment-based Drug Discovery Approach to Identify SARS-CoV-2 M</w:t>
      </w:r>
      <w:r w:rsidRPr="006154A9">
        <w:rPr>
          <w:rFonts w:eastAsia="MS Gothic"/>
          <w:b/>
          <w:bCs/>
          <w:sz w:val="24"/>
          <w:szCs w:val="24"/>
          <w:vertAlign w:val="superscript"/>
        </w:rPr>
        <w:t>pro</w:t>
      </w:r>
      <w:r w:rsidRPr="006154A9">
        <w:rPr>
          <w:rFonts w:eastAsia="MS Gothic"/>
          <w:b/>
          <w:bCs/>
          <w:sz w:val="24"/>
          <w:szCs w:val="24"/>
        </w:rPr>
        <w:t xml:space="preserve"> Inhibitors: Molecul</w:t>
      </w:r>
      <w:commentRangeStart w:id="3"/>
      <w:r w:rsidRPr="006154A9">
        <w:rPr>
          <w:rFonts w:eastAsia="MS Gothic"/>
          <w:b/>
          <w:bCs/>
          <w:sz w:val="24"/>
          <w:szCs w:val="24"/>
        </w:rPr>
        <w:t>ar</w:t>
      </w:r>
      <w:commentRangeEnd w:id="3"/>
      <w:r w:rsidR="00BC7703">
        <w:rPr>
          <w:rStyle w:val="CommentReference"/>
          <w:rFonts w:ascii="Calibri" w:eastAsia="Calibri" w:hAnsi="Calibri" w:cs="Arial"/>
          <w:lang w:eastAsia="en-US"/>
        </w:rPr>
        <w:commentReference w:id="3"/>
      </w:r>
      <w:r w:rsidRPr="006154A9">
        <w:rPr>
          <w:rFonts w:eastAsia="MS Gothic"/>
          <w:b/>
          <w:bCs/>
          <w:sz w:val="24"/>
          <w:szCs w:val="24"/>
        </w:rPr>
        <w:t xml:space="preserve"> Docking, ADMET analysis, and </w:t>
      </w:r>
      <w:r w:rsidRPr="008E3957">
        <w:rPr>
          <w:rFonts w:eastAsia="MS Gothic"/>
          <w:b/>
          <w:bCs/>
          <w:i/>
          <w:iCs/>
          <w:sz w:val="24"/>
          <w:szCs w:val="24"/>
        </w:rPr>
        <w:t>in-silico</w:t>
      </w:r>
      <w:r w:rsidRPr="006154A9">
        <w:rPr>
          <w:rFonts w:eastAsia="MS Gothic"/>
          <w:b/>
          <w:bCs/>
          <w:sz w:val="24"/>
          <w:szCs w:val="24"/>
        </w:rPr>
        <w:t>/</w:t>
      </w:r>
      <w:r w:rsidRPr="008E3957">
        <w:rPr>
          <w:rFonts w:eastAsia="MS Gothic"/>
          <w:b/>
          <w:bCs/>
          <w:i/>
          <w:iCs/>
          <w:sz w:val="24"/>
          <w:szCs w:val="24"/>
        </w:rPr>
        <w:t>in-vitro</w:t>
      </w:r>
      <w:r w:rsidRPr="006154A9">
        <w:rPr>
          <w:rFonts w:eastAsia="MS Gothic"/>
          <w:b/>
          <w:bCs/>
          <w:sz w:val="24"/>
          <w:szCs w:val="24"/>
        </w:rPr>
        <w:t xml:space="preserve"> toxicity study</w:t>
      </w:r>
      <w:bookmarkEnd w:id="0"/>
      <w:commentRangeEnd w:id="2"/>
      <w:r w:rsidR="00C26602">
        <w:rPr>
          <w:rStyle w:val="CommentReference"/>
          <w:rFonts w:ascii="Calibri" w:eastAsia="Calibri" w:hAnsi="Calibri" w:cs="Arial"/>
          <w:lang w:eastAsia="en-US"/>
        </w:rPr>
        <w:commentReference w:id="2"/>
      </w:r>
    </w:p>
    <w:p w:rsidR="00160108" w:rsidRPr="005F340F" w:rsidRDefault="00A85861" w:rsidP="00BA7A26">
      <w:pPr>
        <w:spacing w:line="276" w:lineRule="auto"/>
        <w:rPr>
          <w:rFonts w:asciiTheme="majorBidi" w:hAnsiTheme="majorBidi" w:cstheme="majorBidi"/>
          <w:sz w:val="24"/>
          <w:szCs w:val="24"/>
        </w:rPr>
      </w:pPr>
      <w:commentRangeStart w:id="4"/>
      <w:r w:rsidRPr="005F340F">
        <w:rPr>
          <w:rFonts w:asciiTheme="majorBidi" w:hAnsiTheme="majorBidi" w:cstheme="majorBidi"/>
          <w:b/>
          <w:sz w:val="24"/>
          <w:szCs w:val="24"/>
        </w:rPr>
        <w:t>Abstract</w:t>
      </w:r>
      <w:bookmarkStart w:id="5" w:name="_Hlk80906470"/>
    </w:p>
    <w:bookmarkEnd w:id="5"/>
    <w:p w:rsidR="006303DC" w:rsidRPr="005F340F" w:rsidRDefault="003B2684" w:rsidP="00BA7A26">
      <w:pPr>
        <w:spacing w:line="276" w:lineRule="auto"/>
        <w:rPr>
          <w:rFonts w:asciiTheme="majorBidi" w:hAnsiTheme="majorBidi" w:cstheme="majorBidi"/>
          <w:sz w:val="24"/>
        </w:rPr>
      </w:pPr>
      <w:r w:rsidRPr="005F340F">
        <w:rPr>
          <w:rFonts w:asciiTheme="majorBidi" w:hAnsiTheme="majorBidi" w:cstheme="majorBidi"/>
          <w:sz w:val="24"/>
          <w:szCs w:val="24"/>
        </w:rPr>
        <w:t>After the</w:t>
      </w:r>
      <w:r w:rsidR="006303DC" w:rsidRPr="005F340F">
        <w:rPr>
          <w:rFonts w:asciiTheme="majorBidi" w:hAnsiTheme="majorBidi" w:cstheme="majorBidi"/>
          <w:sz w:val="24"/>
        </w:rPr>
        <w:t xml:space="preserve">COVID-19 outbreak, drug repurposing has emerged as an effective and fast </w:t>
      </w:r>
      <w:r w:rsidRPr="005F340F">
        <w:rPr>
          <w:rFonts w:asciiTheme="majorBidi" w:hAnsiTheme="majorBidi" w:cstheme="majorBidi"/>
          <w:sz w:val="24"/>
          <w:szCs w:val="24"/>
        </w:rPr>
        <w:t xml:space="preserve">approach for </w:t>
      </w:r>
      <w:r w:rsidR="006303DC" w:rsidRPr="005F340F">
        <w:rPr>
          <w:rFonts w:asciiTheme="majorBidi" w:hAnsiTheme="majorBidi" w:cstheme="majorBidi"/>
          <w:sz w:val="24"/>
          <w:szCs w:val="24"/>
        </w:rPr>
        <w:t>combat</w:t>
      </w:r>
      <w:r w:rsidR="00957C14" w:rsidRPr="005F340F">
        <w:rPr>
          <w:rFonts w:asciiTheme="majorBidi" w:hAnsiTheme="majorBidi" w:cstheme="majorBidi"/>
          <w:sz w:val="24"/>
          <w:szCs w:val="24"/>
        </w:rPr>
        <w:t>ing</w:t>
      </w:r>
      <w:r w:rsidR="006303DC" w:rsidRPr="005F340F">
        <w:rPr>
          <w:rFonts w:asciiTheme="majorBidi" w:hAnsiTheme="majorBidi" w:cstheme="majorBidi"/>
          <w:sz w:val="24"/>
        </w:rPr>
        <w:t xml:space="preserve"> the SARS-CoV-2 crisis. Thus, comparative molecular docking studies were </w:t>
      </w:r>
      <w:r w:rsidRPr="005F340F">
        <w:rPr>
          <w:rFonts w:asciiTheme="majorBidi" w:hAnsiTheme="majorBidi" w:cstheme="majorBidi"/>
          <w:sz w:val="24"/>
          <w:szCs w:val="24"/>
        </w:rPr>
        <w:t>used</w:t>
      </w:r>
      <w:r w:rsidR="006303DC" w:rsidRPr="005F340F">
        <w:rPr>
          <w:rFonts w:asciiTheme="majorBidi" w:hAnsiTheme="majorBidi" w:cstheme="majorBidi"/>
          <w:sz w:val="24"/>
        </w:rPr>
        <w:t xml:space="preserve">to evaluate the activity of the </w:t>
      </w:r>
      <w:r w:rsidRPr="005F340F">
        <w:rPr>
          <w:rFonts w:asciiTheme="majorBidi" w:hAnsiTheme="majorBidi" w:cstheme="majorBidi"/>
          <w:sz w:val="24"/>
          <w:szCs w:val="24"/>
        </w:rPr>
        <w:t>commercially</w:t>
      </w:r>
      <w:r w:rsidR="006303DC" w:rsidRPr="005F340F">
        <w:rPr>
          <w:rFonts w:asciiTheme="majorBidi" w:hAnsiTheme="majorBidi" w:cstheme="majorBidi"/>
          <w:sz w:val="24"/>
        </w:rPr>
        <w:t xml:space="preserve">available </w:t>
      </w:r>
      <w:r w:rsidR="006303DC" w:rsidRPr="005F340F">
        <w:rPr>
          <w:rFonts w:asciiTheme="majorBidi" w:hAnsiTheme="majorBidi" w:cstheme="majorBidi"/>
          <w:sz w:val="24"/>
          <w:szCs w:val="24"/>
        </w:rPr>
        <w:t>oral</w:t>
      </w:r>
      <w:r w:rsidR="006303DC" w:rsidRPr="005F340F">
        <w:rPr>
          <w:rFonts w:asciiTheme="majorBidi" w:hAnsiTheme="majorBidi" w:cstheme="majorBidi"/>
          <w:sz w:val="24"/>
        </w:rPr>
        <w:t xml:space="preserve"> antiviral drug </w:t>
      </w:r>
      <w:r w:rsidR="007401BE" w:rsidRPr="005F340F">
        <w:rPr>
          <w:rFonts w:asciiTheme="majorBidi" w:hAnsiTheme="majorBidi" w:cstheme="majorBidi"/>
          <w:sz w:val="24"/>
          <w:szCs w:val="24"/>
        </w:rPr>
        <w:t>simeprevir</w:t>
      </w:r>
      <w:r w:rsidR="006303DC" w:rsidRPr="005F340F">
        <w:rPr>
          <w:rFonts w:asciiTheme="majorBidi" w:hAnsiTheme="majorBidi" w:cstheme="majorBidi"/>
          <w:sz w:val="24"/>
        </w:rPr>
        <w:t>and its degradation products (</w:t>
      </w:r>
      <w:r w:rsidR="00120135" w:rsidRPr="005F340F">
        <w:rPr>
          <w:rFonts w:asciiTheme="majorBidi" w:hAnsiTheme="majorBidi" w:cstheme="majorBidi"/>
          <w:sz w:val="24"/>
          <w:szCs w:val="24"/>
        </w:rPr>
        <w:t xml:space="preserve">compounds </w:t>
      </w:r>
      <w:r w:rsidR="006303DC" w:rsidRPr="005F340F">
        <w:rPr>
          <w:rFonts w:asciiTheme="majorBidi" w:hAnsiTheme="majorBidi" w:cstheme="majorBidi"/>
          <w:sz w:val="24"/>
        </w:rPr>
        <w:t>1</w:t>
      </w:r>
      <w:r w:rsidRPr="005F340F">
        <w:rPr>
          <w:rFonts w:asciiTheme="majorBidi" w:hAnsiTheme="majorBidi" w:cstheme="majorBidi"/>
          <w:sz w:val="24"/>
          <w:szCs w:val="24"/>
        </w:rPr>
        <w:t>–</w:t>
      </w:r>
      <w:r w:rsidR="006303DC" w:rsidRPr="005F340F">
        <w:rPr>
          <w:rFonts w:asciiTheme="majorBidi" w:hAnsiTheme="majorBidi" w:cstheme="majorBidi"/>
          <w:sz w:val="24"/>
        </w:rPr>
        <w:t xml:space="preserve">5) against </w:t>
      </w:r>
      <w:r w:rsidRPr="005F340F">
        <w:rPr>
          <w:rFonts w:asciiTheme="majorBidi" w:hAnsiTheme="majorBidi" w:cstheme="majorBidi"/>
          <w:sz w:val="24"/>
          <w:szCs w:val="24"/>
        </w:rPr>
        <w:t>the</w:t>
      </w:r>
      <w:r w:rsidR="006303DC" w:rsidRPr="005F340F">
        <w:rPr>
          <w:rFonts w:asciiTheme="majorBidi" w:hAnsiTheme="majorBidi" w:cstheme="majorBidi"/>
          <w:sz w:val="24"/>
        </w:rPr>
        <w:t xml:space="preserve"> main protease (</w:t>
      </w:r>
      <w:bookmarkStart w:id="6" w:name="_Hlk94971025"/>
      <w:r w:rsidR="006303DC" w:rsidRPr="005F340F">
        <w:rPr>
          <w:rFonts w:asciiTheme="majorBidi" w:hAnsiTheme="majorBidi" w:cstheme="majorBidi"/>
          <w:sz w:val="24"/>
        </w:rPr>
        <w:t>M</w:t>
      </w:r>
      <w:r w:rsidR="006303DC" w:rsidRPr="005F340F">
        <w:rPr>
          <w:rFonts w:asciiTheme="majorBidi" w:hAnsiTheme="majorBidi" w:cstheme="majorBidi"/>
          <w:sz w:val="24"/>
          <w:vertAlign w:val="superscript"/>
        </w:rPr>
        <w:t>pro</w:t>
      </w:r>
      <w:bookmarkEnd w:id="6"/>
      <w:r w:rsidR="006303DC" w:rsidRPr="005F340F">
        <w:rPr>
          <w:rFonts w:asciiTheme="majorBidi" w:hAnsiTheme="majorBidi" w:cstheme="majorBidi"/>
          <w:sz w:val="24"/>
        </w:rPr>
        <w:t>)</w:t>
      </w:r>
      <w:r w:rsidRPr="005F340F">
        <w:rPr>
          <w:rFonts w:asciiTheme="majorBidi" w:hAnsiTheme="majorBidi" w:cstheme="majorBidi"/>
          <w:sz w:val="24"/>
          <w:szCs w:val="24"/>
        </w:rPr>
        <w:t>of SARS-CoV</w:t>
      </w:r>
      <w:r w:rsidR="00120135" w:rsidRPr="005F340F">
        <w:rPr>
          <w:rFonts w:asciiTheme="majorBidi" w:hAnsiTheme="majorBidi" w:cstheme="majorBidi"/>
          <w:sz w:val="24"/>
          <w:szCs w:val="24"/>
        </w:rPr>
        <w:t>-2</w:t>
      </w:r>
      <w:r w:rsidR="006303DC" w:rsidRPr="005F340F">
        <w:rPr>
          <w:rFonts w:asciiTheme="majorBidi" w:hAnsiTheme="majorBidi" w:cstheme="majorBidi"/>
          <w:sz w:val="24"/>
        </w:rPr>
        <w:t>(</w:t>
      </w:r>
      <w:commentRangeStart w:id="7"/>
      <w:r w:rsidR="006303DC" w:rsidRPr="005F340F">
        <w:rPr>
          <w:rFonts w:asciiTheme="majorBidi" w:hAnsiTheme="majorBidi" w:cstheme="majorBidi"/>
          <w:sz w:val="24"/>
        </w:rPr>
        <w:t>PDB</w:t>
      </w:r>
      <w:commentRangeEnd w:id="7"/>
      <w:r w:rsidR="00BC7703">
        <w:rPr>
          <w:rStyle w:val="CommentReference"/>
          <w:rFonts w:ascii="Calibri" w:eastAsia="Calibri" w:hAnsi="Calibri" w:cs="Arial"/>
          <w:lang w:eastAsia="en-US"/>
        </w:rPr>
        <w:commentReference w:id="7"/>
      </w:r>
      <w:r w:rsidR="006303DC" w:rsidRPr="005F340F">
        <w:rPr>
          <w:rFonts w:asciiTheme="majorBidi" w:hAnsiTheme="majorBidi" w:cstheme="majorBidi"/>
          <w:sz w:val="24"/>
        </w:rPr>
        <w:t xml:space="preserve"> ID: 6lu7</w:t>
      </w:r>
      <w:r w:rsidR="00120135" w:rsidRPr="005F340F">
        <w:rPr>
          <w:rFonts w:asciiTheme="majorBidi" w:hAnsiTheme="majorBidi" w:cstheme="majorBidi"/>
          <w:sz w:val="24"/>
          <w:szCs w:val="24"/>
        </w:rPr>
        <w:t>;</w:t>
      </w:r>
      <w:r w:rsidR="006303DC" w:rsidRPr="005F340F">
        <w:rPr>
          <w:rFonts w:asciiTheme="majorBidi" w:hAnsiTheme="majorBidi" w:cstheme="majorBidi"/>
          <w:sz w:val="24"/>
        </w:rPr>
        <w:t xml:space="preserve"> resolution: 2.16 Å). </w:t>
      </w:r>
      <w:r w:rsidR="00120135" w:rsidRPr="005F340F">
        <w:rPr>
          <w:rFonts w:asciiTheme="majorBidi" w:hAnsiTheme="majorBidi" w:cstheme="majorBidi"/>
          <w:sz w:val="24"/>
          <w:szCs w:val="24"/>
        </w:rPr>
        <w:t>Moreover</w:t>
      </w:r>
      <w:r w:rsidR="006303DC" w:rsidRPr="005F340F">
        <w:rPr>
          <w:rFonts w:asciiTheme="majorBidi" w:hAnsiTheme="majorBidi" w:cstheme="majorBidi"/>
          <w:sz w:val="24"/>
          <w:szCs w:val="24"/>
        </w:rPr>
        <w:t xml:space="preserve">, </w:t>
      </w:r>
      <w:r w:rsidR="00120135" w:rsidRPr="005F340F">
        <w:rPr>
          <w:rFonts w:asciiTheme="majorBidi" w:hAnsiTheme="majorBidi" w:cstheme="majorBidi"/>
          <w:sz w:val="24"/>
          <w:szCs w:val="24"/>
        </w:rPr>
        <w:t>the</w:t>
      </w:r>
      <w:r w:rsidR="006303DC" w:rsidRPr="005F340F">
        <w:rPr>
          <w:rFonts w:asciiTheme="majorBidi" w:hAnsiTheme="majorBidi" w:cstheme="majorBidi"/>
          <w:sz w:val="24"/>
        </w:rPr>
        <w:t xml:space="preserve">ADMET and in-silico toxicity properties of </w:t>
      </w:r>
      <w:r w:rsidR="00120135" w:rsidRPr="005F340F">
        <w:rPr>
          <w:rFonts w:asciiTheme="majorBidi" w:hAnsiTheme="majorBidi" w:cstheme="majorBidi"/>
          <w:sz w:val="24"/>
          <w:szCs w:val="24"/>
        </w:rPr>
        <w:t xml:space="preserve">the </w:t>
      </w:r>
      <w:r w:rsidR="006303DC" w:rsidRPr="005F340F">
        <w:rPr>
          <w:rFonts w:asciiTheme="majorBidi" w:hAnsiTheme="majorBidi" w:cstheme="majorBidi"/>
          <w:sz w:val="24"/>
        </w:rPr>
        <w:t>acidic (compounds 1</w:t>
      </w:r>
      <w:r w:rsidR="00120135" w:rsidRPr="005F340F">
        <w:rPr>
          <w:rFonts w:asciiTheme="majorBidi" w:hAnsiTheme="majorBidi" w:cstheme="majorBidi"/>
          <w:sz w:val="24"/>
          <w:szCs w:val="24"/>
        </w:rPr>
        <w:t>–</w:t>
      </w:r>
      <w:commentRangeStart w:id="8"/>
      <w:r w:rsidR="006303DC" w:rsidRPr="005F340F">
        <w:rPr>
          <w:rFonts w:asciiTheme="majorBidi" w:hAnsiTheme="majorBidi" w:cstheme="majorBidi"/>
          <w:sz w:val="24"/>
        </w:rPr>
        <w:t xml:space="preserve">3) and oxidative (compounds 4 and 5) degradation products of </w:t>
      </w:r>
      <w:r w:rsidR="007401BE" w:rsidRPr="005F340F">
        <w:rPr>
          <w:rFonts w:asciiTheme="majorBidi" w:hAnsiTheme="majorBidi" w:cstheme="majorBidi"/>
          <w:sz w:val="24"/>
          <w:szCs w:val="24"/>
        </w:rPr>
        <w:t>simeprevir</w:t>
      </w:r>
      <w:r w:rsidR="006303DC" w:rsidRPr="005F340F">
        <w:rPr>
          <w:rFonts w:asciiTheme="majorBidi" w:hAnsiTheme="majorBidi" w:cstheme="majorBidi"/>
          <w:sz w:val="24"/>
        </w:rPr>
        <w:t xml:space="preserve">were predicted. Docking studies revealed good binding affinities </w:t>
      </w:r>
      <w:r w:rsidR="00120135" w:rsidRPr="005F340F">
        <w:rPr>
          <w:rFonts w:asciiTheme="majorBidi" w:hAnsiTheme="majorBidi" w:cstheme="majorBidi"/>
          <w:sz w:val="24"/>
          <w:szCs w:val="24"/>
        </w:rPr>
        <w:t>for</w:t>
      </w:r>
      <w:r w:rsidR="006303DC" w:rsidRPr="005F340F">
        <w:rPr>
          <w:rFonts w:asciiTheme="majorBidi" w:hAnsiTheme="majorBidi" w:cstheme="majorBidi"/>
          <w:sz w:val="24"/>
        </w:rPr>
        <w:t>compounds (1</w:t>
      </w:r>
      <w:r w:rsidR="00120135" w:rsidRPr="005F340F">
        <w:rPr>
          <w:rFonts w:asciiTheme="majorBidi" w:hAnsiTheme="majorBidi" w:cstheme="majorBidi"/>
          <w:sz w:val="24"/>
          <w:szCs w:val="24"/>
        </w:rPr>
        <w:t>–</w:t>
      </w:r>
      <w:r w:rsidR="006303DC" w:rsidRPr="005F340F">
        <w:rPr>
          <w:rFonts w:asciiTheme="majorBidi" w:hAnsiTheme="majorBidi" w:cstheme="majorBidi"/>
          <w:sz w:val="24"/>
        </w:rPr>
        <w:t xml:space="preserve">5) against </w:t>
      </w:r>
      <w:r w:rsidR="00120135" w:rsidRPr="005F340F">
        <w:rPr>
          <w:rFonts w:asciiTheme="majorBidi" w:hAnsiTheme="majorBidi" w:cstheme="majorBidi"/>
          <w:sz w:val="24"/>
          <w:szCs w:val="24"/>
        </w:rPr>
        <w:t>M</w:t>
      </w:r>
      <w:r w:rsidR="00120135" w:rsidRPr="005F340F">
        <w:rPr>
          <w:rFonts w:asciiTheme="majorBidi" w:hAnsiTheme="majorBidi" w:cstheme="majorBidi"/>
          <w:sz w:val="24"/>
          <w:szCs w:val="24"/>
          <w:vertAlign w:val="superscript"/>
        </w:rPr>
        <w:t>pro</w:t>
      </w:r>
      <w:r w:rsidR="00120135" w:rsidRPr="005F340F">
        <w:rPr>
          <w:rFonts w:asciiTheme="majorBidi" w:hAnsiTheme="majorBidi" w:cstheme="majorBidi"/>
          <w:sz w:val="24"/>
          <w:szCs w:val="24"/>
        </w:rPr>
        <w:t xml:space="preserve"> of SARS-CoV-</w:t>
      </w:r>
      <w:commentRangeEnd w:id="8"/>
      <w:r w:rsidR="00BC7703">
        <w:rPr>
          <w:rStyle w:val="CommentReference"/>
          <w:rFonts w:ascii="Calibri" w:eastAsia="Calibri" w:hAnsi="Calibri" w:cs="Arial"/>
          <w:lang w:eastAsia="en-US"/>
        </w:rPr>
        <w:commentReference w:id="8"/>
      </w:r>
      <w:r w:rsidR="00120135" w:rsidRPr="005F340F">
        <w:rPr>
          <w:rFonts w:asciiTheme="majorBidi" w:hAnsiTheme="majorBidi" w:cstheme="majorBidi"/>
          <w:sz w:val="24"/>
          <w:szCs w:val="24"/>
        </w:rPr>
        <w:t>2,</w:t>
      </w:r>
      <w:r w:rsidR="006303DC" w:rsidRPr="005F340F">
        <w:rPr>
          <w:rFonts w:asciiTheme="majorBidi" w:hAnsiTheme="majorBidi" w:cstheme="majorBidi"/>
          <w:sz w:val="24"/>
        </w:rPr>
        <w:t xml:space="preserve"> with binding free energies ranging from </w:t>
      </w:r>
      <w:r w:rsidR="00703A33" w:rsidRPr="005F340F">
        <w:rPr>
          <w:rFonts w:asciiTheme="majorBidi" w:hAnsiTheme="majorBidi" w:cstheme="majorBidi"/>
          <w:sz w:val="24"/>
          <w:szCs w:val="24"/>
          <w:lang w:val="en-GB"/>
        </w:rPr>
        <w:t>−</w:t>
      </w:r>
      <w:r w:rsidR="006303DC" w:rsidRPr="005F340F">
        <w:rPr>
          <w:rFonts w:asciiTheme="majorBidi" w:hAnsiTheme="majorBidi" w:cstheme="majorBidi"/>
          <w:sz w:val="24"/>
        </w:rPr>
        <w:t xml:space="preserve">6.23 to </w:t>
      </w:r>
      <w:r w:rsidR="00703A33" w:rsidRPr="005F340F">
        <w:rPr>
          <w:rFonts w:asciiTheme="majorBidi" w:hAnsiTheme="majorBidi" w:cstheme="majorBidi"/>
          <w:sz w:val="24"/>
          <w:szCs w:val="24"/>
        </w:rPr>
        <w:t>−</w:t>
      </w:r>
      <w:r w:rsidR="006303DC" w:rsidRPr="005F340F">
        <w:rPr>
          <w:rFonts w:asciiTheme="majorBidi" w:hAnsiTheme="majorBidi" w:cstheme="majorBidi"/>
          <w:sz w:val="24"/>
        </w:rPr>
        <w:t xml:space="preserve">7.65 kcal/mol. </w:t>
      </w:r>
      <w:r w:rsidR="00120135" w:rsidRPr="005F340F">
        <w:rPr>
          <w:rFonts w:asciiTheme="majorBidi" w:hAnsiTheme="majorBidi" w:cstheme="majorBidi"/>
          <w:sz w:val="24"/>
          <w:szCs w:val="24"/>
        </w:rPr>
        <w:t>The acidic</w:t>
      </w:r>
      <w:r w:rsidR="006303DC" w:rsidRPr="005F340F">
        <w:rPr>
          <w:rFonts w:asciiTheme="majorBidi" w:hAnsiTheme="majorBidi" w:cstheme="majorBidi"/>
          <w:sz w:val="24"/>
        </w:rPr>
        <w:t xml:space="preserve">degradant 2 </w:t>
      </w:r>
      <w:r w:rsidR="00120135" w:rsidRPr="005F340F">
        <w:rPr>
          <w:rFonts w:asciiTheme="majorBidi" w:hAnsiTheme="majorBidi" w:cstheme="majorBidi"/>
          <w:sz w:val="24"/>
          <w:szCs w:val="24"/>
        </w:rPr>
        <w:t>exhibited</w:t>
      </w:r>
      <w:r w:rsidR="006303DC" w:rsidRPr="005F340F">
        <w:rPr>
          <w:rFonts w:asciiTheme="majorBidi" w:hAnsiTheme="majorBidi" w:cstheme="majorBidi"/>
          <w:sz w:val="24"/>
        </w:rPr>
        <w:t xml:space="preserve">the best affinity </w:t>
      </w:r>
      <w:r w:rsidR="00120135" w:rsidRPr="005F340F">
        <w:rPr>
          <w:rFonts w:asciiTheme="majorBidi" w:hAnsiTheme="majorBidi" w:cstheme="majorBidi"/>
          <w:sz w:val="24"/>
          <w:szCs w:val="24"/>
        </w:rPr>
        <w:t>and was</w:t>
      </w:r>
      <w:r w:rsidR="006303DC" w:rsidRPr="005F340F">
        <w:rPr>
          <w:rFonts w:asciiTheme="majorBidi" w:hAnsiTheme="majorBidi" w:cstheme="majorBidi"/>
          <w:sz w:val="24"/>
        </w:rPr>
        <w:t xml:space="preserve">superior to simeprevir and </w:t>
      </w:r>
      <w:r w:rsidR="00120135" w:rsidRPr="005F340F">
        <w:rPr>
          <w:rFonts w:asciiTheme="majorBidi" w:hAnsiTheme="majorBidi" w:cstheme="majorBidi"/>
          <w:sz w:val="24"/>
          <w:szCs w:val="24"/>
        </w:rPr>
        <w:t xml:space="preserve">a </w:t>
      </w:r>
      <w:r w:rsidR="006303DC" w:rsidRPr="005F340F">
        <w:rPr>
          <w:rFonts w:asciiTheme="majorBidi" w:hAnsiTheme="majorBidi" w:cstheme="majorBidi"/>
          <w:sz w:val="24"/>
        </w:rPr>
        <w:t>natural ligand. All compounds were expected to be safe to</w:t>
      </w:r>
      <w:r w:rsidR="00120135" w:rsidRPr="005F340F">
        <w:rPr>
          <w:rFonts w:asciiTheme="majorBidi" w:hAnsiTheme="majorBidi" w:cstheme="majorBidi"/>
          <w:sz w:val="24"/>
          <w:szCs w:val="24"/>
        </w:rPr>
        <w:t>the</w:t>
      </w:r>
      <w:r w:rsidR="006303DC" w:rsidRPr="005F340F">
        <w:rPr>
          <w:rFonts w:asciiTheme="majorBidi" w:hAnsiTheme="majorBidi" w:cstheme="majorBidi"/>
          <w:sz w:val="24"/>
        </w:rPr>
        <w:t xml:space="preserve">CNS. </w:t>
      </w:r>
      <w:r w:rsidR="00120135" w:rsidRPr="005F340F">
        <w:rPr>
          <w:rFonts w:asciiTheme="majorBidi" w:hAnsiTheme="majorBidi" w:cstheme="majorBidi"/>
          <w:sz w:val="24"/>
          <w:szCs w:val="24"/>
        </w:rPr>
        <w:t>Finally, compounds</w:t>
      </w:r>
      <w:r w:rsidR="006303DC" w:rsidRPr="005F340F">
        <w:rPr>
          <w:rFonts w:asciiTheme="majorBidi" w:hAnsiTheme="majorBidi" w:cstheme="majorBidi"/>
          <w:sz w:val="24"/>
        </w:rPr>
        <w:t>1, 4, and 5 were expected to possess good human intestinal absorption</w:t>
      </w:r>
      <w:r w:rsidR="00120135" w:rsidRPr="005F340F">
        <w:rPr>
          <w:rFonts w:asciiTheme="majorBidi" w:hAnsiTheme="majorBidi" w:cstheme="majorBidi"/>
          <w:sz w:val="24"/>
          <w:szCs w:val="24"/>
        </w:rPr>
        <w:t>,whereas</w:t>
      </w:r>
      <w:r w:rsidR="006303DC" w:rsidRPr="005F340F">
        <w:rPr>
          <w:rFonts w:asciiTheme="majorBidi" w:hAnsiTheme="majorBidi" w:cstheme="majorBidi"/>
          <w:sz w:val="24"/>
        </w:rPr>
        <w:t>compounds 2 and 3 appeared to have moderate intestinal absorption.</w:t>
      </w:r>
    </w:p>
    <w:commentRangeEnd w:id="4"/>
    <w:p w:rsidR="006303DC" w:rsidRPr="005F340F" w:rsidRDefault="00C26602" w:rsidP="00BA7A26">
      <w:pPr>
        <w:spacing w:line="276" w:lineRule="auto"/>
        <w:rPr>
          <w:rFonts w:asciiTheme="majorBidi" w:hAnsiTheme="majorBidi" w:cstheme="majorBidi"/>
          <w:sz w:val="24"/>
        </w:rPr>
      </w:pPr>
      <w:r>
        <w:rPr>
          <w:rStyle w:val="CommentReference"/>
          <w:rFonts w:ascii="Calibri" w:eastAsia="Calibri" w:hAnsi="Calibri" w:cs="Arial"/>
          <w:lang w:eastAsia="en-US"/>
        </w:rPr>
        <w:commentReference w:id="4"/>
      </w:r>
    </w:p>
    <w:p w:rsidR="00A85861" w:rsidRPr="005F340F" w:rsidRDefault="00A85861" w:rsidP="00BA7A26">
      <w:pPr>
        <w:spacing w:line="276" w:lineRule="auto"/>
        <w:rPr>
          <w:rFonts w:asciiTheme="majorBidi" w:hAnsiTheme="majorBidi" w:cstheme="majorBidi"/>
          <w:sz w:val="24"/>
          <w:szCs w:val="24"/>
        </w:rPr>
      </w:pPr>
      <w:r w:rsidRPr="005F340F">
        <w:rPr>
          <w:rFonts w:asciiTheme="majorBidi" w:hAnsiTheme="majorBidi" w:cstheme="majorBidi"/>
          <w:b/>
          <w:sz w:val="24"/>
          <w:szCs w:val="24"/>
        </w:rPr>
        <w:t>Keywords</w:t>
      </w:r>
      <w:r w:rsidR="00A8231D">
        <w:rPr>
          <w:rFonts w:asciiTheme="majorBidi" w:hAnsiTheme="majorBidi" w:cstheme="majorBidi"/>
          <w:b/>
          <w:sz w:val="24"/>
          <w:szCs w:val="24"/>
        </w:rPr>
        <w:t>:</w:t>
      </w:r>
      <w:commentRangeStart w:id="9"/>
      <w:r w:rsidR="007401BE" w:rsidRPr="005F340F">
        <w:rPr>
          <w:rFonts w:asciiTheme="majorBidi" w:hAnsiTheme="majorBidi" w:cstheme="majorBidi"/>
          <w:sz w:val="24"/>
          <w:szCs w:val="24"/>
        </w:rPr>
        <w:t>Simeprevir</w:t>
      </w:r>
      <w:r w:rsidR="00F2445C" w:rsidRPr="005F340F">
        <w:rPr>
          <w:rFonts w:asciiTheme="majorBidi" w:hAnsiTheme="majorBidi" w:cstheme="majorBidi"/>
          <w:sz w:val="24"/>
        </w:rPr>
        <w:t>;</w:t>
      </w:r>
      <w:r w:rsidR="00160108" w:rsidRPr="005F340F">
        <w:rPr>
          <w:rFonts w:asciiTheme="majorBidi" w:hAnsiTheme="majorBidi" w:cstheme="majorBidi"/>
          <w:sz w:val="24"/>
          <w:szCs w:val="24"/>
        </w:rPr>
        <w:t xml:space="preserve"> COVID-19</w:t>
      </w:r>
      <w:r w:rsidR="00F2445C" w:rsidRPr="005F340F">
        <w:rPr>
          <w:rFonts w:asciiTheme="majorBidi" w:hAnsiTheme="majorBidi" w:cstheme="majorBidi"/>
          <w:sz w:val="24"/>
        </w:rPr>
        <w:t>;</w:t>
      </w:r>
      <w:r w:rsidR="00357C69" w:rsidRPr="005F340F">
        <w:rPr>
          <w:rFonts w:asciiTheme="majorBidi" w:hAnsiTheme="majorBidi" w:cstheme="majorBidi"/>
          <w:sz w:val="24"/>
          <w:szCs w:val="24"/>
        </w:rPr>
        <w:t>Structure</w:t>
      </w:r>
      <w:r w:rsidR="00120135" w:rsidRPr="005F340F">
        <w:rPr>
          <w:rFonts w:asciiTheme="majorBidi" w:hAnsiTheme="majorBidi" w:cstheme="majorBidi"/>
          <w:sz w:val="24"/>
          <w:szCs w:val="24"/>
        </w:rPr>
        <w:t>–</w:t>
      </w:r>
      <w:r w:rsidR="00357C69" w:rsidRPr="005F340F">
        <w:rPr>
          <w:rFonts w:asciiTheme="majorBidi" w:hAnsiTheme="majorBidi" w:cstheme="majorBidi"/>
          <w:sz w:val="24"/>
          <w:szCs w:val="24"/>
        </w:rPr>
        <w:t>activity relationships</w:t>
      </w:r>
      <w:r w:rsidR="00F2445C" w:rsidRPr="005F340F">
        <w:rPr>
          <w:rFonts w:asciiTheme="majorBidi" w:hAnsiTheme="majorBidi" w:cstheme="majorBidi"/>
          <w:sz w:val="24"/>
        </w:rPr>
        <w:t>;</w:t>
      </w:r>
      <w:r w:rsidR="00357C69" w:rsidRPr="005F340F">
        <w:rPr>
          <w:rFonts w:asciiTheme="majorBidi" w:hAnsiTheme="majorBidi" w:cstheme="majorBidi"/>
          <w:sz w:val="24"/>
          <w:szCs w:val="24"/>
        </w:rPr>
        <w:t>Computational chemistry</w:t>
      </w:r>
      <w:r w:rsidR="00F2445C" w:rsidRPr="005F340F">
        <w:rPr>
          <w:rFonts w:asciiTheme="majorBidi" w:hAnsiTheme="majorBidi" w:cstheme="majorBidi"/>
          <w:sz w:val="24"/>
        </w:rPr>
        <w:t>;</w:t>
      </w:r>
      <w:r w:rsidR="00160108" w:rsidRPr="005F340F">
        <w:rPr>
          <w:rFonts w:asciiTheme="majorBidi" w:hAnsiTheme="majorBidi" w:cstheme="majorBidi"/>
          <w:sz w:val="24"/>
          <w:szCs w:val="24"/>
        </w:rPr>
        <w:t xml:space="preserve"> ADMET</w:t>
      </w:r>
      <w:r w:rsidR="00F2445C" w:rsidRPr="005F340F">
        <w:rPr>
          <w:rFonts w:asciiTheme="majorBidi" w:hAnsiTheme="majorBidi" w:cstheme="majorBidi"/>
          <w:sz w:val="24"/>
        </w:rPr>
        <w:t>;</w:t>
      </w:r>
      <w:r w:rsidR="00160108" w:rsidRPr="005F340F">
        <w:rPr>
          <w:rFonts w:asciiTheme="majorBidi" w:hAnsiTheme="majorBidi" w:cstheme="majorBidi"/>
          <w:sz w:val="24"/>
          <w:szCs w:val="24"/>
        </w:rPr>
        <w:t xml:space="preserve"> fragment-based drug discovery</w:t>
      </w:r>
      <w:commentRangeEnd w:id="9"/>
      <w:r w:rsidR="00C26602">
        <w:rPr>
          <w:rStyle w:val="CommentReference"/>
          <w:rFonts w:ascii="Calibri" w:eastAsia="Calibri" w:hAnsi="Calibri" w:cs="Arial"/>
          <w:lang w:eastAsia="en-US"/>
        </w:rPr>
        <w:commentReference w:id="9"/>
      </w:r>
    </w:p>
    <w:p w:rsidR="00A85861" w:rsidRPr="005F340F" w:rsidRDefault="00A85861" w:rsidP="00BA7A26">
      <w:pPr>
        <w:pStyle w:val="Heading1"/>
        <w:numPr>
          <w:ilvl w:val="0"/>
          <w:numId w:val="0"/>
        </w:numPr>
        <w:spacing w:line="276" w:lineRule="auto"/>
        <w:rPr>
          <w:rFonts w:asciiTheme="majorBidi" w:hAnsiTheme="majorBidi" w:cstheme="majorBidi"/>
        </w:rPr>
      </w:pPr>
      <w:commentRangeStart w:id="10"/>
      <w:r w:rsidRPr="005F340F">
        <w:rPr>
          <w:rFonts w:asciiTheme="majorBidi" w:hAnsiTheme="majorBidi" w:cstheme="majorBidi"/>
        </w:rPr>
        <w:t>Introduction</w:t>
      </w:r>
    </w:p>
    <w:p w:rsidR="00160108" w:rsidRPr="005F340F" w:rsidRDefault="00A54565"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The s</w:t>
      </w:r>
      <w:r w:rsidR="009C3C4B" w:rsidRPr="005F340F">
        <w:rPr>
          <w:rFonts w:asciiTheme="majorBidi" w:hAnsiTheme="majorBidi" w:cstheme="majorBidi"/>
          <w:sz w:val="24"/>
          <w:szCs w:val="24"/>
        </w:rPr>
        <w:t xml:space="preserve">evere acute respiratory syndrome is a result of (SARS-CoV-2), </w:t>
      </w:r>
      <w:r w:rsidR="00E23DD5" w:rsidRPr="005F340F">
        <w:rPr>
          <w:rFonts w:asciiTheme="majorBidi" w:hAnsiTheme="majorBidi" w:cstheme="majorBidi"/>
          <w:sz w:val="24"/>
          <w:szCs w:val="24"/>
        </w:rPr>
        <w:t xml:space="preserve">which </w:t>
      </w:r>
      <w:r w:rsidR="00160108" w:rsidRPr="005F340F">
        <w:rPr>
          <w:rFonts w:asciiTheme="majorBidi" w:hAnsiTheme="majorBidi" w:cstheme="majorBidi"/>
          <w:sz w:val="24"/>
          <w:szCs w:val="24"/>
        </w:rPr>
        <w:t>belong</w:t>
      </w:r>
      <w:r w:rsidR="00E23DD5" w:rsidRPr="005F340F">
        <w:rPr>
          <w:rFonts w:asciiTheme="majorBidi" w:hAnsiTheme="majorBidi" w:cstheme="majorBidi"/>
          <w:sz w:val="24"/>
          <w:szCs w:val="24"/>
        </w:rPr>
        <w:t>s</w:t>
      </w:r>
      <w:r w:rsidR="00160108" w:rsidRPr="005F340F">
        <w:rPr>
          <w:rFonts w:asciiTheme="majorBidi" w:hAnsiTheme="majorBidi" w:cstheme="majorBidi"/>
          <w:sz w:val="24"/>
          <w:szCs w:val="24"/>
        </w:rPr>
        <w:t xml:space="preserve"> to the subfamily </w:t>
      </w:r>
      <w:r w:rsidR="00160108" w:rsidRPr="005F340F">
        <w:rPr>
          <w:rFonts w:asciiTheme="majorBidi" w:hAnsiTheme="majorBidi" w:cstheme="majorBidi"/>
          <w:i/>
          <w:sz w:val="24"/>
        </w:rPr>
        <w:t>Coronavirinae</w:t>
      </w:r>
      <w:r w:rsidR="00E23DD5"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family </w:t>
      </w:r>
      <w:r w:rsidR="00160108" w:rsidRPr="005F340F">
        <w:rPr>
          <w:rFonts w:asciiTheme="majorBidi" w:hAnsiTheme="majorBidi" w:cstheme="majorBidi"/>
          <w:i/>
          <w:sz w:val="24"/>
        </w:rPr>
        <w:t>Coronaviridae</w:t>
      </w:r>
      <w:r w:rsidR="00E23DD5"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and </w:t>
      </w:r>
      <w:r w:rsidR="00E23DD5" w:rsidRPr="005F340F">
        <w:rPr>
          <w:rFonts w:asciiTheme="majorBidi" w:hAnsiTheme="majorBidi" w:cstheme="majorBidi"/>
          <w:sz w:val="24"/>
          <w:szCs w:val="24"/>
        </w:rPr>
        <w:t xml:space="preserve">affects </w:t>
      </w:r>
      <w:r w:rsidR="00160108" w:rsidRPr="005F340F">
        <w:rPr>
          <w:rFonts w:asciiTheme="majorBidi" w:hAnsiTheme="majorBidi" w:cstheme="majorBidi"/>
          <w:sz w:val="24"/>
          <w:szCs w:val="24"/>
        </w:rPr>
        <w:t>the respiratory system</w:t>
      </w:r>
      <w:r w:rsidR="00E23DD5"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causing </w:t>
      </w:r>
      <w:r w:rsidR="00E23DD5" w:rsidRPr="005F340F">
        <w:rPr>
          <w:rFonts w:asciiTheme="majorBidi" w:hAnsiTheme="majorBidi" w:cstheme="majorBidi"/>
          <w:sz w:val="24"/>
          <w:szCs w:val="24"/>
        </w:rPr>
        <w:t xml:space="preserve">a </w:t>
      </w:r>
      <w:r w:rsidR="00160108" w:rsidRPr="005F340F">
        <w:rPr>
          <w:rFonts w:asciiTheme="majorBidi" w:hAnsiTheme="majorBidi" w:cstheme="majorBidi"/>
          <w:sz w:val="24"/>
          <w:szCs w:val="24"/>
        </w:rPr>
        <w:t>severe acute respiratory syndrome</w:t>
      </w:r>
      <w:r w:rsidR="00E23DD5" w:rsidRPr="005F340F">
        <w:rPr>
          <w:rFonts w:asciiTheme="majorBidi" w:hAnsiTheme="majorBidi" w:cstheme="majorBidi"/>
          <w:sz w:val="24"/>
          <w:szCs w:val="24"/>
        </w:rPr>
        <w:t>.</w:t>
      </w:r>
      <w:r w:rsidRPr="005F340F">
        <w:rPr>
          <w:rFonts w:asciiTheme="majorBidi" w:hAnsiTheme="majorBidi" w:cstheme="majorBidi"/>
          <w:sz w:val="24"/>
          <w:szCs w:val="24"/>
        </w:rPr>
        <w:t>In March of 2020, the WHO proclaimed COVID-19 a worldwide pandemic.</w:t>
      </w:r>
      <w:r w:rsidR="00160108" w:rsidRPr="005F340F">
        <w:rPr>
          <w:rFonts w:asciiTheme="majorBidi" w:hAnsiTheme="majorBidi" w:cstheme="majorBidi"/>
          <w:sz w:val="24"/>
          <w:szCs w:val="24"/>
        </w:rPr>
        <w:t xml:space="preserve"> It expanded from Wuhan, </w:t>
      </w:r>
      <w:r w:rsidR="00E23DD5" w:rsidRPr="005F340F">
        <w:rPr>
          <w:rFonts w:asciiTheme="majorBidi" w:hAnsiTheme="majorBidi" w:cstheme="majorBidi"/>
          <w:sz w:val="24"/>
          <w:szCs w:val="24"/>
        </w:rPr>
        <w:t>a</w:t>
      </w:r>
      <w:r w:rsidR="00160108" w:rsidRPr="005F340F">
        <w:rPr>
          <w:rFonts w:asciiTheme="majorBidi" w:hAnsiTheme="majorBidi" w:cstheme="majorBidi"/>
          <w:sz w:val="24"/>
          <w:szCs w:val="24"/>
        </w:rPr>
        <w:t xml:space="preserve"> crowded </w:t>
      </w:r>
      <w:r w:rsidR="00E23DD5" w:rsidRPr="005F340F">
        <w:rPr>
          <w:rFonts w:asciiTheme="majorBidi" w:hAnsiTheme="majorBidi" w:cstheme="majorBidi"/>
          <w:sz w:val="24"/>
          <w:szCs w:val="24"/>
        </w:rPr>
        <w:t xml:space="preserve">city in </w:t>
      </w:r>
      <w:r w:rsidR="00160108" w:rsidRPr="005F340F">
        <w:rPr>
          <w:rFonts w:asciiTheme="majorBidi" w:hAnsiTheme="majorBidi" w:cstheme="majorBidi"/>
          <w:sz w:val="24"/>
          <w:szCs w:val="24"/>
        </w:rPr>
        <w:t xml:space="preserve">China, </w:t>
      </w:r>
      <w:r w:rsidR="00E23DD5" w:rsidRPr="005F340F">
        <w:rPr>
          <w:rFonts w:asciiTheme="majorBidi" w:hAnsiTheme="majorBidi" w:cstheme="majorBidi"/>
          <w:sz w:val="24"/>
          <w:szCs w:val="24"/>
        </w:rPr>
        <w:t>across</w:t>
      </w:r>
      <w:r w:rsidR="00160108" w:rsidRPr="005F340F">
        <w:rPr>
          <w:rFonts w:asciiTheme="majorBidi" w:hAnsiTheme="majorBidi" w:cstheme="majorBidi"/>
          <w:sz w:val="24"/>
          <w:szCs w:val="24"/>
        </w:rPr>
        <w:t xml:space="preserve"> China</w:t>
      </w:r>
      <w:r w:rsidR="00E23DD5" w:rsidRPr="005F340F">
        <w:rPr>
          <w:rFonts w:asciiTheme="majorBidi" w:hAnsiTheme="majorBidi" w:cstheme="majorBidi"/>
          <w:sz w:val="24"/>
          <w:szCs w:val="24"/>
        </w:rPr>
        <w:t>, and was</w:t>
      </w:r>
      <w:r w:rsidR="00160108" w:rsidRPr="005F340F">
        <w:rPr>
          <w:rFonts w:asciiTheme="majorBidi" w:hAnsiTheme="majorBidi" w:cstheme="majorBidi"/>
          <w:sz w:val="24"/>
          <w:szCs w:val="24"/>
        </w:rPr>
        <w:t xml:space="preserve"> then transferred to most </w:t>
      </w:r>
      <w:r w:rsidR="00E23DD5" w:rsidRPr="005F340F">
        <w:rPr>
          <w:rFonts w:asciiTheme="majorBidi" w:hAnsiTheme="majorBidi" w:cstheme="majorBidi"/>
          <w:sz w:val="24"/>
          <w:szCs w:val="24"/>
        </w:rPr>
        <w:t xml:space="preserve">other </w:t>
      </w:r>
      <w:r w:rsidR="00160108" w:rsidRPr="005F340F">
        <w:rPr>
          <w:rFonts w:asciiTheme="majorBidi" w:hAnsiTheme="majorBidi" w:cstheme="majorBidi"/>
          <w:sz w:val="24"/>
          <w:szCs w:val="24"/>
        </w:rPr>
        <w:t xml:space="preserve">countries of the world </w:t>
      </w:r>
      <w:hyperlink w:anchor="_ENREF_1" w:tooltip="Di Gennaro, 2020 #1"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&lt;EndNote&gt;&lt;Cite&gt;&lt;Author&gt;Di Gennaro&lt;/Author&gt;&lt;Year&gt;2020&lt;/Year&gt;&lt;RecNum&gt;1&lt;/RecNum&gt;&lt;DisplayText&gt;&lt;style face="superscript"&gt;1&lt;/style&gt;&lt;/DisplayText&gt;&lt;record&gt;&lt;rec-number&gt;1&lt;/rec-number&gt;&lt;foreign-keys&gt;&lt;key app="EN" db-id="de05rdsatra50fexpeavrr9jwrz5vtfp5azt"&gt;1&lt;/key&gt;&lt;/foreign-keys&gt;&lt;ref-type name="Journal Article"&gt;17&lt;/ref-type&gt;&lt;contributors&gt;&lt;authors&gt;&lt;author&gt;Di Gennaro, Francesco&lt;/author&gt;&lt;author&gt;Pizzol, Damiano&lt;/author&gt;&lt;author&gt;Marotta, Claudia&lt;/author&gt;&lt;author&gt;Antunes, Mario&lt;/author&gt;&lt;author&gt;Racalbuto, Vincenzo&lt;/author&gt;&lt;author&gt;Veronese, Nicola&lt;/author&gt;&lt;author&gt;Smith, Lee&lt;/author&gt;&lt;/authors&gt;&lt;/contributors&gt;&lt;titles&gt;&lt;title&gt;Coronavirus Diseases (COVID-19) Current Status and Future Perspectives: A Narrative Review&lt;/title&gt;&lt;secondary-title&gt;International Journal of Environmental Research and Public Health&lt;/secondary-title&gt;&lt;/titles&gt;&lt;periodical&gt;&lt;full-title&gt;International Journal of Environmental Research and Public Health&lt;/full-title&gt;&lt;/periodical&gt;&lt;pages&gt;2690&lt;/pages&gt;&lt;volume&gt;17&lt;/volume&gt;&lt;number&gt;8&lt;/number&gt;&lt;dates&gt;&lt;year&gt;2020&lt;/year&gt;&lt;/dates&gt;&lt;isbn&gt;1660-4601&lt;/isbn&gt;&lt;urls&gt;&lt;/urls&gt;&lt;electronic-resource-num&gt;10.3390/ijerph17082690&lt;/electronic-resource-num&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w:t>
        </w:r>
        <w:r w:rsidR="0053462E"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 As a specific vaccine for COVID-19</w:t>
      </w:r>
      <w:r w:rsidR="00E23DD5"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either for prophylaxis or treatment to </w:t>
      </w:r>
      <w:r w:rsidR="00E23DD5" w:rsidRPr="005F340F">
        <w:rPr>
          <w:rFonts w:asciiTheme="majorBidi" w:hAnsiTheme="majorBidi" w:cstheme="majorBidi"/>
          <w:sz w:val="24"/>
          <w:szCs w:val="24"/>
        </w:rPr>
        <w:t>prevent mortality</w:t>
      </w:r>
      <w:r w:rsidR="00160108" w:rsidRPr="005F340F">
        <w:rPr>
          <w:rFonts w:asciiTheme="majorBidi" w:hAnsiTheme="majorBidi" w:cstheme="majorBidi"/>
          <w:sz w:val="24"/>
          <w:szCs w:val="24"/>
        </w:rPr>
        <w:t xml:space="preserve">, </w:t>
      </w:r>
      <w:r w:rsidR="00E23DD5" w:rsidRPr="005F340F">
        <w:rPr>
          <w:rFonts w:asciiTheme="majorBidi" w:hAnsiTheme="majorBidi" w:cstheme="majorBidi"/>
          <w:sz w:val="24"/>
          <w:szCs w:val="24"/>
        </w:rPr>
        <w:t>is lacking, the search for</w:t>
      </w:r>
      <w:r w:rsidR="00160108" w:rsidRPr="005F340F">
        <w:rPr>
          <w:rFonts w:asciiTheme="majorBidi" w:hAnsiTheme="majorBidi" w:cstheme="majorBidi"/>
          <w:sz w:val="24"/>
          <w:szCs w:val="24"/>
        </w:rPr>
        <w:t xml:space="preserve"> a quick and effective </w:t>
      </w:r>
      <w:r w:rsidR="00E23DD5" w:rsidRPr="005F340F">
        <w:rPr>
          <w:rFonts w:asciiTheme="majorBidi" w:hAnsiTheme="majorBidi" w:cstheme="majorBidi"/>
          <w:sz w:val="24"/>
          <w:szCs w:val="24"/>
        </w:rPr>
        <w:t xml:space="preserve">therapeutic </w:t>
      </w:r>
      <w:r w:rsidR="00160108" w:rsidRPr="005F340F">
        <w:rPr>
          <w:rFonts w:asciiTheme="majorBidi" w:hAnsiTheme="majorBidi" w:cstheme="majorBidi"/>
          <w:sz w:val="24"/>
          <w:szCs w:val="24"/>
        </w:rPr>
        <w:t xml:space="preserve">protocol for </w:t>
      </w:r>
      <w:r w:rsidR="00E23DD5" w:rsidRPr="005F340F">
        <w:rPr>
          <w:rFonts w:asciiTheme="majorBidi" w:hAnsiTheme="majorBidi" w:cstheme="majorBidi"/>
          <w:sz w:val="24"/>
          <w:szCs w:val="24"/>
        </w:rPr>
        <w:t>this disease became a prominent challenge worldwide</w:t>
      </w:r>
      <w:r w:rsidR="00160108" w:rsidRPr="005F340F">
        <w:rPr>
          <w:rFonts w:asciiTheme="majorBidi" w:hAnsiTheme="majorBidi" w:cstheme="majorBidi"/>
          <w:sz w:val="24"/>
          <w:szCs w:val="24"/>
        </w:rPr>
        <w:t>.</w:t>
      </w:r>
    </w:p>
    <w:p w:rsidR="00160108" w:rsidRPr="005F340F" w:rsidRDefault="00160108"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In</w:t>
      </w:r>
      <w:r w:rsidR="00E23DD5" w:rsidRPr="005F340F">
        <w:rPr>
          <w:rFonts w:asciiTheme="majorBidi" w:hAnsiTheme="majorBidi" w:cstheme="majorBidi"/>
          <w:sz w:val="24"/>
          <w:szCs w:val="24"/>
        </w:rPr>
        <w:t xml:space="preserve"> fact</w:t>
      </w:r>
      <w:r w:rsidRPr="005F340F">
        <w:rPr>
          <w:rFonts w:asciiTheme="majorBidi" w:hAnsiTheme="majorBidi" w:cstheme="majorBidi"/>
          <w:sz w:val="24"/>
          <w:szCs w:val="24"/>
        </w:rPr>
        <w:t xml:space="preserve">, </w:t>
      </w:r>
      <w:r w:rsidRPr="005F340F">
        <w:rPr>
          <w:rFonts w:asciiTheme="majorBidi" w:hAnsiTheme="majorBidi" w:cstheme="majorBidi"/>
          <w:i/>
          <w:sz w:val="24"/>
        </w:rPr>
        <w:t>de novo</w:t>
      </w:r>
      <w:r w:rsidRPr="005F340F">
        <w:rPr>
          <w:rFonts w:asciiTheme="majorBidi" w:hAnsiTheme="majorBidi" w:cstheme="majorBidi"/>
          <w:sz w:val="24"/>
          <w:szCs w:val="24"/>
        </w:rPr>
        <w:t xml:space="preserve"> drug discovery has long been recognized as a long and costly process</w:t>
      </w:r>
      <w:r w:rsidR="002838DB" w:rsidRPr="005F340F">
        <w:rPr>
          <w:rFonts w:asciiTheme="majorBidi" w:hAnsiTheme="majorBidi" w:cstheme="majorBidi"/>
          <w:sz w:val="24"/>
          <w:szCs w:val="24"/>
        </w:rPr>
        <w:t>,e</w:t>
      </w:r>
      <w:r w:rsidRPr="005F340F">
        <w:rPr>
          <w:rFonts w:asciiTheme="majorBidi" w:hAnsiTheme="majorBidi" w:cstheme="majorBidi"/>
          <w:sz w:val="24"/>
          <w:szCs w:val="24"/>
        </w:rPr>
        <w:t>specially in pandemic circumstances</w:t>
      </w:r>
      <w:r w:rsidR="002838DB" w:rsidRPr="005F340F">
        <w:rPr>
          <w:rFonts w:asciiTheme="majorBidi" w:hAnsiTheme="majorBidi" w:cstheme="majorBidi"/>
          <w:sz w:val="24"/>
          <w:szCs w:val="24"/>
        </w:rPr>
        <w:t>,</w:t>
      </w:r>
      <w:r w:rsidRPr="005F340F">
        <w:rPr>
          <w:rFonts w:asciiTheme="majorBidi" w:hAnsiTheme="majorBidi" w:cstheme="majorBidi"/>
          <w:sz w:val="24"/>
          <w:szCs w:val="24"/>
        </w:rPr>
        <w:t xml:space="preserve"> with </w:t>
      </w:r>
      <w:r w:rsidR="002838DB" w:rsidRPr="005F340F">
        <w:rPr>
          <w:rFonts w:asciiTheme="majorBidi" w:hAnsiTheme="majorBidi" w:cstheme="majorBidi"/>
          <w:sz w:val="24"/>
          <w:szCs w:val="24"/>
        </w:rPr>
        <w:t xml:space="preserve">a </w:t>
      </w:r>
      <w:r w:rsidRPr="005F340F">
        <w:rPr>
          <w:rFonts w:asciiTheme="majorBidi" w:hAnsiTheme="majorBidi" w:cstheme="majorBidi"/>
          <w:sz w:val="24"/>
          <w:szCs w:val="24"/>
        </w:rPr>
        <w:t xml:space="preserve">total average cost of $2 to $3 billion and </w:t>
      </w:r>
      <w:r w:rsidR="002838DB" w:rsidRPr="005F340F">
        <w:rPr>
          <w:rFonts w:asciiTheme="majorBidi" w:hAnsiTheme="majorBidi" w:cstheme="majorBidi"/>
          <w:sz w:val="24"/>
          <w:szCs w:val="24"/>
        </w:rPr>
        <w:t xml:space="preserve">taking </w:t>
      </w:r>
      <w:r w:rsidR="001176D5" w:rsidRPr="005F340F">
        <w:rPr>
          <w:rFonts w:asciiTheme="majorBidi" w:hAnsiTheme="majorBidi" w:cstheme="majorBidi"/>
          <w:sz w:val="24"/>
          <w:szCs w:val="24"/>
        </w:rPr>
        <w:t xml:space="preserve">at </w:t>
      </w:r>
      <w:r w:rsidRPr="005F340F">
        <w:rPr>
          <w:rFonts w:asciiTheme="majorBidi" w:hAnsiTheme="majorBidi" w:cstheme="majorBidi"/>
          <w:sz w:val="24"/>
          <w:szCs w:val="24"/>
        </w:rPr>
        <w:t>least 13</w:t>
      </w:r>
      <w:r w:rsidR="002838DB" w:rsidRPr="005F340F">
        <w:rPr>
          <w:rFonts w:asciiTheme="majorBidi" w:hAnsiTheme="majorBidi" w:cstheme="majorBidi"/>
          <w:sz w:val="24"/>
          <w:szCs w:val="24"/>
        </w:rPr>
        <w:t>–</w:t>
      </w:r>
      <w:r w:rsidRPr="005F340F">
        <w:rPr>
          <w:rFonts w:asciiTheme="majorBidi" w:hAnsiTheme="majorBidi" w:cstheme="majorBidi"/>
          <w:sz w:val="24"/>
          <w:szCs w:val="24"/>
        </w:rPr>
        <w:t xml:space="preserve">15 years to </w:t>
      </w:r>
      <w:r w:rsidR="002838DB" w:rsidRPr="005F340F">
        <w:rPr>
          <w:rFonts w:asciiTheme="majorBidi" w:hAnsiTheme="majorBidi" w:cstheme="majorBidi"/>
          <w:sz w:val="24"/>
          <w:szCs w:val="24"/>
        </w:rPr>
        <w:t>reach market availability</w:t>
      </w:r>
      <w:hyperlink w:anchor="_ENREF_2" w:tooltip="Scannell, 2012 #2"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&lt;EndNote&gt;&lt;Cite&gt;&lt;Author&gt;Scannell&lt;/Author&gt;&lt;Year&gt;2012&lt;/Year&gt;&lt;RecNum&gt;2&lt;/RecNum&gt;&lt;DisplayText&gt;&lt;style face="superscript"&gt;2&lt;/style&gt;&lt;/DisplayText&gt;&lt;record&gt;&lt;rec-number&gt;2&lt;/rec-number&gt;&lt;foreign-keys&gt;&lt;key app="EN" db-id="de05rdsatra50fexpeavrr9jwrz5vtfp5azt"&gt;2&lt;/key&gt;&lt;/foreign-keys&gt;&lt;ref-type name="Journal Article"&gt;17&lt;/ref-type&gt;&lt;contributors&gt;&lt;authors&gt;&lt;author&gt;Scannell, J. W.&lt;/author&gt;&lt;author&gt;Blanckley, A.&lt;/author&gt;&lt;author&gt;Boldon, H.&lt;/author&gt;&lt;author&gt;Warrington, B.&lt;/author&gt;&lt;/authors&gt;&lt;/contributors&gt;&lt;auth-address&gt;Sanford C. Bernstein Limited, 50 Berkeley Street, Mayfair Place, London W1J 8SB, UK. Jack.Scannell@Bernstein.com&lt;/auth-address&gt;&lt;titles&gt;&lt;title&gt;Diagnosing the decline in pharmaceutical R&amp;amp;D efficiency&lt;/title&gt;&lt;secondary-title&gt;Nat Rev Drug Discov&lt;/secondary-title&gt;&lt;alt-title&gt;Nature reviews. Drug discovery&lt;/alt-title&gt;&lt;/titles&gt;&lt;periodical&gt;&lt;full-title&gt;Nat Rev Drug Discov&lt;/full-title&gt;&lt;abbr-1&gt;Nature reviews. Drug discovery&lt;/abbr-1&gt;&lt;/periodical&gt;&lt;alt-periodical&gt;&lt;full-title&gt;Nat Rev Drug Discov&lt;/full-title&gt;&lt;abbr-1&gt;Nature reviews. Drug discovery&lt;/abbr-1&gt;&lt;/alt-periodical&gt;&lt;pages&gt;191-200&lt;/pages&gt;&lt;volume&gt;11&lt;/volume&gt;&lt;number&gt;3&lt;/number&gt;&lt;edition&gt;2012/03/02&lt;/edition&gt;&lt;keywords&gt;&lt;keyword&gt;Animals&lt;/keyword&gt;&lt;keyword&gt;Drug Delivery Systems/standards/trends&lt;/keyword&gt;&lt;keyword&gt;Drug Industry/*standards/trends&lt;/keyword&gt;&lt;keyword&gt;Efficiency, Organizational/*standards/trends&lt;/keyword&gt;&lt;keyword&gt;Humans&lt;/keyword&gt;&lt;keyword&gt;*Pharmaceutical Preparations/administration &amp;amp; dosage&lt;/keyword&gt;&lt;keyword&gt;Research/*standards/trends&lt;/keyword&gt;&lt;/keywords&gt;&lt;dates&gt;&lt;year&gt;2012&lt;/year&gt;&lt;pub-dates&gt;&lt;date&gt;Mar 1&lt;/date&gt;&lt;/pub-dates&gt;&lt;/dates&gt;&lt;isbn&gt;1474-1776&lt;/isbn&gt;&lt;accession-num&gt;22378269&lt;/accession-num&gt;&lt;urls&gt;&lt;/urls&gt;&lt;electronic-resource-num&gt;10.1038/nrd3681&lt;/electronic-resource-num&gt;&lt;remote-database-provider&gt;Nlm&lt;/remote-database-provider&gt;&lt;language&gt;eng&lt;/language&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During the 1990s, high-throughput screening </w:t>
      </w:r>
      <w:r w:rsidR="002838DB" w:rsidRPr="005F340F">
        <w:rPr>
          <w:rFonts w:asciiTheme="majorBidi" w:hAnsiTheme="majorBidi" w:cstheme="majorBidi"/>
          <w:sz w:val="24"/>
          <w:szCs w:val="24"/>
        </w:rPr>
        <w:t>was</w:t>
      </w:r>
      <w:r w:rsidRPr="005F340F">
        <w:rPr>
          <w:rFonts w:asciiTheme="majorBidi" w:hAnsiTheme="majorBidi" w:cstheme="majorBidi"/>
          <w:sz w:val="24"/>
          <w:szCs w:val="24"/>
        </w:rPr>
        <w:t xml:space="preserve"> introduced as a tool to facilitate and hasten drug discovery </w:t>
      </w:r>
      <w:hyperlink w:anchor="_ENREF_3" w:tooltip="Drews, 2000 #3"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&lt;EndNote&gt;&lt;Cite&gt;&lt;Author&gt;Drews&lt;/Author&gt;&lt;Year&gt;2000&lt;/Year&gt;&lt;RecNum&gt;3&lt;/RecNum&gt;&lt;DisplayText&gt;&lt;style face="superscript"&gt;3&lt;/style&gt;&lt;/DisplayText&gt;&lt;record&gt;&lt;rec-number&gt;3&lt;/rec-number&gt;&lt;foreign-keys&gt;&lt;key app="EN" db-id="de05rdsatra50fexpeavrr9jwrz5vtfp5azt"&gt;3&lt;/key&gt;&lt;/foreign-keys&gt;&lt;ref-type name="Journal Article"&gt;17&lt;/ref-type&gt;&lt;contributors&gt;&lt;authors&gt;&lt;author&gt;Drews, Jürgen&lt;/author&gt;&lt;/authors&gt;&lt;/contributors&gt;&lt;titles&gt;&lt;title&gt;Drug discovery: a historical perspective&lt;/title&gt;&lt;secondary-title&gt;Science&lt;/secondary-title&gt;&lt;/titles&gt;&lt;periodical&gt;&lt;full-title&gt;Science&lt;/full-title&gt;&lt;/periodical&gt;&lt;pages&gt;1960-1964&lt;/pages&gt;&lt;volume&gt;287&lt;/volume&gt;&lt;number&gt;5460&lt;/number&gt;&lt;dates&gt;&lt;year&gt;2000&lt;/year&gt;&lt;/dates&gt;&lt;isbn&gt;0036-8075&lt;/isbn&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3</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however</w:t>
      </w:r>
      <w:r w:rsidR="002838DB" w:rsidRPr="005F340F">
        <w:rPr>
          <w:rFonts w:asciiTheme="majorBidi" w:hAnsiTheme="majorBidi" w:cstheme="majorBidi"/>
          <w:sz w:val="24"/>
          <w:szCs w:val="24"/>
        </w:rPr>
        <w:t>,</w:t>
      </w:r>
      <w:r w:rsidRPr="005F340F">
        <w:rPr>
          <w:rFonts w:asciiTheme="majorBidi" w:hAnsiTheme="majorBidi" w:cstheme="majorBidi"/>
          <w:sz w:val="24"/>
          <w:szCs w:val="24"/>
        </w:rPr>
        <w:t xml:space="preserve"> chemical libraries still </w:t>
      </w:r>
      <w:r w:rsidR="002838DB" w:rsidRPr="005F340F">
        <w:rPr>
          <w:rFonts w:asciiTheme="majorBidi" w:hAnsiTheme="majorBidi" w:cstheme="majorBidi"/>
          <w:sz w:val="24"/>
          <w:szCs w:val="24"/>
        </w:rPr>
        <w:t xml:space="preserve">need </w:t>
      </w:r>
      <w:r w:rsidRPr="005F340F">
        <w:rPr>
          <w:rFonts w:asciiTheme="majorBidi" w:hAnsiTheme="majorBidi" w:cstheme="majorBidi"/>
          <w:sz w:val="24"/>
          <w:szCs w:val="24"/>
        </w:rPr>
        <w:t xml:space="preserve">to be prepared through a highly laborious synthetic approach </w:t>
      </w:r>
      <w:hyperlink w:anchor="_ENREF_4" w:tooltip="Phatak, 2009 #4"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&lt;EndNote&gt;&lt;Cite&gt;&lt;Author&gt;Phatak&lt;/Author&gt;&lt;Year&gt;2009&lt;/Year&gt;&lt;RecNum&gt;4&lt;/RecNum&gt;&lt;DisplayText&gt;&lt;style face="superscript"&gt;4&lt;/style&gt;&lt;/DisplayText&gt;&lt;record&gt;&lt;rec-number&gt;4&lt;/rec-number&gt;&lt;foreign-keys&gt;&lt;key app="EN" db-id="de05rdsatra50fexpeavrr9jwrz5vtfp5azt"&gt;4&lt;/key&gt;&lt;/foreign-keys&gt;&lt;ref-type name="Journal Article"&gt;17&lt;/ref-type&gt;&lt;contributors&gt;&lt;authors&gt;&lt;author&gt;Phatak, Sharangdhar S&lt;/author&gt;&lt;author&gt;Stephan, Clifford C&lt;/author&gt;&lt;author&gt;Cavasotto, Claudio N&lt;/author&gt;&lt;/authors&gt;&lt;/contributors&gt;&lt;titles&gt;&lt;title&gt;High-throughput and in silico screenings in drug discovery&lt;/title&gt;&lt;secondary-title&gt;Expert opinion on drug discovery&lt;/secondary-title&gt;&lt;/titles&gt;&lt;periodical&gt;&lt;full-title&gt;Expert opinion on drug discovery&lt;/full-title&gt;&lt;/periodical&gt;&lt;pages&gt;947-959&lt;/pages&gt;&lt;volume&gt;4&lt;/volume&gt;&lt;number&gt;9&lt;/number&gt;&lt;dates&gt;&lt;year&gt;2009&lt;/year&gt;&lt;/dates&gt;&lt;isbn&gt;1746-0441&lt;/isbn&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4</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A dramatic change occurred </w:t>
      </w:r>
      <w:r w:rsidR="002838DB" w:rsidRPr="005F340F">
        <w:rPr>
          <w:rFonts w:asciiTheme="majorBidi" w:hAnsiTheme="majorBidi" w:cstheme="majorBidi"/>
          <w:sz w:val="24"/>
          <w:szCs w:val="24"/>
        </w:rPr>
        <w:t xml:space="preserve">after the </w:t>
      </w:r>
      <w:r w:rsidRPr="005F340F">
        <w:rPr>
          <w:rFonts w:asciiTheme="majorBidi" w:hAnsiTheme="majorBidi" w:cstheme="majorBidi"/>
          <w:sz w:val="24"/>
          <w:szCs w:val="24"/>
        </w:rPr>
        <w:t xml:space="preserve">evolution </w:t>
      </w:r>
      <w:r w:rsidR="002838DB" w:rsidRPr="005F340F">
        <w:rPr>
          <w:rFonts w:asciiTheme="majorBidi" w:hAnsiTheme="majorBidi" w:cstheme="majorBidi"/>
          <w:sz w:val="24"/>
          <w:szCs w:val="24"/>
        </w:rPr>
        <w:t xml:space="preserve">of </w:t>
      </w:r>
      <w:r w:rsidRPr="005F340F">
        <w:rPr>
          <w:rFonts w:asciiTheme="majorBidi" w:hAnsiTheme="majorBidi" w:cstheme="majorBidi"/>
          <w:sz w:val="24"/>
          <w:szCs w:val="24"/>
        </w:rPr>
        <w:t xml:space="preserve">protein crystallography and NMR </w:t>
      </w:r>
      <w:r w:rsidR="002838DB" w:rsidRPr="005F340F">
        <w:rPr>
          <w:rFonts w:asciiTheme="majorBidi" w:hAnsiTheme="majorBidi" w:cstheme="majorBidi"/>
          <w:sz w:val="24"/>
          <w:szCs w:val="24"/>
        </w:rPr>
        <w:t xml:space="preserve">that gave </w:t>
      </w:r>
      <w:r w:rsidRPr="005F340F">
        <w:rPr>
          <w:rFonts w:asciiTheme="majorBidi" w:hAnsiTheme="majorBidi" w:cstheme="majorBidi"/>
          <w:sz w:val="24"/>
          <w:szCs w:val="24"/>
        </w:rPr>
        <w:t>access to well-characterized protein</w:t>
      </w:r>
      <w:r w:rsidR="001176D5" w:rsidRPr="005F340F">
        <w:rPr>
          <w:rFonts w:asciiTheme="majorBidi" w:hAnsiTheme="majorBidi" w:cstheme="majorBidi"/>
          <w:sz w:val="24"/>
          <w:szCs w:val="24"/>
        </w:rPr>
        <w:t>-</w:t>
      </w:r>
      <w:r w:rsidRPr="005F340F">
        <w:rPr>
          <w:rFonts w:asciiTheme="majorBidi" w:hAnsiTheme="majorBidi" w:cstheme="majorBidi"/>
          <w:sz w:val="24"/>
          <w:szCs w:val="24"/>
        </w:rPr>
        <w:t>ligand complexes</w:t>
      </w:r>
      <w:r w:rsidR="002838DB" w:rsidRPr="005F340F">
        <w:rPr>
          <w:rFonts w:asciiTheme="majorBidi" w:hAnsiTheme="majorBidi" w:cstheme="majorBidi"/>
          <w:sz w:val="24"/>
          <w:szCs w:val="24"/>
        </w:rPr>
        <w:t xml:space="preserve">, which </w:t>
      </w:r>
      <w:commentRangeEnd w:id="10"/>
      <w:r w:rsidR="0013514C">
        <w:rPr>
          <w:rStyle w:val="CommentReference"/>
          <w:rFonts w:ascii="Calibri" w:eastAsia="Calibri" w:hAnsi="Calibri" w:cs="Arial"/>
          <w:lang w:eastAsia="en-US"/>
        </w:rPr>
        <w:commentReference w:id="10"/>
      </w:r>
      <w:r w:rsidR="002838DB" w:rsidRPr="005F340F">
        <w:rPr>
          <w:rFonts w:asciiTheme="majorBidi" w:hAnsiTheme="majorBidi" w:cstheme="majorBidi"/>
          <w:sz w:val="24"/>
          <w:szCs w:val="24"/>
        </w:rPr>
        <w:t>have</w:t>
      </w:r>
      <w:r w:rsidRPr="005F340F">
        <w:rPr>
          <w:rFonts w:asciiTheme="majorBidi" w:hAnsiTheme="majorBidi" w:cstheme="majorBidi"/>
          <w:sz w:val="24"/>
          <w:szCs w:val="24"/>
        </w:rPr>
        <w:t xml:space="preserve"> guided </w:t>
      </w:r>
      <w:r w:rsidR="002838DB" w:rsidRPr="005F340F">
        <w:rPr>
          <w:rFonts w:asciiTheme="majorBidi" w:hAnsiTheme="majorBidi" w:cstheme="majorBidi"/>
          <w:sz w:val="24"/>
          <w:szCs w:val="24"/>
        </w:rPr>
        <w:t>drug-</w:t>
      </w:r>
      <w:r w:rsidRPr="005F340F">
        <w:rPr>
          <w:rFonts w:asciiTheme="majorBidi" w:hAnsiTheme="majorBidi" w:cstheme="majorBidi"/>
          <w:sz w:val="24"/>
          <w:szCs w:val="24"/>
        </w:rPr>
        <w:t xml:space="preserve">lead optimization in terms of selectivity and potency </w:t>
      </w:r>
      <w:hyperlink w:anchor="_ENREF_5" w:tooltip="Congreve, 2005 #5"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&lt;EndNote&gt;&lt;Cite&gt;&lt;Author&gt;Congreve&lt;/Author&gt;&lt;Year&gt;2005&lt;/Year&gt;&lt;RecNum&gt;5&lt;/RecNum&gt;&lt;DisplayText&gt;&lt;style face="superscript"&gt;5&lt;/style&gt;&lt;/DisplayText&gt;&lt;record&gt;&lt;rec-number&gt;5&lt;/rec-number&gt;&lt;foreign-keys&gt;&lt;key app="EN" db-id="de05rdsatra50fexpeavrr9jwrz5vtfp5azt"&gt;5&lt;/key&gt;&lt;/foreign-keys&gt;&lt;ref-type name="Journal Article"&gt;17&lt;/ref-type&gt;&lt;contributors&gt;&lt;authors&gt;&lt;author&gt;Congreve, Miles&lt;/author&gt;&lt;author&gt;Murray, Christopher W&lt;/author&gt;&lt;author&gt;Blundell, Tom L&lt;/author&gt;&lt;/authors&gt;&lt;/contributors&gt;&lt;titles&gt;&lt;title&gt;Keynote review: Structural biology and drug discovery&lt;/title&gt;&lt;secondary-title&gt;Drug discovery today&lt;/secondary-title&gt;&lt;/titles&gt;&lt;periodical&gt;&lt;full-title&gt;Drug discovery today&lt;/full-title&gt;&lt;/periodical&gt;&lt;pages&gt;895-907&lt;/pages&gt;&lt;volume&gt;10&lt;/volume&gt;&lt;number&gt;13&lt;/number&gt;&lt;dates&gt;&lt;year&gt;2005&lt;/year&gt;&lt;/dates&gt;&lt;isbn&gt;1359-6446&lt;/isbn&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5</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Simultaneously, computational methods have been utilized </w:t>
      </w:r>
      <w:r w:rsidR="002838DB" w:rsidRPr="005F340F">
        <w:rPr>
          <w:rFonts w:asciiTheme="majorBidi" w:hAnsiTheme="majorBidi" w:cstheme="majorBidi"/>
          <w:sz w:val="24"/>
          <w:szCs w:val="24"/>
        </w:rPr>
        <w:t xml:space="preserve">for the calculation of </w:t>
      </w:r>
      <w:r w:rsidRPr="005F340F">
        <w:rPr>
          <w:rFonts w:asciiTheme="majorBidi" w:hAnsiTheme="majorBidi" w:cstheme="majorBidi"/>
          <w:sz w:val="24"/>
          <w:szCs w:val="24"/>
        </w:rPr>
        <w:t>molecular interactions, identification of protein</w:t>
      </w:r>
      <w:r w:rsidR="001176D5" w:rsidRPr="005F340F">
        <w:rPr>
          <w:rFonts w:asciiTheme="majorBidi" w:hAnsiTheme="majorBidi" w:cstheme="majorBidi"/>
          <w:sz w:val="24"/>
          <w:szCs w:val="24"/>
        </w:rPr>
        <w:t>-</w:t>
      </w:r>
      <w:r w:rsidRPr="005F340F">
        <w:rPr>
          <w:rFonts w:asciiTheme="majorBidi" w:hAnsiTheme="majorBidi" w:cstheme="majorBidi"/>
          <w:sz w:val="24"/>
          <w:szCs w:val="24"/>
        </w:rPr>
        <w:t xml:space="preserve">ligand complexes, and screening of chemical libraries against a molecular target </w:t>
      </w:r>
      <w:hyperlink w:anchor="_ENREF_6" w:tooltip="Cavasotto, 2019 #6"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&lt;EndNote&gt;&lt;Cite&gt;&lt;Author&gt;Cavasotto&lt;/Author&gt;&lt;Year&gt;2019&lt;/Year&gt;&lt;RecNum&gt;6&lt;/RecNum&gt;&lt;DisplayText&gt;&lt;style face="superscript"&gt;6&lt;/style&gt;&lt;/DisplayText&gt;&lt;record&gt;&lt;rec-number&gt;6&lt;/rec-number&gt;&lt;foreign-keys&gt;&lt;key app="EN" db-id="de05rdsatra50fexpeavrr9jwrz5vtfp5azt"&gt;6&lt;/key&gt;&lt;/foreign-keys&gt;&lt;ref-type name="Journal Article"&gt;17&lt;/ref-type&gt;&lt;contributors&gt;&lt;authors&gt;&lt;author&gt;Cavasotto, Claudio N.&lt;/author&gt;&lt;author&gt;Aucar, María Gabriela&lt;/author&gt;&lt;author&gt;Adler, Natalia S.&lt;/author&gt;&lt;/authors&gt;&lt;/contributors&gt;&lt;titles&gt;&lt;title&gt;Computational chemistry in drug lead discovery and design&lt;/title&gt;&lt;secondary-title&gt;International Journal of Quantum Chemistry&lt;/secondary-title&gt;&lt;/titles&gt;&lt;periodical&gt;&lt;full-title&gt;International Journal of Quantum Chemistry&lt;/full-title&gt;&lt;/periodical&gt;&lt;pages&gt;e25678&lt;/pages&gt;&lt;volume&gt;119&lt;/volume&gt;&lt;number&gt;2&lt;/number&gt;&lt;dates&gt;&lt;year&gt;2019&lt;/year&gt;&lt;/dates&gt;&lt;isbn&gt;0020-7608&lt;/isbn&gt;&lt;urls&gt;&lt;related-urls&gt;&lt;url&gt;https://onlinelibrary.wiley.com/doi/abs/10.1002/qua.25678&lt;/url&gt;&lt;/related-urls&gt;&lt;/urls&gt;&lt;electronic-resource-num&gt;10.1002/qua.25678&lt;/electronic-resource-num&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6</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w:t>
      </w:r>
    </w:p>
    <w:p w:rsidR="00160108" w:rsidRPr="005F340F" w:rsidRDefault="002838DB"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Based on </w:t>
      </w:r>
      <w:r w:rsidR="00160108" w:rsidRPr="005F340F">
        <w:rPr>
          <w:rFonts w:asciiTheme="majorBidi" w:hAnsiTheme="majorBidi" w:cstheme="majorBidi"/>
          <w:sz w:val="24"/>
          <w:szCs w:val="24"/>
        </w:rPr>
        <w:t xml:space="preserve">the successful drugrepurposing stories in the drug market </w:t>
      </w:r>
      <w:hyperlink w:anchor="_ENREF_7" w:tooltip="Serafin, 2020 #7"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&lt;EndNote&gt;&lt;Cite&gt;&lt;Author&gt;Serafin&lt;/Author&gt;&lt;Year&gt;2020&lt;/Year&gt;&lt;RecNum&gt;7&lt;/RecNum&gt;&lt;DisplayText&gt;&lt;style face="superscript"&gt;7&lt;/style&gt;&lt;/DisplayText&gt;&lt;record&gt;&lt;rec-number&gt;7&lt;/rec-number&gt;&lt;foreign-keys&gt;&lt;key app="EN" db-id="de05rdsatra50fexpeavrr9jwrz5vtfp5azt"&gt;7&lt;/key&gt;&lt;/foreign-keys&gt;&lt;ref-type name="Journal Article"&gt;17&lt;/ref-type&gt;&lt;contributors&gt;&lt;authors&gt;&lt;author&gt;Serafin, Marissa B.&lt;/author&gt;&lt;author&gt;Bottega, Angelita&lt;/author&gt;&lt;author&gt;Foletto, Vitória S.&lt;/author&gt;&lt;author&gt;da Rosa, Taciéli F.&lt;/author&gt;&lt;author&gt;Hörner, Andreas&lt;/author&gt;&lt;author&gt;Hörner, Rosmari&lt;/author&gt;&lt;/authors&gt;&lt;/contributors&gt;&lt;titles&gt;&lt;title&gt;Drug repositioning is an alternative for the treatment of coronavirus COVID-19&lt;/title&gt;&lt;secondary-title&gt;International Journal of Antimicrobial Agents&lt;/secondary-title&gt;&lt;/titles&gt;&lt;periodical&gt;&lt;full-title&gt;International Journal of Antimicrobial Agents&lt;/full-title&gt;&lt;/periodical&gt;&lt;pages&gt;105969&lt;/pages&gt;&lt;dates&gt;&lt;year&gt;2020&lt;/year&gt;&lt;/dates&gt;&lt;isbn&gt;09248579&lt;/isbn&gt;&lt;urls&gt;&lt;/urls&gt;&lt;electronic-resource-num&gt;10.1016/j.ijantimicag.2020.105969&lt;/electronic-resource-num&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7</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,drug </w:t>
      </w:r>
      <w:r w:rsidR="00160108" w:rsidRPr="005F340F">
        <w:rPr>
          <w:rFonts w:asciiTheme="majorBidi" w:hAnsiTheme="majorBidi" w:cstheme="majorBidi"/>
          <w:sz w:val="24"/>
          <w:szCs w:val="24"/>
        </w:rPr>
        <w:t xml:space="preserve">repurposing (also called drug repositioning or drug profiling) has been introduced as a useful tool to </w:t>
      </w:r>
      <w:r w:rsidRPr="005F340F">
        <w:rPr>
          <w:rFonts w:asciiTheme="majorBidi" w:hAnsiTheme="majorBidi" w:cstheme="majorBidi"/>
          <w:sz w:val="24"/>
          <w:szCs w:val="24"/>
        </w:rPr>
        <w:t>decrease</w:t>
      </w:r>
      <w:r w:rsidR="00160108" w:rsidRPr="005F340F">
        <w:rPr>
          <w:rFonts w:asciiTheme="majorBidi" w:hAnsiTheme="majorBidi" w:cstheme="majorBidi"/>
          <w:sz w:val="24"/>
          <w:szCs w:val="24"/>
        </w:rPr>
        <w:t xml:space="preserve"> costs and save time in drug discovery. </w:t>
      </w:r>
      <w:r w:rsidR="00D54AA1" w:rsidRPr="005F340F">
        <w:rPr>
          <w:rFonts w:asciiTheme="majorBidi" w:hAnsiTheme="majorBidi" w:cstheme="majorBidi"/>
          <w:sz w:val="24"/>
          <w:szCs w:val="24"/>
        </w:rPr>
        <w:t xml:space="preserve">This approach </w:t>
      </w:r>
      <w:r w:rsidR="00160108" w:rsidRPr="005F340F">
        <w:rPr>
          <w:rFonts w:asciiTheme="majorBidi" w:hAnsiTheme="majorBidi" w:cstheme="majorBidi"/>
          <w:sz w:val="24"/>
          <w:szCs w:val="24"/>
        </w:rPr>
        <w:t xml:space="preserve">depends on finding a new indication for an </w:t>
      </w:r>
      <w:commentRangeStart w:id="11"/>
      <w:r w:rsidR="00160108" w:rsidRPr="005F340F">
        <w:rPr>
          <w:rFonts w:asciiTheme="majorBidi" w:hAnsiTheme="majorBidi" w:cstheme="majorBidi"/>
          <w:sz w:val="24"/>
          <w:szCs w:val="24"/>
        </w:rPr>
        <w:lastRenderedPageBreak/>
        <w:t xml:space="preserve">already existing FDA-approved drug </w:t>
      </w:r>
      <w:hyperlink w:anchor="_ENREF_8" w:tooltip="Dhir, 2020 #8"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&lt;EndNote&gt;&lt;Cite&gt;&lt;Author&gt;Dhir&lt;/Author&gt;&lt;Year&gt;2020&lt;/Year&gt;&lt;RecNum&gt;8&lt;/RecNum&gt;&lt;DisplayText&gt;&lt;style face="superscript"&gt;8&lt;/style&gt;&lt;/DisplayText&gt;&lt;record&gt;&lt;rec-number&gt;8&lt;/rec-number&gt;&lt;foreign-keys&gt;&lt;key app="EN" db-id="de05rdsatra50fexpeavrr9jwrz5vtfp5azt"&gt;8&lt;/key&gt;&lt;/foreign-keys&gt;&lt;ref-type name="Journal Article"&gt;17&lt;/ref-type&gt;&lt;contributors&gt;&lt;authors&gt;&lt;author&gt;Dhir, Neha&lt;/author&gt;&lt;author&gt;Jain, Ashish&lt;/author&gt;&lt;author&gt;Mahendru, Dhruv&lt;/author&gt;&lt;author&gt;Prakash, Ajay&lt;/author&gt;&lt;author&gt;Medhi, Bikash&lt;/author&gt;&lt;/authors&gt;&lt;/contributors&gt;&lt;titles&gt;&lt;title&gt;Drug Repurposing and Orphan Disease Therapeutics&lt;/title&gt;&lt;/titles&gt;&lt;dates&gt;&lt;year&gt;2020&lt;/year&gt;&lt;/dates&gt;&lt;urls&gt;&lt;/urls&gt;&lt;electronic-resource-num&gt;10.5772/intechopen.91941&lt;/electronic-resource-num&gt;&lt;/record&gt;&lt;/Cite&gt;&lt;/EndNote&gt;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8</w:t>
        </w:r>
        <w:r w:rsidR="0053462E"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 xml:space="preserve">. </w:t>
      </w:r>
      <w:r w:rsidR="00D54AA1" w:rsidRPr="005F340F">
        <w:rPr>
          <w:rFonts w:asciiTheme="majorBidi" w:hAnsiTheme="majorBidi" w:cstheme="majorBidi"/>
          <w:sz w:val="24"/>
          <w:szCs w:val="24"/>
        </w:rPr>
        <w:t>In addition to</w:t>
      </w:r>
      <w:r w:rsidR="00160108" w:rsidRPr="005F340F">
        <w:rPr>
          <w:rFonts w:asciiTheme="majorBidi" w:hAnsiTheme="majorBidi" w:cstheme="majorBidi"/>
          <w:sz w:val="24"/>
          <w:szCs w:val="24"/>
        </w:rPr>
        <w:t xml:space="preserve"> the drug indication, which is available, a full descriptive drug profile</w:t>
      </w:r>
      <w:r w:rsidR="00D54AA1"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including pharmacokinetics, pharmacodynamics</w:t>
      </w:r>
      <w:r w:rsidR="00D54AA1"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and toxicological studies</w:t>
      </w:r>
      <w:r w:rsidR="00D54AA1" w:rsidRPr="005F340F">
        <w:rPr>
          <w:rFonts w:asciiTheme="majorBidi" w:hAnsiTheme="majorBidi" w:cstheme="majorBidi"/>
          <w:sz w:val="24"/>
          <w:szCs w:val="24"/>
        </w:rPr>
        <w:t>, is also necessary</w:t>
      </w:r>
      <w:r w:rsidR="00160108" w:rsidRPr="005F340F">
        <w:rPr>
          <w:rFonts w:asciiTheme="majorBidi" w:hAnsiTheme="majorBidi" w:cstheme="majorBidi"/>
          <w:sz w:val="24"/>
          <w:szCs w:val="24"/>
        </w:rPr>
        <w:t xml:space="preserve">; all </w:t>
      </w:r>
      <w:r w:rsidR="00D54AA1" w:rsidRPr="005F340F">
        <w:rPr>
          <w:rFonts w:asciiTheme="majorBidi" w:hAnsiTheme="majorBidi" w:cstheme="majorBidi"/>
          <w:sz w:val="24"/>
          <w:szCs w:val="24"/>
        </w:rPr>
        <w:t>of this</w:t>
      </w:r>
      <w:r w:rsidR="00160108" w:rsidRPr="005F340F">
        <w:rPr>
          <w:rFonts w:asciiTheme="majorBidi" w:hAnsiTheme="majorBidi" w:cstheme="majorBidi"/>
          <w:sz w:val="24"/>
          <w:szCs w:val="24"/>
        </w:rPr>
        <w:t xml:space="preserve"> pre-existing drug information save</w:t>
      </w:r>
      <w:r w:rsidR="00D54AA1" w:rsidRPr="005F340F">
        <w:rPr>
          <w:rFonts w:asciiTheme="majorBidi" w:hAnsiTheme="majorBidi" w:cstheme="majorBidi"/>
          <w:sz w:val="24"/>
          <w:szCs w:val="24"/>
        </w:rPr>
        <w:t>s</w:t>
      </w:r>
      <w:r w:rsidR="00160108" w:rsidRPr="005F340F">
        <w:rPr>
          <w:rFonts w:asciiTheme="majorBidi" w:hAnsiTheme="majorBidi" w:cstheme="majorBidi"/>
          <w:sz w:val="24"/>
          <w:szCs w:val="24"/>
        </w:rPr>
        <w:t xml:space="preserve"> time and reduce</w:t>
      </w:r>
      <w:r w:rsidR="00D54AA1" w:rsidRPr="005F340F">
        <w:rPr>
          <w:rFonts w:asciiTheme="majorBidi" w:hAnsiTheme="majorBidi" w:cstheme="majorBidi"/>
          <w:sz w:val="24"/>
          <w:szCs w:val="24"/>
        </w:rPr>
        <w:t>s the</w:t>
      </w:r>
      <w:r w:rsidR="00160108" w:rsidRPr="005F340F">
        <w:rPr>
          <w:rFonts w:asciiTheme="majorBidi" w:hAnsiTheme="majorBidi" w:cstheme="majorBidi"/>
          <w:sz w:val="24"/>
          <w:szCs w:val="24"/>
        </w:rPr>
        <w:t xml:space="preserve"> research efforts in reaching the new drug indication </w:t>
      </w:r>
      <w:hyperlink w:anchor="_ENREF_9" w:tooltip="Talevi, 2019 #9"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&lt;EndNote&gt;&lt;Cite&gt;&lt;Author&gt;Talevi&lt;/Author&gt;&lt;Year&gt;2019&lt;/Year&gt;&lt;RecNum&gt;9&lt;/RecNum&gt;&lt;DisplayText&gt;&lt;style face="superscript"&gt;9&lt;/style&gt;&lt;/DisplayText&gt;&lt;record&gt;&lt;rec-number&gt;9&lt;/rec-number&gt;&lt;foreign-keys&gt;&lt;key app="EN" db-id="de05rdsatra50fexpeavrr9jwrz5vtfp5azt"&gt;9&lt;/key&gt;&lt;/foreign-keys&gt;&lt;ref-type name="Journal Article"&gt;17&lt;/ref-type&gt;&lt;contributors&gt;&lt;authors&gt;&lt;author&gt;Talevi, Alan&lt;/author&gt;&lt;author&gt;Bellera, Carolina L.&lt;/author&gt;&lt;/authors&gt;&lt;/contributors&gt;&lt;titles&gt;&lt;title&gt;Challenges and opportunities with drug repurposing: finding strategies to find alternative uses of therapeutics&lt;/title&gt;&lt;secondary-title&gt;Expert Opinion on Drug Discovery&lt;/secondary-title&gt;&lt;/titles&gt;&lt;periodical&gt;&lt;full-title&gt;Expert opinion on drug discovery&lt;/full-title&gt;&lt;/periodical&gt;&lt;pages&gt;397-401&lt;/pages&gt;&lt;volume&gt;15&lt;/volume&gt;&lt;number&gt;4&lt;/number&gt;&lt;dates&gt;&lt;year&gt;2019&lt;/year&gt;&lt;/dates&gt;&lt;isbn&gt;1746-0441&amp;#xD;1746-045X&lt;/isbn&gt;&lt;urls&gt;&lt;/urls&gt;&lt;electronic-resource-num&gt;10.1080/17460441.2020.1704729&lt;/electronic-resource-num&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9</w:t>
        </w:r>
        <w:r w:rsidR="0053462E"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w:t>
      </w:r>
    </w:p>
    <w:p w:rsidR="00160108" w:rsidRPr="005F340F" w:rsidRDefault="00D54AA1"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After the </w:t>
      </w:r>
      <w:r w:rsidR="00160108" w:rsidRPr="005F340F">
        <w:rPr>
          <w:rFonts w:asciiTheme="majorBidi" w:hAnsiTheme="majorBidi" w:cstheme="majorBidi"/>
          <w:sz w:val="24"/>
          <w:szCs w:val="24"/>
        </w:rPr>
        <w:t xml:space="preserve">COVID-19 outbreak in December 2019, drug repurposing was chosen as an effective and fast way to </w:t>
      </w:r>
      <w:r w:rsidRPr="005F340F">
        <w:rPr>
          <w:rFonts w:asciiTheme="majorBidi" w:hAnsiTheme="majorBidi" w:cstheme="majorBidi"/>
          <w:sz w:val="24"/>
          <w:szCs w:val="24"/>
        </w:rPr>
        <w:t xml:space="preserve">manage the </w:t>
      </w:r>
      <w:r w:rsidR="00160108" w:rsidRPr="005F340F">
        <w:rPr>
          <w:rFonts w:asciiTheme="majorBidi" w:hAnsiTheme="majorBidi" w:cstheme="majorBidi"/>
          <w:sz w:val="24"/>
          <w:szCs w:val="24"/>
        </w:rPr>
        <w:t xml:space="preserve">SARS-CoV-2 crisis compared </w:t>
      </w:r>
      <w:r w:rsidRPr="005F340F">
        <w:rPr>
          <w:rFonts w:asciiTheme="majorBidi" w:hAnsiTheme="majorBidi" w:cstheme="majorBidi"/>
          <w:sz w:val="24"/>
          <w:szCs w:val="24"/>
        </w:rPr>
        <w:t xml:space="preserve">with </w:t>
      </w:r>
      <w:r w:rsidR="00160108" w:rsidRPr="005F340F">
        <w:rPr>
          <w:rFonts w:asciiTheme="majorBidi" w:hAnsiTheme="majorBidi" w:cstheme="majorBidi"/>
          <w:sz w:val="24"/>
          <w:szCs w:val="24"/>
        </w:rPr>
        <w:t xml:space="preserve">the long cycle of </w:t>
      </w:r>
      <w:r w:rsidR="00160108" w:rsidRPr="005F340F">
        <w:rPr>
          <w:rFonts w:asciiTheme="majorBidi" w:hAnsiTheme="majorBidi" w:cstheme="majorBidi"/>
          <w:i/>
          <w:sz w:val="24"/>
        </w:rPr>
        <w:t>de novo</w:t>
      </w:r>
      <w:r w:rsidR="00160108" w:rsidRPr="005F340F">
        <w:rPr>
          <w:rFonts w:asciiTheme="majorBidi" w:hAnsiTheme="majorBidi" w:cstheme="majorBidi"/>
          <w:sz w:val="24"/>
          <w:szCs w:val="24"/>
        </w:rPr>
        <w:t xml:space="preserve"> drug discovery </w:t>
      </w:r>
      <w:hyperlink w:anchor="_ENREF_10" w:tooltip="Sohraby, 2019 #10" w:history="1">
        <w:r w:rsidR="0053462E" w:rsidRPr="005F340F">
          <w:rPr>
            <w:rFonts w:asciiTheme="majorBidi" w:hAnsiTheme="majorBidi" w:cstheme="majorBidi"/>
            <w:sz w:val="24"/>
            <w:szCs w:val="24"/>
          </w:rPr>
          <w:fldChar w:fldCharType="begin">
            <w:fldData xml:space="preserve">PEVuZE5vdGU+PENpdGU+PEF1dGhvcj5Tb2hyYWJ5PC9BdXRob3I+PFllYXI+MjAxOTwvWWVhcj48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==
</w:fldData>
          </w:fldChar>
        </w:r>
        <w:r w:rsidR="0012746E">
          <w:rPr>
            <w:rFonts w:asciiTheme="majorBidi" w:hAnsiTheme="majorBidi" w:cstheme="majorBidi"/>
            <w:sz w:val="24"/>
            <w:szCs w:val="24"/>
          </w:rPr>
          <w:instrText xml:space="preserve"> ADDIN EN.CITE </w:instrText>
        </w:r>
        <w:r w:rsidR="0053462E">
          <w:rPr>
            <w:rFonts w:asciiTheme="majorBidi" w:hAnsiTheme="majorBidi" w:cstheme="majorBidi"/>
            <w:sz w:val="24"/>
            <w:szCs w:val="24"/>
          </w:rPr>
          <w:fldChar w:fldCharType="begin">
            <w:fldData xml:space="preserve">PEVuZE5vdGU+PENpdGU+PEF1dGhvcj5Tb2hyYWJ5PC9BdXRob3I+PFllYXI+MjAxOTwvWWVhcj48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==
</w:fldData>
          </w:fldChar>
        </w:r>
        <w:r w:rsidR="0012746E">
          <w:rPr>
            <w:rFonts w:asciiTheme="majorBidi" w:hAnsiTheme="majorBidi" w:cstheme="majorBidi"/>
            <w:sz w:val="24"/>
            <w:szCs w:val="24"/>
          </w:rPr>
          <w:instrText xml:space="preserve"> ADDIN EN.CITE.DATA </w:instrText>
        </w:r>
        <w:r w:rsidR="0053462E">
          <w:rPr>
            <w:rFonts w:asciiTheme="majorBidi" w:hAnsiTheme="majorBidi" w:cstheme="majorBidi"/>
            <w:sz w:val="24"/>
            <w:szCs w:val="24"/>
          </w:rPr>
        </w:r>
        <w:r w:rsidR="0053462E">
          <w:rPr>
            <w:rFonts w:asciiTheme="majorBidi" w:hAnsiTheme="majorBidi" w:cstheme="majorBidi"/>
            <w:sz w:val="24"/>
            <w:szCs w:val="24"/>
          </w:rPr>
          <w:fldChar w:fldCharType="end"/>
        </w:r>
        <w:r w:rsidR="0053462E" w:rsidRPr="005F340F">
          <w:rPr>
            <w:rFonts w:asciiTheme="majorBidi" w:hAnsiTheme="majorBidi" w:cstheme="majorBidi"/>
            <w:sz w:val="24"/>
            <w:szCs w:val="24"/>
          </w:rPr>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10</w:t>
        </w:r>
        <w:r w:rsidR="0053462E"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 In addition to drug repurposing, computational methods were of great interest to many researchers</w:t>
      </w:r>
      <w:r w:rsidRPr="005F340F">
        <w:rPr>
          <w:rFonts w:asciiTheme="majorBidi" w:hAnsiTheme="majorBidi" w:cstheme="majorBidi"/>
          <w:sz w:val="24"/>
          <w:szCs w:val="24"/>
        </w:rPr>
        <w:t>,which led to the dawn of</w:t>
      </w:r>
      <w:r w:rsidR="00160108" w:rsidRPr="005F340F">
        <w:rPr>
          <w:rFonts w:asciiTheme="majorBidi" w:hAnsiTheme="majorBidi" w:cstheme="majorBidi"/>
          <w:sz w:val="24"/>
          <w:szCs w:val="24"/>
        </w:rPr>
        <w:t xml:space="preserve"> “in</w:t>
      </w:r>
      <w:r w:rsidR="00957C14" w:rsidRPr="005F340F">
        <w:rPr>
          <w:rFonts w:asciiTheme="majorBidi" w:hAnsiTheme="majorBidi" w:cstheme="majorBidi"/>
          <w:sz w:val="24"/>
          <w:szCs w:val="24"/>
        </w:rPr>
        <w:t>-</w:t>
      </w:r>
      <w:r w:rsidR="00160108" w:rsidRPr="005F340F">
        <w:rPr>
          <w:rFonts w:asciiTheme="majorBidi" w:hAnsiTheme="majorBidi" w:cstheme="majorBidi"/>
          <w:sz w:val="24"/>
          <w:szCs w:val="24"/>
        </w:rPr>
        <w:t>silico repurposing</w:t>
      </w:r>
      <w:r w:rsidR="00062D96"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especially </w:t>
      </w:r>
      <w:r w:rsidRPr="005F340F">
        <w:rPr>
          <w:rFonts w:asciiTheme="majorBidi" w:hAnsiTheme="majorBidi" w:cstheme="majorBidi"/>
          <w:sz w:val="24"/>
          <w:szCs w:val="24"/>
        </w:rPr>
        <w:t xml:space="preserve">that </w:t>
      </w:r>
      <w:r w:rsidR="00160108" w:rsidRPr="005F340F">
        <w:rPr>
          <w:rFonts w:asciiTheme="majorBidi" w:hAnsiTheme="majorBidi" w:cstheme="majorBidi"/>
          <w:sz w:val="24"/>
          <w:szCs w:val="24"/>
        </w:rPr>
        <w:t xml:space="preserve">of pre-existing </w:t>
      </w:r>
      <w:r w:rsidRPr="005F340F">
        <w:rPr>
          <w:rFonts w:asciiTheme="majorBidi" w:hAnsiTheme="majorBidi" w:cstheme="majorBidi"/>
          <w:sz w:val="24"/>
          <w:szCs w:val="24"/>
        </w:rPr>
        <w:t>broad-</w:t>
      </w:r>
      <w:r w:rsidR="00160108" w:rsidRPr="005F340F">
        <w:rPr>
          <w:rFonts w:asciiTheme="majorBidi" w:hAnsiTheme="majorBidi" w:cstheme="majorBidi"/>
          <w:sz w:val="24"/>
          <w:szCs w:val="24"/>
        </w:rPr>
        <w:t>spectrum antivirals</w:t>
      </w:r>
      <w:r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as this will help shorten the</w:t>
      </w:r>
      <w:r w:rsidRPr="005F340F">
        <w:rPr>
          <w:rFonts w:asciiTheme="majorBidi" w:hAnsiTheme="majorBidi" w:cstheme="majorBidi"/>
          <w:sz w:val="24"/>
          <w:szCs w:val="24"/>
        </w:rPr>
        <w:t xml:space="preserve"> investigation</w:t>
      </w:r>
      <w:r w:rsidR="00160108" w:rsidRPr="005F340F">
        <w:rPr>
          <w:rFonts w:asciiTheme="majorBidi" w:hAnsiTheme="majorBidi" w:cstheme="majorBidi"/>
          <w:sz w:val="24"/>
          <w:szCs w:val="24"/>
        </w:rPr>
        <w:t xml:space="preserve"> time for any hit compound</w:t>
      </w:r>
      <w:r w:rsidRPr="005F340F">
        <w:rPr>
          <w:rFonts w:asciiTheme="majorBidi" w:hAnsiTheme="majorBidi" w:cstheme="majorBidi"/>
          <w:sz w:val="24"/>
          <w:szCs w:val="24"/>
        </w:rPr>
        <w:t xml:space="preserve"> termed</w:t>
      </w:r>
      <w:r w:rsidR="00160108" w:rsidRPr="005F340F">
        <w:rPr>
          <w:rFonts w:asciiTheme="majorBidi" w:hAnsiTheme="majorBidi" w:cstheme="majorBidi"/>
          <w:sz w:val="24"/>
          <w:szCs w:val="24"/>
        </w:rPr>
        <w:t xml:space="preserve"> “the drug that will hit the molecular target” to be tested directly in Phase 2 clinical trials. Therefore, </w:t>
      </w:r>
      <w:r w:rsidRPr="005F340F">
        <w:rPr>
          <w:rFonts w:asciiTheme="majorBidi" w:hAnsiTheme="majorBidi" w:cstheme="majorBidi"/>
          <w:sz w:val="24"/>
          <w:szCs w:val="24"/>
        </w:rPr>
        <w:t xml:space="preserve">by adopting this approach, </w:t>
      </w:r>
      <w:r w:rsidR="00160108" w:rsidRPr="005F340F">
        <w:rPr>
          <w:rFonts w:asciiTheme="majorBidi" w:hAnsiTheme="majorBidi" w:cstheme="majorBidi"/>
          <w:sz w:val="24"/>
          <w:szCs w:val="24"/>
        </w:rPr>
        <w:t xml:space="preserve">a new treatment </w:t>
      </w:r>
      <w:r w:rsidRPr="005F340F">
        <w:rPr>
          <w:rFonts w:asciiTheme="majorBidi" w:hAnsiTheme="majorBidi" w:cstheme="majorBidi"/>
          <w:sz w:val="24"/>
          <w:szCs w:val="24"/>
        </w:rPr>
        <w:t xml:space="preserve">may </w:t>
      </w:r>
      <w:r w:rsidR="00160108" w:rsidRPr="005F340F">
        <w:rPr>
          <w:rFonts w:asciiTheme="majorBidi" w:hAnsiTheme="majorBidi" w:cstheme="majorBidi"/>
          <w:sz w:val="24"/>
          <w:szCs w:val="24"/>
        </w:rPr>
        <w:t xml:space="preserve">emerge rapidly </w:t>
      </w:r>
      <w:r w:rsidRPr="005F340F">
        <w:rPr>
          <w:rFonts w:asciiTheme="majorBidi" w:hAnsiTheme="majorBidi" w:cstheme="majorBidi"/>
          <w:sz w:val="24"/>
          <w:szCs w:val="24"/>
        </w:rPr>
        <w:t xml:space="preserve">and help </w:t>
      </w:r>
      <w:r w:rsidR="00160108" w:rsidRPr="005F340F">
        <w:rPr>
          <w:rFonts w:asciiTheme="majorBidi" w:hAnsiTheme="majorBidi" w:cstheme="majorBidi"/>
          <w:sz w:val="24"/>
          <w:szCs w:val="24"/>
        </w:rPr>
        <w:t xml:space="preserve">end this </w:t>
      </w:r>
      <w:r w:rsidRPr="005F340F">
        <w:rPr>
          <w:rFonts w:asciiTheme="majorBidi" w:hAnsiTheme="majorBidi" w:cstheme="majorBidi"/>
          <w:sz w:val="24"/>
          <w:szCs w:val="24"/>
        </w:rPr>
        <w:t xml:space="preserve">worldwide </w:t>
      </w:r>
      <w:r w:rsidR="00160108" w:rsidRPr="005F340F">
        <w:rPr>
          <w:rFonts w:asciiTheme="majorBidi" w:hAnsiTheme="majorBidi" w:cstheme="majorBidi"/>
          <w:sz w:val="24"/>
          <w:szCs w:val="24"/>
        </w:rPr>
        <w:t xml:space="preserve">crisis </w:t>
      </w:r>
      <w:commentRangeEnd w:id="11"/>
      <w:r w:rsidR="003B355D">
        <w:rPr>
          <w:rStyle w:val="CommentReference"/>
          <w:rFonts w:ascii="Calibri" w:eastAsia="Calibri" w:hAnsi="Calibri" w:cs="Arial"/>
          <w:lang w:eastAsia="en-US"/>
        </w:rPr>
        <w:commentReference w:id="11"/>
      </w:r>
      <w:hyperlink w:anchor="_ENREF_11" w:tooltip="Senanayake, 2020 #11"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&lt;EndNote&gt;&lt;Cite&gt;&lt;Author&gt;Senanayake&lt;/Author&gt;&lt;Year&gt;2020&lt;/Year&gt;&lt;RecNum&gt;11&lt;/RecNum&gt;&lt;DisplayText&gt;&lt;style face="superscript"&gt;11&lt;/style&gt;&lt;/DisplayText&gt;&lt;record&gt;&lt;rec-number&gt;11&lt;/rec-number&gt;&lt;foreign-keys&gt;&lt;key app="EN" db-id="de05rdsatra50fexpeavrr9jwrz5vtfp5azt"&gt;11&lt;/key&gt;&lt;/foreign-keys&gt;&lt;ref-type name="Journal Article"&gt;17&lt;/ref-type&gt;&lt;contributors&gt;&lt;authors&gt;&lt;author&gt;Senanayake, Suranga L.&lt;/author&gt;&lt;/authors&gt;&lt;/contributors&gt;&lt;titles&gt;&lt;title&gt;Drug repurposing strategies for COVID-19&lt;/title&gt;&lt;secondary-title&gt;Future Drug Discovery&lt;/secondary-title&gt;&lt;/titles&gt;&lt;periodical&gt;&lt;full-title&gt;Future Drug Discovery&lt;/full-title&gt;&lt;/periodical&gt;&lt;volume&gt;2&lt;/volume&gt;&lt;number&gt;2&lt;/number&gt;&lt;dates&gt;&lt;year&gt;2020&lt;/year&gt;&lt;/dates&gt;&lt;isbn&gt;2631-3316&lt;/isbn&gt;&lt;urls&gt;&lt;/urls&gt;&lt;electronic-resource-num&gt;10.4155/fdd-2020-0010&lt;/electronic-resource-num&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11</w:t>
        </w:r>
        <w:r w:rsidR="0053462E"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w:t>
      </w:r>
    </w:p>
    <w:p w:rsidR="00160108" w:rsidRPr="005F340F" w:rsidRDefault="00D54AA1"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Simeprevir is among </w:t>
      </w:r>
      <w:r w:rsidR="00160108" w:rsidRPr="005F340F">
        <w:rPr>
          <w:rFonts w:asciiTheme="majorBidi" w:hAnsiTheme="majorBidi" w:cstheme="majorBidi"/>
          <w:sz w:val="24"/>
          <w:szCs w:val="24"/>
        </w:rPr>
        <w:t xml:space="preserve">the pre-existing </w:t>
      </w:r>
      <w:r w:rsidRPr="005F340F">
        <w:rPr>
          <w:rFonts w:asciiTheme="majorBidi" w:hAnsiTheme="majorBidi" w:cstheme="majorBidi"/>
          <w:sz w:val="24"/>
          <w:szCs w:val="24"/>
        </w:rPr>
        <w:t>broad-</w:t>
      </w:r>
      <w:r w:rsidR="00160108" w:rsidRPr="005F340F">
        <w:rPr>
          <w:rFonts w:asciiTheme="majorBidi" w:hAnsiTheme="majorBidi" w:cstheme="majorBidi"/>
          <w:sz w:val="24"/>
          <w:szCs w:val="24"/>
        </w:rPr>
        <w:t xml:space="preserve">spectrum antivirals. It is a </w:t>
      </w:r>
      <w:r w:rsidRPr="005F340F">
        <w:rPr>
          <w:rFonts w:asciiTheme="majorBidi" w:hAnsiTheme="majorBidi" w:cstheme="majorBidi"/>
          <w:sz w:val="24"/>
          <w:szCs w:val="24"/>
        </w:rPr>
        <w:t>direct-</w:t>
      </w:r>
      <w:r w:rsidR="00160108" w:rsidRPr="005F340F">
        <w:rPr>
          <w:rFonts w:asciiTheme="majorBidi" w:hAnsiTheme="majorBidi" w:cstheme="majorBidi"/>
          <w:sz w:val="24"/>
          <w:szCs w:val="24"/>
        </w:rPr>
        <w:t xml:space="preserve">acting antiviral with </w:t>
      </w:r>
      <w:r w:rsidRPr="005F340F">
        <w:rPr>
          <w:rFonts w:asciiTheme="majorBidi" w:hAnsiTheme="majorBidi" w:cstheme="majorBidi"/>
          <w:sz w:val="24"/>
          <w:szCs w:val="24"/>
        </w:rPr>
        <w:t xml:space="preserve">a </w:t>
      </w:r>
      <w:r w:rsidR="00160108" w:rsidRPr="005F340F">
        <w:rPr>
          <w:rFonts w:asciiTheme="majorBidi" w:hAnsiTheme="majorBidi" w:cstheme="majorBidi"/>
          <w:sz w:val="24"/>
          <w:szCs w:val="24"/>
        </w:rPr>
        <w:t>macrocyclic structure (</w:t>
      </w:r>
      <w:r w:rsidRPr="005F340F">
        <w:rPr>
          <w:rFonts w:asciiTheme="majorBidi" w:hAnsiTheme="majorBidi" w:cstheme="majorBidi"/>
          <w:b/>
          <w:bCs/>
          <w:sz w:val="24"/>
          <w:szCs w:val="24"/>
        </w:rPr>
        <w:t>Fig</w:t>
      </w:r>
      <w:r w:rsidR="00072662" w:rsidRPr="005F340F">
        <w:rPr>
          <w:rFonts w:asciiTheme="majorBidi" w:hAnsiTheme="majorBidi" w:cstheme="majorBidi"/>
          <w:b/>
          <w:bCs/>
          <w:sz w:val="24"/>
          <w:szCs w:val="24"/>
        </w:rPr>
        <w:t>.</w:t>
      </w:r>
      <w:r w:rsidR="00160108" w:rsidRPr="005F340F">
        <w:rPr>
          <w:rFonts w:asciiTheme="majorBidi" w:hAnsiTheme="majorBidi" w:cstheme="majorBidi"/>
          <w:b/>
          <w:sz w:val="24"/>
        </w:rPr>
        <w:t>1</w:t>
      </w:r>
      <w:r w:rsidR="00160108" w:rsidRPr="005F340F">
        <w:rPr>
          <w:rFonts w:asciiTheme="majorBidi" w:hAnsiTheme="majorBidi" w:cstheme="majorBidi"/>
          <w:sz w:val="24"/>
          <w:szCs w:val="24"/>
        </w:rPr>
        <w:t xml:space="preserve">) </w:t>
      </w:r>
      <w:r w:rsidRPr="005F340F">
        <w:rPr>
          <w:rFonts w:asciiTheme="majorBidi" w:hAnsiTheme="majorBidi" w:cstheme="majorBidi"/>
          <w:sz w:val="24"/>
          <w:szCs w:val="24"/>
        </w:rPr>
        <w:t xml:space="preserve">that was </w:t>
      </w:r>
      <w:r w:rsidR="00160108" w:rsidRPr="005F340F">
        <w:rPr>
          <w:rFonts w:asciiTheme="majorBidi" w:hAnsiTheme="majorBidi" w:cstheme="majorBidi"/>
          <w:sz w:val="24"/>
          <w:szCs w:val="24"/>
        </w:rPr>
        <w:t xml:space="preserve">originally used for </w:t>
      </w:r>
      <w:r w:rsidRPr="005F340F">
        <w:rPr>
          <w:rFonts w:asciiTheme="majorBidi" w:hAnsiTheme="majorBidi" w:cstheme="majorBidi"/>
          <w:sz w:val="24"/>
          <w:szCs w:val="24"/>
        </w:rPr>
        <w:t xml:space="preserve">the </w:t>
      </w:r>
      <w:r w:rsidR="00160108" w:rsidRPr="005F340F">
        <w:rPr>
          <w:rFonts w:asciiTheme="majorBidi" w:hAnsiTheme="majorBidi" w:cstheme="majorBidi"/>
          <w:sz w:val="24"/>
          <w:szCs w:val="24"/>
        </w:rPr>
        <w:t xml:space="preserve">treatment of genotype I hepatitis C (HCV) </w:t>
      </w:r>
      <w:hyperlink w:anchor="_ENREF_12" w:tooltip="You, 2013 #12" w:history="1">
        <w:r w:rsidR="0053462E" w:rsidRPr="005F340F">
          <w:rPr>
            <w:rFonts w:asciiTheme="majorBidi" w:hAnsiTheme="majorBidi" w:cstheme="majorBidi"/>
            <w:sz w:val="24"/>
            <w:szCs w:val="24"/>
          </w:rPr>
          <w:fldChar w:fldCharType="begin">
            <w:fldData xml:space="preserve">PEVuZE5vdGU+PENpdGU+PEF1dGhvcj5Zb3U8L0F1dGhvcj48WWVhcj4yMDEzPC9ZZWFyPjxSZWNO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</w:fldData>
          </w:fldChar>
        </w:r>
        <w:r w:rsidR="0012746E">
          <w:rPr>
            <w:rFonts w:asciiTheme="majorBidi" w:hAnsiTheme="majorBidi" w:cstheme="majorBidi"/>
            <w:sz w:val="24"/>
            <w:szCs w:val="24"/>
          </w:rPr>
          <w:instrText xml:space="preserve"> ADDIN EN.CITE </w:instrText>
        </w:r>
        <w:r w:rsidR="0053462E">
          <w:rPr>
            <w:rFonts w:asciiTheme="majorBidi" w:hAnsiTheme="majorBidi" w:cstheme="majorBidi"/>
            <w:sz w:val="24"/>
            <w:szCs w:val="24"/>
          </w:rPr>
          <w:fldChar w:fldCharType="begin">
            <w:fldData xml:space="preserve">PEVuZE5vdGU+PENpdGU+PEF1dGhvcj5Zb3U8L0F1dGhvcj48WWVhcj4yMDEzPC9ZZWFyPjxSZWNO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</w:fldData>
          </w:fldChar>
        </w:r>
        <w:r w:rsidR="0012746E">
          <w:rPr>
            <w:rFonts w:asciiTheme="majorBidi" w:hAnsiTheme="majorBidi" w:cstheme="majorBidi"/>
            <w:sz w:val="24"/>
            <w:szCs w:val="24"/>
          </w:rPr>
          <w:instrText xml:space="preserve"> ADDIN EN.CITE.DATA </w:instrText>
        </w:r>
        <w:r w:rsidR="0053462E">
          <w:rPr>
            <w:rFonts w:asciiTheme="majorBidi" w:hAnsiTheme="majorBidi" w:cstheme="majorBidi"/>
            <w:sz w:val="24"/>
            <w:szCs w:val="24"/>
          </w:rPr>
        </w:r>
        <w:r w:rsidR="0053462E">
          <w:rPr>
            <w:rFonts w:asciiTheme="majorBidi" w:hAnsiTheme="majorBidi" w:cstheme="majorBidi"/>
            <w:sz w:val="24"/>
            <w:szCs w:val="24"/>
          </w:rPr>
          <w:fldChar w:fldCharType="end"/>
        </w:r>
        <w:r w:rsidR="0053462E" w:rsidRPr="005F340F">
          <w:rPr>
            <w:rFonts w:asciiTheme="majorBidi" w:hAnsiTheme="majorBidi" w:cstheme="majorBidi"/>
            <w:sz w:val="24"/>
            <w:szCs w:val="24"/>
          </w:rPr>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12</w:t>
        </w:r>
        <w:r w:rsidR="0053462E"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 xml:space="preserve">. It is a specific and potent </w:t>
      </w:r>
      <w:r w:rsidRPr="005F340F">
        <w:rPr>
          <w:rFonts w:asciiTheme="majorBidi" w:hAnsiTheme="majorBidi" w:cstheme="majorBidi"/>
          <w:sz w:val="24"/>
          <w:szCs w:val="24"/>
        </w:rPr>
        <w:t xml:space="preserve">inhibitor of the </w:t>
      </w:r>
      <w:r w:rsidR="00160108" w:rsidRPr="005F340F">
        <w:rPr>
          <w:rFonts w:asciiTheme="majorBidi" w:hAnsiTheme="majorBidi" w:cstheme="majorBidi"/>
          <w:sz w:val="24"/>
          <w:szCs w:val="24"/>
        </w:rPr>
        <w:t>NS3/4A protease</w:t>
      </w:r>
      <w:r w:rsidRPr="005F340F">
        <w:rPr>
          <w:rFonts w:asciiTheme="majorBidi" w:hAnsiTheme="majorBidi" w:cstheme="majorBidi"/>
          <w:sz w:val="24"/>
          <w:szCs w:val="24"/>
        </w:rPr>
        <w:t>, which is an</w:t>
      </w:r>
      <w:r w:rsidR="00160108" w:rsidRPr="005F340F">
        <w:rPr>
          <w:rFonts w:asciiTheme="majorBidi" w:hAnsiTheme="majorBidi" w:cstheme="majorBidi"/>
          <w:sz w:val="24"/>
          <w:szCs w:val="24"/>
        </w:rPr>
        <w:t xml:space="preserve"> enzyme</w:t>
      </w:r>
      <w:r w:rsidRPr="005F340F">
        <w:rPr>
          <w:rFonts w:asciiTheme="majorBidi" w:hAnsiTheme="majorBidi" w:cstheme="majorBidi"/>
          <w:sz w:val="24"/>
          <w:szCs w:val="24"/>
        </w:rPr>
        <w:t xml:space="preserve"> that</w:t>
      </w:r>
      <w:r w:rsidR="00160108" w:rsidRPr="005F340F">
        <w:rPr>
          <w:rFonts w:asciiTheme="majorBidi" w:hAnsiTheme="majorBidi" w:cstheme="majorBidi"/>
          <w:sz w:val="24"/>
          <w:szCs w:val="24"/>
        </w:rPr>
        <w:t xml:space="preserve"> is essential </w:t>
      </w:r>
      <w:r w:rsidRPr="005F340F">
        <w:rPr>
          <w:rFonts w:asciiTheme="majorBidi" w:hAnsiTheme="majorBidi" w:cstheme="majorBidi"/>
          <w:sz w:val="24"/>
          <w:szCs w:val="24"/>
        </w:rPr>
        <w:t xml:space="preserve">for </w:t>
      </w:r>
      <w:r w:rsidR="00160108" w:rsidRPr="005F340F">
        <w:rPr>
          <w:rFonts w:asciiTheme="majorBidi" w:hAnsiTheme="majorBidi" w:cstheme="majorBidi"/>
          <w:sz w:val="24"/>
          <w:szCs w:val="24"/>
        </w:rPr>
        <w:t xml:space="preserve">the life cycle of HCV </w:t>
      </w:r>
      <w:r w:rsidR="002B392B" w:rsidRPr="005F340F">
        <w:rPr>
          <w:rFonts w:asciiTheme="majorBidi" w:hAnsiTheme="majorBidi" w:cstheme="majorBidi"/>
          <w:sz w:val="24"/>
          <w:szCs w:val="24"/>
        </w:rPr>
        <w:t>because viral replication is disrupted</w:t>
      </w:r>
      <w:r w:rsidR="00160108" w:rsidRPr="005F340F">
        <w:rPr>
          <w:rFonts w:asciiTheme="majorBidi" w:hAnsiTheme="majorBidi" w:cstheme="majorBidi"/>
          <w:sz w:val="24"/>
          <w:szCs w:val="24"/>
        </w:rPr>
        <w:t xml:space="preserve"> by </w:t>
      </w:r>
      <w:r w:rsidR="002B392B" w:rsidRPr="005F340F">
        <w:rPr>
          <w:rFonts w:asciiTheme="majorBidi" w:hAnsiTheme="majorBidi" w:cstheme="majorBidi"/>
          <w:sz w:val="24"/>
          <w:szCs w:val="24"/>
        </w:rPr>
        <w:t xml:space="preserve">the </w:t>
      </w:r>
      <w:r w:rsidR="00160108" w:rsidRPr="005F340F">
        <w:rPr>
          <w:rFonts w:asciiTheme="majorBidi" w:hAnsiTheme="majorBidi" w:cstheme="majorBidi"/>
          <w:sz w:val="24"/>
          <w:szCs w:val="24"/>
        </w:rPr>
        <w:t>inhibition of</w:t>
      </w:r>
      <w:r w:rsidR="002B392B" w:rsidRPr="005F340F">
        <w:rPr>
          <w:rFonts w:asciiTheme="majorBidi" w:hAnsiTheme="majorBidi" w:cstheme="majorBidi"/>
          <w:sz w:val="24"/>
          <w:szCs w:val="24"/>
        </w:rPr>
        <w:t xml:space="preserve"> the</w:t>
      </w:r>
      <w:r w:rsidR="00160108" w:rsidRPr="005F340F">
        <w:rPr>
          <w:rFonts w:asciiTheme="majorBidi" w:hAnsiTheme="majorBidi" w:cstheme="majorBidi"/>
          <w:sz w:val="24"/>
          <w:szCs w:val="24"/>
        </w:rPr>
        <w:t xml:space="preserve"> NS3/4A protease </w:t>
      </w:r>
      <w:hyperlink w:anchor="_ENREF_12" w:tooltip="You, 2013 #12" w:history="1">
        <w:r w:rsidR="0053462E" w:rsidRPr="005F340F">
          <w:rPr>
            <w:rFonts w:asciiTheme="majorBidi" w:hAnsiTheme="majorBidi" w:cstheme="majorBidi"/>
            <w:sz w:val="24"/>
            <w:szCs w:val="24"/>
          </w:rPr>
          <w:fldChar w:fldCharType="begin">
            <w:fldData xml:space="preserve">PEVuZE5vdGU+PENpdGU+PEF1dGhvcj5Zb3U8L0F1dGhvcj48WWVhcj4yMDEzPC9ZZWFyPjxSZWNO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</w:fldData>
          </w:fldChar>
        </w:r>
        <w:r w:rsidR="0012746E">
          <w:rPr>
            <w:rFonts w:asciiTheme="majorBidi" w:hAnsiTheme="majorBidi" w:cstheme="majorBidi"/>
            <w:sz w:val="24"/>
            <w:szCs w:val="24"/>
          </w:rPr>
          <w:instrText xml:space="preserve"> ADDIN EN.CITE </w:instrText>
        </w:r>
        <w:r w:rsidR="0053462E">
          <w:rPr>
            <w:rFonts w:asciiTheme="majorBidi" w:hAnsiTheme="majorBidi" w:cstheme="majorBidi"/>
            <w:sz w:val="24"/>
            <w:szCs w:val="24"/>
          </w:rPr>
          <w:fldChar w:fldCharType="begin">
            <w:fldData xml:space="preserve">PEVuZE5vdGU+PENpdGU+PEF1dGhvcj5Zb3U8L0F1dGhvcj48WWVhcj4yMDEzPC9ZZWFyPjxSZWNO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</w:fldData>
          </w:fldChar>
        </w:r>
        <w:r w:rsidR="0012746E">
          <w:rPr>
            <w:rFonts w:asciiTheme="majorBidi" w:hAnsiTheme="majorBidi" w:cstheme="majorBidi"/>
            <w:sz w:val="24"/>
            <w:szCs w:val="24"/>
          </w:rPr>
          <w:instrText xml:space="preserve"> ADDIN EN.CITE.DATA </w:instrText>
        </w:r>
        <w:r w:rsidR="0053462E">
          <w:rPr>
            <w:rFonts w:asciiTheme="majorBidi" w:hAnsiTheme="majorBidi" w:cstheme="majorBidi"/>
            <w:sz w:val="24"/>
            <w:szCs w:val="24"/>
          </w:rPr>
        </w:r>
        <w:r w:rsidR="0053462E">
          <w:rPr>
            <w:rFonts w:asciiTheme="majorBidi" w:hAnsiTheme="majorBidi" w:cstheme="majorBidi"/>
            <w:sz w:val="24"/>
            <w:szCs w:val="24"/>
          </w:rPr>
          <w:fldChar w:fldCharType="end"/>
        </w:r>
        <w:r w:rsidR="0053462E" w:rsidRPr="005F340F">
          <w:rPr>
            <w:rFonts w:asciiTheme="majorBidi" w:hAnsiTheme="majorBidi" w:cstheme="majorBidi"/>
            <w:sz w:val="24"/>
            <w:szCs w:val="24"/>
          </w:rPr>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12</w:t>
        </w:r>
        <w:r w:rsidR="0053462E"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 xml:space="preserve">. Infact, the mechanism of </w:t>
      </w:r>
      <w:r w:rsidR="002B392B" w:rsidRPr="005F340F">
        <w:rPr>
          <w:rFonts w:asciiTheme="majorBidi" w:hAnsiTheme="majorBidi" w:cstheme="majorBidi"/>
          <w:sz w:val="24"/>
          <w:szCs w:val="24"/>
        </w:rPr>
        <w:t xml:space="preserve">entry of </w:t>
      </w:r>
      <w:r w:rsidR="00160108" w:rsidRPr="005F340F">
        <w:rPr>
          <w:rFonts w:asciiTheme="majorBidi" w:hAnsiTheme="majorBidi" w:cstheme="majorBidi"/>
          <w:sz w:val="24"/>
          <w:szCs w:val="24"/>
        </w:rPr>
        <w:t>coronavirus</w:t>
      </w:r>
      <w:r w:rsidR="002B392B" w:rsidRPr="005F340F">
        <w:rPr>
          <w:rFonts w:asciiTheme="majorBidi" w:hAnsiTheme="majorBidi" w:cstheme="majorBidi"/>
          <w:sz w:val="24"/>
          <w:szCs w:val="24"/>
        </w:rPr>
        <w:t>esin</w:t>
      </w:r>
      <w:r w:rsidR="00160108" w:rsidRPr="005F340F">
        <w:rPr>
          <w:rFonts w:asciiTheme="majorBidi" w:hAnsiTheme="majorBidi" w:cstheme="majorBidi"/>
          <w:sz w:val="24"/>
          <w:szCs w:val="24"/>
        </w:rPr>
        <w:t xml:space="preserve">to cells occurs </w:t>
      </w:r>
      <w:r w:rsidR="002B392B" w:rsidRPr="005F340F">
        <w:rPr>
          <w:rFonts w:asciiTheme="majorBidi" w:hAnsiTheme="majorBidi" w:cstheme="majorBidi"/>
          <w:sz w:val="24"/>
          <w:szCs w:val="24"/>
        </w:rPr>
        <w:t xml:space="preserve">via the action of </w:t>
      </w:r>
      <w:r w:rsidR="00160108" w:rsidRPr="005F340F">
        <w:rPr>
          <w:rFonts w:asciiTheme="majorBidi" w:hAnsiTheme="majorBidi" w:cstheme="majorBidi"/>
          <w:sz w:val="24"/>
          <w:szCs w:val="24"/>
        </w:rPr>
        <w:t>cellular proteases (</w:t>
      </w:r>
      <w:r w:rsidR="002B392B" w:rsidRPr="005F340F">
        <w:rPr>
          <w:rFonts w:asciiTheme="majorBidi" w:hAnsiTheme="majorBidi" w:cstheme="majorBidi"/>
          <w:sz w:val="24"/>
          <w:szCs w:val="24"/>
        </w:rPr>
        <w:t xml:space="preserve">i.e., </w:t>
      </w:r>
      <w:r w:rsidR="00160108" w:rsidRPr="005F340F">
        <w:rPr>
          <w:rFonts w:asciiTheme="majorBidi" w:hAnsiTheme="majorBidi" w:cstheme="majorBidi"/>
          <w:sz w:val="24"/>
          <w:szCs w:val="24"/>
        </w:rPr>
        <w:t>human airway trypsin-like protease, cathepsins</w:t>
      </w:r>
      <w:r w:rsidR="002B392B"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and transmembrane protease serine 2 (TMPRSS2))</w:t>
      </w:r>
      <w:r w:rsidR="002B392B"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which split the spike protein of the virus and cause further penetration alterations </w:t>
      </w:r>
      <w:hyperlink w:anchor="_ENREF_13" w:tooltip="Shereen, 2020 #13"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&lt;EndNote&gt;&lt;Cite&gt;&lt;Author&gt;Shereen&lt;/Author&gt;&lt;Year&gt;2020&lt;/Year&gt;&lt;RecNum&gt;13&lt;/RecNum&gt;&lt;DisplayText&gt;&lt;style face="superscript"&gt;13&lt;/style&gt;&lt;/DisplayText&gt;&lt;record&gt;&lt;rec-number&gt;13&lt;/rec-number&gt;&lt;foreign-keys&gt;&lt;key app="EN" db-id="de05rdsatra50fexpeavrr9jwrz5vtfp5azt"&gt;13&lt;/key&gt;&lt;/foreign-keys&gt;&lt;ref-type name="Journal Article"&gt;17&lt;/ref-type&gt;&lt;contributors&gt;&lt;authors&gt;&lt;author&gt;Shereen, Muhammad Adnan&lt;/author&gt;&lt;author&gt;Khan, Suliman&lt;/author&gt;&lt;author&gt;Kazmi, Abeer&lt;/author&gt;&lt;author&gt;Bashir, Nadia&lt;/author&gt;&lt;author&gt;Siddique, Rabeea&lt;/author&gt;&lt;/authors&gt;&lt;/contributors&gt;&lt;titles&gt;&lt;title&gt;COVID-19 infection: Origin, transmission, and characteristics of human coronaviruses&lt;/title&gt;&lt;secondary-title&gt;Journal of Advanced Research&lt;/secondary-title&gt;&lt;/titles&gt;&lt;periodical&gt;&lt;full-title&gt;Journal of Advanced Research&lt;/full-title&gt;&lt;/periodical&gt;&lt;pages&gt;91-98&lt;/pages&gt;&lt;volume&gt;24&lt;/volume&gt;&lt;dates&gt;&lt;year&gt;2020&lt;/year&gt;&lt;/dates&gt;&lt;isbn&gt;20901232&lt;/isbn&gt;&lt;urls&gt;&lt;/urls&gt;&lt;electronic-resource-num&gt;10.1016/j.jare.2020.03.005&lt;/electronic-resource-num&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13</w:t>
        </w:r>
        <w:r w:rsidR="0053462E"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 xml:space="preserve">. It </w:t>
      </w:r>
      <w:r w:rsidR="002B392B" w:rsidRPr="005F340F">
        <w:rPr>
          <w:rFonts w:asciiTheme="majorBidi" w:hAnsiTheme="majorBidi" w:cstheme="majorBidi"/>
          <w:sz w:val="24"/>
          <w:szCs w:val="24"/>
        </w:rPr>
        <w:t xml:space="preserve">has been </w:t>
      </w:r>
      <w:r w:rsidR="00160108" w:rsidRPr="005F340F">
        <w:rPr>
          <w:rFonts w:asciiTheme="majorBidi" w:hAnsiTheme="majorBidi" w:cstheme="majorBidi"/>
          <w:sz w:val="24"/>
          <w:szCs w:val="24"/>
        </w:rPr>
        <w:t>reported that protease</w:t>
      </w:r>
      <w:r w:rsidR="002B392B" w:rsidRPr="005F340F">
        <w:rPr>
          <w:rFonts w:asciiTheme="majorBidi" w:hAnsiTheme="majorBidi" w:cstheme="majorBidi"/>
          <w:sz w:val="24"/>
          <w:szCs w:val="24"/>
        </w:rPr>
        <w:t>s</w:t>
      </w:r>
      <w:r w:rsidR="00160108" w:rsidRPr="005F340F">
        <w:rPr>
          <w:rFonts w:asciiTheme="majorBidi" w:hAnsiTheme="majorBidi" w:cstheme="majorBidi"/>
          <w:sz w:val="24"/>
          <w:szCs w:val="24"/>
        </w:rPr>
        <w:t xml:space="preserve"> can be inhibited in SARS-CoV-2 by compounds targeting other viral proteases </w:t>
      </w:r>
      <w:hyperlink w:anchor="_ENREF_14" w:tooltip="Dai, 2020 #14"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&lt;EndNote&gt;&lt;Cite&gt;&lt;Author&gt;Dai&lt;/Author&gt;&lt;Year&gt;2020&lt;/Year&gt;&lt;RecNum&gt;14&lt;/RecNum&gt;&lt;DisplayText&gt;&lt;style face="superscript"&gt;14&lt;/style&gt;&lt;/DisplayText&gt;&lt;record&gt;&lt;rec-number&gt;14&lt;/rec-number&gt;&lt;foreign-keys&gt;&lt;key app="EN" db-id="de05rdsatra50fexpeavrr9jwrz5vtfp5azt"&gt;14&lt;/key&gt;&lt;/foreign-keys&gt;&lt;ref-type name="Journal Article"&gt;17&lt;/ref-type&gt;&lt;contributors&gt;&lt;authors&gt;&lt;author&gt;Dai, Wenhao&lt;/author&gt;&lt;author&gt;Zhang, Bing&lt;/author&gt;&lt;author&gt;Su, Haixia&lt;/author&gt;&lt;author&gt;Li, Jian&lt;/author&gt;&lt;author&gt;Zhao, Yao&lt;/author&gt;&lt;author&gt;Xie, Xiong&lt;/author&gt;&lt;author&gt;Jin, Zhenming&lt;/author&gt;&lt;author&gt;Liu, Fengjiang&lt;/author&gt;&lt;author&gt;Li, Chunpu&lt;/author&gt;&lt;author&gt;Li, You&lt;/author&gt;&lt;author&gt;Bai, Fang&lt;/author&gt;&lt;author&gt;Wang, Haofeng&lt;/author&gt;&lt;author&gt;Cheng, Xi&lt;/author&gt;&lt;author&gt;Cen, Xiaobo&lt;/author&gt;&lt;author&gt;Hu, Shulei&lt;/author&gt;&lt;author&gt;Yang, Xiuna&lt;/author&gt;&lt;author&gt;Wang, Jiang&lt;/author&gt;&lt;author&gt;Liu, Xiang&lt;/author&gt;&lt;author&gt;Xiao, Gengfu&lt;/author&gt;&lt;author&gt;Jiang, Hualiang&lt;/author&gt;&lt;author&gt;Rao, Zihe&lt;/author&gt;&lt;author&gt;Zhang, Lei-Ke&lt;/author&gt;&lt;author&gt;Xu, Yechun&lt;/author&gt;&lt;author&gt;Yang, Haitao&lt;/author&gt;&lt;author&gt;Liu, Hong&lt;/author&gt;&lt;/authors&gt;&lt;/contributors&gt;&lt;titles&gt;&lt;title&gt;Structure-based design of antiviral drug candidates targeting the SARS-CoV-2 main protease&lt;/title&gt;&lt;secondary-title&gt;Science&lt;/secondary-title&gt;&lt;/titles&gt;&lt;periodical&gt;&lt;full-title&gt;Science&lt;/full-title&gt;&lt;/periodical&gt;&lt;pages&gt;eabb4489&lt;/pages&gt;&lt;dates&gt;&lt;year&gt;2020&lt;/year&gt;&lt;/dates&gt;&lt;urls&gt;&lt;related-urls&gt;&lt;url&gt;https://science.sciencemag.org/content/sci/early/2020/04/21/science.abb4489.full.pdf&lt;/url&gt;&lt;/related-urls&gt;&lt;/urls&gt;&lt;electronic-resource-num&gt;10.1126/science.abb4489&lt;/electronic-resource-num&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14</w:t>
        </w:r>
        <w:r w:rsidR="0053462E"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 xml:space="preserve">. Moreover, it was reported that simeprevir may be used for </w:t>
      </w:r>
      <w:r w:rsidR="002B392B" w:rsidRPr="005F340F">
        <w:rPr>
          <w:rFonts w:asciiTheme="majorBidi" w:hAnsiTheme="majorBidi" w:cstheme="majorBidi"/>
          <w:sz w:val="24"/>
          <w:szCs w:val="24"/>
        </w:rPr>
        <w:t xml:space="preserve">the </w:t>
      </w:r>
      <w:r w:rsidR="00160108" w:rsidRPr="005F340F">
        <w:rPr>
          <w:rFonts w:asciiTheme="majorBidi" w:hAnsiTheme="majorBidi" w:cstheme="majorBidi"/>
          <w:sz w:val="24"/>
          <w:szCs w:val="24"/>
        </w:rPr>
        <w:t xml:space="preserve">treatment of </w:t>
      </w:r>
      <w:r w:rsidR="002B392B" w:rsidRPr="005F340F">
        <w:rPr>
          <w:rFonts w:asciiTheme="majorBidi" w:hAnsiTheme="majorBidi" w:cstheme="majorBidi"/>
          <w:sz w:val="24"/>
          <w:szCs w:val="24"/>
        </w:rPr>
        <w:t xml:space="preserve">other </w:t>
      </w:r>
      <w:r w:rsidR="00160108" w:rsidRPr="005F340F">
        <w:rPr>
          <w:rFonts w:asciiTheme="majorBidi" w:hAnsiTheme="majorBidi" w:cstheme="majorBidi"/>
          <w:sz w:val="24"/>
          <w:szCs w:val="24"/>
        </w:rPr>
        <w:t>viral infections</w:t>
      </w:r>
      <w:r w:rsidR="002B392B" w:rsidRPr="005F340F">
        <w:rPr>
          <w:rFonts w:asciiTheme="majorBidi" w:hAnsiTheme="majorBidi" w:cstheme="majorBidi"/>
          <w:sz w:val="24"/>
          <w:szCs w:val="24"/>
        </w:rPr>
        <w:t xml:space="preserve">,such as </w:t>
      </w:r>
      <w:r w:rsidR="00160108" w:rsidRPr="005F340F">
        <w:rPr>
          <w:rFonts w:asciiTheme="majorBidi" w:hAnsiTheme="majorBidi" w:cstheme="majorBidi"/>
          <w:sz w:val="24"/>
          <w:szCs w:val="24"/>
        </w:rPr>
        <w:t>HIV/AID</w:t>
      </w:r>
      <w:r w:rsidR="002B392B" w:rsidRPr="005F340F">
        <w:rPr>
          <w:rFonts w:asciiTheme="majorBidi" w:hAnsiTheme="majorBidi" w:cstheme="majorBidi"/>
          <w:sz w:val="24"/>
          <w:szCs w:val="24"/>
        </w:rPr>
        <w:t>S</w:t>
      </w:r>
      <w:hyperlink w:anchor="_ENREF_15" w:tooltip="Flanagan, 2014 #15" w:history="1">
        <w:r w:rsidR="0053462E" w:rsidRPr="005F340F">
          <w:rPr>
            <w:rFonts w:asciiTheme="majorBidi" w:hAnsiTheme="majorBidi" w:cstheme="majorBidi"/>
            <w:sz w:val="24"/>
            <w:szCs w:val="24"/>
          </w:rPr>
          <w:fldChar w:fldCharType="begin">
            <w:fldData xml:space="preserve">PEVuZE5vdGU+PENpdGU+PEF1dGhvcj5GbGFuYWdhbjwvQXV0aG9yPjxZZWFyPjIwMTQ8L1llYXI+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</w:fldData>
          </w:fldChar>
        </w:r>
        <w:r w:rsidR="0012746E">
          <w:rPr>
            <w:rFonts w:asciiTheme="majorBidi" w:hAnsiTheme="majorBidi" w:cstheme="majorBidi"/>
            <w:sz w:val="24"/>
            <w:szCs w:val="24"/>
          </w:rPr>
          <w:instrText xml:space="preserve"> ADDIN EN.CITE </w:instrText>
        </w:r>
        <w:r w:rsidR="0053462E">
          <w:rPr>
            <w:rFonts w:asciiTheme="majorBidi" w:hAnsiTheme="majorBidi" w:cstheme="majorBidi"/>
            <w:sz w:val="24"/>
            <w:szCs w:val="24"/>
          </w:rPr>
          <w:fldChar w:fldCharType="begin">
            <w:fldData xml:space="preserve">PEVuZE5vdGU+PENpdGU+PEF1dGhvcj5GbGFuYWdhbjwvQXV0aG9yPjxZZWFyPjIwMTQ8L1llYXI+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</w:fldData>
          </w:fldChar>
        </w:r>
        <w:r w:rsidR="0012746E">
          <w:rPr>
            <w:rFonts w:asciiTheme="majorBidi" w:hAnsiTheme="majorBidi" w:cstheme="majorBidi"/>
            <w:sz w:val="24"/>
            <w:szCs w:val="24"/>
          </w:rPr>
          <w:instrText xml:space="preserve"> ADDIN EN.CITE.DATA </w:instrText>
        </w:r>
        <w:r w:rsidR="0053462E">
          <w:rPr>
            <w:rFonts w:asciiTheme="majorBidi" w:hAnsiTheme="majorBidi" w:cstheme="majorBidi"/>
            <w:sz w:val="24"/>
            <w:szCs w:val="24"/>
          </w:rPr>
        </w:r>
        <w:r w:rsidR="0053462E">
          <w:rPr>
            <w:rFonts w:asciiTheme="majorBidi" w:hAnsiTheme="majorBidi" w:cstheme="majorBidi"/>
            <w:sz w:val="24"/>
            <w:szCs w:val="24"/>
          </w:rPr>
          <w:fldChar w:fldCharType="end"/>
        </w:r>
        <w:r w:rsidR="0053462E" w:rsidRPr="005F340F">
          <w:rPr>
            <w:rFonts w:asciiTheme="majorBidi" w:hAnsiTheme="majorBidi" w:cstheme="majorBidi"/>
            <w:sz w:val="24"/>
            <w:szCs w:val="24"/>
          </w:rPr>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15</w:t>
        </w:r>
        <w:r w:rsidR="0053462E"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 xml:space="preserve">. Therefore, testing </w:t>
      </w:r>
      <w:r w:rsidR="002B392B" w:rsidRPr="005F340F">
        <w:rPr>
          <w:rFonts w:asciiTheme="majorBidi" w:hAnsiTheme="majorBidi" w:cstheme="majorBidi"/>
          <w:sz w:val="24"/>
          <w:szCs w:val="24"/>
        </w:rPr>
        <w:t>simeprevir</w:t>
      </w:r>
      <w:r w:rsidR="00160108" w:rsidRPr="005F340F">
        <w:rPr>
          <w:rFonts w:asciiTheme="majorBidi" w:hAnsiTheme="majorBidi" w:cstheme="majorBidi"/>
          <w:sz w:val="24"/>
          <w:szCs w:val="24"/>
        </w:rPr>
        <w:t xml:space="preserve">against </w:t>
      </w:r>
      <w:r w:rsidR="002B392B" w:rsidRPr="005F340F">
        <w:rPr>
          <w:rFonts w:asciiTheme="majorBidi" w:hAnsiTheme="majorBidi" w:cstheme="majorBidi"/>
          <w:sz w:val="24"/>
          <w:szCs w:val="24"/>
        </w:rPr>
        <w:t xml:space="preserve">the </w:t>
      </w:r>
      <w:r w:rsidR="00160108" w:rsidRPr="005F340F">
        <w:rPr>
          <w:rFonts w:asciiTheme="majorBidi" w:hAnsiTheme="majorBidi" w:cstheme="majorBidi"/>
          <w:sz w:val="24"/>
          <w:szCs w:val="24"/>
        </w:rPr>
        <w:t xml:space="preserve">SARS-CoV-2 protease may be helpful for </w:t>
      </w:r>
      <w:r w:rsidR="002B392B" w:rsidRPr="005F340F">
        <w:rPr>
          <w:rFonts w:asciiTheme="majorBidi" w:hAnsiTheme="majorBidi" w:cstheme="majorBidi"/>
          <w:sz w:val="24"/>
          <w:szCs w:val="24"/>
        </w:rPr>
        <w:t xml:space="preserve">the </w:t>
      </w:r>
      <w:r w:rsidR="00160108" w:rsidRPr="005F340F">
        <w:rPr>
          <w:rFonts w:asciiTheme="majorBidi" w:hAnsiTheme="majorBidi" w:cstheme="majorBidi"/>
          <w:sz w:val="24"/>
          <w:szCs w:val="24"/>
        </w:rPr>
        <w:t>treatment of COVID-19.</w:t>
      </w:r>
    </w:p>
    <w:commentRangeStart w:id="12"/>
    <w:p w:rsidR="004064D3" w:rsidRPr="005F340F" w:rsidRDefault="004064D3"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object w:dxaOrig="14649" w:dyaOrig="5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85pt;height:190.35pt" o:ole="">
            <v:imagedata r:id="rId10" o:title=""/>
          </v:shape>
          <o:OLEObject Type="Embed" ProgID="ChemDraw.Document.6.0" ShapeID="_x0000_i1025" DrawAspect="Content" ObjectID="_1728638296" r:id="rId11"/>
        </w:object>
      </w:r>
    </w:p>
    <w:p w:rsidR="004064D3" w:rsidRPr="005F340F" w:rsidRDefault="004064D3"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Figure 1: Simeprevir and its degradation products</w:t>
      </w:r>
    </w:p>
    <w:commentRangeEnd w:id="12"/>
    <w:p w:rsidR="00062D96" w:rsidRPr="005F340F" w:rsidRDefault="00C26602" w:rsidP="00BA7A26">
      <w:pPr>
        <w:spacing w:line="276" w:lineRule="auto"/>
        <w:rPr>
          <w:rFonts w:asciiTheme="majorBidi" w:hAnsiTheme="majorBidi" w:cstheme="majorBidi"/>
          <w:sz w:val="24"/>
          <w:szCs w:val="24"/>
        </w:rPr>
      </w:pPr>
      <w:r>
        <w:rPr>
          <w:rStyle w:val="CommentReference"/>
          <w:rFonts w:ascii="Calibri" w:eastAsia="Calibri" w:hAnsi="Calibri" w:cs="Arial"/>
          <w:lang w:eastAsia="en-US"/>
        </w:rPr>
        <w:commentReference w:id="12"/>
      </w:r>
      <w:r w:rsidR="00160108" w:rsidRPr="005F340F">
        <w:rPr>
          <w:rFonts w:asciiTheme="majorBidi" w:hAnsiTheme="majorBidi" w:cstheme="majorBidi"/>
          <w:sz w:val="24"/>
          <w:szCs w:val="24"/>
        </w:rPr>
        <w:t xml:space="preserve">The </w:t>
      </w:r>
      <w:commentRangeStart w:id="13"/>
      <w:r w:rsidR="00160108" w:rsidRPr="005F340F">
        <w:rPr>
          <w:rFonts w:asciiTheme="majorBidi" w:hAnsiTheme="majorBidi" w:cstheme="majorBidi"/>
          <w:sz w:val="24"/>
          <w:szCs w:val="24"/>
        </w:rPr>
        <w:t xml:space="preserve">principal feature of fragment-based drug discovery (FBDD) is </w:t>
      </w:r>
      <w:r w:rsidR="002B392B" w:rsidRPr="005F340F">
        <w:rPr>
          <w:rFonts w:asciiTheme="majorBidi" w:hAnsiTheme="majorBidi" w:cstheme="majorBidi"/>
          <w:sz w:val="24"/>
          <w:szCs w:val="24"/>
        </w:rPr>
        <w:t xml:space="preserve">the </w:t>
      </w:r>
      <w:r w:rsidR="00160108" w:rsidRPr="005F340F">
        <w:rPr>
          <w:rFonts w:asciiTheme="majorBidi" w:hAnsiTheme="majorBidi" w:cstheme="majorBidi"/>
          <w:sz w:val="24"/>
          <w:szCs w:val="24"/>
        </w:rPr>
        <w:t>screen</w:t>
      </w:r>
      <w:r w:rsidR="002B392B" w:rsidRPr="005F340F">
        <w:rPr>
          <w:rFonts w:asciiTheme="majorBidi" w:hAnsiTheme="majorBidi" w:cstheme="majorBidi"/>
          <w:sz w:val="24"/>
          <w:szCs w:val="24"/>
        </w:rPr>
        <w:t>ing of</w:t>
      </w:r>
      <w:r w:rsidR="00160108" w:rsidRPr="005F340F">
        <w:rPr>
          <w:rFonts w:asciiTheme="majorBidi" w:hAnsiTheme="majorBidi" w:cstheme="majorBidi"/>
          <w:sz w:val="24"/>
          <w:szCs w:val="24"/>
        </w:rPr>
        <w:t xml:space="preserve"> a small library of </w:t>
      </w:r>
      <w:r w:rsidR="002B392B" w:rsidRPr="005F340F">
        <w:rPr>
          <w:rFonts w:asciiTheme="majorBidi" w:hAnsiTheme="majorBidi" w:cstheme="majorBidi"/>
          <w:sz w:val="24"/>
          <w:szCs w:val="24"/>
        </w:rPr>
        <w:t>low-molecular-</w:t>
      </w:r>
      <w:r w:rsidR="00160108" w:rsidRPr="005F340F">
        <w:rPr>
          <w:rFonts w:asciiTheme="majorBidi" w:hAnsiTheme="majorBidi" w:cstheme="majorBidi"/>
          <w:sz w:val="24"/>
          <w:szCs w:val="24"/>
        </w:rPr>
        <w:t>weight compounds</w:t>
      </w:r>
      <w:r w:rsidR="002B392B" w:rsidRPr="005F340F">
        <w:rPr>
          <w:rFonts w:asciiTheme="majorBidi" w:hAnsiTheme="majorBidi" w:cstheme="majorBidi"/>
          <w:sz w:val="24"/>
          <w:szCs w:val="24"/>
        </w:rPr>
        <w:t>,followed by the growth of</w:t>
      </w:r>
      <w:r w:rsidR="00160108" w:rsidRPr="005F340F">
        <w:rPr>
          <w:rFonts w:asciiTheme="majorBidi" w:hAnsiTheme="majorBidi" w:cstheme="majorBidi"/>
          <w:sz w:val="24"/>
          <w:szCs w:val="24"/>
        </w:rPr>
        <w:t xml:space="preserve"> these fragments synthetically</w:t>
      </w:r>
      <w:r w:rsidR="002B392B"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to produce lead compounds. In the present work, </w:t>
      </w:r>
      <w:r w:rsidR="002B392B" w:rsidRPr="005F340F">
        <w:rPr>
          <w:rFonts w:asciiTheme="majorBidi" w:hAnsiTheme="majorBidi" w:cstheme="majorBidi"/>
          <w:sz w:val="24"/>
          <w:szCs w:val="24"/>
        </w:rPr>
        <w:t>we</w:t>
      </w:r>
      <w:r w:rsidR="00160108" w:rsidRPr="005F340F">
        <w:rPr>
          <w:rFonts w:asciiTheme="majorBidi" w:hAnsiTheme="majorBidi" w:cstheme="majorBidi"/>
          <w:sz w:val="24"/>
          <w:szCs w:val="24"/>
        </w:rPr>
        <w:t xml:space="preserve"> planned to adopt a “reverse </w:t>
      </w:r>
      <w:r w:rsidR="00554C10" w:rsidRPr="005F340F">
        <w:rPr>
          <w:rFonts w:asciiTheme="majorBidi" w:hAnsiTheme="majorBidi" w:cstheme="majorBidi"/>
          <w:sz w:val="24"/>
          <w:szCs w:val="24"/>
        </w:rPr>
        <w:t>fragment-based</w:t>
      </w:r>
      <w:r w:rsidR="00160108" w:rsidRPr="005F340F">
        <w:rPr>
          <w:rFonts w:asciiTheme="majorBidi" w:hAnsiTheme="majorBidi" w:cstheme="majorBidi"/>
          <w:sz w:val="24"/>
          <w:szCs w:val="24"/>
        </w:rPr>
        <w:t xml:space="preserve"> drug discover approach” </w:t>
      </w:r>
      <w:r w:rsidR="002B392B" w:rsidRPr="005F340F">
        <w:rPr>
          <w:rFonts w:asciiTheme="majorBidi" w:hAnsiTheme="majorBidi" w:cstheme="majorBidi"/>
          <w:sz w:val="24"/>
          <w:szCs w:val="24"/>
        </w:rPr>
        <w:t xml:space="preserve">for the </w:t>
      </w:r>
      <w:r w:rsidR="00160108" w:rsidRPr="005F340F">
        <w:rPr>
          <w:rFonts w:asciiTheme="majorBidi" w:hAnsiTheme="majorBidi" w:cstheme="majorBidi"/>
          <w:sz w:val="24"/>
          <w:szCs w:val="24"/>
        </w:rPr>
        <w:t xml:space="preserve">repurposing of different fragments of </w:t>
      </w:r>
      <w:r w:rsidR="002B392B" w:rsidRPr="005F340F">
        <w:rPr>
          <w:rFonts w:asciiTheme="majorBidi" w:hAnsiTheme="majorBidi" w:cstheme="majorBidi"/>
          <w:sz w:val="24"/>
          <w:szCs w:val="24"/>
        </w:rPr>
        <w:t xml:space="preserve">an </w:t>
      </w:r>
      <w:r w:rsidR="00160108" w:rsidRPr="005F340F">
        <w:rPr>
          <w:rFonts w:asciiTheme="majorBidi" w:hAnsiTheme="majorBidi" w:cstheme="majorBidi"/>
          <w:sz w:val="24"/>
          <w:szCs w:val="24"/>
        </w:rPr>
        <w:t>already active drug (</w:t>
      </w:r>
      <w:r w:rsidR="002B392B" w:rsidRPr="005F340F">
        <w:rPr>
          <w:rFonts w:asciiTheme="majorBidi" w:hAnsiTheme="majorBidi" w:cstheme="majorBidi"/>
          <w:sz w:val="24"/>
          <w:szCs w:val="24"/>
        </w:rPr>
        <w:t>simeprevir</w:t>
      </w:r>
      <w:r w:rsidR="00160108" w:rsidRPr="005F340F">
        <w:rPr>
          <w:rFonts w:asciiTheme="majorBidi" w:hAnsiTheme="majorBidi" w:cstheme="majorBidi"/>
          <w:sz w:val="24"/>
          <w:szCs w:val="24"/>
        </w:rPr>
        <w:t xml:space="preserve">) via </w:t>
      </w:r>
      <w:r w:rsidR="002B392B" w:rsidRPr="005F340F">
        <w:rPr>
          <w:rFonts w:asciiTheme="majorBidi" w:hAnsiTheme="majorBidi" w:cstheme="majorBidi"/>
          <w:sz w:val="24"/>
          <w:szCs w:val="24"/>
        </w:rPr>
        <w:t xml:space="preserve">the investigation of its </w:t>
      </w:r>
      <w:r w:rsidR="00160108" w:rsidRPr="005F340F">
        <w:rPr>
          <w:rFonts w:asciiTheme="majorBidi" w:hAnsiTheme="majorBidi" w:cstheme="majorBidi"/>
          <w:sz w:val="24"/>
          <w:szCs w:val="24"/>
        </w:rPr>
        <w:t xml:space="preserve">binding to the new target, </w:t>
      </w:r>
      <w:r w:rsidR="002B392B" w:rsidRPr="005F340F">
        <w:rPr>
          <w:rFonts w:asciiTheme="majorBidi" w:hAnsiTheme="majorBidi" w:cstheme="majorBidi"/>
          <w:sz w:val="24"/>
          <w:szCs w:val="24"/>
        </w:rPr>
        <w:t xml:space="preserve">the </w:t>
      </w:r>
      <w:r w:rsidR="00160108" w:rsidRPr="005F340F">
        <w:rPr>
          <w:rFonts w:asciiTheme="majorBidi" w:hAnsiTheme="majorBidi" w:cstheme="majorBidi"/>
          <w:sz w:val="24"/>
          <w:szCs w:val="24"/>
        </w:rPr>
        <w:t>reorient</w:t>
      </w:r>
      <w:r w:rsidR="002B392B" w:rsidRPr="005F340F">
        <w:rPr>
          <w:rFonts w:asciiTheme="majorBidi" w:hAnsiTheme="majorBidi" w:cstheme="majorBidi"/>
          <w:sz w:val="24"/>
          <w:szCs w:val="24"/>
        </w:rPr>
        <w:t>ation of</w:t>
      </w:r>
      <w:r w:rsidR="00160108" w:rsidRPr="005F340F">
        <w:rPr>
          <w:rFonts w:asciiTheme="majorBidi" w:hAnsiTheme="majorBidi" w:cstheme="majorBidi"/>
          <w:sz w:val="24"/>
          <w:szCs w:val="24"/>
        </w:rPr>
        <w:t xml:space="preserve"> the fragment in this target</w:t>
      </w:r>
      <w:r w:rsidR="002B392B"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and/or </w:t>
      </w:r>
      <w:r w:rsidR="002B392B" w:rsidRPr="005F340F">
        <w:rPr>
          <w:rFonts w:asciiTheme="majorBidi" w:hAnsiTheme="majorBidi" w:cstheme="majorBidi"/>
          <w:sz w:val="24"/>
          <w:szCs w:val="24"/>
        </w:rPr>
        <w:t xml:space="preserve">the omission of </w:t>
      </w:r>
      <w:r w:rsidR="00160108" w:rsidRPr="005F340F">
        <w:rPr>
          <w:rFonts w:asciiTheme="majorBidi" w:hAnsiTheme="majorBidi" w:cstheme="majorBidi"/>
          <w:sz w:val="24"/>
          <w:szCs w:val="24"/>
        </w:rPr>
        <w:t>unnecessary fragments</w:t>
      </w:r>
      <w:r w:rsidR="002B392B" w:rsidRPr="005F340F">
        <w:rPr>
          <w:rFonts w:asciiTheme="majorBidi" w:hAnsiTheme="majorBidi" w:cstheme="majorBidi"/>
          <w:sz w:val="24"/>
          <w:szCs w:val="24"/>
        </w:rPr>
        <w:t>, rather than</w:t>
      </w:r>
      <w:r w:rsidR="00160108" w:rsidRPr="005F340F">
        <w:rPr>
          <w:rFonts w:asciiTheme="majorBidi" w:hAnsiTheme="majorBidi" w:cstheme="majorBidi"/>
          <w:sz w:val="24"/>
          <w:szCs w:val="24"/>
        </w:rPr>
        <w:t xml:space="preserve"> buildingup a lead compound from promising fragments (standard </w:t>
      </w:r>
      <w:r w:rsidR="009C761D" w:rsidRPr="005F340F">
        <w:rPr>
          <w:rFonts w:asciiTheme="majorBidi" w:hAnsiTheme="majorBidi" w:cstheme="majorBidi"/>
          <w:sz w:val="24"/>
          <w:szCs w:val="24"/>
        </w:rPr>
        <w:t>fragment-</w:t>
      </w:r>
      <w:r w:rsidR="00160108" w:rsidRPr="005F340F">
        <w:rPr>
          <w:rFonts w:asciiTheme="majorBidi" w:hAnsiTheme="majorBidi" w:cstheme="majorBidi"/>
          <w:sz w:val="24"/>
          <w:szCs w:val="24"/>
        </w:rPr>
        <w:t xml:space="preserve">based drug design). This approach should be distinguished from </w:t>
      </w:r>
      <w:r w:rsidR="009C761D" w:rsidRPr="005F340F">
        <w:rPr>
          <w:rFonts w:asciiTheme="majorBidi" w:hAnsiTheme="majorBidi" w:cstheme="majorBidi"/>
          <w:sz w:val="24"/>
          <w:szCs w:val="24"/>
        </w:rPr>
        <w:t xml:space="preserve">the “inverse </w:t>
      </w:r>
      <w:r w:rsidR="00160108" w:rsidRPr="005F340F">
        <w:rPr>
          <w:rFonts w:asciiTheme="majorBidi" w:hAnsiTheme="majorBidi" w:cstheme="majorBidi"/>
          <w:sz w:val="24"/>
          <w:szCs w:val="24"/>
        </w:rPr>
        <w:t>drug discovery</w:t>
      </w:r>
      <w:r w:rsidR="009C761D"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approach</w:t>
      </w:r>
      <w:r w:rsidR="009C761D"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which identifies proteins </w:t>
      </w:r>
      <w:commentRangeEnd w:id="13"/>
      <w:r w:rsidR="003B355D">
        <w:rPr>
          <w:rStyle w:val="CommentReference"/>
          <w:rFonts w:ascii="Calibri" w:eastAsia="Calibri" w:hAnsi="Calibri" w:cs="Arial"/>
          <w:lang w:eastAsia="en-US"/>
        </w:rPr>
        <w:commentReference w:id="13"/>
      </w:r>
      <w:r w:rsidR="00160108" w:rsidRPr="005F340F">
        <w:rPr>
          <w:rFonts w:asciiTheme="majorBidi" w:hAnsiTheme="majorBidi" w:cstheme="majorBidi"/>
          <w:sz w:val="24"/>
          <w:szCs w:val="24"/>
        </w:rPr>
        <w:t xml:space="preserve">via targeting </w:t>
      </w:r>
      <w:r w:rsidR="009C761D" w:rsidRPr="005F340F">
        <w:rPr>
          <w:rFonts w:asciiTheme="majorBidi" w:hAnsiTheme="majorBidi" w:cstheme="majorBidi"/>
          <w:sz w:val="24"/>
          <w:szCs w:val="24"/>
        </w:rPr>
        <w:t xml:space="preserve">using </w:t>
      </w:r>
      <w:r w:rsidR="00160108" w:rsidRPr="005F340F">
        <w:rPr>
          <w:rFonts w:asciiTheme="majorBidi" w:hAnsiTheme="majorBidi" w:cstheme="majorBidi"/>
          <w:sz w:val="24"/>
          <w:szCs w:val="24"/>
        </w:rPr>
        <w:t xml:space="preserve">potent electrophiles. Thus, a set of already characterized fragments/degradants </w:t>
      </w:r>
      <w:commentRangeStart w:id="14"/>
      <w:r w:rsidR="00160108" w:rsidRPr="005F340F">
        <w:rPr>
          <w:rFonts w:asciiTheme="majorBidi" w:hAnsiTheme="majorBidi" w:cstheme="majorBidi"/>
          <w:sz w:val="24"/>
          <w:szCs w:val="24"/>
        </w:rPr>
        <w:t>(</w:t>
      </w:r>
      <w:r w:rsidR="009C761D" w:rsidRPr="005F340F">
        <w:rPr>
          <w:rFonts w:asciiTheme="majorBidi" w:hAnsiTheme="majorBidi" w:cstheme="majorBidi"/>
          <w:b/>
          <w:bCs/>
          <w:sz w:val="24"/>
          <w:szCs w:val="24"/>
        </w:rPr>
        <w:t>Fig</w:t>
      </w:r>
      <w:commentRangeEnd w:id="14"/>
      <w:r>
        <w:rPr>
          <w:rStyle w:val="CommentReference"/>
          <w:rFonts w:ascii="Calibri" w:eastAsia="Calibri" w:hAnsi="Calibri" w:cs="Arial"/>
          <w:lang w:eastAsia="en-US"/>
        </w:rPr>
        <w:commentReference w:id="14"/>
      </w:r>
      <w:r w:rsidR="00072662" w:rsidRPr="005F340F">
        <w:rPr>
          <w:rFonts w:asciiTheme="majorBidi" w:hAnsiTheme="majorBidi" w:cstheme="majorBidi"/>
          <w:b/>
          <w:bCs/>
          <w:sz w:val="24"/>
          <w:szCs w:val="24"/>
        </w:rPr>
        <w:t>.</w:t>
      </w:r>
      <w:r w:rsidR="00160108" w:rsidRPr="005F340F">
        <w:rPr>
          <w:rFonts w:asciiTheme="majorBidi" w:hAnsiTheme="majorBidi" w:cstheme="majorBidi"/>
          <w:b/>
          <w:sz w:val="24"/>
        </w:rPr>
        <w:t>1</w:t>
      </w:r>
      <w:r w:rsidR="00160108" w:rsidRPr="005F340F">
        <w:rPr>
          <w:rFonts w:asciiTheme="majorBidi" w:hAnsiTheme="majorBidi" w:cstheme="majorBidi"/>
          <w:sz w:val="24"/>
          <w:szCs w:val="24"/>
        </w:rPr>
        <w:t>) of the antiviral drug simeprevir</w:t>
      </w:r>
      <w:r w:rsidR="009C761D" w:rsidRPr="005F340F">
        <w:rPr>
          <w:rFonts w:asciiTheme="majorBidi" w:hAnsiTheme="majorBidi" w:cstheme="majorBidi"/>
          <w:sz w:val="24"/>
          <w:szCs w:val="24"/>
        </w:rPr>
        <w:t>was</w:t>
      </w:r>
      <w:r w:rsidR="00160108" w:rsidRPr="005F340F">
        <w:rPr>
          <w:rFonts w:asciiTheme="majorBidi" w:hAnsiTheme="majorBidi" w:cstheme="majorBidi"/>
          <w:sz w:val="24"/>
          <w:szCs w:val="24"/>
        </w:rPr>
        <w:t xml:space="preserve"> selected to test such </w:t>
      </w:r>
      <w:r w:rsidR="009F5649" w:rsidRPr="005F340F">
        <w:rPr>
          <w:rFonts w:asciiTheme="majorBidi" w:hAnsiTheme="majorBidi" w:cstheme="majorBidi"/>
          <w:sz w:val="24"/>
          <w:szCs w:val="24"/>
        </w:rPr>
        <w:t xml:space="preserve">an </w:t>
      </w:r>
      <w:r w:rsidR="00160108" w:rsidRPr="005F340F">
        <w:rPr>
          <w:rFonts w:asciiTheme="majorBidi" w:hAnsiTheme="majorBidi" w:cstheme="majorBidi"/>
          <w:sz w:val="24"/>
          <w:szCs w:val="24"/>
        </w:rPr>
        <w:t>approach virtually.</w:t>
      </w:r>
      <w:r>
        <w:rPr>
          <w:rFonts w:asciiTheme="majorBidi" w:hAnsiTheme="majorBidi" w:cstheme="majorBidi"/>
          <w:sz w:val="24"/>
          <w:szCs w:val="24"/>
        </w:rPr>
        <w:t xml:space="preserve"> </w:t>
      </w:r>
    </w:p>
    <w:p w:rsidR="00C26602" w:rsidRDefault="00C26602" w:rsidP="00C26602">
      <w:pPr>
        <w:pStyle w:val="Heading2"/>
        <w:numPr>
          <w:ilvl w:val="0"/>
          <w:numId w:val="0"/>
        </w:numPr>
        <w:spacing w:line="276" w:lineRule="auto"/>
        <w:ind w:left="450"/>
        <w:rPr>
          <w:rFonts w:asciiTheme="majorBidi" w:hAnsiTheme="majorBidi" w:cstheme="majorBidi"/>
          <w:sz w:val="24"/>
          <w:szCs w:val="24"/>
        </w:rPr>
      </w:pPr>
      <w:commentRangeStart w:id="15"/>
      <w:r w:rsidRPr="00C26602">
        <w:rPr>
          <w:rFonts w:asciiTheme="majorBidi" w:hAnsiTheme="majorBidi" w:cstheme="majorBidi"/>
          <w:sz w:val="24"/>
          <w:szCs w:val="24"/>
          <w:highlight w:val="yellow"/>
        </w:rPr>
        <w:lastRenderedPageBreak/>
        <w:t>Materials and methods</w:t>
      </w:r>
      <w:commentRangeEnd w:id="15"/>
      <w:r w:rsidRPr="00C26602">
        <w:rPr>
          <w:rStyle w:val="CommentReference"/>
          <w:rFonts w:ascii="Calibri" w:eastAsia="Calibri" w:hAnsi="Calibri" w:cs="Arial"/>
          <w:b w:val="0"/>
          <w:lang w:eastAsia="en-US"/>
        </w:rPr>
        <w:commentReference w:id="15"/>
      </w:r>
    </w:p>
    <w:p w:rsidR="00C26602" w:rsidRDefault="00C26602" w:rsidP="00C26602">
      <w:pPr>
        <w:pStyle w:val="Heading2"/>
        <w:numPr>
          <w:ilvl w:val="0"/>
          <w:numId w:val="0"/>
        </w:numPr>
        <w:spacing w:line="276" w:lineRule="auto"/>
        <w:ind w:left="450"/>
        <w:rPr>
          <w:rFonts w:asciiTheme="majorBidi" w:hAnsiTheme="majorBidi" w:cstheme="majorBidi"/>
          <w:sz w:val="24"/>
          <w:szCs w:val="24"/>
        </w:rPr>
      </w:pPr>
    </w:p>
    <w:p w:rsidR="00C26602" w:rsidRDefault="00C26602" w:rsidP="00C26602"/>
    <w:p w:rsidR="00C26602" w:rsidRPr="00032745" w:rsidRDefault="00C26602" w:rsidP="00C26602">
      <w:pPr>
        <w:rPr>
          <w:rFonts w:ascii="Bookman Old Style" w:hAnsi="Bookman Old Style"/>
          <w:b/>
          <w:highlight w:val="yellow"/>
        </w:rPr>
      </w:pPr>
      <w:commentRangeStart w:id="16"/>
      <w:r w:rsidRPr="00032745">
        <w:rPr>
          <w:rFonts w:ascii="Bookman Old Style" w:hAnsi="Bookman Old Style"/>
          <w:b/>
          <w:highlight w:val="yellow"/>
        </w:rPr>
        <w:t>Statistical analysis</w:t>
      </w:r>
      <w:commentRangeEnd w:id="16"/>
      <w:r w:rsidRPr="00032745">
        <w:rPr>
          <w:rStyle w:val="CommentReference"/>
          <w:rFonts w:ascii="Courier" w:hAnsi="Courier" w:cs="Courier"/>
          <w:snapToGrid w:val="0"/>
        </w:rPr>
        <w:commentReference w:id="16"/>
      </w:r>
    </w:p>
    <w:p w:rsidR="00C26602" w:rsidRPr="00C26602" w:rsidRDefault="00C26602" w:rsidP="00C26602"/>
    <w:p w:rsidR="00C26602" w:rsidRDefault="00C26602" w:rsidP="00C26602">
      <w:pPr>
        <w:pStyle w:val="Heading2"/>
        <w:numPr>
          <w:ilvl w:val="0"/>
          <w:numId w:val="0"/>
        </w:numPr>
        <w:spacing w:line="276" w:lineRule="auto"/>
        <w:ind w:left="450"/>
        <w:rPr>
          <w:rFonts w:asciiTheme="majorBidi" w:hAnsiTheme="majorBidi" w:cstheme="majorBidi"/>
          <w:sz w:val="24"/>
          <w:szCs w:val="24"/>
        </w:rPr>
      </w:pPr>
    </w:p>
    <w:p w:rsidR="00A85861" w:rsidRPr="005F340F" w:rsidRDefault="00A85861" w:rsidP="00BA7A26">
      <w:pPr>
        <w:pStyle w:val="Heading2"/>
        <w:numPr>
          <w:ilvl w:val="0"/>
          <w:numId w:val="13"/>
        </w:numPr>
        <w:spacing w:line="276" w:lineRule="auto"/>
        <w:rPr>
          <w:rFonts w:asciiTheme="majorBidi" w:hAnsiTheme="majorBidi" w:cstheme="majorBidi"/>
          <w:sz w:val="24"/>
          <w:szCs w:val="24"/>
        </w:rPr>
      </w:pPr>
      <w:r w:rsidRPr="005F340F">
        <w:rPr>
          <w:rFonts w:asciiTheme="majorBidi" w:hAnsiTheme="majorBidi" w:cstheme="majorBidi"/>
          <w:sz w:val="24"/>
          <w:szCs w:val="24"/>
        </w:rPr>
        <w:t>Results and Discussion</w:t>
      </w:r>
    </w:p>
    <w:p w:rsidR="00842393" w:rsidRPr="005F340F" w:rsidRDefault="00842393" w:rsidP="00BA7A26">
      <w:pPr>
        <w:numPr>
          <w:ilvl w:val="1"/>
          <w:numId w:val="13"/>
        </w:numPr>
        <w:spacing w:line="276" w:lineRule="auto"/>
        <w:ind w:left="0" w:firstLine="0"/>
        <w:rPr>
          <w:rFonts w:asciiTheme="majorBidi" w:hAnsiTheme="majorBidi" w:cstheme="majorBidi"/>
          <w:b/>
          <w:bCs/>
          <w:sz w:val="24"/>
          <w:szCs w:val="24"/>
        </w:rPr>
      </w:pPr>
      <w:r w:rsidRPr="005F340F">
        <w:rPr>
          <w:rFonts w:asciiTheme="majorBidi" w:hAnsiTheme="majorBidi" w:cstheme="majorBidi"/>
          <w:b/>
          <w:bCs/>
          <w:sz w:val="24"/>
          <w:szCs w:val="24"/>
        </w:rPr>
        <w:t>Docking studies</w:t>
      </w:r>
    </w:p>
    <w:p w:rsidR="001176D5" w:rsidRPr="005F340F" w:rsidRDefault="001176D5"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To explore the target-</w:t>
      </w:r>
      <w:commentRangeStart w:id="17"/>
      <w:r w:rsidRPr="005F340F">
        <w:rPr>
          <w:rFonts w:asciiTheme="majorBidi" w:hAnsiTheme="majorBidi" w:cstheme="majorBidi"/>
          <w:sz w:val="24"/>
          <w:szCs w:val="24"/>
        </w:rPr>
        <w:t xml:space="preserve">binding mechanism of Simeprevir and compounds </w:t>
      </w:r>
      <w:r w:rsidRPr="005F340F">
        <w:rPr>
          <w:rFonts w:asciiTheme="majorBidi" w:hAnsiTheme="majorBidi" w:cstheme="majorBidi"/>
          <w:b/>
          <w:bCs/>
          <w:sz w:val="24"/>
          <w:szCs w:val="24"/>
        </w:rPr>
        <w:t>(1–5)</w:t>
      </w:r>
      <w:r w:rsidRPr="005F340F">
        <w:rPr>
          <w:rFonts w:asciiTheme="majorBidi" w:hAnsiTheme="majorBidi" w:cstheme="majorBidi"/>
          <w:sz w:val="24"/>
          <w:szCs w:val="24"/>
        </w:rPr>
        <w:t>, they were docked against (Mpro) (PDB ID: 6lu7, resolution: 2.16), the major protease of SARS-CoV-2. A reference molecule was used: the co-crystallized ligand (PRD-002214). With binding free energies ranging from 6.</w:t>
      </w:r>
      <w:commentRangeEnd w:id="17"/>
      <w:r w:rsidR="00AF0A3B">
        <w:rPr>
          <w:rStyle w:val="CommentReference"/>
          <w:rFonts w:ascii="Calibri" w:eastAsia="Calibri" w:hAnsi="Calibri" w:cs="Arial"/>
          <w:lang w:eastAsia="en-US"/>
        </w:rPr>
        <w:commentReference w:id="17"/>
      </w:r>
      <w:r w:rsidRPr="005F340F">
        <w:rPr>
          <w:rFonts w:asciiTheme="majorBidi" w:hAnsiTheme="majorBidi" w:cstheme="majorBidi"/>
          <w:sz w:val="24"/>
          <w:szCs w:val="24"/>
        </w:rPr>
        <w:t>23 to 7.65 kcal/mol, the docked compounds showed excellent binding affinities against Mpro</w:t>
      </w:r>
      <w:r w:rsidRPr="005F340F">
        <w:rPr>
          <w:rFonts w:asciiTheme="majorBidi" w:hAnsiTheme="majorBidi" w:cstheme="majorBidi"/>
          <w:b/>
          <w:bCs/>
          <w:sz w:val="24"/>
          <w:szCs w:val="24"/>
        </w:rPr>
        <w:t>(Table 1).</w:t>
      </w:r>
    </w:p>
    <w:p w:rsidR="009F5649" w:rsidRPr="005F340F" w:rsidRDefault="006F66BC"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The b</w:t>
      </w:r>
      <w:r w:rsidR="009F5649" w:rsidRPr="005F340F">
        <w:rPr>
          <w:rFonts w:asciiTheme="majorBidi" w:hAnsiTheme="majorBidi" w:cstheme="majorBidi"/>
          <w:sz w:val="24"/>
          <w:szCs w:val="24"/>
        </w:rPr>
        <w:t xml:space="preserve">inding energy of </w:t>
      </w:r>
      <w:commentRangeStart w:id="18"/>
      <w:r w:rsidR="009F5649" w:rsidRPr="005F340F">
        <w:rPr>
          <w:rFonts w:asciiTheme="majorBidi" w:hAnsiTheme="majorBidi" w:cstheme="majorBidi"/>
          <w:sz w:val="24"/>
          <w:szCs w:val="24"/>
        </w:rPr>
        <w:t xml:space="preserve">6.94 kcal/mol </w:t>
      </w:r>
      <w:commentRangeEnd w:id="18"/>
      <w:r w:rsidR="00BC7703">
        <w:rPr>
          <w:rStyle w:val="CommentReference"/>
          <w:rFonts w:ascii="Calibri" w:eastAsia="Calibri" w:hAnsi="Calibri" w:cs="Arial"/>
          <w:lang w:eastAsia="en-US"/>
        </w:rPr>
        <w:commentReference w:id="18"/>
      </w:r>
      <w:r w:rsidR="009F5649" w:rsidRPr="005F340F">
        <w:rPr>
          <w:rFonts w:asciiTheme="majorBidi" w:hAnsiTheme="majorBidi" w:cstheme="majorBidi"/>
          <w:sz w:val="24"/>
          <w:szCs w:val="24"/>
        </w:rPr>
        <w:t xml:space="preserve">was found in the crystalline ligand (PRD-002214). The crystalline ligand had the following binding mode: Mpro's initial pocket was filled by the 2-oxopyrrolidin-3-yl molecule, which formed a hydrogen bond with Phe140. The tert-butyl carbamate moiety also filled Mpro's second pocket, making one hydrogen bond with Me49. The phenyl ring of the phenylalanine molecule also filled the third receptor pocket, producing a hydrophobic contact with His41. Finally, the fourth pocket received the ethyl propionate moiety </w:t>
      </w:r>
      <w:r w:rsidR="009F5649" w:rsidRPr="005F340F">
        <w:rPr>
          <w:rFonts w:asciiTheme="majorBidi" w:hAnsiTheme="majorBidi" w:cstheme="majorBidi"/>
          <w:b/>
          <w:bCs/>
          <w:sz w:val="24"/>
          <w:szCs w:val="24"/>
        </w:rPr>
        <w:t>(Figs 2, 3, and 4).</w:t>
      </w:r>
    </w:p>
    <w:p w:rsidR="00EB51BB" w:rsidRPr="005F340F" w:rsidRDefault="00BA7A26" w:rsidP="00BA7A26">
      <w:pPr>
        <w:spacing w:line="276" w:lineRule="auto"/>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extent cx="3609975" cy="2638425"/>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609975" cy="2638425"/>
                    </a:xfrm>
                    <a:prstGeom prst="rect">
                      <a:avLst/>
                    </a:prstGeom>
                    <a:noFill/>
                    <a:ln w="9525">
                      <a:noFill/>
                      <a:miter lim="800000"/>
                      <a:headEnd/>
                      <a:tailEnd/>
                    </a:ln>
                  </pic:spPr>
                </pic:pic>
              </a:graphicData>
            </a:graphic>
          </wp:inline>
        </w:drawing>
      </w:r>
    </w:p>
    <w:p w:rsidR="00EB51BB" w:rsidRPr="005F340F" w:rsidRDefault="00EB51BB"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 xml:space="preserve">Fig. 2: </w:t>
      </w:r>
      <w:r w:rsidRPr="005F340F">
        <w:rPr>
          <w:rFonts w:asciiTheme="majorBidi" w:hAnsiTheme="majorBidi" w:cstheme="majorBidi"/>
          <w:sz w:val="24"/>
          <w:szCs w:val="24"/>
        </w:rPr>
        <w:t>Co-crystallized ligand (</w:t>
      </w:r>
      <w:hyperlink r:id="rId13" w:history="1">
        <w:r w:rsidRPr="005F340F">
          <w:rPr>
            <w:rFonts w:asciiTheme="majorBidi" w:hAnsiTheme="majorBidi" w:cstheme="majorBidi"/>
            <w:color w:val="0000FF"/>
            <w:sz w:val="24"/>
            <w:szCs w:val="24"/>
            <w:u w:val="single"/>
          </w:rPr>
          <w:t>PRD-002214</w:t>
        </w:r>
      </w:hyperlink>
      <w:r w:rsidRPr="005F340F">
        <w:rPr>
          <w:rFonts w:asciiTheme="majorBidi" w:hAnsiTheme="majorBidi" w:cstheme="majorBidi"/>
          <w:sz w:val="24"/>
          <w:szCs w:val="24"/>
        </w:rPr>
        <w:t>) docked into the active site of the COVID-19 main protease, the hydrogen bonds are represented in green dashedlines</w:t>
      </w:r>
      <w:r w:rsidR="00EE02E1" w:rsidRPr="005F340F">
        <w:rPr>
          <w:rFonts w:asciiTheme="majorBidi" w:hAnsiTheme="majorBidi" w:cstheme="majorBidi"/>
          <w:sz w:val="24"/>
          <w:szCs w:val="24"/>
        </w:rPr>
        <w:t>,</w:t>
      </w:r>
      <w:r w:rsidRPr="005F340F">
        <w:rPr>
          <w:rFonts w:asciiTheme="majorBidi" w:hAnsiTheme="majorBidi" w:cstheme="majorBidi"/>
          <w:sz w:val="24"/>
          <w:szCs w:val="24"/>
        </w:rPr>
        <w:t xml:space="preserve"> and the hydrophobic interactions are represented in orange dashed lines. </w:t>
      </w:r>
    </w:p>
    <w:p w:rsidR="00EB51BB" w:rsidRPr="005F340F" w:rsidRDefault="00BA7A26" w:rsidP="00BA7A26">
      <w:pPr>
        <w:spacing w:line="276" w:lineRule="auto"/>
        <w:jc w:val="center"/>
        <w:rPr>
          <w:rFonts w:asciiTheme="majorBidi" w:hAnsiTheme="majorBidi" w:cstheme="majorBidi"/>
          <w:b/>
          <w:bCs/>
          <w:sz w:val="24"/>
          <w:szCs w:val="24"/>
        </w:rPr>
      </w:pPr>
      <w:r>
        <w:rPr>
          <w:rFonts w:asciiTheme="majorBidi" w:hAnsiTheme="majorBidi" w:cstheme="majorBidi"/>
          <w:b/>
          <w:bCs/>
          <w:noProof/>
          <w:sz w:val="24"/>
          <w:szCs w:val="24"/>
          <w:lang w:eastAsia="en-US"/>
        </w:rPr>
        <w:drawing>
          <wp:inline distT="0" distB="0" distL="0" distR="0">
            <wp:extent cx="3286125" cy="2571750"/>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286125" cy="2571750"/>
                    </a:xfrm>
                    <a:prstGeom prst="rect">
                      <a:avLst/>
                    </a:prstGeom>
                    <a:noFill/>
                    <a:ln w="9525">
                      <a:noFill/>
                      <a:miter lim="800000"/>
                      <a:headEnd/>
                      <a:tailEnd/>
                    </a:ln>
                  </pic:spPr>
                </pic:pic>
              </a:graphicData>
            </a:graphic>
          </wp:inline>
        </w:drawing>
      </w:r>
    </w:p>
    <w:p w:rsidR="00EB51BB" w:rsidRPr="005F340F" w:rsidRDefault="00EB51BB"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lastRenderedPageBreak/>
        <w:t>Fig.3:</w:t>
      </w:r>
      <w:r w:rsidRPr="005F340F">
        <w:rPr>
          <w:rFonts w:asciiTheme="majorBidi" w:hAnsiTheme="majorBidi" w:cstheme="majorBidi"/>
          <w:sz w:val="24"/>
          <w:szCs w:val="24"/>
        </w:rPr>
        <w:t xml:space="preserve"> Mapping surface showing the co-crystallized ligand (</w:t>
      </w:r>
      <w:hyperlink r:id="rId15" w:history="1">
        <w:r w:rsidRPr="005F340F">
          <w:rPr>
            <w:rFonts w:asciiTheme="majorBidi" w:hAnsiTheme="majorBidi" w:cstheme="majorBidi"/>
            <w:color w:val="0000FF"/>
            <w:sz w:val="24"/>
            <w:szCs w:val="24"/>
            <w:u w:val="single"/>
          </w:rPr>
          <w:t>PRD-002214</w:t>
        </w:r>
      </w:hyperlink>
      <w:r w:rsidRPr="005F340F">
        <w:rPr>
          <w:rFonts w:asciiTheme="majorBidi" w:hAnsiTheme="majorBidi" w:cstheme="majorBidi"/>
          <w:sz w:val="24"/>
          <w:szCs w:val="24"/>
        </w:rPr>
        <w:t>) occupying the active pocket of the COVID-19 main protease.</w:t>
      </w:r>
    </w:p>
    <w:p w:rsidR="00EB51BB" w:rsidRPr="005F340F" w:rsidRDefault="00EB51BB" w:rsidP="00BA7A26">
      <w:pPr>
        <w:spacing w:line="276" w:lineRule="auto"/>
        <w:rPr>
          <w:rFonts w:asciiTheme="majorBidi" w:hAnsiTheme="majorBidi" w:cstheme="majorBidi"/>
          <w:sz w:val="24"/>
          <w:szCs w:val="24"/>
        </w:rPr>
      </w:pPr>
    </w:p>
    <w:p w:rsidR="00EB51BB" w:rsidRPr="005F340F" w:rsidRDefault="00BA7A26" w:rsidP="00BA7A26">
      <w:pPr>
        <w:spacing w:line="276" w:lineRule="auto"/>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extent cx="3619500" cy="3486150"/>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619500" cy="3486150"/>
                    </a:xfrm>
                    <a:prstGeom prst="rect">
                      <a:avLst/>
                    </a:prstGeom>
                    <a:noFill/>
                    <a:ln w="9525">
                      <a:noFill/>
                      <a:miter lim="800000"/>
                      <a:headEnd/>
                      <a:tailEnd/>
                    </a:ln>
                  </pic:spPr>
                </pic:pic>
              </a:graphicData>
            </a:graphic>
          </wp:inline>
        </w:drawing>
      </w:r>
    </w:p>
    <w:p w:rsidR="00EB51BB" w:rsidRPr="005F340F" w:rsidRDefault="00EB51BB"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 4:</w:t>
      </w:r>
      <w:r w:rsidRPr="005F340F">
        <w:rPr>
          <w:rFonts w:asciiTheme="majorBidi" w:hAnsiTheme="majorBidi" w:cstheme="majorBidi"/>
          <w:sz w:val="24"/>
          <w:szCs w:val="24"/>
        </w:rPr>
        <w:t xml:space="preserve"> 2D interaction of the co-crystallized ligand (</w:t>
      </w:r>
      <w:hyperlink r:id="rId17" w:history="1">
        <w:r w:rsidRPr="005F340F">
          <w:rPr>
            <w:rFonts w:asciiTheme="majorBidi" w:hAnsiTheme="majorBidi" w:cstheme="majorBidi"/>
            <w:color w:val="0000FF"/>
            <w:sz w:val="24"/>
            <w:szCs w:val="24"/>
            <w:u w:val="single"/>
          </w:rPr>
          <w:t>PRD-002214</w:t>
        </w:r>
      </w:hyperlink>
      <w:r w:rsidRPr="005F340F">
        <w:rPr>
          <w:rFonts w:asciiTheme="majorBidi" w:hAnsiTheme="majorBidi" w:cstheme="majorBidi"/>
          <w:sz w:val="24"/>
          <w:szCs w:val="24"/>
        </w:rPr>
        <w:t>) in the active site of the COVID-19 main protease.</w:t>
      </w:r>
    </w:p>
    <w:p w:rsidR="00497626" w:rsidRPr="005F340F" w:rsidRDefault="004044BE"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Simeprevir </w:t>
      </w:r>
      <w:commentRangeStart w:id="19"/>
      <w:r w:rsidRPr="005F340F">
        <w:rPr>
          <w:rFonts w:asciiTheme="majorBidi" w:hAnsiTheme="majorBidi" w:cstheme="majorBidi"/>
          <w:sz w:val="24"/>
          <w:szCs w:val="24"/>
        </w:rPr>
        <w:t xml:space="preserve">had a binding mechanism that was comparable to that of Mpro's co-crystallized ligand. It had binding energy of about 7.000 kcal/mol. Mpro's initial pocket was filled by the cyclopropanesulfonamide molecule, which formed a single hydrogen bond with Asn142. In addition, the 5-methyl-2,3,3a,6,7,8,9,11a,12,12a,13,14a-dodecahydrocyclopenta [c] is a 5-methyl-2,3,3a,6,7,8,9,11a,12,12a,13,14a-dodecahydrocyclopenta cyclopropa[g] [1,6] The second pocket of Mpro was filled by the diazacyclotetra decine-4,14(1H,5H)-dione moiety, which established a hydrogen connection with Met49. Furthermore, the 7-methoxy-8-methylquinoline molecule was found </w:t>
      </w:r>
      <w:commentRangeEnd w:id="19"/>
      <w:r w:rsidR="00AF0A3B">
        <w:rPr>
          <w:rStyle w:val="CommentReference"/>
          <w:rFonts w:ascii="Calibri" w:eastAsia="Calibri" w:hAnsi="Calibri" w:cs="Arial"/>
          <w:lang w:eastAsia="en-US"/>
        </w:rPr>
        <w:commentReference w:id="19"/>
      </w:r>
      <w:r w:rsidRPr="005F340F">
        <w:rPr>
          <w:rFonts w:asciiTheme="majorBidi" w:hAnsiTheme="majorBidi" w:cstheme="majorBidi"/>
          <w:sz w:val="24"/>
          <w:szCs w:val="24"/>
        </w:rPr>
        <w:t xml:space="preserve">in the receptor's third pocket, making a hydrophobic contact with Met165. The 4-isopropylthiazole molecule was finally put into the fourth pocket, creating a hydrogen connection with Asn142 </w:t>
      </w:r>
      <w:r w:rsidRPr="005F340F">
        <w:rPr>
          <w:rFonts w:asciiTheme="majorBidi" w:hAnsiTheme="majorBidi" w:cstheme="majorBidi"/>
          <w:b/>
          <w:bCs/>
          <w:sz w:val="24"/>
          <w:szCs w:val="24"/>
        </w:rPr>
        <w:t>(Figs 5, 6, and 7).</w:t>
      </w:r>
    </w:p>
    <w:p w:rsidR="00497626" w:rsidRPr="005F340F" w:rsidRDefault="00BA7A26" w:rsidP="00BA7A26">
      <w:pPr>
        <w:spacing w:line="276" w:lineRule="auto"/>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extent cx="3962400" cy="2924175"/>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962400" cy="2924175"/>
                    </a:xfrm>
                    <a:prstGeom prst="rect">
                      <a:avLst/>
                    </a:prstGeom>
                    <a:noFill/>
                    <a:ln w="9525">
                      <a:noFill/>
                      <a:miter lim="800000"/>
                      <a:headEnd/>
                      <a:tailEnd/>
                    </a:ln>
                  </pic:spPr>
                </pic:pic>
              </a:graphicData>
            </a:graphic>
          </wp:inline>
        </w:drawing>
      </w:r>
    </w:p>
    <w:p w:rsidR="00497626" w:rsidRPr="005F340F" w:rsidRDefault="00497626"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lastRenderedPageBreak/>
        <w:t xml:space="preserve">Fig. 5: </w:t>
      </w:r>
      <w:r w:rsidRPr="005F340F">
        <w:rPr>
          <w:rFonts w:asciiTheme="majorBidi" w:hAnsiTheme="majorBidi" w:cstheme="majorBidi"/>
          <w:sz w:val="24"/>
          <w:szCs w:val="24"/>
        </w:rPr>
        <w:t>Simeprevir docked into the active site of the COVID-19 main protease, the hydrogen bonds are represented in green dashedlines and the hydrophobic interactions are represented in orange dashed lines.</w:t>
      </w:r>
    </w:p>
    <w:p w:rsidR="00497626" w:rsidRPr="005F340F" w:rsidRDefault="00497626" w:rsidP="00BA7A26">
      <w:pPr>
        <w:spacing w:line="276" w:lineRule="auto"/>
        <w:rPr>
          <w:rFonts w:asciiTheme="majorBidi" w:hAnsiTheme="majorBidi" w:cstheme="majorBidi"/>
          <w:i/>
          <w:iCs/>
          <w:sz w:val="24"/>
          <w:szCs w:val="24"/>
        </w:rPr>
      </w:pPr>
    </w:p>
    <w:p w:rsidR="00497626" w:rsidRPr="005F340F" w:rsidRDefault="00BA7A26" w:rsidP="00BA7A26">
      <w:pPr>
        <w:spacing w:line="276" w:lineRule="auto"/>
        <w:jc w:val="center"/>
        <w:rPr>
          <w:rFonts w:asciiTheme="majorBidi" w:hAnsiTheme="majorBidi" w:cstheme="majorBidi"/>
          <w:i/>
          <w:iCs/>
          <w:sz w:val="24"/>
          <w:szCs w:val="24"/>
        </w:rPr>
      </w:pPr>
      <w:r>
        <w:rPr>
          <w:rFonts w:asciiTheme="majorBidi" w:hAnsiTheme="majorBidi" w:cstheme="majorBidi"/>
          <w:i/>
          <w:iCs/>
          <w:noProof/>
          <w:sz w:val="24"/>
          <w:szCs w:val="24"/>
          <w:lang w:eastAsia="en-US"/>
        </w:rPr>
        <w:drawing>
          <wp:inline distT="0" distB="0" distL="0" distR="0">
            <wp:extent cx="4181475" cy="2628900"/>
            <wp:effectExtent l="19050" t="0" r="9525"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181475" cy="2628900"/>
                    </a:xfrm>
                    <a:prstGeom prst="rect">
                      <a:avLst/>
                    </a:prstGeom>
                    <a:noFill/>
                    <a:ln w="9525">
                      <a:noFill/>
                      <a:miter lim="800000"/>
                      <a:headEnd/>
                      <a:tailEnd/>
                    </a:ln>
                  </pic:spPr>
                </pic:pic>
              </a:graphicData>
            </a:graphic>
          </wp:inline>
        </w:drawing>
      </w:r>
    </w:p>
    <w:p w:rsidR="00497626" w:rsidRPr="005F340F" w:rsidRDefault="00497626"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Fig.6:</w:t>
      </w:r>
      <w:r w:rsidRPr="005F340F">
        <w:rPr>
          <w:rFonts w:asciiTheme="majorBidi" w:hAnsiTheme="majorBidi" w:cstheme="majorBidi"/>
          <w:sz w:val="24"/>
          <w:szCs w:val="24"/>
        </w:rPr>
        <w:t xml:space="preserve"> Mapping surface showing simeprevir occupying the active pocket of the COVID-19 main protease.</w:t>
      </w:r>
    </w:p>
    <w:p w:rsidR="00497626" w:rsidRPr="005F340F" w:rsidRDefault="00497626" w:rsidP="00BA7A26">
      <w:pPr>
        <w:spacing w:line="276" w:lineRule="auto"/>
        <w:rPr>
          <w:rFonts w:asciiTheme="majorBidi" w:hAnsiTheme="majorBidi" w:cstheme="majorBidi"/>
          <w:sz w:val="24"/>
          <w:szCs w:val="24"/>
        </w:rPr>
      </w:pPr>
    </w:p>
    <w:p w:rsidR="00497626" w:rsidRPr="005F340F" w:rsidRDefault="00BA7A26" w:rsidP="00BA7A26">
      <w:pPr>
        <w:spacing w:line="276" w:lineRule="auto"/>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extent cx="4429125" cy="34385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4429125" cy="3438525"/>
                    </a:xfrm>
                    <a:prstGeom prst="rect">
                      <a:avLst/>
                    </a:prstGeom>
                    <a:noFill/>
                    <a:ln w="9525">
                      <a:noFill/>
                      <a:miter lim="800000"/>
                      <a:headEnd/>
                      <a:tailEnd/>
                    </a:ln>
                  </pic:spPr>
                </pic:pic>
              </a:graphicData>
            </a:graphic>
          </wp:inline>
        </w:drawing>
      </w:r>
    </w:p>
    <w:p w:rsidR="00497626" w:rsidRPr="005F340F" w:rsidRDefault="00497626"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 7:</w:t>
      </w:r>
      <w:r w:rsidRPr="005F340F">
        <w:rPr>
          <w:rFonts w:asciiTheme="majorBidi" w:hAnsiTheme="majorBidi" w:cstheme="majorBidi"/>
          <w:sz w:val="24"/>
          <w:szCs w:val="24"/>
        </w:rPr>
        <w:t xml:space="preserve"> 2D interaction of simeprevir in the active site of the COVID-19 main protease. </w:t>
      </w:r>
    </w:p>
    <w:p w:rsidR="001F1F51" w:rsidRPr="005F340F" w:rsidRDefault="00991234" w:rsidP="00BA7A26">
      <w:pPr>
        <w:spacing w:line="276" w:lineRule="auto"/>
        <w:rPr>
          <w:rFonts w:asciiTheme="majorBidi" w:hAnsiTheme="majorBidi" w:cstheme="majorBidi"/>
          <w:sz w:val="24"/>
          <w:szCs w:val="24"/>
          <w:rtl/>
        </w:rPr>
      </w:pPr>
      <w:r w:rsidRPr="005F340F">
        <w:rPr>
          <w:rFonts w:asciiTheme="majorBidi" w:hAnsiTheme="majorBidi" w:cstheme="majorBidi"/>
          <w:sz w:val="24"/>
          <w:szCs w:val="24"/>
        </w:rPr>
        <w:t xml:space="preserve">In </w:t>
      </w:r>
      <w:commentRangeStart w:id="20"/>
      <w:r w:rsidRPr="005F340F">
        <w:rPr>
          <w:rFonts w:asciiTheme="majorBidi" w:hAnsiTheme="majorBidi" w:cstheme="majorBidi"/>
          <w:sz w:val="24"/>
          <w:szCs w:val="24"/>
        </w:rPr>
        <w:t>the target-binding site, Compound</w:t>
      </w:r>
      <w:r w:rsidRPr="005F340F">
        <w:rPr>
          <w:rFonts w:asciiTheme="majorBidi" w:hAnsiTheme="majorBidi" w:cstheme="majorBidi"/>
          <w:b/>
          <w:bCs/>
          <w:sz w:val="24"/>
          <w:szCs w:val="24"/>
        </w:rPr>
        <w:t xml:space="preserve"> 1</w:t>
      </w:r>
      <w:r w:rsidRPr="005F340F">
        <w:rPr>
          <w:rFonts w:asciiTheme="majorBidi" w:hAnsiTheme="majorBidi" w:cstheme="majorBidi"/>
          <w:sz w:val="24"/>
          <w:szCs w:val="24"/>
        </w:rPr>
        <w:t xml:space="preserve"> had a binding mechanism similar to the co-crystallized ligand and simeprevir. It occupied three Mpro pockets and had binding energy of 6.95 kcal/mol. The tetrahydro-1H-cyclopenta[c]furan-1,3(3aH)-dione moiety was found in Mpro's first pocket, where it formed two hydrogen bonds with Gly143 and Gln189. Furthermore, the 7-methoxy-8-methylquinoline moiety filled the receptor's second pocket and formed two hydrophobic contacts with Glu166</w:t>
      </w:r>
      <w:commentRangeEnd w:id="20"/>
      <w:r w:rsidR="0013514C">
        <w:rPr>
          <w:rStyle w:val="CommentReference"/>
          <w:rFonts w:ascii="Calibri" w:eastAsia="Calibri" w:hAnsi="Calibri" w:cs="Arial"/>
          <w:lang w:eastAsia="en-US"/>
        </w:rPr>
        <w:commentReference w:id="20"/>
      </w:r>
      <w:r w:rsidRPr="005F340F">
        <w:rPr>
          <w:rFonts w:asciiTheme="majorBidi" w:hAnsiTheme="majorBidi" w:cstheme="majorBidi"/>
          <w:sz w:val="24"/>
          <w:szCs w:val="24"/>
        </w:rPr>
        <w:t xml:space="preserve">. In addition, the 4-isopropylthiazole molecule was found in the third pocket, generating two hydrophobic contacts with Pro168 </w:t>
      </w:r>
      <w:r w:rsidRPr="005F340F">
        <w:rPr>
          <w:rFonts w:asciiTheme="majorBidi" w:hAnsiTheme="majorBidi" w:cstheme="majorBidi"/>
          <w:b/>
          <w:bCs/>
          <w:sz w:val="24"/>
          <w:szCs w:val="24"/>
        </w:rPr>
        <w:t>(Figs 8, 9, and 10).</w:t>
      </w:r>
    </w:p>
    <w:p w:rsidR="001F1F51" w:rsidRPr="005F340F" w:rsidRDefault="00BA7A26" w:rsidP="00BA7A26">
      <w:pPr>
        <w:spacing w:line="276" w:lineRule="auto"/>
        <w:jc w:val="center"/>
        <w:rPr>
          <w:rFonts w:asciiTheme="majorBidi" w:hAnsiTheme="majorBidi" w:cstheme="majorBidi"/>
          <w:sz w:val="24"/>
          <w:szCs w:val="24"/>
        </w:rPr>
      </w:pPr>
      <w:r>
        <w:rPr>
          <w:rFonts w:asciiTheme="majorBidi" w:hAnsiTheme="majorBidi" w:cstheme="majorBidi"/>
          <w:noProof/>
          <w:sz w:val="24"/>
          <w:szCs w:val="24"/>
          <w:lang w:eastAsia="en-US"/>
        </w:rPr>
        <w:lastRenderedPageBreak/>
        <w:drawing>
          <wp:inline distT="0" distB="0" distL="0" distR="0">
            <wp:extent cx="3676650" cy="261419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3676650" cy="2614196"/>
                    </a:xfrm>
                    <a:prstGeom prst="rect">
                      <a:avLst/>
                    </a:prstGeom>
                    <a:noFill/>
                    <a:ln w="9525">
                      <a:noFill/>
                      <a:miter lim="800000"/>
                      <a:headEnd/>
                      <a:tailEnd/>
                    </a:ln>
                  </pic:spPr>
                </pic:pic>
              </a:graphicData>
            </a:graphic>
          </wp:inline>
        </w:drawing>
      </w:r>
    </w:p>
    <w:p w:rsidR="001F1F51" w:rsidRPr="005F340F" w:rsidRDefault="001F1F51"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 8</w:t>
      </w:r>
      <w:r w:rsidRPr="005F340F">
        <w:rPr>
          <w:rFonts w:asciiTheme="majorBidi" w:hAnsiTheme="majorBidi" w:cstheme="majorBidi"/>
          <w:sz w:val="24"/>
          <w:szCs w:val="24"/>
        </w:rPr>
        <w:t xml:space="preserve">: Compound </w:t>
      </w:r>
      <w:r w:rsidRPr="005F340F">
        <w:rPr>
          <w:rFonts w:asciiTheme="majorBidi" w:hAnsiTheme="majorBidi" w:cstheme="majorBidi"/>
          <w:b/>
          <w:bCs/>
          <w:sz w:val="24"/>
          <w:szCs w:val="24"/>
        </w:rPr>
        <w:t>1</w:t>
      </w:r>
      <w:r w:rsidRPr="005F340F">
        <w:rPr>
          <w:rFonts w:asciiTheme="majorBidi" w:hAnsiTheme="majorBidi" w:cstheme="majorBidi"/>
          <w:sz w:val="24"/>
          <w:szCs w:val="24"/>
        </w:rPr>
        <w:t xml:space="preserve"> docked into the active site of COVID-19 main protease. The hydrogen bonds are represented in green dashedlines and the hydrophobic interactions are represented in orange dashed lines. </w:t>
      </w:r>
    </w:p>
    <w:p w:rsidR="001F1F51" w:rsidRPr="005F340F" w:rsidRDefault="001F1F51" w:rsidP="00BA7A26">
      <w:pPr>
        <w:spacing w:line="276" w:lineRule="auto"/>
        <w:rPr>
          <w:rFonts w:asciiTheme="majorBidi" w:hAnsiTheme="majorBidi" w:cstheme="majorBidi"/>
          <w:sz w:val="24"/>
          <w:szCs w:val="24"/>
        </w:rPr>
      </w:pPr>
    </w:p>
    <w:p w:rsidR="001F1F51" w:rsidRPr="005F340F" w:rsidRDefault="00BA7A26" w:rsidP="00BA7A26">
      <w:pPr>
        <w:spacing w:line="276" w:lineRule="auto"/>
        <w:jc w:val="center"/>
        <w:rPr>
          <w:rFonts w:asciiTheme="majorBidi" w:hAnsiTheme="majorBidi" w:cstheme="majorBidi"/>
          <w:i/>
          <w:iCs/>
          <w:sz w:val="24"/>
          <w:szCs w:val="24"/>
        </w:rPr>
      </w:pPr>
      <w:r>
        <w:rPr>
          <w:rFonts w:asciiTheme="majorBidi" w:hAnsiTheme="majorBidi" w:cstheme="majorBidi"/>
          <w:i/>
          <w:iCs/>
          <w:noProof/>
          <w:sz w:val="24"/>
          <w:szCs w:val="24"/>
          <w:lang w:eastAsia="en-US"/>
        </w:rPr>
        <w:drawing>
          <wp:inline distT="0" distB="0" distL="0" distR="0">
            <wp:extent cx="3857625" cy="30384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3857625" cy="3038475"/>
                    </a:xfrm>
                    <a:prstGeom prst="rect">
                      <a:avLst/>
                    </a:prstGeom>
                    <a:noFill/>
                    <a:ln w="9525">
                      <a:noFill/>
                      <a:miter lim="800000"/>
                      <a:headEnd/>
                      <a:tailEnd/>
                    </a:ln>
                  </pic:spPr>
                </pic:pic>
              </a:graphicData>
            </a:graphic>
          </wp:inline>
        </w:drawing>
      </w:r>
    </w:p>
    <w:p w:rsidR="001F1F51" w:rsidRPr="005F340F" w:rsidRDefault="001F1F51"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Fig.9</w:t>
      </w:r>
      <w:r w:rsidRPr="005F340F">
        <w:rPr>
          <w:rFonts w:asciiTheme="majorBidi" w:hAnsiTheme="majorBidi" w:cstheme="majorBidi"/>
          <w:sz w:val="24"/>
          <w:szCs w:val="24"/>
        </w:rPr>
        <w:t xml:space="preserve">: Mapping surface showing compound </w:t>
      </w:r>
      <w:r w:rsidRPr="005F340F">
        <w:rPr>
          <w:rFonts w:asciiTheme="majorBidi" w:hAnsiTheme="majorBidi" w:cstheme="majorBidi"/>
          <w:b/>
          <w:bCs/>
          <w:sz w:val="24"/>
          <w:szCs w:val="24"/>
        </w:rPr>
        <w:t>1</w:t>
      </w:r>
      <w:r w:rsidRPr="005F340F">
        <w:rPr>
          <w:rFonts w:asciiTheme="majorBidi" w:hAnsiTheme="majorBidi" w:cstheme="majorBidi"/>
          <w:sz w:val="24"/>
          <w:szCs w:val="24"/>
        </w:rPr>
        <w:t xml:space="preserve"> occupying the active pocket of the COVID-19 main protease.</w:t>
      </w:r>
    </w:p>
    <w:p w:rsidR="001F1F51" w:rsidRPr="005F340F" w:rsidRDefault="00BA7A26" w:rsidP="00BA7A26">
      <w:pPr>
        <w:spacing w:line="276" w:lineRule="auto"/>
        <w:jc w:val="center"/>
        <w:rPr>
          <w:rFonts w:asciiTheme="majorBidi" w:hAnsiTheme="majorBidi" w:cstheme="majorBidi"/>
          <w:i/>
          <w:iCs/>
          <w:sz w:val="24"/>
          <w:szCs w:val="24"/>
        </w:rPr>
      </w:pPr>
      <w:r>
        <w:rPr>
          <w:rFonts w:asciiTheme="majorBidi" w:hAnsiTheme="majorBidi" w:cstheme="majorBidi"/>
          <w:i/>
          <w:iCs/>
          <w:noProof/>
          <w:sz w:val="24"/>
          <w:szCs w:val="24"/>
          <w:lang w:eastAsia="en-US"/>
        </w:rPr>
        <w:drawing>
          <wp:inline distT="0" distB="0" distL="0" distR="0">
            <wp:extent cx="3401562" cy="2733675"/>
            <wp:effectExtent l="19050" t="0" r="8388"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3401562" cy="2733675"/>
                    </a:xfrm>
                    <a:prstGeom prst="rect">
                      <a:avLst/>
                    </a:prstGeom>
                    <a:noFill/>
                    <a:ln w="9525">
                      <a:noFill/>
                      <a:miter lim="800000"/>
                      <a:headEnd/>
                      <a:tailEnd/>
                    </a:ln>
                  </pic:spPr>
                </pic:pic>
              </a:graphicData>
            </a:graphic>
          </wp:inline>
        </w:drawing>
      </w:r>
    </w:p>
    <w:p w:rsidR="001F1F51" w:rsidRPr="005F340F" w:rsidRDefault="001F1F51"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 10:</w:t>
      </w:r>
      <w:r w:rsidRPr="005F340F">
        <w:rPr>
          <w:rFonts w:asciiTheme="majorBidi" w:hAnsiTheme="majorBidi" w:cstheme="majorBidi"/>
          <w:sz w:val="24"/>
          <w:szCs w:val="24"/>
        </w:rPr>
        <w:t xml:space="preserve"> 2D interaction of compound </w:t>
      </w:r>
      <w:r w:rsidRPr="005F340F">
        <w:rPr>
          <w:rFonts w:asciiTheme="majorBidi" w:hAnsiTheme="majorBidi" w:cstheme="majorBidi"/>
          <w:b/>
          <w:bCs/>
          <w:sz w:val="24"/>
          <w:szCs w:val="24"/>
        </w:rPr>
        <w:t>1</w:t>
      </w:r>
      <w:r w:rsidRPr="005F340F">
        <w:rPr>
          <w:rFonts w:asciiTheme="majorBidi" w:hAnsiTheme="majorBidi" w:cstheme="majorBidi"/>
          <w:sz w:val="24"/>
          <w:szCs w:val="24"/>
        </w:rPr>
        <w:t xml:space="preserve"> in the active site of the COVID-19 main protease. </w:t>
      </w:r>
    </w:p>
    <w:p w:rsidR="00CE7151" w:rsidRPr="005F340F" w:rsidRDefault="00CE7151" w:rsidP="00BA7A26">
      <w:pPr>
        <w:spacing w:line="276" w:lineRule="auto"/>
        <w:jc w:val="center"/>
        <w:rPr>
          <w:rFonts w:asciiTheme="majorBidi" w:hAnsiTheme="majorBidi" w:cstheme="majorBidi"/>
          <w:sz w:val="24"/>
          <w:szCs w:val="24"/>
        </w:rPr>
      </w:pPr>
    </w:p>
    <w:p w:rsidR="00C96985" w:rsidRPr="005F340F" w:rsidRDefault="00850ACA"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In the target-</w:t>
      </w:r>
      <w:commentRangeStart w:id="21"/>
      <w:r w:rsidRPr="005F340F">
        <w:rPr>
          <w:rFonts w:asciiTheme="majorBidi" w:hAnsiTheme="majorBidi" w:cstheme="majorBidi"/>
          <w:sz w:val="24"/>
          <w:szCs w:val="24"/>
        </w:rPr>
        <w:t xml:space="preserve">binding site, Compound </w:t>
      </w:r>
      <w:r w:rsidRPr="005F340F">
        <w:rPr>
          <w:rFonts w:asciiTheme="majorBidi" w:hAnsiTheme="majorBidi" w:cstheme="majorBidi"/>
          <w:b/>
          <w:bCs/>
          <w:sz w:val="24"/>
          <w:szCs w:val="24"/>
        </w:rPr>
        <w:t>2</w:t>
      </w:r>
      <w:r w:rsidRPr="005F340F">
        <w:rPr>
          <w:rFonts w:asciiTheme="majorBidi" w:hAnsiTheme="majorBidi" w:cstheme="majorBidi"/>
          <w:sz w:val="24"/>
          <w:szCs w:val="24"/>
        </w:rPr>
        <w:t xml:space="preserve"> had a binding mechanism identical to the co-crystallized ligand and simeprevir. It occupied three pockets in Mpro and had the lowest binding energy (7.65 kcal/mol) of all the chemicals studied. 5-methyl-2,3,3a,6,7,8,9,11a,12,12a,13,14a-dodecahydrocyclopenta [c] is a 5-methyl-2,3,3a,6,7,8,9,11a,12,12a,13,14a-dodecahydrocyclo penta [c] is a 5-methyl-2 cyclopropa[g][1,6] The first pocket of Mpro was filled by the diazacyclotetra decine-4,14(1H,5H)-dione moiety, which established a hydrogen connection with Asn142. With Cys145 and His163, it also created two hydrophobic contacts. The 4-isopropylthiazole molecule was introduced into the second pocket, where it formed two hydrophobic contacts with His41 and a hydrogen bond with Thr190. Furthermore, the 7-methoxy-8-methylquinoline </w:t>
      </w:r>
      <w:commentRangeEnd w:id="21"/>
      <w:r w:rsidR="00AF0A3B">
        <w:rPr>
          <w:rStyle w:val="CommentReference"/>
          <w:rFonts w:ascii="Calibri" w:eastAsia="Calibri" w:hAnsi="Calibri" w:cs="Arial"/>
          <w:lang w:eastAsia="en-US"/>
        </w:rPr>
        <w:commentReference w:id="21"/>
      </w:r>
      <w:r w:rsidRPr="005F340F">
        <w:rPr>
          <w:rFonts w:asciiTheme="majorBidi" w:hAnsiTheme="majorBidi" w:cstheme="majorBidi"/>
          <w:sz w:val="24"/>
          <w:szCs w:val="24"/>
        </w:rPr>
        <w:t xml:space="preserve">molecule was found in the receptor's third pocket, generating a hydrophobic contact with Pro168 </w:t>
      </w:r>
      <w:r w:rsidRPr="005F340F">
        <w:rPr>
          <w:rFonts w:asciiTheme="majorBidi" w:hAnsiTheme="majorBidi" w:cstheme="majorBidi"/>
          <w:b/>
          <w:bCs/>
          <w:sz w:val="24"/>
          <w:szCs w:val="24"/>
        </w:rPr>
        <w:t>(Figs 11, 12, and 13).</w:t>
      </w:r>
    </w:p>
    <w:p w:rsidR="00C96985" w:rsidRPr="005F340F" w:rsidRDefault="00BA7A26" w:rsidP="00BA7A26">
      <w:pPr>
        <w:spacing w:line="276" w:lineRule="auto"/>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extent cx="3384734" cy="2686050"/>
            <wp:effectExtent l="19050" t="0" r="616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3384734" cy="2686050"/>
                    </a:xfrm>
                    <a:prstGeom prst="rect">
                      <a:avLst/>
                    </a:prstGeom>
                    <a:noFill/>
                    <a:ln w="9525">
                      <a:noFill/>
                      <a:miter lim="800000"/>
                      <a:headEnd/>
                      <a:tailEnd/>
                    </a:ln>
                  </pic:spPr>
                </pic:pic>
              </a:graphicData>
            </a:graphic>
          </wp:inline>
        </w:drawing>
      </w:r>
    </w:p>
    <w:p w:rsidR="00C96985" w:rsidRPr="005F340F" w:rsidRDefault="00C96985"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 11:</w:t>
      </w:r>
      <w:r w:rsidRPr="005F340F">
        <w:rPr>
          <w:rFonts w:asciiTheme="majorBidi" w:hAnsiTheme="majorBidi" w:cstheme="majorBidi"/>
          <w:sz w:val="24"/>
          <w:szCs w:val="24"/>
        </w:rPr>
        <w:t xml:space="preserve"> compound </w:t>
      </w:r>
      <w:r w:rsidRPr="005F340F">
        <w:rPr>
          <w:rFonts w:asciiTheme="majorBidi" w:hAnsiTheme="majorBidi" w:cstheme="majorBidi"/>
          <w:b/>
          <w:bCs/>
          <w:sz w:val="24"/>
          <w:szCs w:val="24"/>
        </w:rPr>
        <w:t>2</w:t>
      </w:r>
      <w:r w:rsidRPr="005F340F">
        <w:rPr>
          <w:rFonts w:asciiTheme="majorBidi" w:hAnsiTheme="majorBidi" w:cstheme="majorBidi"/>
          <w:sz w:val="24"/>
          <w:szCs w:val="24"/>
        </w:rPr>
        <w:t xml:space="preserve"> docked into the active site of COVID-19 main protease. The hydrogen bonds are represented in green dashedlines and the hydrophobic interactions are represented in orange dashed lines and pi-anionic interaction are presented in blue lines.    </w:t>
      </w:r>
    </w:p>
    <w:p w:rsidR="00C96985" w:rsidRPr="005F340F" w:rsidRDefault="00C96985" w:rsidP="00BA7A26">
      <w:pPr>
        <w:spacing w:line="276" w:lineRule="auto"/>
        <w:rPr>
          <w:rFonts w:asciiTheme="majorBidi" w:hAnsiTheme="majorBidi" w:cstheme="majorBidi"/>
          <w:sz w:val="24"/>
          <w:szCs w:val="24"/>
        </w:rPr>
      </w:pPr>
    </w:p>
    <w:p w:rsidR="00C96985" w:rsidRPr="005F340F" w:rsidRDefault="00BA7A26" w:rsidP="00BA7A26">
      <w:pPr>
        <w:spacing w:line="276" w:lineRule="auto"/>
        <w:jc w:val="center"/>
        <w:rPr>
          <w:rFonts w:asciiTheme="majorBidi" w:hAnsiTheme="majorBidi" w:cstheme="majorBidi"/>
          <w:b/>
          <w:bCs/>
          <w:i/>
          <w:iCs/>
          <w:sz w:val="24"/>
          <w:szCs w:val="24"/>
        </w:rPr>
      </w:pPr>
      <w:r>
        <w:rPr>
          <w:rFonts w:asciiTheme="majorBidi" w:hAnsiTheme="majorBidi" w:cstheme="majorBidi"/>
          <w:b/>
          <w:bCs/>
          <w:i/>
          <w:iCs/>
          <w:noProof/>
          <w:sz w:val="24"/>
          <w:szCs w:val="24"/>
          <w:lang w:eastAsia="en-US"/>
        </w:rPr>
        <w:drawing>
          <wp:inline distT="0" distB="0" distL="0" distR="0">
            <wp:extent cx="3562350" cy="28003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3562350" cy="2800350"/>
                    </a:xfrm>
                    <a:prstGeom prst="rect">
                      <a:avLst/>
                    </a:prstGeom>
                    <a:noFill/>
                    <a:ln w="9525">
                      <a:noFill/>
                      <a:miter lim="800000"/>
                      <a:headEnd/>
                      <a:tailEnd/>
                    </a:ln>
                  </pic:spPr>
                </pic:pic>
              </a:graphicData>
            </a:graphic>
          </wp:inline>
        </w:drawing>
      </w:r>
    </w:p>
    <w:p w:rsidR="00C96985" w:rsidRPr="005F340F" w:rsidRDefault="00C96985"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 12</w:t>
      </w:r>
      <w:r w:rsidRPr="005F340F">
        <w:rPr>
          <w:rFonts w:asciiTheme="majorBidi" w:hAnsiTheme="majorBidi" w:cstheme="majorBidi"/>
          <w:sz w:val="24"/>
          <w:szCs w:val="24"/>
        </w:rPr>
        <w:t xml:space="preserve">: Mapping surface showing compound </w:t>
      </w:r>
      <w:r w:rsidRPr="005F340F">
        <w:rPr>
          <w:rFonts w:asciiTheme="majorBidi" w:hAnsiTheme="majorBidi" w:cstheme="majorBidi"/>
          <w:b/>
          <w:bCs/>
          <w:sz w:val="24"/>
          <w:szCs w:val="24"/>
        </w:rPr>
        <w:t>2</w:t>
      </w:r>
      <w:r w:rsidRPr="005F340F">
        <w:rPr>
          <w:rFonts w:asciiTheme="majorBidi" w:hAnsiTheme="majorBidi" w:cstheme="majorBidi"/>
          <w:sz w:val="24"/>
          <w:szCs w:val="24"/>
        </w:rPr>
        <w:t xml:space="preserve"> occupying the active pocket of the COVID-19 main protease.</w:t>
      </w:r>
    </w:p>
    <w:p w:rsidR="00C96985" w:rsidRPr="005F340F" w:rsidRDefault="00BA7A26" w:rsidP="00BA7A26">
      <w:pPr>
        <w:spacing w:line="276" w:lineRule="auto"/>
        <w:jc w:val="center"/>
        <w:rPr>
          <w:rFonts w:asciiTheme="majorBidi" w:hAnsiTheme="majorBidi" w:cstheme="majorBidi"/>
          <w:i/>
          <w:iCs/>
          <w:sz w:val="24"/>
          <w:szCs w:val="24"/>
        </w:rPr>
      </w:pPr>
      <w:r>
        <w:rPr>
          <w:rFonts w:asciiTheme="majorBidi" w:hAnsiTheme="majorBidi" w:cstheme="majorBidi"/>
          <w:i/>
          <w:iCs/>
          <w:noProof/>
          <w:sz w:val="24"/>
          <w:szCs w:val="24"/>
          <w:lang w:eastAsia="en-US"/>
        </w:rPr>
        <w:lastRenderedPageBreak/>
        <w:drawing>
          <wp:inline distT="0" distB="0" distL="0" distR="0">
            <wp:extent cx="3133725" cy="31337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3133725" cy="3133725"/>
                    </a:xfrm>
                    <a:prstGeom prst="rect">
                      <a:avLst/>
                    </a:prstGeom>
                    <a:noFill/>
                    <a:ln w="9525">
                      <a:noFill/>
                      <a:miter lim="800000"/>
                      <a:headEnd/>
                      <a:tailEnd/>
                    </a:ln>
                  </pic:spPr>
                </pic:pic>
              </a:graphicData>
            </a:graphic>
          </wp:inline>
        </w:drawing>
      </w:r>
    </w:p>
    <w:p w:rsidR="00C96985" w:rsidRPr="005F340F" w:rsidRDefault="00C96985"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 13:</w:t>
      </w:r>
      <w:r w:rsidRPr="005F340F">
        <w:rPr>
          <w:rFonts w:asciiTheme="majorBidi" w:hAnsiTheme="majorBidi" w:cstheme="majorBidi"/>
          <w:sz w:val="24"/>
          <w:szCs w:val="24"/>
        </w:rPr>
        <w:t xml:space="preserve"> 2D interaction of compound </w:t>
      </w:r>
      <w:r w:rsidRPr="005F340F">
        <w:rPr>
          <w:rFonts w:asciiTheme="majorBidi" w:hAnsiTheme="majorBidi" w:cstheme="majorBidi"/>
          <w:b/>
          <w:bCs/>
          <w:sz w:val="24"/>
          <w:szCs w:val="24"/>
        </w:rPr>
        <w:t>2</w:t>
      </w:r>
      <w:r w:rsidRPr="005F340F">
        <w:rPr>
          <w:rFonts w:asciiTheme="majorBidi" w:hAnsiTheme="majorBidi" w:cstheme="majorBidi"/>
          <w:sz w:val="24"/>
          <w:szCs w:val="24"/>
        </w:rPr>
        <w:t xml:space="preserve"> in the active site of the COVID-19 main protease.</w:t>
      </w:r>
    </w:p>
    <w:p w:rsidR="001F1F51" w:rsidRPr="005F340F" w:rsidRDefault="001F1F51" w:rsidP="00BA7A26">
      <w:pPr>
        <w:spacing w:line="276" w:lineRule="auto"/>
        <w:jc w:val="center"/>
        <w:rPr>
          <w:rFonts w:asciiTheme="majorBidi" w:hAnsiTheme="majorBidi" w:cstheme="majorBidi"/>
          <w:sz w:val="24"/>
          <w:szCs w:val="24"/>
        </w:rPr>
      </w:pPr>
    </w:p>
    <w:p w:rsidR="00842393" w:rsidRPr="005F340F" w:rsidRDefault="00AE28D4"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Conversely</w:t>
      </w:r>
      <w:commentRangeStart w:id="22"/>
      <w:r w:rsidRPr="005F340F">
        <w:rPr>
          <w:rFonts w:asciiTheme="majorBidi" w:hAnsiTheme="majorBidi" w:cstheme="majorBidi"/>
          <w:sz w:val="24"/>
          <w:szCs w:val="24"/>
        </w:rPr>
        <w:t>,</w:t>
      </w:r>
      <w:r w:rsidR="00842393" w:rsidRPr="005F340F">
        <w:rPr>
          <w:rFonts w:asciiTheme="majorBidi" w:hAnsiTheme="majorBidi" w:cstheme="majorBidi"/>
          <w:sz w:val="24"/>
          <w:szCs w:val="24"/>
        </w:rPr>
        <w:t xml:space="preserve"> compounds </w:t>
      </w:r>
      <w:r w:rsidR="00842393" w:rsidRPr="005F340F">
        <w:rPr>
          <w:rFonts w:asciiTheme="majorBidi" w:hAnsiTheme="majorBidi" w:cstheme="majorBidi"/>
          <w:b/>
          <w:bCs/>
          <w:sz w:val="24"/>
          <w:szCs w:val="24"/>
        </w:rPr>
        <w:t>3</w:t>
      </w:r>
      <w:r w:rsidR="00842393" w:rsidRPr="005F340F">
        <w:rPr>
          <w:rFonts w:asciiTheme="majorBidi" w:hAnsiTheme="majorBidi" w:cstheme="majorBidi"/>
          <w:sz w:val="24"/>
          <w:szCs w:val="24"/>
        </w:rPr>
        <w:t xml:space="preserve">, </w:t>
      </w:r>
      <w:r w:rsidR="00842393" w:rsidRPr="005F340F">
        <w:rPr>
          <w:rFonts w:asciiTheme="majorBidi" w:hAnsiTheme="majorBidi" w:cstheme="majorBidi"/>
          <w:b/>
          <w:bCs/>
          <w:sz w:val="24"/>
          <w:szCs w:val="24"/>
        </w:rPr>
        <w:t>4</w:t>
      </w:r>
      <w:r w:rsidR="00842393" w:rsidRPr="005F340F">
        <w:rPr>
          <w:rFonts w:asciiTheme="majorBidi" w:hAnsiTheme="majorBidi" w:cstheme="majorBidi"/>
          <w:sz w:val="24"/>
          <w:szCs w:val="24"/>
        </w:rPr>
        <w:t xml:space="preserve">, and </w:t>
      </w:r>
      <w:r w:rsidR="00842393" w:rsidRPr="005F340F">
        <w:rPr>
          <w:rFonts w:asciiTheme="majorBidi" w:hAnsiTheme="majorBidi" w:cstheme="majorBidi"/>
          <w:b/>
          <w:bCs/>
          <w:sz w:val="24"/>
          <w:szCs w:val="24"/>
        </w:rPr>
        <w:t>5</w:t>
      </w:r>
      <w:r w:rsidR="00842393" w:rsidRPr="005F340F">
        <w:rPr>
          <w:rFonts w:asciiTheme="majorBidi" w:hAnsiTheme="majorBidi" w:cstheme="majorBidi"/>
          <w:sz w:val="24"/>
          <w:szCs w:val="24"/>
        </w:rPr>
        <w:t xml:space="preserve"> exhibited </w:t>
      </w:r>
      <w:r w:rsidRPr="005F340F">
        <w:rPr>
          <w:rFonts w:asciiTheme="majorBidi" w:hAnsiTheme="majorBidi" w:cstheme="majorBidi"/>
          <w:sz w:val="24"/>
          <w:szCs w:val="24"/>
        </w:rPr>
        <w:t xml:space="preserve">a lower </w:t>
      </w:r>
      <w:r w:rsidR="00842393" w:rsidRPr="005F340F">
        <w:rPr>
          <w:rFonts w:asciiTheme="majorBidi" w:hAnsiTheme="majorBidi" w:cstheme="majorBidi"/>
          <w:sz w:val="24"/>
          <w:szCs w:val="24"/>
        </w:rPr>
        <w:t xml:space="preserve">binding affinity </w:t>
      </w:r>
      <w:r w:rsidRPr="005F340F">
        <w:rPr>
          <w:rFonts w:asciiTheme="majorBidi" w:hAnsiTheme="majorBidi" w:cstheme="majorBidi"/>
          <w:sz w:val="24"/>
          <w:szCs w:val="24"/>
        </w:rPr>
        <w:t>compared with</w:t>
      </w:r>
      <w:r w:rsidR="00842393" w:rsidRPr="005F340F">
        <w:rPr>
          <w:rFonts w:asciiTheme="majorBidi" w:hAnsiTheme="majorBidi" w:cstheme="majorBidi"/>
          <w:sz w:val="24"/>
          <w:szCs w:val="24"/>
        </w:rPr>
        <w:t xml:space="preserve"> the </w:t>
      </w:r>
      <w:r w:rsidR="00842393" w:rsidRPr="005F340F">
        <w:rPr>
          <w:rFonts w:asciiTheme="majorBidi" w:hAnsiTheme="majorBidi" w:cstheme="majorBidi"/>
          <w:b/>
          <w:bCs/>
          <w:sz w:val="24"/>
          <w:szCs w:val="24"/>
        </w:rPr>
        <w:t>co-crystallized ligand (</w:t>
      </w:r>
      <w:hyperlink r:id="rId27" w:history="1">
        <w:r w:rsidR="00842393" w:rsidRPr="005F340F">
          <w:rPr>
            <w:rStyle w:val="Hyperlink"/>
            <w:rFonts w:asciiTheme="majorBidi" w:hAnsiTheme="majorBidi" w:cstheme="majorBidi"/>
            <w:sz w:val="24"/>
            <w:szCs w:val="24"/>
          </w:rPr>
          <w:t>PRD-002214</w:t>
        </w:r>
      </w:hyperlink>
      <w:r w:rsidR="00842393" w:rsidRPr="005F340F">
        <w:rPr>
          <w:rFonts w:asciiTheme="majorBidi" w:hAnsiTheme="majorBidi" w:cstheme="majorBidi"/>
          <w:sz w:val="24"/>
          <w:szCs w:val="24"/>
          <w:u w:val="single"/>
        </w:rPr>
        <w:t>)</w:t>
      </w:r>
      <w:r w:rsidRPr="005F340F">
        <w:rPr>
          <w:rFonts w:asciiTheme="majorBidi" w:hAnsiTheme="majorBidi" w:cstheme="majorBidi"/>
          <w:sz w:val="24"/>
          <w:szCs w:val="24"/>
          <w:u w:val="single"/>
        </w:rPr>
        <w:t>,</w:t>
      </w:r>
      <w:r w:rsidR="00842393" w:rsidRPr="005F340F">
        <w:rPr>
          <w:rFonts w:asciiTheme="majorBidi" w:hAnsiTheme="majorBidi" w:cstheme="majorBidi"/>
          <w:sz w:val="24"/>
          <w:szCs w:val="24"/>
          <w:u w:val="single"/>
        </w:rPr>
        <w:t xml:space="preserve"> with </w:t>
      </w:r>
      <w:r w:rsidRPr="005F340F">
        <w:rPr>
          <w:rFonts w:asciiTheme="majorBidi" w:hAnsiTheme="majorBidi" w:cstheme="majorBidi"/>
          <w:sz w:val="24"/>
          <w:szCs w:val="24"/>
          <w:u w:val="single"/>
        </w:rPr>
        <w:t xml:space="preserve">a </w:t>
      </w:r>
      <w:r w:rsidR="00842393" w:rsidRPr="005F340F">
        <w:rPr>
          <w:rFonts w:asciiTheme="majorBidi" w:hAnsiTheme="majorBidi" w:cstheme="majorBidi"/>
          <w:sz w:val="24"/>
          <w:szCs w:val="24"/>
          <w:u w:val="single"/>
        </w:rPr>
        <w:t xml:space="preserve">free energy of </w:t>
      </w:r>
      <w:r w:rsidR="00703A33" w:rsidRPr="005F340F">
        <w:rPr>
          <w:rFonts w:asciiTheme="majorBidi" w:hAnsiTheme="majorBidi" w:cstheme="majorBidi"/>
          <w:sz w:val="24"/>
          <w:szCs w:val="24"/>
        </w:rPr>
        <w:t>−</w:t>
      </w:r>
      <w:r w:rsidR="00842393" w:rsidRPr="005F340F">
        <w:rPr>
          <w:rFonts w:asciiTheme="majorBidi" w:hAnsiTheme="majorBidi" w:cstheme="majorBidi"/>
          <w:sz w:val="24"/>
          <w:szCs w:val="24"/>
        </w:rPr>
        <w:t xml:space="preserve">6.23, </w:t>
      </w:r>
      <w:r w:rsidR="00703A33" w:rsidRPr="005F340F">
        <w:rPr>
          <w:rFonts w:asciiTheme="majorBidi" w:hAnsiTheme="majorBidi" w:cstheme="majorBidi"/>
          <w:sz w:val="24"/>
          <w:szCs w:val="24"/>
        </w:rPr>
        <w:t>−</w:t>
      </w:r>
      <w:r w:rsidR="00842393" w:rsidRPr="005F340F">
        <w:rPr>
          <w:rFonts w:asciiTheme="majorBidi" w:hAnsiTheme="majorBidi" w:cstheme="majorBidi"/>
          <w:sz w:val="24"/>
          <w:szCs w:val="24"/>
        </w:rPr>
        <w:t xml:space="preserve">6.44, and </w:t>
      </w:r>
      <w:r w:rsidR="00703A33" w:rsidRPr="005F340F">
        <w:rPr>
          <w:rFonts w:asciiTheme="majorBidi" w:hAnsiTheme="majorBidi" w:cstheme="majorBidi"/>
          <w:sz w:val="24"/>
          <w:szCs w:val="24"/>
        </w:rPr>
        <w:t>−</w:t>
      </w:r>
      <w:r w:rsidR="00842393" w:rsidRPr="005F340F">
        <w:rPr>
          <w:rFonts w:asciiTheme="majorBidi" w:hAnsiTheme="majorBidi" w:cstheme="majorBidi"/>
          <w:sz w:val="24"/>
          <w:szCs w:val="24"/>
        </w:rPr>
        <w:t xml:space="preserve">6.32, respectively. In detail, compound </w:t>
      </w:r>
      <w:r w:rsidR="00842393" w:rsidRPr="005F340F">
        <w:rPr>
          <w:rFonts w:asciiTheme="majorBidi" w:hAnsiTheme="majorBidi" w:cstheme="majorBidi"/>
          <w:b/>
          <w:bCs/>
          <w:sz w:val="24"/>
          <w:szCs w:val="24"/>
        </w:rPr>
        <w:t>3</w:t>
      </w:r>
      <w:r w:rsidRPr="005F340F">
        <w:rPr>
          <w:rFonts w:asciiTheme="majorBidi" w:hAnsiTheme="majorBidi" w:cstheme="majorBidi"/>
          <w:sz w:val="24"/>
          <w:szCs w:val="24"/>
        </w:rPr>
        <w:t xml:space="preserve">formed </w:t>
      </w:r>
      <w:r w:rsidR="00842393" w:rsidRPr="005F340F">
        <w:rPr>
          <w:rFonts w:asciiTheme="majorBidi" w:hAnsiTheme="majorBidi" w:cstheme="majorBidi"/>
          <w:sz w:val="24"/>
          <w:szCs w:val="24"/>
        </w:rPr>
        <w:t>four hydrogen bonds with Gly143, Gln189, Asn142, and Glu166</w:t>
      </w:r>
      <w:r w:rsidRPr="005F340F">
        <w:rPr>
          <w:rFonts w:asciiTheme="majorBidi" w:hAnsiTheme="majorBidi" w:cstheme="majorBidi"/>
          <w:sz w:val="24"/>
          <w:szCs w:val="24"/>
        </w:rPr>
        <w:t xml:space="preserve">,whereas </w:t>
      </w:r>
      <w:r w:rsidR="00842393" w:rsidRPr="005F340F">
        <w:rPr>
          <w:rFonts w:asciiTheme="majorBidi" w:hAnsiTheme="majorBidi" w:cstheme="majorBidi"/>
          <w:sz w:val="24"/>
          <w:szCs w:val="24"/>
        </w:rPr>
        <w:t xml:space="preserve">compound </w:t>
      </w:r>
      <w:r w:rsidR="00842393" w:rsidRPr="005F340F">
        <w:rPr>
          <w:rFonts w:asciiTheme="majorBidi" w:hAnsiTheme="majorBidi" w:cstheme="majorBidi"/>
          <w:b/>
          <w:bCs/>
          <w:sz w:val="24"/>
          <w:szCs w:val="24"/>
        </w:rPr>
        <w:t>4</w:t>
      </w:r>
      <w:r w:rsidR="00842393" w:rsidRPr="005F340F">
        <w:rPr>
          <w:rFonts w:asciiTheme="majorBidi" w:hAnsiTheme="majorBidi" w:cstheme="majorBidi"/>
          <w:sz w:val="24"/>
          <w:szCs w:val="24"/>
        </w:rPr>
        <w:t xml:space="preserve"> formed two hydrogen bonds with Met49 and Glu166 and five hydrophobic interactions with Glu166, His 163, and Met165. Regarding compound </w:t>
      </w:r>
      <w:r w:rsidR="00842393" w:rsidRPr="005F340F">
        <w:rPr>
          <w:rFonts w:asciiTheme="majorBidi" w:hAnsiTheme="majorBidi" w:cstheme="majorBidi"/>
          <w:b/>
          <w:bCs/>
          <w:sz w:val="24"/>
          <w:szCs w:val="24"/>
        </w:rPr>
        <w:t>5</w:t>
      </w:r>
      <w:r w:rsidR="00842393" w:rsidRPr="005F340F">
        <w:rPr>
          <w:rFonts w:asciiTheme="majorBidi" w:hAnsiTheme="majorBidi" w:cstheme="majorBidi"/>
          <w:sz w:val="24"/>
          <w:szCs w:val="24"/>
        </w:rPr>
        <w:t xml:space="preserve">, it formed one hydrogen </w:t>
      </w:r>
      <w:commentRangeEnd w:id="22"/>
      <w:r w:rsidR="00AF0A3B">
        <w:rPr>
          <w:rStyle w:val="CommentReference"/>
          <w:rFonts w:ascii="Calibri" w:eastAsia="Calibri" w:hAnsi="Calibri" w:cs="Arial"/>
          <w:lang w:eastAsia="en-US"/>
        </w:rPr>
        <w:commentReference w:id="22"/>
      </w:r>
      <w:r w:rsidR="00842393" w:rsidRPr="005F340F">
        <w:rPr>
          <w:rFonts w:asciiTheme="majorBidi" w:hAnsiTheme="majorBidi" w:cstheme="majorBidi"/>
          <w:sz w:val="24"/>
          <w:szCs w:val="24"/>
        </w:rPr>
        <w:t xml:space="preserve">bond with Glu166 and six hydrophobic interactions with His163, His41, Met165, and Glu166 </w:t>
      </w:r>
      <w:r w:rsidR="004476CD" w:rsidRPr="005F340F">
        <w:rPr>
          <w:rFonts w:asciiTheme="majorBidi" w:hAnsiTheme="majorBidi" w:cstheme="majorBidi"/>
          <w:sz w:val="24"/>
          <w:szCs w:val="24"/>
        </w:rPr>
        <w:t>(</w:t>
      </w:r>
      <w:r w:rsidR="00842393" w:rsidRPr="005F340F">
        <w:rPr>
          <w:rFonts w:asciiTheme="majorBidi" w:hAnsiTheme="majorBidi" w:cstheme="majorBidi"/>
          <w:b/>
          <w:bCs/>
          <w:sz w:val="24"/>
          <w:szCs w:val="24"/>
        </w:rPr>
        <w:t>Fig</w:t>
      </w:r>
      <w:r w:rsidR="004476CD" w:rsidRPr="005F340F">
        <w:rPr>
          <w:rFonts w:asciiTheme="majorBidi" w:hAnsiTheme="majorBidi" w:cstheme="majorBidi"/>
          <w:b/>
          <w:bCs/>
          <w:sz w:val="24"/>
          <w:szCs w:val="24"/>
        </w:rPr>
        <w:t>s</w:t>
      </w:r>
      <w:r w:rsidR="00842393" w:rsidRPr="005F340F">
        <w:rPr>
          <w:rFonts w:asciiTheme="majorBidi" w:hAnsiTheme="majorBidi" w:cstheme="majorBidi"/>
          <w:b/>
          <w:bCs/>
          <w:sz w:val="24"/>
          <w:szCs w:val="24"/>
        </w:rPr>
        <w:t>S1</w:t>
      </w:r>
      <w:r w:rsidR="004476CD" w:rsidRPr="005F340F">
        <w:rPr>
          <w:rFonts w:asciiTheme="majorBidi" w:hAnsiTheme="majorBidi" w:cstheme="majorBidi"/>
          <w:b/>
          <w:bCs/>
          <w:sz w:val="24"/>
          <w:szCs w:val="24"/>
        </w:rPr>
        <w:t>–</w:t>
      </w:r>
      <w:r w:rsidR="00842393" w:rsidRPr="005F340F">
        <w:rPr>
          <w:rFonts w:asciiTheme="majorBidi" w:hAnsiTheme="majorBidi" w:cstheme="majorBidi"/>
          <w:b/>
          <w:bCs/>
          <w:sz w:val="24"/>
          <w:szCs w:val="24"/>
        </w:rPr>
        <w:t>S9</w:t>
      </w:r>
      <w:r w:rsidR="004476CD" w:rsidRPr="005F340F">
        <w:rPr>
          <w:rFonts w:asciiTheme="majorBidi" w:hAnsiTheme="majorBidi" w:cstheme="majorBidi"/>
          <w:sz w:val="24"/>
          <w:szCs w:val="24"/>
        </w:rPr>
        <w:t>)</w:t>
      </w:r>
      <w:r w:rsidR="00842393" w:rsidRPr="005F340F">
        <w:rPr>
          <w:rFonts w:asciiTheme="majorBidi" w:hAnsiTheme="majorBidi" w:cstheme="majorBidi"/>
          <w:sz w:val="24"/>
          <w:szCs w:val="24"/>
        </w:rPr>
        <w:t>.</w:t>
      </w:r>
    </w:p>
    <w:p w:rsidR="0037189B" w:rsidRPr="005F340F" w:rsidRDefault="0037189B" w:rsidP="00BA7A26">
      <w:pPr>
        <w:spacing w:line="276" w:lineRule="auto"/>
        <w:jc w:val="center"/>
        <w:rPr>
          <w:rFonts w:asciiTheme="majorBidi" w:hAnsiTheme="majorBidi" w:cstheme="majorBidi"/>
          <w:sz w:val="24"/>
          <w:szCs w:val="24"/>
        </w:rPr>
      </w:pPr>
      <w:r w:rsidRPr="005F340F">
        <w:rPr>
          <w:rFonts w:asciiTheme="majorBidi" w:hAnsiTheme="majorBidi" w:cstheme="majorBidi"/>
          <w:b/>
          <w:bCs/>
          <w:sz w:val="24"/>
          <w:szCs w:val="24"/>
        </w:rPr>
        <w:t>Table 1</w:t>
      </w:r>
      <w:r w:rsidRPr="005F340F">
        <w:rPr>
          <w:rFonts w:asciiTheme="majorBidi" w:hAnsiTheme="majorBidi" w:cstheme="majorBidi"/>
          <w:sz w:val="24"/>
          <w:szCs w:val="24"/>
        </w:rPr>
        <w:t>: The docking binding free energies of five compounds, simeprevir and the co-crystallized ligand (</w:t>
      </w:r>
      <w:hyperlink r:id="rId28" w:history="1">
        <w:r w:rsidRPr="005F340F">
          <w:rPr>
            <w:rFonts w:asciiTheme="majorBidi" w:hAnsiTheme="majorBidi" w:cstheme="majorBidi"/>
            <w:color w:val="0000FF"/>
            <w:sz w:val="24"/>
            <w:szCs w:val="24"/>
            <w:u w:val="single"/>
          </w:rPr>
          <w:t>PRD-002214</w:t>
        </w:r>
      </w:hyperlink>
      <w:r w:rsidRPr="005F340F">
        <w:rPr>
          <w:rFonts w:asciiTheme="majorBidi" w:hAnsiTheme="majorBidi" w:cstheme="majorBidi"/>
          <w:sz w:val="24"/>
          <w:szCs w:val="24"/>
        </w:rPr>
        <w:t>) against COVID-19 main protease.</w:t>
      </w:r>
    </w:p>
    <w:tbl>
      <w:tblPr>
        <w:tblW w:w="44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4383"/>
        <w:gridCol w:w="4107"/>
      </w:tblGrid>
      <w:tr w:rsidR="0037189B" w:rsidRPr="005F340F" w:rsidTr="00DF00FE">
        <w:trPr>
          <w:trHeight w:val="676"/>
          <w:jc w:val="center"/>
        </w:trPr>
        <w:tc>
          <w:tcPr>
            <w:tcW w:w="2581" w:type="pct"/>
            <w:shd w:val="clear" w:color="auto" w:fill="FFFFFF"/>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Compound</w:t>
            </w:r>
          </w:p>
        </w:tc>
        <w:tc>
          <w:tcPr>
            <w:tcW w:w="2419" w:type="pct"/>
            <w:shd w:val="clear" w:color="auto" w:fill="auto"/>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Binding free energy (kcal/mol)</w:t>
            </w:r>
          </w:p>
        </w:tc>
      </w:tr>
      <w:tr w:rsidR="0037189B" w:rsidRPr="005F340F" w:rsidTr="00DF00FE">
        <w:trPr>
          <w:trHeight w:val="676"/>
          <w:jc w:val="center"/>
        </w:trPr>
        <w:tc>
          <w:tcPr>
            <w:tcW w:w="2581" w:type="pct"/>
            <w:shd w:val="clear" w:color="auto" w:fill="FFFFFF"/>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Simeprevir</w:t>
            </w:r>
          </w:p>
        </w:tc>
        <w:tc>
          <w:tcPr>
            <w:tcW w:w="2419" w:type="pct"/>
            <w:shd w:val="clear" w:color="auto" w:fill="auto"/>
            <w:vAlign w:val="center"/>
          </w:tcPr>
          <w:p w:rsidR="0037189B" w:rsidRPr="005F340F" w:rsidRDefault="0037189B" w:rsidP="00BA7A26">
            <w:pPr>
              <w:spacing w:line="276" w:lineRule="auto"/>
              <w:jc w:val="center"/>
              <w:rPr>
                <w:rFonts w:asciiTheme="majorBidi" w:hAnsiTheme="majorBidi" w:cstheme="majorBidi"/>
                <w:sz w:val="24"/>
                <w:szCs w:val="24"/>
              </w:rPr>
            </w:pPr>
            <w:r w:rsidRPr="005F340F">
              <w:rPr>
                <w:rFonts w:asciiTheme="majorBidi" w:hAnsiTheme="majorBidi" w:cstheme="majorBidi"/>
                <w:sz w:val="24"/>
                <w:szCs w:val="24"/>
              </w:rPr>
              <w:t>-7.00</w:t>
            </w:r>
          </w:p>
        </w:tc>
      </w:tr>
      <w:tr w:rsidR="0037189B" w:rsidRPr="005F340F" w:rsidTr="00DF00FE">
        <w:trPr>
          <w:trHeight w:val="676"/>
          <w:jc w:val="center"/>
        </w:trPr>
        <w:tc>
          <w:tcPr>
            <w:tcW w:w="2581" w:type="pct"/>
            <w:shd w:val="clear" w:color="auto" w:fill="FFFFFF"/>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Co-crystallized ligand (</w:t>
            </w:r>
            <w:hyperlink r:id="rId29" w:history="1">
              <w:r w:rsidRPr="005F340F">
                <w:rPr>
                  <w:rFonts w:asciiTheme="majorBidi" w:hAnsiTheme="majorBidi" w:cstheme="majorBidi"/>
                  <w:color w:val="0000FF"/>
                  <w:sz w:val="24"/>
                  <w:szCs w:val="24"/>
                  <w:u w:val="single"/>
                </w:rPr>
                <w:t>PRD-002214</w:t>
              </w:r>
            </w:hyperlink>
            <w:r w:rsidRPr="005F340F">
              <w:rPr>
                <w:rFonts w:asciiTheme="majorBidi" w:hAnsiTheme="majorBidi" w:cstheme="majorBidi"/>
                <w:sz w:val="24"/>
                <w:szCs w:val="24"/>
                <w:u w:val="single"/>
              </w:rPr>
              <w:t>)</w:t>
            </w:r>
          </w:p>
        </w:tc>
        <w:tc>
          <w:tcPr>
            <w:tcW w:w="2419" w:type="pct"/>
            <w:shd w:val="clear" w:color="auto" w:fill="auto"/>
            <w:vAlign w:val="center"/>
          </w:tcPr>
          <w:p w:rsidR="0037189B" w:rsidRPr="005F340F" w:rsidRDefault="0037189B" w:rsidP="00BA7A26">
            <w:pPr>
              <w:spacing w:line="276" w:lineRule="auto"/>
              <w:jc w:val="center"/>
              <w:rPr>
                <w:rFonts w:asciiTheme="majorBidi" w:hAnsiTheme="majorBidi" w:cstheme="majorBidi"/>
                <w:sz w:val="24"/>
                <w:szCs w:val="24"/>
              </w:rPr>
            </w:pPr>
            <w:r w:rsidRPr="005F340F">
              <w:rPr>
                <w:rFonts w:asciiTheme="majorBidi" w:hAnsiTheme="majorBidi" w:cstheme="majorBidi"/>
                <w:sz w:val="24"/>
                <w:szCs w:val="24"/>
              </w:rPr>
              <w:t>-6.94</w:t>
            </w:r>
          </w:p>
        </w:tc>
      </w:tr>
      <w:tr w:rsidR="0037189B" w:rsidRPr="005F340F" w:rsidTr="00DF00FE">
        <w:trPr>
          <w:trHeight w:val="316"/>
          <w:jc w:val="center"/>
        </w:trPr>
        <w:tc>
          <w:tcPr>
            <w:tcW w:w="2581" w:type="pct"/>
            <w:shd w:val="clear" w:color="auto" w:fill="FFFFFF"/>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1</w:t>
            </w:r>
          </w:p>
        </w:tc>
        <w:tc>
          <w:tcPr>
            <w:tcW w:w="2419" w:type="pct"/>
            <w:shd w:val="clear" w:color="auto" w:fill="auto"/>
            <w:vAlign w:val="center"/>
          </w:tcPr>
          <w:p w:rsidR="0037189B" w:rsidRPr="005F340F" w:rsidRDefault="0037189B" w:rsidP="00BA7A26">
            <w:pPr>
              <w:spacing w:line="276" w:lineRule="auto"/>
              <w:jc w:val="center"/>
              <w:rPr>
                <w:rFonts w:asciiTheme="majorBidi" w:hAnsiTheme="majorBidi" w:cstheme="majorBidi"/>
                <w:sz w:val="24"/>
                <w:szCs w:val="24"/>
                <w:rtl/>
              </w:rPr>
            </w:pPr>
            <w:r w:rsidRPr="005F340F">
              <w:rPr>
                <w:rFonts w:asciiTheme="majorBidi" w:hAnsiTheme="majorBidi" w:cstheme="majorBidi"/>
                <w:sz w:val="24"/>
                <w:szCs w:val="24"/>
              </w:rPr>
              <w:t>-6.95</w:t>
            </w:r>
          </w:p>
        </w:tc>
      </w:tr>
      <w:tr w:rsidR="0037189B" w:rsidRPr="005F340F" w:rsidTr="00DF00FE">
        <w:trPr>
          <w:trHeight w:val="276"/>
          <w:jc w:val="center"/>
        </w:trPr>
        <w:tc>
          <w:tcPr>
            <w:tcW w:w="2581" w:type="pct"/>
            <w:shd w:val="clear" w:color="auto" w:fill="FFFFFF"/>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2</w:t>
            </w:r>
          </w:p>
        </w:tc>
        <w:tc>
          <w:tcPr>
            <w:tcW w:w="2419" w:type="pct"/>
            <w:shd w:val="clear" w:color="auto" w:fill="auto"/>
            <w:vAlign w:val="center"/>
          </w:tcPr>
          <w:p w:rsidR="0037189B" w:rsidRPr="005F340F" w:rsidRDefault="0037189B" w:rsidP="00BA7A26">
            <w:pPr>
              <w:spacing w:line="276" w:lineRule="auto"/>
              <w:jc w:val="center"/>
              <w:rPr>
                <w:rFonts w:asciiTheme="majorBidi" w:hAnsiTheme="majorBidi" w:cstheme="majorBidi"/>
                <w:sz w:val="24"/>
                <w:szCs w:val="24"/>
                <w:rtl/>
              </w:rPr>
            </w:pPr>
            <w:r w:rsidRPr="005F340F">
              <w:rPr>
                <w:rFonts w:asciiTheme="majorBidi" w:hAnsiTheme="majorBidi" w:cstheme="majorBidi"/>
                <w:sz w:val="24"/>
                <w:szCs w:val="24"/>
              </w:rPr>
              <w:t>-7.65</w:t>
            </w:r>
          </w:p>
        </w:tc>
      </w:tr>
      <w:tr w:rsidR="0037189B" w:rsidRPr="005F340F" w:rsidTr="00DF00FE">
        <w:trPr>
          <w:trHeight w:val="283"/>
          <w:jc w:val="center"/>
        </w:trPr>
        <w:tc>
          <w:tcPr>
            <w:tcW w:w="2581" w:type="pct"/>
            <w:shd w:val="clear" w:color="auto" w:fill="FFFFFF"/>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3</w:t>
            </w:r>
          </w:p>
        </w:tc>
        <w:tc>
          <w:tcPr>
            <w:tcW w:w="2419" w:type="pct"/>
            <w:shd w:val="clear" w:color="auto" w:fill="auto"/>
            <w:vAlign w:val="center"/>
          </w:tcPr>
          <w:p w:rsidR="0037189B" w:rsidRPr="005F340F" w:rsidRDefault="0037189B" w:rsidP="00BA7A26">
            <w:pPr>
              <w:spacing w:line="276" w:lineRule="auto"/>
              <w:jc w:val="center"/>
              <w:rPr>
                <w:rFonts w:asciiTheme="majorBidi" w:hAnsiTheme="majorBidi" w:cstheme="majorBidi"/>
                <w:sz w:val="24"/>
                <w:szCs w:val="24"/>
                <w:rtl/>
              </w:rPr>
            </w:pPr>
            <w:r w:rsidRPr="005F340F">
              <w:rPr>
                <w:rFonts w:asciiTheme="majorBidi" w:hAnsiTheme="majorBidi" w:cstheme="majorBidi"/>
                <w:sz w:val="24"/>
                <w:szCs w:val="24"/>
              </w:rPr>
              <w:t>-6.23</w:t>
            </w:r>
          </w:p>
        </w:tc>
      </w:tr>
      <w:tr w:rsidR="0037189B" w:rsidRPr="005F340F" w:rsidTr="00DF00FE">
        <w:trPr>
          <w:trHeight w:val="283"/>
          <w:jc w:val="center"/>
        </w:trPr>
        <w:tc>
          <w:tcPr>
            <w:tcW w:w="2581" w:type="pct"/>
            <w:shd w:val="clear" w:color="auto" w:fill="FFFFFF"/>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4</w:t>
            </w:r>
          </w:p>
        </w:tc>
        <w:tc>
          <w:tcPr>
            <w:tcW w:w="2419" w:type="pct"/>
            <w:shd w:val="clear" w:color="auto" w:fill="auto"/>
            <w:vAlign w:val="center"/>
          </w:tcPr>
          <w:p w:rsidR="0037189B" w:rsidRPr="005F340F" w:rsidRDefault="0037189B" w:rsidP="00BA7A26">
            <w:pPr>
              <w:spacing w:line="276" w:lineRule="auto"/>
              <w:jc w:val="center"/>
              <w:rPr>
                <w:rFonts w:asciiTheme="majorBidi" w:hAnsiTheme="majorBidi" w:cstheme="majorBidi"/>
                <w:sz w:val="24"/>
                <w:szCs w:val="24"/>
              </w:rPr>
            </w:pPr>
            <w:r w:rsidRPr="005F340F">
              <w:rPr>
                <w:rFonts w:asciiTheme="majorBidi" w:hAnsiTheme="majorBidi" w:cstheme="majorBidi"/>
                <w:sz w:val="24"/>
                <w:szCs w:val="24"/>
              </w:rPr>
              <w:t>-6.44</w:t>
            </w:r>
          </w:p>
        </w:tc>
      </w:tr>
      <w:tr w:rsidR="0037189B" w:rsidRPr="005F340F" w:rsidTr="00DF00FE">
        <w:trPr>
          <w:trHeight w:val="283"/>
          <w:jc w:val="center"/>
        </w:trPr>
        <w:tc>
          <w:tcPr>
            <w:tcW w:w="2581" w:type="pct"/>
            <w:shd w:val="clear" w:color="auto" w:fill="FFFFFF"/>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5</w:t>
            </w:r>
          </w:p>
        </w:tc>
        <w:tc>
          <w:tcPr>
            <w:tcW w:w="2419" w:type="pct"/>
            <w:shd w:val="clear" w:color="auto" w:fill="auto"/>
            <w:vAlign w:val="center"/>
          </w:tcPr>
          <w:p w:rsidR="0037189B" w:rsidRPr="005F340F" w:rsidRDefault="0037189B" w:rsidP="00BA7A26">
            <w:pPr>
              <w:spacing w:line="276" w:lineRule="auto"/>
              <w:jc w:val="center"/>
              <w:rPr>
                <w:rFonts w:asciiTheme="majorBidi" w:hAnsiTheme="majorBidi" w:cstheme="majorBidi"/>
                <w:sz w:val="24"/>
                <w:szCs w:val="24"/>
              </w:rPr>
            </w:pPr>
            <w:r w:rsidRPr="005F340F">
              <w:rPr>
                <w:rFonts w:asciiTheme="majorBidi" w:hAnsiTheme="majorBidi" w:cstheme="majorBidi"/>
                <w:sz w:val="24"/>
                <w:szCs w:val="24"/>
              </w:rPr>
              <w:t>-6.32</w:t>
            </w:r>
          </w:p>
        </w:tc>
      </w:tr>
    </w:tbl>
    <w:p w:rsidR="0037189B" w:rsidRPr="005F340F" w:rsidRDefault="0037189B" w:rsidP="00BA7A26">
      <w:pPr>
        <w:spacing w:line="276" w:lineRule="auto"/>
        <w:jc w:val="center"/>
        <w:rPr>
          <w:rFonts w:asciiTheme="majorBidi" w:hAnsiTheme="majorBidi" w:cstheme="majorBidi"/>
          <w:b/>
          <w:bCs/>
          <w:sz w:val="24"/>
          <w:szCs w:val="24"/>
        </w:rPr>
      </w:pPr>
    </w:p>
    <w:p w:rsidR="00842393" w:rsidRPr="005F340F" w:rsidRDefault="004476CD" w:rsidP="00BA7A26">
      <w:pPr>
        <w:numPr>
          <w:ilvl w:val="2"/>
          <w:numId w:val="13"/>
        </w:numPr>
        <w:spacing w:line="276" w:lineRule="auto"/>
        <w:ind w:left="0" w:firstLine="0"/>
        <w:rPr>
          <w:rFonts w:asciiTheme="majorBidi" w:hAnsiTheme="majorBidi" w:cstheme="majorBidi"/>
          <w:b/>
          <w:bCs/>
          <w:sz w:val="24"/>
          <w:szCs w:val="24"/>
        </w:rPr>
      </w:pPr>
      <w:r w:rsidRPr="005F340F">
        <w:rPr>
          <w:rFonts w:asciiTheme="majorBidi" w:hAnsiTheme="majorBidi" w:cstheme="majorBidi"/>
          <w:b/>
          <w:bCs/>
          <w:sz w:val="24"/>
          <w:szCs w:val="24"/>
        </w:rPr>
        <w:t>Fragment-</w:t>
      </w:r>
      <w:r w:rsidR="00842393" w:rsidRPr="005F340F">
        <w:rPr>
          <w:rFonts w:asciiTheme="majorBidi" w:hAnsiTheme="majorBidi" w:cstheme="majorBidi"/>
          <w:b/>
          <w:bCs/>
          <w:sz w:val="24"/>
          <w:szCs w:val="24"/>
        </w:rPr>
        <w:t>based approach analysis</w:t>
      </w:r>
    </w:p>
    <w:p w:rsidR="00BF4D13" w:rsidRPr="005F340F" w:rsidRDefault="004476CD"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the results of the</w:t>
      </w:r>
      <w:r w:rsidR="00842393" w:rsidRPr="005F340F">
        <w:rPr>
          <w:rFonts w:asciiTheme="majorBidi" w:hAnsiTheme="majorBidi" w:cstheme="majorBidi"/>
          <w:sz w:val="24"/>
          <w:szCs w:val="24"/>
        </w:rPr>
        <w:t xml:space="preserve"> docking study (summarized in </w:t>
      </w:r>
      <w:r w:rsidR="00842393" w:rsidRPr="005F340F">
        <w:rPr>
          <w:rFonts w:asciiTheme="majorBidi" w:hAnsiTheme="majorBidi" w:cstheme="majorBidi"/>
          <w:b/>
          <w:sz w:val="24"/>
        </w:rPr>
        <w:t>Table 2</w:t>
      </w:r>
      <w:r w:rsidR="00842393" w:rsidRPr="005F340F">
        <w:rPr>
          <w:rFonts w:asciiTheme="majorBidi" w:hAnsiTheme="majorBidi" w:cstheme="majorBidi"/>
          <w:sz w:val="24"/>
          <w:szCs w:val="24"/>
        </w:rPr>
        <w:t>)</w:t>
      </w:r>
      <w:r w:rsidRPr="005F340F">
        <w:rPr>
          <w:rFonts w:asciiTheme="majorBidi" w:hAnsiTheme="majorBidi" w:cstheme="majorBidi"/>
          <w:sz w:val="24"/>
          <w:szCs w:val="24"/>
        </w:rPr>
        <w:t xml:space="preserve"> showed that</w:t>
      </w:r>
      <w:r w:rsidR="00842393" w:rsidRPr="005F340F">
        <w:rPr>
          <w:rFonts w:asciiTheme="majorBidi" w:hAnsiTheme="majorBidi" w:cstheme="majorBidi"/>
          <w:sz w:val="24"/>
          <w:szCs w:val="24"/>
        </w:rPr>
        <w:t xml:space="preserve"> interaction with the fourth pocket of the protease </w:t>
      </w:r>
      <w:r w:rsidRPr="005F340F">
        <w:rPr>
          <w:rFonts w:asciiTheme="majorBidi" w:hAnsiTheme="majorBidi" w:cstheme="majorBidi"/>
          <w:sz w:val="24"/>
          <w:szCs w:val="24"/>
        </w:rPr>
        <w:t xml:space="preserve">wasnot </w:t>
      </w:r>
      <w:r w:rsidR="00842393" w:rsidRPr="005F340F">
        <w:rPr>
          <w:rFonts w:asciiTheme="majorBidi" w:hAnsiTheme="majorBidi" w:cstheme="majorBidi"/>
          <w:sz w:val="24"/>
          <w:szCs w:val="24"/>
        </w:rPr>
        <w:t xml:space="preserve">essential for the activity </w:t>
      </w:r>
      <w:r w:rsidRPr="005F340F">
        <w:rPr>
          <w:rFonts w:asciiTheme="majorBidi" w:hAnsiTheme="majorBidi" w:cstheme="majorBidi"/>
          <w:sz w:val="24"/>
          <w:szCs w:val="24"/>
        </w:rPr>
        <w:t>of the</w:t>
      </w:r>
      <w:r w:rsidR="00842393" w:rsidRPr="005F340F">
        <w:rPr>
          <w:rFonts w:asciiTheme="majorBidi" w:hAnsiTheme="majorBidi" w:cstheme="majorBidi"/>
          <w:sz w:val="24"/>
          <w:szCs w:val="24"/>
        </w:rPr>
        <w:t xml:space="preserve"> ligand</w:t>
      </w:r>
      <w:r w:rsidRPr="005F340F">
        <w:rPr>
          <w:rFonts w:asciiTheme="majorBidi" w:hAnsiTheme="majorBidi" w:cstheme="majorBidi"/>
          <w:sz w:val="24"/>
          <w:szCs w:val="24"/>
        </w:rPr>
        <w:t xml:space="preserve"> and</w:t>
      </w:r>
      <w:r w:rsidR="00842393" w:rsidRPr="005F340F">
        <w:rPr>
          <w:rFonts w:asciiTheme="majorBidi" w:hAnsiTheme="majorBidi" w:cstheme="majorBidi"/>
          <w:sz w:val="24"/>
          <w:szCs w:val="24"/>
        </w:rPr>
        <w:t xml:space="preserve"> compounds 1 and 2. Moreover, </w:t>
      </w:r>
      <w:r w:rsidRPr="005F340F">
        <w:rPr>
          <w:rFonts w:asciiTheme="majorBidi" w:hAnsiTheme="majorBidi" w:cstheme="majorBidi"/>
          <w:sz w:val="24"/>
          <w:szCs w:val="24"/>
        </w:rPr>
        <w:t xml:space="preserve">the establishment of </w:t>
      </w:r>
      <w:r w:rsidR="00842393" w:rsidRPr="005F340F">
        <w:rPr>
          <w:rFonts w:asciiTheme="majorBidi" w:hAnsiTheme="majorBidi" w:cstheme="majorBidi"/>
          <w:sz w:val="24"/>
          <w:szCs w:val="24"/>
        </w:rPr>
        <w:t xml:space="preserve">one hydrogen bond in </w:t>
      </w:r>
      <w:r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 xml:space="preserve">first pocket </w:t>
      </w:r>
      <w:r w:rsidRPr="005F340F">
        <w:rPr>
          <w:rFonts w:asciiTheme="majorBidi" w:hAnsiTheme="majorBidi" w:cstheme="majorBidi"/>
          <w:sz w:val="24"/>
          <w:szCs w:val="24"/>
        </w:rPr>
        <w:t xml:space="preserve">was sufficient </w:t>
      </w:r>
      <w:r w:rsidR="00842393" w:rsidRPr="005F340F">
        <w:rPr>
          <w:rFonts w:asciiTheme="majorBidi" w:hAnsiTheme="majorBidi" w:cstheme="majorBidi"/>
          <w:sz w:val="24"/>
          <w:szCs w:val="24"/>
        </w:rPr>
        <w:t>for good activity</w:t>
      </w:r>
      <w:r w:rsidRPr="005F340F">
        <w:rPr>
          <w:rFonts w:asciiTheme="majorBidi" w:hAnsiTheme="majorBidi" w:cstheme="majorBidi"/>
          <w:sz w:val="24"/>
          <w:szCs w:val="24"/>
        </w:rPr>
        <w:t xml:space="preserve">, </w:t>
      </w:r>
      <w:commentRangeStart w:id="23"/>
      <w:r w:rsidRPr="005F340F">
        <w:rPr>
          <w:rFonts w:asciiTheme="majorBidi" w:hAnsiTheme="majorBidi" w:cstheme="majorBidi"/>
          <w:sz w:val="24"/>
          <w:szCs w:val="24"/>
        </w:rPr>
        <w:t>as in the</w:t>
      </w:r>
      <w:r w:rsidR="00842393" w:rsidRPr="005F340F">
        <w:rPr>
          <w:rFonts w:asciiTheme="majorBidi" w:hAnsiTheme="majorBidi" w:cstheme="majorBidi"/>
          <w:sz w:val="24"/>
          <w:szCs w:val="24"/>
        </w:rPr>
        <w:t xml:space="preserve"> ligand, simeprevir</w:t>
      </w:r>
      <w:r w:rsidRPr="005F340F">
        <w:rPr>
          <w:rFonts w:asciiTheme="majorBidi" w:hAnsiTheme="majorBidi" w:cstheme="majorBidi"/>
          <w:sz w:val="24"/>
          <w:szCs w:val="24"/>
        </w:rPr>
        <w:t>,</w:t>
      </w:r>
      <w:r w:rsidR="00842393" w:rsidRPr="005F340F">
        <w:rPr>
          <w:rFonts w:asciiTheme="majorBidi" w:hAnsiTheme="majorBidi" w:cstheme="majorBidi"/>
          <w:sz w:val="24"/>
          <w:szCs w:val="24"/>
        </w:rPr>
        <w:t xml:space="preserve"> and compound </w:t>
      </w:r>
      <w:r w:rsidR="00842393" w:rsidRPr="005F340F">
        <w:rPr>
          <w:rFonts w:asciiTheme="majorBidi" w:hAnsiTheme="majorBidi" w:cstheme="majorBidi"/>
          <w:b/>
          <w:bCs/>
          <w:sz w:val="24"/>
          <w:szCs w:val="24"/>
        </w:rPr>
        <w:t>2</w:t>
      </w:r>
      <w:r w:rsidR="00842393" w:rsidRPr="005F340F">
        <w:rPr>
          <w:rFonts w:asciiTheme="majorBidi" w:hAnsiTheme="majorBidi" w:cstheme="majorBidi"/>
          <w:sz w:val="24"/>
          <w:szCs w:val="24"/>
        </w:rPr>
        <w:t xml:space="preserve">. Adding one </w:t>
      </w:r>
      <w:r w:rsidRPr="005F340F">
        <w:rPr>
          <w:rFonts w:asciiTheme="majorBidi" w:hAnsiTheme="majorBidi" w:cstheme="majorBidi"/>
          <w:sz w:val="24"/>
          <w:szCs w:val="24"/>
        </w:rPr>
        <w:t xml:space="preserve">other </w:t>
      </w:r>
      <w:r w:rsidR="00842393" w:rsidRPr="005F340F">
        <w:rPr>
          <w:rFonts w:asciiTheme="majorBidi" w:hAnsiTheme="majorBidi" w:cstheme="majorBidi"/>
          <w:sz w:val="24"/>
          <w:szCs w:val="24"/>
        </w:rPr>
        <w:t xml:space="preserve">H-bond in </w:t>
      </w:r>
      <w:r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 xml:space="preserve">first pocket </w:t>
      </w:r>
      <w:r w:rsidRPr="005F340F">
        <w:rPr>
          <w:rFonts w:asciiTheme="majorBidi" w:hAnsiTheme="majorBidi" w:cstheme="majorBidi"/>
          <w:sz w:val="24"/>
          <w:szCs w:val="24"/>
        </w:rPr>
        <w:t xml:space="preserve">yielded a </w:t>
      </w:r>
      <w:r w:rsidR="00842393" w:rsidRPr="005F340F">
        <w:rPr>
          <w:rFonts w:asciiTheme="majorBidi" w:hAnsiTheme="majorBidi" w:cstheme="majorBidi"/>
          <w:sz w:val="24"/>
          <w:szCs w:val="24"/>
        </w:rPr>
        <w:t>lower activity</w:t>
      </w:r>
      <w:r w:rsidRPr="005F340F">
        <w:rPr>
          <w:rFonts w:asciiTheme="majorBidi" w:hAnsiTheme="majorBidi" w:cstheme="majorBidi"/>
          <w:sz w:val="24"/>
          <w:szCs w:val="24"/>
        </w:rPr>
        <w:t>, as</w:t>
      </w:r>
      <w:r w:rsidR="00842393" w:rsidRPr="005F340F">
        <w:rPr>
          <w:rFonts w:asciiTheme="majorBidi" w:hAnsiTheme="majorBidi" w:cstheme="majorBidi"/>
          <w:sz w:val="24"/>
          <w:szCs w:val="24"/>
        </w:rPr>
        <w:t xml:space="preserve"> in compound </w:t>
      </w:r>
      <w:r w:rsidR="00842393" w:rsidRPr="005F340F">
        <w:rPr>
          <w:rFonts w:asciiTheme="majorBidi" w:hAnsiTheme="majorBidi" w:cstheme="majorBidi"/>
          <w:b/>
          <w:bCs/>
          <w:sz w:val="24"/>
          <w:szCs w:val="24"/>
        </w:rPr>
        <w:t>1</w:t>
      </w:r>
      <w:r w:rsidR="00842393" w:rsidRPr="005F340F">
        <w:rPr>
          <w:rFonts w:asciiTheme="majorBidi" w:hAnsiTheme="majorBidi" w:cstheme="majorBidi"/>
          <w:sz w:val="24"/>
          <w:szCs w:val="24"/>
        </w:rPr>
        <w:t xml:space="preserve">. </w:t>
      </w:r>
      <w:r w:rsidRPr="005F340F">
        <w:rPr>
          <w:rFonts w:asciiTheme="majorBidi" w:hAnsiTheme="majorBidi" w:cstheme="majorBidi"/>
          <w:sz w:val="24"/>
          <w:szCs w:val="24"/>
        </w:rPr>
        <w:t>In contrast,</w:t>
      </w:r>
      <w:r w:rsidR="00842393" w:rsidRPr="005F340F">
        <w:rPr>
          <w:rFonts w:asciiTheme="majorBidi" w:hAnsiTheme="majorBidi" w:cstheme="majorBidi"/>
          <w:sz w:val="24"/>
          <w:szCs w:val="24"/>
        </w:rPr>
        <w:t xml:space="preserve"> adding two </w:t>
      </w:r>
      <w:r w:rsidRPr="005F340F">
        <w:rPr>
          <w:rFonts w:asciiTheme="majorBidi" w:hAnsiTheme="majorBidi" w:cstheme="majorBidi"/>
          <w:sz w:val="24"/>
          <w:szCs w:val="24"/>
        </w:rPr>
        <w:t xml:space="preserve">other </w:t>
      </w:r>
      <w:r w:rsidR="00842393" w:rsidRPr="005F340F">
        <w:rPr>
          <w:rFonts w:asciiTheme="majorBidi" w:hAnsiTheme="majorBidi" w:cstheme="majorBidi"/>
          <w:sz w:val="24"/>
          <w:szCs w:val="24"/>
        </w:rPr>
        <w:t>hydrophobic interactions to the first pocket potentiate</w:t>
      </w:r>
      <w:r w:rsidRPr="005F340F">
        <w:rPr>
          <w:rFonts w:asciiTheme="majorBidi" w:hAnsiTheme="majorBidi" w:cstheme="majorBidi"/>
          <w:sz w:val="24"/>
          <w:szCs w:val="24"/>
        </w:rPr>
        <w:t>d</w:t>
      </w:r>
      <w:r w:rsidR="00842393" w:rsidRPr="005F340F">
        <w:rPr>
          <w:rFonts w:asciiTheme="majorBidi" w:hAnsiTheme="majorBidi" w:cstheme="majorBidi"/>
          <w:sz w:val="24"/>
          <w:szCs w:val="24"/>
        </w:rPr>
        <w:t xml:space="preserve"> the activity</w:t>
      </w:r>
      <w:r w:rsidRPr="005F340F">
        <w:rPr>
          <w:rFonts w:asciiTheme="majorBidi" w:hAnsiTheme="majorBidi" w:cstheme="majorBidi"/>
          <w:sz w:val="24"/>
          <w:szCs w:val="24"/>
        </w:rPr>
        <w:t>, as</w:t>
      </w:r>
      <w:r w:rsidR="00842393" w:rsidRPr="005F340F">
        <w:rPr>
          <w:rFonts w:asciiTheme="majorBidi" w:hAnsiTheme="majorBidi" w:cstheme="majorBidi"/>
          <w:sz w:val="24"/>
          <w:szCs w:val="24"/>
        </w:rPr>
        <w:t xml:space="preserve"> in compound </w:t>
      </w:r>
      <w:r w:rsidR="00842393" w:rsidRPr="005F340F">
        <w:rPr>
          <w:rFonts w:asciiTheme="majorBidi" w:hAnsiTheme="majorBidi" w:cstheme="majorBidi"/>
          <w:b/>
          <w:bCs/>
          <w:sz w:val="24"/>
          <w:szCs w:val="24"/>
        </w:rPr>
        <w:t>2</w:t>
      </w:r>
      <w:r w:rsidR="00842393" w:rsidRPr="005F340F">
        <w:rPr>
          <w:rFonts w:asciiTheme="majorBidi" w:hAnsiTheme="majorBidi" w:cstheme="majorBidi"/>
          <w:sz w:val="24"/>
          <w:szCs w:val="24"/>
        </w:rPr>
        <w:t xml:space="preserve">. However, the tetradecagon macrocycle </w:t>
      </w:r>
      <w:r w:rsidRPr="005F340F">
        <w:rPr>
          <w:rFonts w:asciiTheme="majorBidi" w:hAnsiTheme="majorBidi" w:cstheme="majorBidi"/>
          <w:sz w:val="24"/>
          <w:szCs w:val="24"/>
        </w:rPr>
        <w:t xml:space="preserve">was </w:t>
      </w:r>
      <w:r w:rsidR="00842393" w:rsidRPr="005F340F">
        <w:rPr>
          <w:rFonts w:asciiTheme="majorBidi" w:hAnsiTheme="majorBidi" w:cstheme="majorBidi"/>
          <w:sz w:val="24"/>
          <w:szCs w:val="24"/>
        </w:rPr>
        <w:t xml:space="preserve">not </w:t>
      </w:r>
      <w:r w:rsidRPr="005F340F">
        <w:rPr>
          <w:rFonts w:asciiTheme="majorBidi" w:hAnsiTheme="majorBidi" w:cstheme="majorBidi"/>
          <w:sz w:val="24"/>
          <w:szCs w:val="24"/>
        </w:rPr>
        <w:t xml:space="preserve">essential, asit </w:t>
      </w:r>
      <w:r w:rsidR="00842393" w:rsidRPr="005F340F">
        <w:rPr>
          <w:rFonts w:asciiTheme="majorBidi" w:hAnsiTheme="majorBidi" w:cstheme="majorBidi"/>
          <w:sz w:val="24"/>
          <w:szCs w:val="24"/>
        </w:rPr>
        <w:t xml:space="preserve">could be replaced with </w:t>
      </w:r>
      <w:r w:rsidR="00061536" w:rsidRPr="005F340F">
        <w:rPr>
          <w:rFonts w:asciiTheme="majorBidi" w:hAnsiTheme="majorBidi" w:cstheme="majorBidi"/>
          <w:sz w:val="24"/>
          <w:szCs w:val="24"/>
        </w:rPr>
        <w:t>a less-</w:t>
      </w:r>
      <w:r w:rsidR="00842393" w:rsidRPr="005F340F">
        <w:rPr>
          <w:rFonts w:asciiTheme="majorBidi" w:hAnsiTheme="majorBidi" w:cstheme="majorBidi"/>
          <w:sz w:val="24"/>
          <w:szCs w:val="24"/>
        </w:rPr>
        <w:t>complex moiety that</w:t>
      </w:r>
      <w:r w:rsidR="00061536" w:rsidRPr="005F340F">
        <w:rPr>
          <w:rFonts w:asciiTheme="majorBidi" w:hAnsiTheme="majorBidi" w:cstheme="majorBidi"/>
          <w:sz w:val="24"/>
          <w:szCs w:val="24"/>
        </w:rPr>
        <w:t xml:space="preserve"> was</w:t>
      </w:r>
      <w:r w:rsidR="00842393" w:rsidRPr="005F340F">
        <w:rPr>
          <w:rFonts w:asciiTheme="majorBidi" w:hAnsiTheme="majorBidi" w:cstheme="majorBidi"/>
          <w:sz w:val="24"/>
          <w:szCs w:val="24"/>
        </w:rPr>
        <w:t xml:space="preserve"> able to </w:t>
      </w:r>
      <w:commentRangeEnd w:id="23"/>
      <w:r w:rsidR="00AF0A3B">
        <w:rPr>
          <w:rStyle w:val="CommentReference"/>
          <w:rFonts w:ascii="Calibri" w:eastAsia="Calibri" w:hAnsi="Calibri" w:cs="Arial"/>
          <w:lang w:eastAsia="en-US"/>
        </w:rPr>
        <w:commentReference w:id="23"/>
      </w:r>
      <w:r w:rsidR="00842393" w:rsidRPr="005F340F">
        <w:rPr>
          <w:rFonts w:asciiTheme="majorBidi" w:hAnsiTheme="majorBidi" w:cstheme="majorBidi"/>
          <w:sz w:val="24"/>
          <w:szCs w:val="24"/>
        </w:rPr>
        <w:t>form hydrogen bond</w:t>
      </w:r>
      <w:r w:rsidR="00061536" w:rsidRPr="005F340F">
        <w:rPr>
          <w:rFonts w:asciiTheme="majorBidi" w:hAnsiTheme="majorBidi" w:cstheme="majorBidi"/>
          <w:sz w:val="24"/>
          <w:szCs w:val="24"/>
        </w:rPr>
        <w:t>s</w:t>
      </w:r>
      <w:r w:rsidR="00842393" w:rsidRPr="005F340F">
        <w:rPr>
          <w:rFonts w:asciiTheme="majorBidi" w:hAnsiTheme="majorBidi" w:cstheme="majorBidi"/>
          <w:sz w:val="24"/>
          <w:szCs w:val="24"/>
        </w:rPr>
        <w:t xml:space="preserve"> and hydrophobic interactions. </w:t>
      </w:r>
      <w:r w:rsidR="00061536" w:rsidRPr="005F340F">
        <w:rPr>
          <w:rFonts w:asciiTheme="majorBidi" w:hAnsiTheme="majorBidi" w:cstheme="majorBidi"/>
          <w:sz w:val="24"/>
          <w:szCs w:val="24"/>
        </w:rPr>
        <w:t>Moreover</w:t>
      </w:r>
      <w:r w:rsidR="00842393" w:rsidRPr="005F340F">
        <w:rPr>
          <w:rFonts w:asciiTheme="majorBidi" w:hAnsiTheme="majorBidi" w:cstheme="majorBidi"/>
          <w:sz w:val="24"/>
          <w:szCs w:val="24"/>
        </w:rPr>
        <w:t xml:space="preserve">, </w:t>
      </w:r>
      <w:r w:rsidR="00061536" w:rsidRPr="005F340F">
        <w:rPr>
          <w:rFonts w:asciiTheme="majorBidi" w:hAnsiTheme="majorBidi" w:cstheme="majorBidi"/>
          <w:sz w:val="24"/>
          <w:szCs w:val="24"/>
        </w:rPr>
        <w:t xml:space="preserve">the establishment of </w:t>
      </w:r>
      <w:r w:rsidR="00842393" w:rsidRPr="005F340F">
        <w:rPr>
          <w:rFonts w:asciiTheme="majorBidi" w:hAnsiTheme="majorBidi" w:cstheme="majorBidi"/>
          <w:sz w:val="24"/>
          <w:szCs w:val="24"/>
        </w:rPr>
        <w:t xml:space="preserve">only one hydrophobic interaction in </w:t>
      </w:r>
      <w:r w:rsidR="00061536"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 xml:space="preserve">third pocket </w:t>
      </w:r>
      <w:r w:rsidR="00061536" w:rsidRPr="005F340F">
        <w:rPr>
          <w:rFonts w:asciiTheme="majorBidi" w:hAnsiTheme="majorBidi" w:cstheme="majorBidi"/>
          <w:sz w:val="24"/>
          <w:szCs w:val="24"/>
        </w:rPr>
        <w:t xml:space="preserve">yielded a </w:t>
      </w:r>
      <w:r w:rsidR="00842393" w:rsidRPr="005F340F">
        <w:rPr>
          <w:rFonts w:asciiTheme="majorBidi" w:hAnsiTheme="majorBidi" w:cstheme="majorBidi"/>
          <w:sz w:val="24"/>
          <w:szCs w:val="24"/>
        </w:rPr>
        <w:t>better activity</w:t>
      </w:r>
      <w:r w:rsidR="00061536" w:rsidRPr="005F340F">
        <w:rPr>
          <w:rFonts w:asciiTheme="majorBidi" w:hAnsiTheme="majorBidi" w:cstheme="majorBidi"/>
          <w:sz w:val="24"/>
          <w:szCs w:val="24"/>
        </w:rPr>
        <w:t xml:space="preserve">,similar to that </w:t>
      </w:r>
      <w:r w:rsidR="00842393" w:rsidRPr="005F340F">
        <w:rPr>
          <w:rFonts w:asciiTheme="majorBidi" w:hAnsiTheme="majorBidi" w:cstheme="majorBidi"/>
          <w:sz w:val="24"/>
          <w:szCs w:val="24"/>
        </w:rPr>
        <w:lastRenderedPageBreak/>
        <w:t xml:space="preserve">achieved in </w:t>
      </w:r>
      <w:r w:rsidR="00061536"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 xml:space="preserve">ligand, </w:t>
      </w:r>
      <w:r w:rsidR="00061536" w:rsidRPr="005F340F">
        <w:rPr>
          <w:rFonts w:asciiTheme="majorBidi" w:hAnsiTheme="majorBidi" w:cstheme="majorBidi"/>
          <w:sz w:val="24"/>
          <w:szCs w:val="24"/>
        </w:rPr>
        <w:t xml:space="preserve">simeprevir, </w:t>
      </w:r>
      <w:r w:rsidR="00842393" w:rsidRPr="005F340F">
        <w:rPr>
          <w:rFonts w:asciiTheme="majorBidi" w:hAnsiTheme="majorBidi" w:cstheme="majorBidi"/>
          <w:sz w:val="24"/>
          <w:szCs w:val="24"/>
        </w:rPr>
        <w:t xml:space="preserve">and compound </w:t>
      </w:r>
      <w:r w:rsidR="00842393" w:rsidRPr="005F340F">
        <w:rPr>
          <w:rFonts w:asciiTheme="majorBidi" w:hAnsiTheme="majorBidi" w:cstheme="majorBidi"/>
          <w:b/>
          <w:bCs/>
          <w:sz w:val="24"/>
          <w:szCs w:val="24"/>
        </w:rPr>
        <w:t>2</w:t>
      </w:r>
      <w:r w:rsidR="00842393" w:rsidRPr="005F340F">
        <w:rPr>
          <w:rFonts w:asciiTheme="majorBidi" w:hAnsiTheme="majorBidi" w:cstheme="majorBidi"/>
          <w:sz w:val="24"/>
          <w:szCs w:val="24"/>
        </w:rPr>
        <w:t xml:space="preserve"> by the presence of </w:t>
      </w:r>
      <w:r w:rsidR="00061536"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 xml:space="preserve">7-methoxy-8-methylquinoline moiety. The presence of </w:t>
      </w:r>
      <w:r w:rsidR="00061536"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4-isopropylthiazole moiety in the second pocket afforded the essential and only hydrogen bond</w:t>
      </w:r>
      <w:r w:rsidR="00061536" w:rsidRPr="005F340F">
        <w:rPr>
          <w:rFonts w:asciiTheme="majorBidi" w:hAnsiTheme="majorBidi" w:cstheme="majorBidi"/>
          <w:sz w:val="24"/>
          <w:szCs w:val="24"/>
        </w:rPr>
        <w:t>, as in the</w:t>
      </w:r>
      <w:r w:rsidR="00842393" w:rsidRPr="005F340F">
        <w:rPr>
          <w:rFonts w:asciiTheme="majorBidi" w:hAnsiTheme="majorBidi" w:cstheme="majorBidi"/>
          <w:sz w:val="24"/>
          <w:szCs w:val="24"/>
        </w:rPr>
        <w:t xml:space="preserve"> ligand, </w:t>
      </w:r>
      <w:r w:rsidR="00061536" w:rsidRPr="005F340F">
        <w:rPr>
          <w:rFonts w:asciiTheme="majorBidi" w:hAnsiTheme="majorBidi" w:cstheme="majorBidi"/>
          <w:sz w:val="24"/>
          <w:szCs w:val="24"/>
        </w:rPr>
        <w:t xml:space="preserve">simeprevir, </w:t>
      </w:r>
      <w:r w:rsidR="00842393" w:rsidRPr="005F340F">
        <w:rPr>
          <w:rFonts w:asciiTheme="majorBidi" w:hAnsiTheme="majorBidi" w:cstheme="majorBidi"/>
          <w:sz w:val="24"/>
          <w:szCs w:val="24"/>
        </w:rPr>
        <w:t xml:space="preserve">and compound </w:t>
      </w:r>
      <w:r w:rsidR="00842393" w:rsidRPr="005F340F">
        <w:rPr>
          <w:rFonts w:asciiTheme="majorBidi" w:hAnsiTheme="majorBidi" w:cstheme="majorBidi"/>
          <w:b/>
          <w:bCs/>
          <w:sz w:val="24"/>
          <w:szCs w:val="24"/>
        </w:rPr>
        <w:t>2</w:t>
      </w:r>
      <w:r w:rsidR="00842393" w:rsidRPr="005F340F">
        <w:rPr>
          <w:rFonts w:asciiTheme="majorBidi" w:hAnsiTheme="majorBidi" w:cstheme="majorBidi"/>
          <w:sz w:val="24"/>
          <w:szCs w:val="24"/>
        </w:rPr>
        <w:t xml:space="preserve">. </w:t>
      </w:r>
      <w:r w:rsidR="00061536" w:rsidRPr="005F340F">
        <w:rPr>
          <w:rFonts w:asciiTheme="majorBidi" w:hAnsiTheme="majorBidi" w:cstheme="majorBidi"/>
          <w:sz w:val="24"/>
          <w:szCs w:val="24"/>
        </w:rPr>
        <w:t>Furthermore</w:t>
      </w:r>
      <w:r w:rsidR="00842393" w:rsidRPr="005F340F">
        <w:rPr>
          <w:rFonts w:asciiTheme="majorBidi" w:hAnsiTheme="majorBidi" w:cstheme="majorBidi"/>
          <w:sz w:val="24"/>
          <w:szCs w:val="24"/>
        </w:rPr>
        <w:t>, it form</w:t>
      </w:r>
      <w:r w:rsidR="00061536" w:rsidRPr="005F340F">
        <w:rPr>
          <w:rFonts w:asciiTheme="majorBidi" w:hAnsiTheme="majorBidi" w:cstheme="majorBidi"/>
          <w:sz w:val="24"/>
          <w:szCs w:val="24"/>
        </w:rPr>
        <w:t>ed</w:t>
      </w:r>
      <w:r w:rsidR="00842393" w:rsidRPr="005F340F">
        <w:rPr>
          <w:rFonts w:asciiTheme="majorBidi" w:hAnsiTheme="majorBidi" w:cstheme="majorBidi"/>
          <w:sz w:val="24"/>
          <w:szCs w:val="24"/>
        </w:rPr>
        <w:t xml:space="preserve"> two </w:t>
      </w:r>
      <w:r w:rsidR="00061536" w:rsidRPr="005F340F">
        <w:rPr>
          <w:rFonts w:asciiTheme="majorBidi" w:hAnsiTheme="majorBidi" w:cstheme="majorBidi"/>
          <w:sz w:val="24"/>
          <w:szCs w:val="24"/>
        </w:rPr>
        <w:t xml:space="preserve">other </w:t>
      </w:r>
      <w:r w:rsidR="00842393" w:rsidRPr="005F340F">
        <w:rPr>
          <w:rFonts w:asciiTheme="majorBidi" w:hAnsiTheme="majorBidi" w:cstheme="majorBidi"/>
          <w:sz w:val="24"/>
          <w:szCs w:val="24"/>
        </w:rPr>
        <w:t>hydrophobic interactions</w:t>
      </w:r>
      <w:r w:rsidR="00061536" w:rsidRPr="005F340F">
        <w:rPr>
          <w:rFonts w:asciiTheme="majorBidi" w:hAnsiTheme="majorBidi" w:cstheme="majorBidi"/>
          <w:sz w:val="24"/>
          <w:szCs w:val="24"/>
        </w:rPr>
        <w:t>,</w:t>
      </w:r>
      <w:r w:rsidR="00842393" w:rsidRPr="005F340F">
        <w:rPr>
          <w:rFonts w:asciiTheme="majorBidi" w:hAnsiTheme="majorBidi" w:cstheme="majorBidi"/>
          <w:sz w:val="24"/>
          <w:szCs w:val="24"/>
        </w:rPr>
        <w:t xml:space="preserve"> which </w:t>
      </w:r>
      <w:r w:rsidR="00061536" w:rsidRPr="005F340F">
        <w:rPr>
          <w:rFonts w:asciiTheme="majorBidi" w:hAnsiTheme="majorBidi" w:cstheme="majorBidi"/>
          <w:sz w:val="24"/>
          <w:szCs w:val="24"/>
        </w:rPr>
        <w:t xml:space="preserve">seemed </w:t>
      </w:r>
      <w:r w:rsidR="00842393" w:rsidRPr="005F340F">
        <w:rPr>
          <w:rFonts w:asciiTheme="majorBidi" w:hAnsiTheme="majorBidi" w:cstheme="majorBidi"/>
          <w:sz w:val="24"/>
          <w:szCs w:val="24"/>
        </w:rPr>
        <w:t>to potentiate the activity</w:t>
      </w:r>
      <w:r w:rsidR="00061536" w:rsidRPr="005F340F">
        <w:rPr>
          <w:rFonts w:asciiTheme="majorBidi" w:hAnsiTheme="majorBidi" w:cstheme="majorBidi"/>
          <w:sz w:val="24"/>
          <w:szCs w:val="24"/>
        </w:rPr>
        <w:t xml:space="preserve">,as </w:t>
      </w:r>
      <w:r w:rsidR="00842393" w:rsidRPr="005F340F">
        <w:rPr>
          <w:rFonts w:asciiTheme="majorBidi" w:hAnsiTheme="majorBidi" w:cstheme="majorBidi"/>
          <w:sz w:val="24"/>
          <w:szCs w:val="24"/>
        </w:rPr>
        <w:t xml:space="preserve">in compound </w:t>
      </w:r>
      <w:r w:rsidR="00842393" w:rsidRPr="005F340F">
        <w:rPr>
          <w:rFonts w:asciiTheme="majorBidi" w:hAnsiTheme="majorBidi" w:cstheme="majorBidi"/>
          <w:b/>
          <w:bCs/>
          <w:sz w:val="24"/>
          <w:szCs w:val="24"/>
        </w:rPr>
        <w:t>2</w:t>
      </w:r>
      <w:r w:rsidR="00842393" w:rsidRPr="005F340F">
        <w:rPr>
          <w:rFonts w:asciiTheme="majorBidi" w:hAnsiTheme="majorBidi" w:cstheme="majorBidi"/>
          <w:sz w:val="24"/>
          <w:szCs w:val="24"/>
        </w:rPr>
        <w:t xml:space="preserve">. </w:t>
      </w:r>
      <w:r w:rsidR="00061536" w:rsidRPr="005F340F">
        <w:rPr>
          <w:rFonts w:asciiTheme="majorBidi" w:hAnsiTheme="majorBidi" w:cstheme="majorBidi"/>
          <w:sz w:val="24"/>
          <w:szCs w:val="24"/>
        </w:rPr>
        <w:t>In conclusion</w:t>
      </w:r>
      <w:r w:rsidR="00842393" w:rsidRPr="005F340F">
        <w:rPr>
          <w:rFonts w:asciiTheme="majorBidi" w:hAnsiTheme="majorBidi" w:cstheme="majorBidi"/>
          <w:sz w:val="24"/>
          <w:szCs w:val="24"/>
        </w:rPr>
        <w:t xml:space="preserve">, </w:t>
      </w:r>
      <w:r w:rsidR="00061536"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7-methoxy-8-methylquinoline and 4-isopropylthiazole moieties should be retained and be located in the third and second pocket</w:t>
      </w:r>
      <w:r w:rsidR="000850AF" w:rsidRPr="005F340F">
        <w:rPr>
          <w:rFonts w:asciiTheme="majorBidi" w:hAnsiTheme="majorBidi" w:cstheme="majorBidi"/>
          <w:sz w:val="24"/>
          <w:szCs w:val="24"/>
        </w:rPr>
        <w:t>,</w:t>
      </w:r>
      <w:r w:rsidR="00842393" w:rsidRPr="005F340F">
        <w:rPr>
          <w:rFonts w:asciiTheme="majorBidi" w:hAnsiTheme="majorBidi" w:cstheme="majorBidi"/>
          <w:sz w:val="24"/>
          <w:szCs w:val="24"/>
        </w:rPr>
        <w:t xml:space="preserve"> respectively. The </w:t>
      </w:r>
      <w:r w:rsidR="000850AF" w:rsidRPr="005F340F">
        <w:rPr>
          <w:rFonts w:asciiTheme="majorBidi" w:hAnsiTheme="majorBidi" w:cstheme="majorBidi"/>
          <w:sz w:val="24"/>
          <w:szCs w:val="24"/>
        </w:rPr>
        <w:t xml:space="preserve">replacement of the </w:t>
      </w:r>
      <w:r w:rsidR="00842393" w:rsidRPr="005F340F">
        <w:rPr>
          <w:rFonts w:asciiTheme="majorBidi" w:hAnsiTheme="majorBidi" w:cstheme="majorBidi"/>
          <w:sz w:val="24"/>
          <w:szCs w:val="24"/>
        </w:rPr>
        <w:t>tetradecagon macrocycle with</w:t>
      </w:r>
      <w:r w:rsidR="000850AF" w:rsidRPr="005F340F">
        <w:rPr>
          <w:rFonts w:asciiTheme="majorBidi" w:hAnsiTheme="majorBidi" w:cstheme="majorBidi"/>
          <w:sz w:val="24"/>
          <w:szCs w:val="24"/>
        </w:rPr>
        <w:t xml:space="preserve"> a</w:t>
      </w:r>
      <w:r w:rsidR="00842393" w:rsidRPr="005F340F">
        <w:rPr>
          <w:rFonts w:asciiTheme="majorBidi" w:hAnsiTheme="majorBidi" w:cstheme="majorBidi"/>
          <w:sz w:val="24"/>
          <w:szCs w:val="24"/>
        </w:rPr>
        <w:t xml:space="preserve"> smaller moiety</w:t>
      </w:r>
      <w:r w:rsidR="000850AF" w:rsidRPr="005F340F">
        <w:rPr>
          <w:rFonts w:asciiTheme="majorBidi" w:hAnsiTheme="majorBidi" w:cstheme="majorBidi"/>
          <w:sz w:val="24"/>
          <w:szCs w:val="24"/>
        </w:rPr>
        <w:t xml:space="preserve"> is recommended</w:t>
      </w:r>
      <w:r w:rsidR="00842393" w:rsidRPr="005F340F">
        <w:rPr>
          <w:rFonts w:asciiTheme="majorBidi" w:hAnsiTheme="majorBidi" w:cstheme="majorBidi"/>
          <w:sz w:val="24"/>
          <w:szCs w:val="24"/>
        </w:rPr>
        <w:t>.</w:t>
      </w:r>
    </w:p>
    <w:p w:rsidR="00A81256" w:rsidRPr="005F340F" w:rsidRDefault="00A8125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Table 2: summarized outcomes of docking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1"/>
        <w:gridCol w:w="3574"/>
        <w:gridCol w:w="4315"/>
      </w:tblGrid>
      <w:tr w:rsidR="00A81256" w:rsidRPr="005F340F" w:rsidTr="00A81256">
        <w:tc>
          <w:tcPr>
            <w:tcW w:w="1461"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Compound</w:t>
            </w: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Interactions with receptor</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Chemical moiety (pharmacophore)</w:t>
            </w:r>
          </w:p>
        </w:tc>
      </w:tr>
      <w:tr w:rsidR="00A81256" w:rsidRPr="005F340F" w:rsidTr="00A81256">
        <w:tc>
          <w:tcPr>
            <w:tcW w:w="1461" w:type="dxa"/>
            <w:vMerge w:val="restart"/>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ligand (</w:t>
            </w:r>
            <w:hyperlink r:id="rId30" w:history="1">
              <w:r w:rsidRPr="005F340F">
                <w:rPr>
                  <w:rStyle w:val="Hyperlink"/>
                  <w:rFonts w:asciiTheme="majorBidi" w:hAnsiTheme="majorBidi" w:cstheme="majorBidi"/>
                  <w:sz w:val="24"/>
                  <w:szCs w:val="24"/>
                </w:rPr>
                <w:t>PRD-002214</w:t>
              </w:r>
            </w:hyperlink>
            <w:r w:rsidRPr="005F340F">
              <w:rPr>
                <w:rFonts w:asciiTheme="majorBidi" w:hAnsiTheme="majorBidi" w:cstheme="majorBidi"/>
                <w:sz w:val="24"/>
                <w:szCs w:val="24"/>
              </w:rPr>
              <w:t>)</w:t>
            </w: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binding energy</w:t>
            </w: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-6.95</w:t>
            </w: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hydrogen bond with Phe140</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the 2-oxopyrrolidin-3-yl</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hydrogen bonding interaction with Met49</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tert-butyl carbamate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hydrophobic interaction with His41</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the phenyl ring of phenylalanine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ethyl propionate</w:t>
            </w:r>
          </w:p>
        </w:tc>
      </w:tr>
      <w:tr w:rsidR="00A81256" w:rsidRPr="005F340F" w:rsidTr="00A81256">
        <w:tc>
          <w:tcPr>
            <w:tcW w:w="1461" w:type="dxa"/>
            <w:vMerge w:val="restart"/>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Simeprevir</w:t>
            </w:r>
          </w:p>
          <w:p w:rsidR="00A81256" w:rsidRPr="005F340F" w:rsidRDefault="00A81256" w:rsidP="00BB1CB6">
            <w:pPr>
              <w:jc w:val="center"/>
              <w:rPr>
                <w:rFonts w:asciiTheme="majorBidi" w:hAnsiTheme="majorBidi" w:cstheme="majorBidi"/>
                <w:sz w:val="24"/>
                <w:szCs w:val="24"/>
              </w:rPr>
            </w:pP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binding energy</w:t>
            </w:r>
          </w:p>
          <w:p w:rsidR="00A81256" w:rsidRPr="005F340F" w:rsidRDefault="00A81256" w:rsidP="00BB1CB6">
            <w:pPr>
              <w:jc w:val="center"/>
              <w:rPr>
                <w:rFonts w:asciiTheme="majorBidi" w:hAnsiTheme="majorBidi" w:cstheme="majorBidi"/>
                <w:sz w:val="24"/>
                <w:szCs w:val="24"/>
              </w:rPr>
            </w:pP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-7.00</w:t>
            </w: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hydrogen bond with Asn142</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cyclopropane sulfonamide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hydrogen bond with Met49</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5-methyl-2,3,3a,6,7,8,9,11a,12,12a, 13,14a-dodecahydrocyclopenta [c]cyclopropa[g][1,6]diazacyclotetra decine-4,14(1</w:t>
            </w:r>
            <w:r w:rsidRPr="005F340F">
              <w:rPr>
                <w:rFonts w:asciiTheme="majorBidi" w:hAnsiTheme="majorBidi" w:cstheme="majorBidi"/>
                <w:i/>
                <w:iCs/>
                <w:sz w:val="24"/>
                <w:szCs w:val="24"/>
              </w:rPr>
              <w:t>H</w:t>
            </w:r>
            <w:r w:rsidRPr="005F340F">
              <w:rPr>
                <w:rFonts w:asciiTheme="majorBidi" w:hAnsiTheme="majorBidi" w:cstheme="majorBidi"/>
                <w:sz w:val="24"/>
                <w:szCs w:val="24"/>
              </w:rPr>
              <w:t>,5</w:t>
            </w:r>
            <w:r w:rsidRPr="005F340F">
              <w:rPr>
                <w:rFonts w:asciiTheme="majorBidi" w:hAnsiTheme="majorBidi" w:cstheme="majorBidi"/>
                <w:i/>
                <w:iCs/>
                <w:sz w:val="24"/>
                <w:szCs w:val="24"/>
              </w:rPr>
              <w:t>H</w:t>
            </w:r>
            <w:r w:rsidRPr="005F340F">
              <w:rPr>
                <w:rFonts w:asciiTheme="majorBidi" w:hAnsiTheme="majorBidi" w:cstheme="majorBidi"/>
                <w:sz w:val="24"/>
                <w:szCs w:val="24"/>
              </w:rPr>
              <w:t>)-dione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hydrophobic interaction with Met165</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7-methoxy-8-methylquinoline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hydrogen bonding interaction with Asn142</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4-isopropylthiazole</w:t>
            </w:r>
          </w:p>
        </w:tc>
      </w:tr>
      <w:tr w:rsidR="00A81256" w:rsidRPr="005F340F" w:rsidTr="00A81256">
        <w:tc>
          <w:tcPr>
            <w:tcW w:w="1461" w:type="dxa"/>
            <w:vMerge w:val="restart"/>
            <w:shd w:val="clear" w:color="auto" w:fill="auto"/>
            <w:vAlign w:val="center"/>
          </w:tcPr>
          <w:p w:rsidR="00A81256" w:rsidRPr="005F340F" w:rsidRDefault="00A81256" w:rsidP="00BB1CB6">
            <w:pPr>
              <w:jc w:val="center"/>
              <w:rPr>
                <w:rFonts w:asciiTheme="majorBidi" w:hAnsiTheme="majorBidi" w:cstheme="majorBidi"/>
                <w:b/>
                <w:bCs/>
                <w:sz w:val="24"/>
                <w:szCs w:val="24"/>
              </w:rPr>
            </w:pPr>
            <w:r w:rsidRPr="005F340F">
              <w:rPr>
                <w:rFonts w:asciiTheme="majorBidi" w:hAnsiTheme="majorBidi" w:cstheme="majorBidi"/>
                <w:sz w:val="24"/>
                <w:szCs w:val="24"/>
              </w:rPr>
              <w:t xml:space="preserve">Compound </w:t>
            </w:r>
            <w:r w:rsidRPr="005F340F">
              <w:rPr>
                <w:rFonts w:asciiTheme="majorBidi" w:hAnsiTheme="majorBidi" w:cstheme="majorBidi"/>
                <w:b/>
                <w:bCs/>
                <w:sz w:val="24"/>
                <w:szCs w:val="24"/>
              </w:rPr>
              <w:t>1</w:t>
            </w: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binding energy</w:t>
            </w:r>
          </w:p>
          <w:p w:rsidR="00A81256" w:rsidRPr="005F340F" w:rsidRDefault="00A81256" w:rsidP="00BB1CB6">
            <w:pPr>
              <w:jc w:val="center"/>
              <w:rPr>
                <w:rFonts w:asciiTheme="majorBidi" w:hAnsiTheme="majorBidi" w:cstheme="majorBidi"/>
                <w:b/>
                <w:bCs/>
                <w:sz w:val="24"/>
                <w:szCs w:val="24"/>
              </w:rPr>
            </w:pP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-6.94</w:t>
            </w: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two hydrogen bonds with Gly143 and Gln189</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The tetrahydro-1H-cyclopenta[c]furan-1,3(3aH)-dione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two hydrophobic interactions with Glu166</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7-methoxy-8-methylquinoline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two hydrophobic interactions with Pro168</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4-isopropylthiazole</w:t>
            </w:r>
          </w:p>
        </w:tc>
      </w:tr>
      <w:tr w:rsidR="00A81256" w:rsidRPr="005F340F" w:rsidTr="00A81256">
        <w:tc>
          <w:tcPr>
            <w:tcW w:w="1461" w:type="dxa"/>
            <w:vMerge w:val="restart"/>
            <w:shd w:val="clear" w:color="auto" w:fill="auto"/>
            <w:vAlign w:val="center"/>
          </w:tcPr>
          <w:p w:rsidR="00A81256" w:rsidRPr="005F340F" w:rsidRDefault="00A81256" w:rsidP="00BB1CB6">
            <w:pPr>
              <w:jc w:val="center"/>
              <w:rPr>
                <w:rFonts w:asciiTheme="majorBidi" w:hAnsiTheme="majorBidi" w:cstheme="majorBidi"/>
                <w:b/>
                <w:bCs/>
                <w:sz w:val="24"/>
                <w:szCs w:val="24"/>
              </w:rPr>
            </w:pPr>
            <w:r w:rsidRPr="005F340F">
              <w:rPr>
                <w:rFonts w:asciiTheme="majorBidi" w:hAnsiTheme="majorBidi" w:cstheme="majorBidi"/>
                <w:sz w:val="24"/>
                <w:szCs w:val="24"/>
              </w:rPr>
              <w:t xml:space="preserve">Compound </w:t>
            </w:r>
            <w:r w:rsidRPr="005F340F">
              <w:rPr>
                <w:rFonts w:asciiTheme="majorBidi" w:hAnsiTheme="majorBidi" w:cstheme="majorBidi"/>
                <w:b/>
                <w:bCs/>
                <w:sz w:val="24"/>
                <w:szCs w:val="24"/>
              </w:rPr>
              <w:t>2</w:t>
            </w: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binding energy</w:t>
            </w:r>
          </w:p>
          <w:p w:rsidR="00A81256" w:rsidRPr="005F340F" w:rsidRDefault="00A81256" w:rsidP="00BB1CB6">
            <w:pPr>
              <w:jc w:val="center"/>
              <w:rPr>
                <w:rFonts w:asciiTheme="majorBidi" w:hAnsiTheme="majorBidi" w:cstheme="majorBidi"/>
                <w:b/>
                <w:bCs/>
                <w:sz w:val="24"/>
                <w:szCs w:val="24"/>
              </w:rPr>
            </w:pP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b/>
                <w:bCs/>
                <w:sz w:val="24"/>
                <w:szCs w:val="24"/>
              </w:rPr>
              <w:t>-7.65</w:t>
            </w: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hydrogen bond with Asn142</w:t>
            </w:r>
          </w:p>
          <w:p w:rsidR="00A81256" w:rsidRPr="005F340F" w:rsidRDefault="00A81256" w:rsidP="00BB1CB6">
            <w:pPr>
              <w:jc w:val="center"/>
              <w:rPr>
                <w:rFonts w:asciiTheme="majorBidi" w:hAnsiTheme="majorBidi" w:cstheme="majorBidi"/>
                <w:sz w:val="24"/>
                <w:szCs w:val="24"/>
              </w:rPr>
            </w:pP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two hydrophobic interactions with Cys145 and His163</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5-methyl-2,3,3a,6,7,8,9,11a,12,12a,13,14a-dodecahydrocyclopenta [c]cyclopropa[g][1,6]diazacyclotetra decine-4,14(1</w:t>
            </w:r>
            <w:r w:rsidRPr="005F340F">
              <w:rPr>
                <w:rFonts w:asciiTheme="majorBidi" w:hAnsiTheme="majorBidi" w:cstheme="majorBidi"/>
                <w:i/>
                <w:iCs/>
                <w:sz w:val="24"/>
                <w:szCs w:val="24"/>
              </w:rPr>
              <w:t>H</w:t>
            </w:r>
            <w:r w:rsidRPr="005F340F">
              <w:rPr>
                <w:rFonts w:asciiTheme="majorBidi" w:hAnsiTheme="majorBidi" w:cstheme="majorBidi"/>
                <w:sz w:val="24"/>
                <w:szCs w:val="24"/>
              </w:rPr>
              <w:t>,5</w:t>
            </w:r>
            <w:r w:rsidRPr="005F340F">
              <w:rPr>
                <w:rFonts w:asciiTheme="majorBidi" w:hAnsiTheme="majorBidi" w:cstheme="majorBidi"/>
                <w:i/>
                <w:iCs/>
                <w:sz w:val="24"/>
                <w:szCs w:val="24"/>
              </w:rPr>
              <w:t>H</w:t>
            </w:r>
            <w:r w:rsidRPr="005F340F">
              <w:rPr>
                <w:rFonts w:asciiTheme="majorBidi" w:hAnsiTheme="majorBidi" w:cstheme="majorBidi"/>
                <w:sz w:val="24"/>
                <w:szCs w:val="24"/>
              </w:rPr>
              <w:t>)-dione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hydrogen bonding interaction with Thr190</w:t>
            </w: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two hydrophobic interactions with His41.</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4-isopropylthiazole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hydrophobic interaction with Pro168</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7-methoxy-8-methylquinoline</w:t>
            </w:r>
          </w:p>
        </w:tc>
      </w:tr>
    </w:tbl>
    <w:p w:rsidR="00A81256" w:rsidRPr="005F340F" w:rsidRDefault="00A81256" w:rsidP="00BA7A26">
      <w:pPr>
        <w:spacing w:line="276" w:lineRule="auto"/>
        <w:jc w:val="center"/>
        <w:rPr>
          <w:rFonts w:asciiTheme="majorBidi" w:hAnsiTheme="majorBidi" w:cstheme="majorBidi"/>
          <w:sz w:val="24"/>
          <w:szCs w:val="24"/>
        </w:rPr>
      </w:pPr>
    </w:p>
    <w:p w:rsidR="00842393" w:rsidRPr="005F340F" w:rsidRDefault="00842393" w:rsidP="00BA7A26">
      <w:pPr>
        <w:numPr>
          <w:ilvl w:val="1"/>
          <w:numId w:val="13"/>
        </w:numPr>
        <w:spacing w:line="276" w:lineRule="auto"/>
        <w:ind w:left="0" w:firstLine="0"/>
        <w:rPr>
          <w:rFonts w:asciiTheme="majorBidi" w:hAnsiTheme="majorBidi" w:cstheme="majorBidi"/>
          <w:b/>
          <w:bCs/>
          <w:sz w:val="24"/>
          <w:szCs w:val="24"/>
        </w:rPr>
      </w:pPr>
      <w:r w:rsidRPr="005F340F">
        <w:rPr>
          <w:rFonts w:asciiTheme="majorBidi" w:hAnsiTheme="majorBidi" w:cstheme="majorBidi"/>
          <w:b/>
          <w:bCs/>
          <w:i/>
          <w:iCs/>
          <w:sz w:val="24"/>
          <w:szCs w:val="24"/>
        </w:rPr>
        <w:t>In</w:t>
      </w:r>
      <w:r w:rsidR="00957C14" w:rsidRPr="005F340F">
        <w:rPr>
          <w:rFonts w:asciiTheme="majorBidi" w:hAnsiTheme="majorBidi" w:cstheme="majorBidi"/>
          <w:b/>
          <w:bCs/>
          <w:i/>
          <w:iCs/>
          <w:sz w:val="24"/>
          <w:szCs w:val="24"/>
        </w:rPr>
        <w:t>-</w:t>
      </w:r>
      <w:r w:rsidRPr="005F340F">
        <w:rPr>
          <w:rFonts w:asciiTheme="majorBidi" w:hAnsiTheme="majorBidi" w:cstheme="majorBidi"/>
          <w:b/>
          <w:bCs/>
          <w:i/>
          <w:iCs/>
          <w:sz w:val="24"/>
          <w:szCs w:val="24"/>
        </w:rPr>
        <w:t>silico</w:t>
      </w:r>
      <w:r w:rsidRPr="005F340F">
        <w:rPr>
          <w:rFonts w:asciiTheme="majorBidi" w:hAnsiTheme="majorBidi" w:cstheme="majorBidi"/>
          <w:b/>
          <w:bCs/>
          <w:sz w:val="24"/>
          <w:szCs w:val="24"/>
        </w:rPr>
        <w:t xml:space="preserve"> ADMET analysis</w:t>
      </w:r>
    </w:p>
    <w:p w:rsidR="00842393" w:rsidRPr="005F340F" w:rsidRDefault="00842393"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Running </w:t>
      </w:r>
      <w:r w:rsidRPr="005F340F">
        <w:rPr>
          <w:rFonts w:asciiTheme="majorBidi" w:hAnsiTheme="majorBidi" w:cstheme="majorBidi"/>
          <w:i/>
          <w:iCs/>
          <w:sz w:val="24"/>
          <w:szCs w:val="24"/>
        </w:rPr>
        <w:t>in</w:t>
      </w:r>
      <w:r w:rsidR="00957C14" w:rsidRPr="005F340F">
        <w:rPr>
          <w:rFonts w:asciiTheme="majorBidi" w:hAnsiTheme="majorBidi" w:cstheme="majorBidi"/>
          <w:i/>
          <w:iCs/>
          <w:sz w:val="24"/>
          <w:szCs w:val="24"/>
        </w:rPr>
        <w:t>-</w:t>
      </w:r>
      <w:commentRangeStart w:id="24"/>
      <w:r w:rsidRPr="005F340F">
        <w:rPr>
          <w:rFonts w:asciiTheme="majorBidi" w:hAnsiTheme="majorBidi" w:cstheme="majorBidi"/>
          <w:i/>
          <w:iCs/>
          <w:sz w:val="24"/>
          <w:szCs w:val="24"/>
        </w:rPr>
        <w:t>silico</w:t>
      </w:r>
      <w:r w:rsidRPr="005F340F">
        <w:rPr>
          <w:rFonts w:asciiTheme="majorBidi" w:hAnsiTheme="majorBidi" w:cstheme="majorBidi"/>
          <w:sz w:val="24"/>
          <w:szCs w:val="24"/>
        </w:rPr>
        <w:t xml:space="preserve"> ADMET studies at the early stages of compound design </w:t>
      </w:r>
      <w:r w:rsidR="000850AF" w:rsidRPr="005F340F">
        <w:rPr>
          <w:rFonts w:asciiTheme="majorBidi" w:hAnsiTheme="majorBidi" w:cstheme="majorBidi"/>
          <w:sz w:val="24"/>
          <w:szCs w:val="24"/>
        </w:rPr>
        <w:t xml:space="preserve">may </w:t>
      </w:r>
      <w:r w:rsidRPr="005F340F">
        <w:rPr>
          <w:rFonts w:asciiTheme="majorBidi" w:hAnsiTheme="majorBidi" w:cstheme="majorBidi"/>
          <w:sz w:val="24"/>
          <w:szCs w:val="24"/>
        </w:rPr>
        <w:t xml:space="preserve">reduce the risk of </w:t>
      </w:r>
      <w:r w:rsidR="000850AF" w:rsidRPr="005F340F">
        <w:rPr>
          <w:rFonts w:asciiTheme="majorBidi" w:hAnsiTheme="majorBidi" w:cstheme="majorBidi"/>
          <w:sz w:val="24"/>
          <w:szCs w:val="24"/>
        </w:rPr>
        <w:t>late-</w:t>
      </w:r>
      <w:r w:rsidRPr="005F340F">
        <w:rPr>
          <w:rFonts w:asciiTheme="majorBidi" w:hAnsiTheme="majorBidi" w:cstheme="majorBidi"/>
          <w:sz w:val="24"/>
          <w:szCs w:val="24"/>
        </w:rPr>
        <w:t>stage attrition and direct the screening procedure to choose the most promising ligands.</w:t>
      </w:r>
    </w:p>
    <w:p w:rsidR="00842393" w:rsidRPr="005F340F" w:rsidRDefault="00842393"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These experiments could predict properties such as oral absorption, bioavailability, blood</w:t>
      </w:r>
      <w:r w:rsidR="000850AF" w:rsidRPr="005F340F">
        <w:rPr>
          <w:rFonts w:asciiTheme="majorBidi" w:hAnsiTheme="majorBidi" w:cstheme="majorBidi"/>
          <w:sz w:val="24"/>
          <w:szCs w:val="24"/>
        </w:rPr>
        <w:t>–</w:t>
      </w:r>
      <w:r w:rsidRPr="005F340F">
        <w:rPr>
          <w:rFonts w:asciiTheme="majorBidi" w:hAnsiTheme="majorBidi" w:cstheme="majorBidi"/>
          <w:sz w:val="24"/>
          <w:szCs w:val="24"/>
        </w:rPr>
        <w:t xml:space="preserve">brain barrier (BBB) penetration, excretion, and distribution. These properties </w:t>
      </w:r>
      <w:r w:rsidR="000850AF" w:rsidRPr="005F340F">
        <w:rPr>
          <w:rFonts w:asciiTheme="majorBidi" w:hAnsiTheme="majorBidi" w:cstheme="majorBidi"/>
          <w:sz w:val="24"/>
          <w:szCs w:val="24"/>
        </w:rPr>
        <w:t xml:space="preserve">provide </w:t>
      </w:r>
      <w:r w:rsidRPr="005F340F">
        <w:rPr>
          <w:rFonts w:asciiTheme="majorBidi" w:hAnsiTheme="majorBidi" w:cstheme="majorBidi"/>
          <w:sz w:val="24"/>
          <w:szCs w:val="24"/>
        </w:rPr>
        <w:t>important information about the dose, dose frequency, route of administration, and safety of the examined drug.</w:t>
      </w:r>
    </w:p>
    <w:p w:rsidR="00842393" w:rsidRPr="005F340F" w:rsidRDefault="00A37230"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Many descriptors are used in ADMET studies: I aqueous solubility, which predicts each compound's solubility </w:t>
      </w:r>
      <w:commentRangeEnd w:id="24"/>
      <w:r w:rsidR="00AF0A3B">
        <w:rPr>
          <w:rStyle w:val="CommentReference"/>
          <w:rFonts w:ascii="Calibri" w:eastAsia="Calibri" w:hAnsi="Calibri" w:cs="Arial"/>
          <w:lang w:eastAsia="en-US"/>
        </w:rPr>
        <w:commentReference w:id="24"/>
      </w:r>
      <w:r w:rsidRPr="005F340F">
        <w:rPr>
          <w:rFonts w:asciiTheme="majorBidi" w:hAnsiTheme="majorBidi" w:cstheme="majorBidi"/>
          <w:sz w:val="24"/>
          <w:szCs w:val="24"/>
        </w:rPr>
        <w:t xml:space="preserve">in water at 25°C; ii) BBB penetration, which predicts a molecule's BBB penetration; iii) CYP2D6 binding, which predicts cytochrome P450 2D6 enzyme inhibition; iv) </w:t>
      </w:r>
      <w:r w:rsidRPr="005F340F">
        <w:rPr>
          <w:rFonts w:asciiTheme="majorBidi" w:hAnsiTheme="majorBidi" w:cstheme="majorBidi"/>
          <w:sz w:val="24"/>
          <w:szCs w:val="24"/>
        </w:rPr>
        <w:lastRenderedPageBreak/>
        <w:t xml:space="preserve">hepatotoxicity, which predicts if the examined compound can cause human hepatotoxicity in dose dependant manner </w:t>
      </w:r>
      <w:hyperlink w:anchor="_ENREF_16" w:tooltip="Van De Waterbeemd, 2003 #16" w:history="1">
        <w:r w:rsidR="0053462E" w:rsidRPr="005F340F">
          <w:rPr>
            <w:rFonts w:asciiTheme="majorBidi" w:hAnsiTheme="majorBidi" w:cstheme="majorBidi"/>
            <w:sz w:val="24"/>
            <w:szCs w:val="24"/>
            <w:rtl/>
          </w:rPr>
          <w:fldChar w:fldCharType="begin"/>
        </w:r>
        <w:r w:rsidR="0012746E">
          <w:rPr>
            <w:rFonts w:asciiTheme="majorBidi" w:hAnsiTheme="majorBidi" w:cstheme="majorBidi"/>
            <w:sz w:val="24"/>
            <w:szCs w:val="24"/>
          </w:rPr>
          <w:instrText>ADDIN EN.CITE &lt;EndNote&gt;&lt;Cite&gt;&lt;Author&gt;Van De Waterbeemd&lt;/Author&gt;&lt;Year&gt;2003&lt;/Year&gt;&lt;RecNum&gt;16&lt;/RecNum&gt;&lt;DisplayText&gt;&lt;style face="superscript"&gt;16&lt;/style&gt;&lt;/DisplayText&gt;&lt;record&gt;&lt;rec-number&gt;16&lt;/rec-number&gt;&lt;foreign-keys&gt;&lt;key app="EN" db-id="de05rdsatra50fexpeavrr</w:instrText>
        </w:r>
        <w:r w:rsidR="0012746E">
          <w:rPr>
            <w:rFonts w:asciiTheme="majorBidi" w:hAnsiTheme="majorBidi" w:cstheme="majorBidi"/>
            <w:sz w:val="24"/>
            <w:szCs w:val="24"/>
            <w:rtl/>
          </w:rPr>
          <w:instrText>9</w:instrText>
        </w:r>
        <w:r w:rsidR="0012746E">
          <w:rPr>
            <w:rFonts w:asciiTheme="majorBidi" w:hAnsiTheme="majorBidi" w:cstheme="majorBidi"/>
            <w:sz w:val="24"/>
            <w:szCs w:val="24"/>
          </w:rPr>
          <w:instrText>jwrz5vtfp5azt"&gt;16&lt;/key&gt;&lt;/foreign-keys&gt;&lt;ref-type name="Journal Article"&gt;17&lt;/ref-type&gt;&lt;contributors&gt;&lt;authors&gt;&lt;author&gt;Van De Waterbeemd, Han&lt;/author&gt;&lt;author&gt;Gifford, Eric&lt;/author&gt;&lt;/authors&gt;&lt;/contributors&gt;&lt;titles&gt;&lt;title&gt;ADMET in silico modelling: towards prediction paradise?&lt;/title&gt;&lt;secondary-title&gt;Nature reviews Drug discovery&lt;/secondary-title&gt;&lt;/titles&gt;&lt;periodical&gt;&lt;full-title&gt;Nature reviews Drug discovery&lt;/full-title&gt;&lt;/periodical&gt;&lt;pages&gt;192-204&lt;/pages&gt;&lt;volume&gt;2&lt;/volume&gt;&lt;number&gt;3&lt;/number&gt;&lt;dates&gt;&lt;year&gt;2003&lt;/year&gt;&lt;/dates&gt;&lt;isbn&gt;1474-1784&lt;/isbn&gt;&lt;urls&gt;&lt;/urls&gt;&lt;/record&gt;&lt;/Cite&gt;&lt;/EndNote</w:instrText>
        </w:r>
        <w:r w:rsidR="0012746E">
          <w:rPr>
            <w:rFonts w:asciiTheme="majorBidi" w:hAnsiTheme="majorBidi" w:cstheme="majorBidi"/>
            <w:sz w:val="24"/>
            <w:szCs w:val="24"/>
            <w:rtl/>
          </w:rPr>
          <w:instrText>&gt;</w:instrText>
        </w:r>
        <w:r w:rsidR="0053462E" w:rsidRPr="005F340F">
          <w:rPr>
            <w:rFonts w:asciiTheme="majorBidi" w:hAnsiTheme="majorBidi" w:cstheme="majorBidi"/>
            <w:sz w:val="24"/>
            <w:szCs w:val="24"/>
            <w:rtl/>
          </w:rPr>
          <w:fldChar w:fldCharType="separate"/>
        </w:r>
        <w:r w:rsidR="0012746E" w:rsidRPr="008E3957">
          <w:rPr>
            <w:rFonts w:asciiTheme="majorBidi" w:hAnsiTheme="majorBidi" w:cstheme="majorBidi"/>
            <w:noProof/>
            <w:sz w:val="24"/>
            <w:szCs w:val="24"/>
            <w:vertAlign w:val="superscript"/>
            <w:rtl/>
          </w:rPr>
          <w:t>16</w:t>
        </w:r>
        <w:r w:rsidR="0053462E" w:rsidRPr="005F340F">
          <w:rPr>
            <w:rFonts w:asciiTheme="majorBidi" w:hAnsiTheme="majorBidi" w:cstheme="majorBidi"/>
            <w:sz w:val="24"/>
            <w:szCs w:val="24"/>
            <w:rtl/>
          </w:rPr>
          <w:fldChar w:fldCharType="end"/>
        </w:r>
      </w:hyperlink>
      <w:r w:rsidR="00842393" w:rsidRPr="005F340F">
        <w:rPr>
          <w:rFonts w:asciiTheme="majorBidi" w:hAnsiTheme="majorBidi" w:cstheme="majorBidi"/>
          <w:sz w:val="24"/>
          <w:szCs w:val="24"/>
        </w:rPr>
        <w:t>.</w:t>
      </w:r>
    </w:p>
    <w:p w:rsidR="00842393" w:rsidRPr="005F340F" w:rsidRDefault="00842393" w:rsidP="00BA7A26">
      <w:pPr>
        <w:spacing w:line="276" w:lineRule="auto"/>
        <w:rPr>
          <w:rFonts w:asciiTheme="majorBidi" w:hAnsiTheme="majorBidi" w:cstheme="majorBidi"/>
          <w:sz w:val="24"/>
          <w:szCs w:val="24"/>
        </w:rPr>
      </w:pPr>
      <w:commentRangeStart w:id="25"/>
      <w:r w:rsidRPr="005F340F">
        <w:rPr>
          <w:rFonts w:asciiTheme="majorBidi" w:hAnsiTheme="majorBidi" w:cstheme="majorBidi"/>
          <w:sz w:val="24"/>
          <w:szCs w:val="24"/>
        </w:rPr>
        <w:t xml:space="preserve">Discovery studio 4.0 was used to predict ADMET descriptors for all compounds. The predicted descriptors are listed in </w:t>
      </w:r>
      <w:r w:rsidRPr="005F340F">
        <w:rPr>
          <w:rFonts w:asciiTheme="majorBidi" w:hAnsiTheme="majorBidi" w:cstheme="majorBidi"/>
          <w:b/>
          <w:bCs/>
          <w:sz w:val="24"/>
          <w:szCs w:val="24"/>
        </w:rPr>
        <w:t xml:space="preserve">Table </w:t>
      </w:r>
      <w:r w:rsidR="00654B26" w:rsidRPr="005F340F">
        <w:rPr>
          <w:rFonts w:asciiTheme="majorBidi" w:hAnsiTheme="majorBidi" w:cstheme="majorBidi"/>
          <w:b/>
          <w:bCs/>
          <w:sz w:val="24"/>
          <w:szCs w:val="24"/>
        </w:rPr>
        <w:t>3</w:t>
      </w:r>
      <w:r w:rsidRPr="005F340F">
        <w:rPr>
          <w:rFonts w:asciiTheme="majorBidi" w:hAnsiTheme="majorBidi" w:cstheme="majorBidi"/>
          <w:sz w:val="24"/>
          <w:szCs w:val="24"/>
        </w:rPr>
        <w:t>.</w:t>
      </w:r>
    </w:p>
    <w:p w:rsidR="00842393" w:rsidRPr="005F340F" w:rsidRDefault="00C31455"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 xml:space="preserve">ADMET aqueous solubility levels of compounds </w:t>
      </w:r>
      <w:r w:rsidR="00842393" w:rsidRPr="005F340F">
        <w:rPr>
          <w:rFonts w:asciiTheme="majorBidi" w:hAnsiTheme="majorBidi" w:cstheme="majorBidi"/>
          <w:b/>
          <w:bCs/>
          <w:sz w:val="24"/>
          <w:szCs w:val="24"/>
        </w:rPr>
        <w:t>3</w:t>
      </w:r>
      <w:r w:rsidR="00842393" w:rsidRPr="005F340F">
        <w:rPr>
          <w:rFonts w:asciiTheme="majorBidi" w:hAnsiTheme="majorBidi" w:cstheme="majorBidi"/>
          <w:sz w:val="24"/>
          <w:szCs w:val="24"/>
        </w:rPr>
        <w:t xml:space="preserve"> and </w:t>
      </w:r>
      <w:r w:rsidR="00842393" w:rsidRPr="005F340F">
        <w:rPr>
          <w:rFonts w:asciiTheme="majorBidi" w:hAnsiTheme="majorBidi" w:cstheme="majorBidi"/>
          <w:b/>
          <w:bCs/>
          <w:sz w:val="24"/>
          <w:szCs w:val="24"/>
        </w:rPr>
        <w:t>4</w:t>
      </w:r>
      <w:r w:rsidR="00842393" w:rsidRPr="005F340F">
        <w:rPr>
          <w:rFonts w:asciiTheme="majorBidi" w:hAnsiTheme="majorBidi" w:cstheme="majorBidi"/>
          <w:sz w:val="24"/>
          <w:szCs w:val="24"/>
        </w:rPr>
        <w:t xml:space="preserve"> appeared </w:t>
      </w:r>
      <w:r w:rsidRPr="005F340F">
        <w:rPr>
          <w:rFonts w:asciiTheme="majorBidi" w:hAnsiTheme="majorBidi" w:cstheme="majorBidi"/>
          <w:sz w:val="24"/>
          <w:szCs w:val="24"/>
        </w:rPr>
        <w:t xml:space="preserve">to be </w:t>
      </w:r>
      <w:r w:rsidR="00842393" w:rsidRPr="005F340F">
        <w:rPr>
          <w:rFonts w:asciiTheme="majorBidi" w:hAnsiTheme="majorBidi" w:cstheme="majorBidi"/>
          <w:sz w:val="24"/>
          <w:szCs w:val="24"/>
        </w:rPr>
        <w:t>in the good range</w:t>
      </w:r>
      <w:r w:rsidRPr="005F340F">
        <w:rPr>
          <w:rFonts w:asciiTheme="majorBidi" w:hAnsiTheme="majorBidi" w:cstheme="majorBidi"/>
          <w:sz w:val="24"/>
          <w:szCs w:val="24"/>
        </w:rPr>
        <w:t xml:space="preserve">,whereas </w:t>
      </w:r>
      <w:r w:rsidR="00842393" w:rsidRPr="005F340F">
        <w:rPr>
          <w:rFonts w:asciiTheme="majorBidi" w:hAnsiTheme="majorBidi" w:cstheme="majorBidi"/>
          <w:sz w:val="24"/>
          <w:szCs w:val="24"/>
        </w:rPr>
        <w:t xml:space="preserve">compound </w:t>
      </w:r>
      <w:r w:rsidR="00842393" w:rsidRPr="005F340F">
        <w:rPr>
          <w:rFonts w:asciiTheme="majorBidi" w:hAnsiTheme="majorBidi" w:cstheme="majorBidi"/>
          <w:b/>
          <w:bCs/>
          <w:sz w:val="24"/>
          <w:szCs w:val="24"/>
        </w:rPr>
        <w:t>5</w:t>
      </w:r>
      <w:r w:rsidR="00842393" w:rsidRPr="005F340F">
        <w:rPr>
          <w:rFonts w:asciiTheme="majorBidi" w:hAnsiTheme="majorBidi" w:cstheme="majorBidi"/>
          <w:sz w:val="24"/>
          <w:szCs w:val="24"/>
        </w:rPr>
        <w:t xml:space="preserve"> showed low aqueous solubility. </w:t>
      </w:r>
      <w:r w:rsidRPr="005F340F">
        <w:rPr>
          <w:rFonts w:asciiTheme="majorBidi" w:hAnsiTheme="majorBidi" w:cstheme="majorBidi"/>
          <w:sz w:val="24"/>
          <w:szCs w:val="24"/>
        </w:rPr>
        <w:t>Conversely</w:t>
      </w:r>
      <w:r w:rsidR="00842393" w:rsidRPr="005F340F">
        <w:rPr>
          <w:rFonts w:asciiTheme="majorBidi" w:hAnsiTheme="majorBidi" w:cstheme="majorBidi"/>
          <w:sz w:val="24"/>
          <w:szCs w:val="24"/>
        </w:rPr>
        <w:t xml:space="preserve">, compounds </w:t>
      </w:r>
      <w:r w:rsidR="00842393" w:rsidRPr="005F340F">
        <w:rPr>
          <w:rFonts w:asciiTheme="majorBidi" w:hAnsiTheme="majorBidi" w:cstheme="majorBidi"/>
          <w:b/>
          <w:bCs/>
          <w:sz w:val="24"/>
          <w:szCs w:val="24"/>
        </w:rPr>
        <w:t>1</w:t>
      </w:r>
      <w:r w:rsidR="00842393" w:rsidRPr="005F340F">
        <w:rPr>
          <w:rFonts w:asciiTheme="majorBidi" w:hAnsiTheme="majorBidi" w:cstheme="majorBidi"/>
          <w:sz w:val="24"/>
          <w:szCs w:val="24"/>
        </w:rPr>
        <w:t xml:space="preserve"> and </w:t>
      </w:r>
      <w:r w:rsidR="00842393" w:rsidRPr="005F340F">
        <w:rPr>
          <w:rFonts w:asciiTheme="majorBidi" w:hAnsiTheme="majorBidi" w:cstheme="majorBidi"/>
          <w:b/>
          <w:bCs/>
          <w:sz w:val="24"/>
          <w:szCs w:val="24"/>
        </w:rPr>
        <w:t>2</w:t>
      </w:r>
      <w:r w:rsidR="00842393" w:rsidRPr="005F340F">
        <w:rPr>
          <w:rFonts w:asciiTheme="majorBidi" w:hAnsiTheme="majorBidi" w:cstheme="majorBidi"/>
          <w:sz w:val="24"/>
          <w:szCs w:val="24"/>
        </w:rPr>
        <w:t xml:space="preserve"> exhibited very low solubility. ADMET BBB penetration studies predicted that </w:t>
      </w:r>
      <w:r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 xml:space="preserve">BBB penetration levels of compounds </w:t>
      </w:r>
      <w:r w:rsidR="00842393" w:rsidRPr="005F340F">
        <w:rPr>
          <w:rFonts w:asciiTheme="majorBidi" w:hAnsiTheme="majorBidi" w:cstheme="majorBidi"/>
          <w:b/>
          <w:bCs/>
          <w:sz w:val="24"/>
          <w:szCs w:val="24"/>
        </w:rPr>
        <w:t>2</w:t>
      </w:r>
      <w:r w:rsidR="00842393" w:rsidRPr="005F340F">
        <w:rPr>
          <w:rFonts w:asciiTheme="majorBidi" w:hAnsiTheme="majorBidi" w:cstheme="majorBidi"/>
          <w:sz w:val="24"/>
          <w:szCs w:val="24"/>
        </w:rPr>
        <w:t xml:space="preserve"> and </w:t>
      </w:r>
      <w:r w:rsidR="00842393" w:rsidRPr="005F340F">
        <w:rPr>
          <w:rFonts w:asciiTheme="majorBidi" w:hAnsiTheme="majorBidi" w:cstheme="majorBidi"/>
          <w:b/>
          <w:bCs/>
          <w:sz w:val="24"/>
          <w:szCs w:val="24"/>
        </w:rPr>
        <w:t>3</w:t>
      </w:r>
      <w:r w:rsidRPr="005F340F">
        <w:rPr>
          <w:rFonts w:asciiTheme="majorBidi" w:hAnsiTheme="majorBidi" w:cstheme="majorBidi"/>
          <w:sz w:val="24"/>
          <w:szCs w:val="24"/>
        </w:rPr>
        <w:t xml:space="preserve">were </w:t>
      </w:r>
      <w:r w:rsidR="00842393" w:rsidRPr="005F340F">
        <w:rPr>
          <w:rFonts w:asciiTheme="majorBidi" w:hAnsiTheme="majorBidi" w:cstheme="majorBidi"/>
          <w:sz w:val="24"/>
          <w:szCs w:val="24"/>
        </w:rPr>
        <w:t>very low</w:t>
      </w:r>
      <w:r w:rsidRPr="005F340F">
        <w:rPr>
          <w:rFonts w:asciiTheme="majorBidi" w:hAnsiTheme="majorBidi" w:cstheme="majorBidi"/>
          <w:sz w:val="24"/>
          <w:szCs w:val="24"/>
        </w:rPr>
        <w:t xml:space="preserve">,whereas </w:t>
      </w:r>
      <w:r w:rsidR="00842393" w:rsidRPr="005F340F">
        <w:rPr>
          <w:rFonts w:asciiTheme="majorBidi" w:hAnsiTheme="majorBidi" w:cstheme="majorBidi"/>
          <w:sz w:val="24"/>
          <w:szCs w:val="24"/>
        </w:rPr>
        <w:t xml:space="preserve">compound </w:t>
      </w:r>
      <w:r w:rsidR="00842393" w:rsidRPr="005F340F">
        <w:rPr>
          <w:rFonts w:asciiTheme="majorBidi" w:hAnsiTheme="majorBidi" w:cstheme="majorBidi"/>
          <w:b/>
          <w:bCs/>
          <w:sz w:val="24"/>
          <w:szCs w:val="24"/>
        </w:rPr>
        <w:t>4</w:t>
      </w:r>
      <w:r w:rsidR="00842393" w:rsidRPr="005F340F">
        <w:rPr>
          <w:rFonts w:asciiTheme="majorBidi" w:hAnsiTheme="majorBidi" w:cstheme="majorBidi"/>
          <w:sz w:val="24"/>
          <w:szCs w:val="24"/>
        </w:rPr>
        <w:t xml:space="preserve"> exhibited low level and compounds </w:t>
      </w:r>
      <w:r w:rsidR="00842393" w:rsidRPr="005F340F">
        <w:rPr>
          <w:rFonts w:asciiTheme="majorBidi" w:hAnsiTheme="majorBidi" w:cstheme="majorBidi"/>
          <w:b/>
          <w:bCs/>
          <w:sz w:val="24"/>
          <w:szCs w:val="24"/>
        </w:rPr>
        <w:t>1</w:t>
      </w:r>
      <w:r w:rsidR="00842393" w:rsidRPr="005F340F">
        <w:rPr>
          <w:rFonts w:asciiTheme="majorBidi" w:hAnsiTheme="majorBidi" w:cstheme="majorBidi"/>
          <w:sz w:val="24"/>
          <w:szCs w:val="24"/>
        </w:rPr>
        <w:t xml:space="preserve"> and </w:t>
      </w:r>
      <w:r w:rsidR="00842393" w:rsidRPr="005F340F">
        <w:rPr>
          <w:rFonts w:asciiTheme="majorBidi" w:hAnsiTheme="majorBidi" w:cstheme="majorBidi"/>
          <w:b/>
          <w:bCs/>
          <w:sz w:val="24"/>
          <w:szCs w:val="24"/>
        </w:rPr>
        <w:t>5</w:t>
      </w:r>
      <w:r w:rsidR="00842393" w:rsidRPr="005F340F">
        <w:rPr>
          <w:rFonts w:asciiTheme="majorBidi" w:hAnsiTheme="majorBidi" w:cstheme="majorBidi"/>
          <w:sz w:val="24"/>
          <w:szCs w:val="24"/>
        </w:rPr>
        <w:t xml:space="preserve"> showed medium BBB penetration levels. Accordingly, all compounds were expected to be safe to</w:t>
      </w:r>
      <w:r w:rsidRPr="005F340F">
        <w:rPr>
          <w:rFonts w:asciiTheme="majorBidi" w:hAnsiTheme="majorBidi" w:cstheme="majorBidi"/>
          <w:sz w:val="24"/>
          <w:szCs w:val="24"/>
        </w:rPr>
        <w:t xml:space="preserve"> the</w:t>
      </w:r>
      <w:r w:rsidR="00842393" w:rsidRPr="005F340F">
        <w:rPr>
          <w:rFonts w:asciiTheme="majorBidi" w:hAnsiTheme="majorBidi" w:cstheme="majorBidi"/>
          <w:sz w:val="24"/>
          <w:szCs w:val="24"/>
        </w:rPr>
        <w:t xml:space="preserve"> CNS.</w:t>
      </w:r>
    </w:p>
    <w:p w:rsidR="00842393" w:rsidRPr="005F340F" w:rsidRDefault="00842393"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Intestinal absorption is the percentage </w:t>
      </w:r>
      <w:r w:rsidR="00C31455" w:rsidRPr="005F340F">
        <w:rPr>
          <w:rFonts w:asciiTheme="majorBidi" w:hAnsiTheme="majorBidi" w:cstheme="majorBidi"/>
          <w:sz w:val="24"/>
          <w:szCs w:val="24"/>
        </w:rPr>
        <w:t xml:space="preserve">of a drug that is </w:t>
      </w:r>
      <w:r w:rsidRPr="005F340F">
        <w:rPr>
          <w:rFonts w:asciiTheme="majorBidi" w:hAnsiTheme="majorBidi" w:cstheme="majorBidi"/>
          <w:sz w:val="24"/>
          <w:szCs w:val="24"/>
        </w:rPr>
        <w:t xml:space="preserve">absorbed </w:t>
      </w:r>
      <w:r w:rsidR="00C31455" w:rsidRPr="005F340F">
        <w:rPr>
          <w:rFonts w:asciiTheme="majorBidi" w:hAnsiTheme="majorBidi" w:cstheme="majorBidi"/>
          <w:sz w:val="24"/>
          <w:szCs w:val="24"/>
        </w:rPr>
        <w:t xml:space="preserve">by </w:t>
      </w:r>
      <w:r w:rsidRPr="005F340F">
        <w:rPr>
          <w:rFonts w:asciiTheme="majorBidi" w:hAnsiTheme="majorBidi" w:cstheme="majorBidi"/>
          <w:sz w:val="24"/>
          <w:szCs w:val="24"/>
        </w:rPr>
        <w:t xml:space="preserve">the gut wall </w:t>
      </w:r>
      <w:hyperlink w:anchor="_ENREF_17" w:tooltip="Mannhold, 2012 #17"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&lt;EndNote&gt;&lt;Cite&gt;&lt;Author&gt;Mannhold&lt;/Author&gt;&lt;Year&gt;2012&lt;/Year&gt;&lt;RecNum&gt;17&lt;/RecNum&gt;&lt;DisplayText&gt;&lt;style face="superscript"&gt;17&lt;/style&gt;&lt;/DisplayText&gt;&lt;record&gt;&lt;rec-number&gt;17&lt;/rec-number&gt;&lt;foreign-keys&gt;&lt;key app="EN" db-id="de05rdsatra50fexpeavrr9jwrz5vtfp5azt"&gt;17&lt;/key&gt;&lt;/foreign-keys&gt;&lt;ref-type name="Book"&gt;6&lt;/ref-type&gt;&lt;contributors&gt;&lt;authors&gt;&lt;author&gt;Mannhold, Raimund&lt;/author&gt;&lt;author&gt;Kubinyi, Hugo&lt;/author&gt;&lt;author&gt;Folkers, Gerd&lt;/author&gt;&lt;/authors&gt;&lt;/contributors&gt;&lt;titles&gt;&lt;title&gt;Pharmacokinetics and metabolism in drug design&lt;/title&gt;&lt;/titles&gt;&lt;volume&gt;51&lt;/volume&gt;&lt;dates&gt;&lt;year&gt;2012&lt;/year&gt;&lt;/dates&gt;&lt;publisher&gt;John Wiley &amp;amp; Sons&lt;/publisher&gt;&lt;isbn&gt;3527329544&lt;/isbn&gt;&lt;urls&gt;&lt;/urls&gt;&lt;/record&gt;&lt;/Cite&gt;&lt;/EndNote&gt;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17</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w:t>
      </w:r>
      <w:r w:rsidR="00C31455" w:rsidRPr="005F340F">
        <w:rPr>
          <w:rFonts w:asciiTheme="majorBidi" w:hAnsiTheme="majorBidi" w:cstheme="majorBidi"/>
          <w:sz w:val="24"/>
          <w:szCs w:val="24"/>
        </w:rPr>
        <w:t xml:space="preserve">At </w:t>
      </w:r>
      <w:r w:rsidRPr="005F340F">
        <w:rPr>
          <w:rFonts w:asciiTheme="majorBidi" w:hAnsiTheme="majorBidi" w:cstheme="majorBidi"/>
          <w:sz w:val="24"/>
          <w:szCs w:val="24"/>
        </w:rPr>
        <w:t xml:space="preserve">least 90% </w:t>
      </w:r>
      <w:r w:rsidR="00C31455" w:rsidRPr="005F340F">
        <w:rPr>
          <w:rFonts w:asciiTheme="majorBidi" w:hAnsiTheme="majorBidi" w:cstheme="majorBidi"/>
          <w:sz w:val="24"/>
          <w:szCs w:val="24"/>
        </w:rPr>
        <w:t xml:space="preserve">of </w:t>
      </w:r>
      <w:r w:rsidRPr="005F340F">
        <w:rPr>
          <w:rFonts w:asciiTheme="majorBidi" w:hAnsiTheme="majorBidi" w:cstheme="majorBidi"/>
          <w:sz w:val="24"/>
          <w:szCs w:val="24"/>
        </w:rPr>
        <w:t xml:space="preserve">absorption into the bloodstream in humans is needed for </w:t>
      </w:r>
      <w:r w:rsidR="00C31455" w:rsidRPr="005F340F">
        <w:rPr>
          <w:rFonts w:asciiTheme="majorBidi" w:hAnsiTheme="majorBidi" w:cstheme="majorBidi"/>
          <w:sz w:val="24"/>
          <w:szCs w:val="24"/>
        </w:rPr>
        <w:t xml:space="preserve">a </w:t>
      </w:r>
      <w:r w:rsidRPr="005F340F">
        <w:rPr>
          <w:rFonts w:asciiTheme="majorBidi" w:hAnsiTheme="majorBidi" w:cstheme="majorBidi"/>
          <w:sz w:val="24"/>
          <w:szCs w:val="24"/>
        </w:rPr>
        <w:t>compound to be</w:t>
      </w:r>
      <w:r w:rsidR="00C31455" w:rsidRPr="005F340F">
        <w:rPr>
          <w:rFonts w:asciiTheme="majorBidi" w:hAnsiTheme="majorBidi" w:cstheme="majorBidi"/>
          <w:sz w:val="24"/>
          <w:szCs w:val="24"/>
        </w:rPr>
        <w:t xml:space="preserve"> classified as a</w:t>
      </w:r>
      <w:r w:rsidRPr="005F340F">
        <w:rPr>
          <w:rFonts w:asciiTheme="majorBidi" w:hAnsiTheme="majorBidi" w:cstheme="majorBidi"/>
          <w:sz w:val="24"/>
          <w:szCs w:val="24"/>
        </w:rPr>
        <w:t xml:space="preserve"> well-absorbed compound </w:t>
      </w:r>
      <w:hyperlink w:anchor="_ENREF_18" w:tooltip="Klopman, 2002 #18"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&lt;EndNote&gt;&lt;Cite&gt;&lt;Author&gt;Klopman&lt;/Author&gt;&lt;Year&gt;2002&lt;/Year&gt;&lt;RecNum&gt;18&lt;/RecNum&gt;&lt;DisplayText&gt;&lt;style face="superscript"&gt;18&lt;/style&gt;&lt;/DisplayText&gt;&lt;record&gt;&lt;rec-number&gt;18&lt;/rec-number&gt;&lt;foreign-keys&gt;&lt;key app="EN" db-id="de05rdsatra50fexpeavrr9jwrz5vtfp5azt"&gt;18&lt;/key&gt;&lt;/foreign-keys&gt;&lt;ref-type name="Journal Article"&gt;17&lt;/ref-type&gt;&lt;contributors&gt;&lt;authors&gt;&lt;author&gt;Klopman, Gilles&lt;/author&gt;&lt;author&gt;Stefan, Liliana R&lt;/author&gt;&lt;author&gt;Saiakhov, Roustem D&lt;/author&gt;&lt;/authors&gt;&lt;/contributors&gt;&lt;titles&gt;&lt;title&gt;ADME evaluation: 2. A computer model for the prediction of intestinal absorption in humans&lt;/title&gt;&lt;secondary-title&gt;European journal of pharmaceutical sciences&lt;/secondary-title&gt;&lt;/titles&gt;&lt;periodical&gt;&lt;full-title&gt;European journal of pharmaceutical sciences&lt;/full-title&gt;&lt;/periodical&gt;&lt;pages&gt;253-263&lt;/pages&gt;&lt;volume&gt;17&lt;/volume&gt;&lt;number&gt;4-5&lt;/number&gt;&lt;dates&gt;&lt;year&gt;2002&lt;/year&gt;&lt;/dates&gt;&lt;isbn&gt;0928-0987&lt;/isbn&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18</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w:t>
      </w:r>
      <w:r w:rsidR="00C31455" w:rsidRPr="005F340F">
        <w:rPr>
          <w:rFonts w:asciiTheme="majorBidi" w:hAnsiTheme="majorBidi" w:cstheme="majorBidi"/>
          <w:sz w:val="24"/>
          <w:szCs w:val="24"/>
        </w:rPr>
        <w:t xml:space="preserve">Moreover, poor </w:t>
      </w:r>
      <w:r w:rsidRPr="005F340F">
        <w:rPr>
          <w:rFonts w:asciiTheme="majorBidi" w:hAnsiTheme="majorBidi" w:cstheme="majorBidi"/>
          <w:sz w:val="24"/>
          <w:szCs w:val="24"/>
        </w:rPr>
        <w:t>absorption was the main reason for numerous compound failure</w:t>
      </w:r>
      <w:r w:rsidR="00C31455" w:rsidRPr="005F340F">
        <w:rPr>
          <w:rFonts w:asciiTheme="majorBidi" w:hAnsiTheme="majorBidi" w:cstheme="majorBidi"/>
          <w:sz w:val="24"/>
          <w:szCs w:val="24"/>
        </w:rPr>
        <w:t>s</w:t>
      </w:r>
      <w:r w:rsidRPr="005F340F">
        <w:rPr>
          <w:rFonts w:asciiTheme="majorBidi" w:hAnsiTheme="majorBidi" w:cstheme="majorBidi"/>
          <w:sz w:val="24"/>
          <w:szCs w:val="24"/>
        </w:rPr>
        <w:t xml:space="preserve"> in </w:t>
      </w:r>
      <w:r w:rsidR="00C31455" w:rsidRPr="005F340F">
        <w:rPr>
          <w:rFonts w:asciiTheme="majorBidi" w:hAnsiTheme="majorBidi" w:cstheme="majorBidi"/>
          <w:sz w:val="24"/>
          <w:szCs w:val="24"/>
        </w:rPr>
        <w:t xml:space="preserve">the </w:t>
      </w:r>
      <w:r w:rsidRPr="005F340F">
        <w:rPr>
          <w:rFonts w:asciiTheme="majorBidi" w:hAnsiTheme="majorBidi" w:cstheme="majorBidi"/>
          <w:sz w:val="24"/>
          <w:szCs w:val="24"/>
        </w:rPr>
        <w:t xml:space="preserve">clinical phase </w:t>
      </w:r>
      <w:hyperlink w:anchor="_ENREF_19" w:tooltip="Patel, 2015 #19"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&lt;EndNote&gt;&lt;Cite&gt;&lt;Author&gt;Patel&lt;/Author&gt;&lt;Year&gt;2015&lt;/Year&gt;&lt;RecNum&gt;19&lt;/RecNum&gt;&lt;DisplayText&gt;&lt;style face="superscript"&gt;19&lt;/style&gt;&lt;/DisplayText&gt;&lt;record&gt;&lt;rec-number&gt;19&lt;/rec-number&gt;&lt;foreign-keys&gt;&lt;key app="EN" db-id="de05rdsatra50fexpeavrr9jwrz5vtfp5azt"&gt;19&lt;/key&gt;&lt;/foreign-keys&gt;&lt;ref-type name="Journal Article"&gt;17&lt;/ref-type&gt;&lt;contributors&gt;&lt;authors&gt;&lt;author&gt;Patel, Harun&lt;/author&gt;&lt;author&gt;Dhangar, Kiran&lt;/author&gt;&lt;author&gt;Sonawane, Yogesh&lt;/author&gt;&lt;author&gt;Surana, Sanjay&lt;/author&gt;&lt;author&gt;Karpoormath, Rajshekhar&lt;/author&gt;&lt;author&gt;Thapliyal, Neeta&lt;/author&gt;&lt;author&gt;Shaikh, Mahamadhanif&lt;/author&gt;&lt;author&gt;Noolvi, Malleshappa&lt;/author&gt;&lt;author&gt;Jagtap, Rakesh&lt;/author&gt;&lt;/authors&gt;&lt;/contributors&gt;&lt;titles&gt;&lt;title&gt;In search of selective 11β-HSD type 1 inhibitors without nephrotoxicity: An approach to resolve the metabolic syndrome by virtual based screening&lt;/title&gt;&lt;secondary-title&gt;Arabian Journal of Chemistry&lt;/secondary-title&gt;&lt;/titles&gt;&lt;periodical&gt;&lt;full-title&gt;Arabian Journal of Chemistry&lt;/full-title&gt;&lt;/periodical&gt;&lt;dates&gt;&lt;year&gt;2015&lt;/year&gt;&lt;/dates&gt;&lt;isbn&gt;1878-5352&lt;/isbn&gt;&lt;urls&gt;&lt;/urls&gt;&lt;/record&gt;&lt;/Cite&gt;&lt;/EndNote&gt;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19</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According to our ADMET studies, compounds </w:t>
      </w:r>
      <w:r w:rsidRPr="005F340F">
        <w:rPr>
          <w:rFonts w:asciiTheme="majorBidi" w:hAnsiTheme="majorBidi" w:cstheme="majorBidi"/>
          <w:b/>
          <w:bCs/>
          <w:sz w:val="24"/>
          <w:szCs w:val="24"/>
        </w:rPr>
        <w:t>1</w:t>
      </w:r>
      <w:r w:rsidRPr="005F340F">
        <w:rPr>
          <w:rFonts w:asciiTheme="majorBidi" w:hAnsiTheme="majorBidi" w:cstheme="majorBidi"/>
          <w:sz w:val="24"/>
          <w:szCs w:val="24"/>
        </w:rPr>
        <w:t xml:space="preserve">, </w:t>
      </w:r>
      <w:r w:rsidRPr="005F340F">
        <w:rPr>
          <w:rFonts w:asciiTheme="majorBidi" w:hAnsiTheme="majorBidi" w:cstheme="majorBidi"/>
          <w:b/>
          <w:bCs/>
          <w:sz w:val="24"/>
          <w:szCs w:val="24"/>
        </w:rPr>
        <w:t>4</w:t>
      </w:r>
      <w:r w:rsidR="00C31455" w:rsidRPr="005F340F">
        <w:rPr>
          <w:rFonts w:asciiTheme="majorBidi" w:hAnsiTheme="majorBidi" w:cstheme="majorBidi"/>
          <w:sz w:val="24"/>
          <w:szCs w:val="24"/>
        </w:rPr>
        <w:t>,</w:t>
      </w:r>
      <w:r w:rsidRPr="005F340F">
        <w:rPr>
          <w:rFonts w:asciiTheme="majorBidi" w:hAnsiTheme="majorBidi" w:cstheme="majorBidi"/>
          <w:sz w:val="24"/>
          <w:szCs w:val="24"/>
        </w:rPr>
        <w:t xml:space="preserve"> and </w:t>
      </w:r>
      <w:r w:rsidRPr="005F340F">
        <w:rPr>
          <w:rFonts w:asciiTheme="majorBidi" w:hAnsiTheme="majorBidi" w:cstheme="majorBidi"/>
          <w:b/>
          <w:bCs/>
          <w:sz w:val="24"/>
          <w:szCs w:val="24"/>
        </w:rPr>
        <w:t>5</w:t>
      </w:r>
      <w:r w:rsidRPr="005F340F">
        <w:rPr>
          <w:rFonts w:asciiTheme="majorBidi" w:hAnsiTheme="majorBidi" w:cstheme="majorBidi"/>
          <w:sz w:val="24"/>
          <w:szCs w:val="24"/>
        </w:rPr>
        <w:t xml:space="preserve"> were expected to possess good </w:t>
      </w:r>
      <w:r w:rsidR="00614DBD" w:rsidRPr="005F340F">
        <w:rPr>
          <w:rFonts w:asciiTheme="majorBidi" w:hAnsiTheme="majorBidi" w:cstheme="majorBidi"/>
          <w:sz w:val="24"/>
          <w:szCs w:val="24"/>
        </w:rPr>
        <w:t>HIA</w:t>
      </w:r>
      <w:r w:rsidR="00C31455" w:rsidRPr="005F340F">
        <w:rPr>
          <w:rFonts w:asciiTheme="majorBidi" w:hAnsiTheme="majorBidi" w:cstheme="majorBidi"/>
          <w:sz w:val="24"/>
          <w:szCs w:val="24"/>
        </w:rPr>
        <w:t xml:space="preserve">,whereas </w:t>
      </w:r>
      <w:r w:rsidRPr="005F340F">
        <w:rPr>
          <w:rFonts w:asciiTheme="majorBidi" w:hAnsiTheme="majorBidi" w:cstheme="majorBidi"/>
          <w:sz w:val="24"/>
          <w:szCs w:val="24"/>
        </w:rPr>
        <w:t xml:space="preserve">compounds </w:t>
      </w:r>
      <w:r w:rsidRPr="005F340F">
        <w:rPr>
          <w:rFonts w:asciiTheme="majorBidi" w:hAnsiTheme="majorBidi" w:cstheme="majorBidi"/>
          <w:b/>
          <w:bCs/>
          <w:sz w:val="24"/>
          <w:szCs w:val="24"/>
        </w:rPr>
        <w:t>2</w:t>
      </w:r>
      <w:r w:rsidRPr="005F340F">
        <w:rPr>
          <w:rFonts w:asciiTheme="majorBidi" w:hAnsiTheme="majorBidi" w:cstheme="majorBidi"/>
          <w:sz w:val="24"/>
          <w:szCs w:val="24"/>
        </w:rPr>
        <w:t xml:space="preserve"> and </w:t>
      </w:r>
      <w:r w:rsidRPr="005F340F">
        <w:rPr>
          <w:rFonts w:asciiTheme="majorBidi" w:hAnsiTheme="majorBidi" w:cstheme="majorBidi"/>
          <w:b/>
          <w:bCs/>
          <w:sz w:val="24"/>
          <w:szCs w:val="24"/>
        </w:rPr>
        <w:t>3</w:t>
      </w:r>
      <w:r w:rsidRPr="005F340F">
        <w:rPr>
          <w:rFonts w:asciiTheme="majorBidi" w:hAnsiTheme="majorBidi" w:cstheme="majorBidi"/>
          <w:sz w:val="24"/>
          <w:szCs w:val="24"/>
        </w:rPr>
        <w:t xml:space="preserve"> appeared to have moderate intestinal absorption.</w:t>
      </w:r>
    </w:p>
    <w:p w:rsidR="00842393" w:rsidRPr="005F340F" w:rsidRDefault="007953EC"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The hepatotoxicity model predicts the probable organ toxicity of a large variety of structurally varied substances </w:t>
      </w:r>
      <w:hyperlink w:anchor="_ENREF_20" w:tooltip="Hewitt, 2016 #20"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&lt;EndNote&gt;&lt;Cite&gt;&lt;Author&gt;Hewitt&lt;/Author&gt;&lt;Year&gt;2016&lt;/Year&gt;&lt;RecNum&gt;20&lt;/RecNum&gt;&lt;DisplayText&gt;&lt;style face="superscript"&gt;20&lt;/style&gt;&lt;/DisplayText&gt;&lt;record&gt;&lt;rec-number&gt;20&lt;/rec-number&gt;&lt;foreign-keys&gt;&lt;key app="EN" db-id="de05rdsatra50fexpeavrr9jwrz5vtfp5azt"&gt;20&lt;/key&gt;&lt;/foreign-keys&gt;&lt;ref-type name="Book Section"&gt;5&lt;/ref-type&gt;&lt;contributors&gt;&lt;authors&gt;&lt;author&gt;Hewitt, Mark&lt;/author&gt;&lt;author&gt;Przybylak, Katarzyna&lt;/author&gt;&lt;/authors&gt;&lt;/contributors&gt;&lt;titles&gt;&lt;title&gt;In silico models for hepatotoxicity&lt;/title&gt;&lt;secondary-title&gt;In Silico Methods for Predicting Drug Toxicity&lt;/secondary-title&gt;&lt;/titles&gt;&lt;pages&gt;201-236&lt;/pages&gt;&lt;dates&gt;&lt;year&gt;2016&lt;/year&gt;&lt;/dates&gt;&lt;publisher&gt;Springer&lt;/publisher&gt;&lt;urls&gt;&lt;/urls&gt;&lt;/record&gt;&lt;/Cite&gt;&lt;/EndNote&gt;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20</w:t>
        </w:r>
        <w:r w:rsidR="0053462E"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 xml:space="preserve">. </w:t>
      </w:r>
      <w:r w:rsidRPr="005F340F">
        <w:rPr>
          <w:rFonts w:asciiTheme="majorBidi" w:hAnsiTheme="majorBidi" w:cstheme="majorBidi"/>
          <w:sz w:val="24"/>
          <w:szCs w:val="24"/>
        </w:rPr>
        <w:t xml:space="preserve">Except for compound </w:t>
      </w:r>
      <w:r w:rsidRPr="005F340F">
        <w:rPr>
          <w:rFonts w:asciiTheme="majorBidi" w:hAnsiTheme="majorBidi" w:cstheme="majorBidi"/>
          <w:b/>
          <w:bCs/>
          <w:sz w:val="24"/>
          <w:szCs w:val="24"/>
        </w:rPr>
        <w:t>3</w:t>
      </w:r>
      <w:r w:rsidRPr="005F340F">
        <w:rPr>
          <w:rFonts w:asciiTheme="majorBidi" w:hAnsiTheme="majorBidi" w:cstheme="majorBidi"/>
          <w:sz w:val="24"/>
          <w:szCs w:val="24"/>
        </w:rPr>
        <w:t xml:space="preserve">, all of the compounds studied were shown to exhibit some amount of hepatotoxicity. </w:t>
      </w:r>
      <w:r w:rsidRPr="005F340F">
        <w:rPr>
          <w:rFonts w:asciiTheme="majorBidi" w:hAnsiTheme="majorBidi" w:cstheme="majorBidi"/>
          <w:i/>
          <w:iCs/>
          <w:sz w:val="24"/>
          <w:szCs w:val="24"/>
        </w:rPr>
        <w:t>In-vitro</w:t>
      </w:r>
      <w:r w:rsidRPr="005F340F">
        <w:rPr>
          <w:rFonts w:asciiTheme="majorBidi" w:hAnsiTheme="majorBidi" w:cstheme="majorBidi"/>
          <w:sz w:val="24"/>
          <w:szCs w:val="24"/>
        </w:rPr>
        <w:t xml:space="preserve"> and </w:t>
      </w:r>
      <w:r w:rsidRPr="005F340F">
        <w:rPr>
          <w:rFonts w:asciiTheme="majorBidi" w:hAnsiTheme="majorBidi" w:cstheme="majorBidi"/>
          <w:i/>
          <w:iCs/>
          <w:sz w:val="24"/>
          <w:szCs w:val="24"/>
        </w:rPr>
        <w:t>in-vivo</w:t>
      </w:r>
      <w:r w:rsidRPr="005F340F">
        <w:rPr>
          <w:rFonts w:asciiTheme="majorBidi" w:hAnsiTheme="majorBidi" w:cstheme="majorBidi"/>
          <w:sz w:val="24"/>
          <w:szCs w:val="24"/>
        </w:rPr>
        <w:t xml:space="preserve"> research </w:t>
      </w:r>
      <w:r w:rsidR="00B548F6" w:rsidRPr="005F340F">
        <w:rPr>
          <w:rFonts w:asciiTheme="majorBidi" w:hAnsiTheme="majorBidi" w:cstheme="majorBidi"/>
          <w:sz w:val="24"/>
          <w:szCs w:val="24"/>
        </w:rPr>
        <w:t>is</w:t>
      </w:r>
      <w:r w:rsidRPr="005F340F">
        <w:rPr>
          <w:rFonts w:asciiTheme="majorBidi" w:hAnsiTheme="majorBidi" w:cstheme="majorBidi"/>
          <w:sz w:val="24"/>
          <w:szCs w:val="24"/>
        </w:rPr>
        <w:t xml:space="preserve"> needed to confirm these preliminary in-silico findings.</w:t>
      </w:r>
    </w:p>
    <w:p w:rsidR="00842393" w:rsidRPr="005F340F" w:rsidRDefault="001D68BA"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The cytochrome P450 2D6 (CYP2D6) model, which uses the 2D chemical structure as an input, predicts CYP2D6 enzyme inhibition. The inhibition of CYP2D6 allows the impact of various medications to be amplified, potentially resulting in hazardous levels. As a result, under drug research and development regulations, a CYP2D6 inhibition trial is a requirement </w:t>
      </w:r>
      <w:hyperlink w:anchor="_ENREF_21" w:tooltip="Roy, 2009 #21"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&lt;EndNote&gt;&lt;Cite&gt;&lt;Author&gt;Roy&lt;/Author&gt;&lt;Year&gt;2009&lt;/Year&gt;&lt;RecNum&gt;21&lt;/RecNum&gt;&lt;DisplayText&gt;&lt;style face="superscript"&gt;21&lt;/style&gt;&lt;/DisplayText&gt;&lt;record&gt;&lt;rec-number&gt;21&lt;/rec-number&gt;&lt;foreign-keys&gt;&lt;key app="EN" db-id="de05rdsatra50fexpeavrr9jwrz5vtfp5azt"&gt;21&lt;/key&gt;&lt;/foreign-keys&gt;&lt;ref-type name="Journal Article"&gt;17&lt;/ref-type&gt;&lt;contributors&gt;&lt;authors&gt;&lt;author&gt;Roy, Partha Pratim&lt;/author&gt;&lt;author&gt;Roy, Kunal&lt;/author&gt;&lt;/authors&gt;&lt;/contributors&gt;&lt;titles&gt;&lt;title&gt;QSAR studies of CYP2D6 inhibitor aryloxypropanolamines using 2D and 3D descriptors&lt;/title&gt;&lt;secondary-title&gt;Chemical biology &amp;amp; drug design&lt;/secondary-title&gt;&lt;/titles&gt;&lt;periodical&gt;&lt;full-title&gt;Chemical biology &amp;amp; drug design&lt;/full-title&gt;&lt;/periodical&gt;&lt;pages&gt;442-455&lt;/pages&gt;&lt;volume&gt;73&lt;/volume&gt;&lt;number&gt;4&lt;/number&gt;&lt;dates&gt;&lt;year&gt;2009&lt;/year&gt;&lt;/dates&gt;&lt;isbn&gt;1747-0277&lt;/isbn&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21</w:t>
        </w:r>
        <w:r w:rsidR="0053462E"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 xml:space="preserve">. All examined </w:t>
      </w:r>
      <w:r w:rsidR="00C31455" w:rsidRPr="005F340F">
        <w:rPr>
          <w:rFonts w:asciiTheme="majorBidi" w:hAnsiTheme="majorBidi" w:cstheme="majorBidi"/>
          <w:sz w:val="24"/>
          <w:szCs w:val="24"/>
        </w:rPr>
        <w:t xml:space="preserve">compounds </w:t>
      </w:r>
      <w:r w:rsidR="00842393" w:rsidRPr="005F340F">
        <w:rPr>
          <w:rFonts w:asciiTheme="majorBidi" w:hAnsiTheme="majorBidi" w:cstheme="majorBidi"/>
          <w:sz w:val="24"/>
          <w:szCs w:val="24"/>
        </w:rPr>
        <w:t xml:space="preserve">were </w:t>
      </w:r>
      <w:commentRangeEnd w:id="25"/>
      <w:r w:rsidR="00AF0A3B">
        <w:rPr>
          <w:rStyle w:val="CommentReference"/>
          <w:rFonts w:ascii="Calibri" w:eastAsia="Calibri" w:hAnsi="Calibri" w:cs="Arial"/>
          <w:lang w:eastAsia="en-US"/>
        </w:rPr>
        <w:commentReference w:id="25"/>
      </w:r>
      <w:r w:rsidR="00842393" w:rsidRPr="005F340F">
        <w:rPr>
          <w:rFonts w:asciiTheme="majorBidi" w:hAnsiTheme="majorBidi" w:cstheme="majorBidi"/>
          <w:sz w:val="24"/>
          <w:szCs w:val="24"/>
        </w:rPr>
        <w:t xml:space="preserve">predicted as non-inhibitors of CYP2D6. Consequently, the examined compounds are not </w:t>
      </w:r>
      <w:commentRangeStart w:id="26"/>
      <w:r w:rsidR="00842393" w:rsidRPr="005F340F">
        <w:rPr>
          <w:rFonts w:asciiTheme="majorBidi" w:hAnsiTheme="majorBidi" w:cstheme="majorBidi"/>
          <w:sz w:val="24"/>
          <w:szCs w:val="24"/>
        </w:rPr>
        <w:t xml:space="preserve">expected to have </w:t>
      </w:r>
      <w:r w:rsidR="00C31455" w:rsidRPr="005F340F">
        <w:rPr>
          <w:rFonts w:asciiTheme="majorBidi" w:hAnsiTheme="majorBidi" w:cstheme="majorBidi"/>
          <w:sz w:val="24"/>
          <w:szCs w:val="24"/>
        </w:rPr>
        <w:t xml:space="preserve">a </w:t>
      </w:r>
      <w:r w:rsidR="00842393" w:rsidRPr="005F340F">
        <w:rPr>
          <w:rFonts w:asciiTheme="majorBidi" w:hAnsiTheme="majorBidi" w:cstheme="majorBidi"/>
          <w:sz w:val="24"/>
          <w:szCs w:val="24"/>
        </w:rPr>
        <w:t xml:space="preserve">toxic effect from this </w:t>
      </w:r>
      <w:r w:rsidR="00C31455" w:rsidRPr="005F340F">
        <w:rPr>
          <w:rFonts w:asciiTheme="majorBidi" w:hAnsiTheme="majorBidi" w:cstheme="majorBidi"/>
          <w:sz w:val="24"/>
          <w:szCs w:val="24"/>
        </w:rPr>
        <w:t>perspective</w:t>
      </w:r>
      <w:r w:rsidR="00842393" w:rsidRPr="005F340F">
        <w:rPr>
          <w:rFonts w:asciiTheme="majorBidi" w:hAnsiTheme="majorBidi" w:cstheme="majorBidi"/>
          <w:sz w:val="24"/>
          <w:szCs w:val="24"/>
        </w:rPr>
        <w:t>.</w:t>
      </w:r>
    </w:p>
    <w:p w:rsidR="00842393" w:rsidRPr="005F340F" w:rsidRDefault="00324A4C"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The plasma protein binding model predicts a compound's capacity to attach to plasma proteins. This model predicts how likely a substance is to be strongly bound (90 percent binding) to blood carrier proteins </w:t>
      </w:r>
      <w:hyperlink w:anchor="_ENREF_22" w:tooltip="Ghafourian, 2013 #22"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&lt;EndNote&gt;&lt;Cite&gt;&lt;Author&gt;Ghafourian&lt;/Author&gt;&lt;Year&gt;2013&lt;/Year&gt;&lt;RecNum&gt;22&lt;/RecNum&gt;&lt;DisplayText&gt;&lt;style face="superscript"&gt;22&lt;/style&gt;&lt;/DisplayText&gt;&lt;record&gt;&lt;rec-number&gt;22&lt;/rec-number&gt;&lt;foreign-keys&gt;&lt;key app="EN" db-id="de05rdsatra50fexpeavrr9jwrz5vtfp5azt"&gt;22&lt;/key&gt;&lt;/foreign-keys&gt;&lt;ref-type name="Journal Article"&gt;17&lt;/ref-type&gt;&lt;contributors&gt;&lt;authors&gt;&lt;author&gt;Ghafourian, Taravat&lt;/author&gt;&lt;author&gt;Amin, Zeshan&lt;/author&gt;&lt;/authors&gt;&lt;/contributors&gt;&lt;titles&gt;&lt;title&gt;QSAR models for the prediction of plasma protein binding&lt;/title&gt;&lt;secondary-title&gt;BioImpacts: BI&lt;/secondary-title&gt;&lt;/titles&gt;&lt;periodical&gt;&lt;full-title&gt;BioImpacts: BI&lt;/full-title&gt;&lt;/periodical&gt;&lt;pages&gt;21&lt;/pages&gt;&lt;volume&gt;3&lt;/volume&gt;&lt;number&gt;1&lt;/number&gt;&lt;dates&gt;&lt;year&gt;2013&lt;/year&gt;&lt;/dates&gt;&lt;urls&gt;&lt;/urls&gt;&lt;/record&gt;&lt;/Cite&gt;&lt;/EndNote&gt;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22</w:t>
        </w:r>
        <w:r w:rsidR="0053462E"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 xml:space="preserve">. </w:t>
      </w:r>
      <w:r w:rsidR="00751764" w:rsidRPr="005F340F">
        <w:rPr>
          <w:rFonts w:asciiTheme="majorBidi" w:hAnsiTheme="majorBidi" w:cstheme="majorBidi"/>
          <w:sz w:val="24"/>
          <w:szCs w:val="24"/>
        </w:rPr>
        <w:t xml:space="preserve">Because the bound fraction is temporarily sheltered from metabolism, drug molecule plasma protein binding can have an impact on their efficiency. The unbound fraction, on the other hand, has therapeutic </w:t>
      </w:r>
      <w:commentRangeEnd w:id="26"/>
      <w:r w:rsidR="00AF0A3B">
        <w:rPr>
          <w:rStyle w:val="CommentReference"/>
          <w:rFonts w:ascii="Calibri" w:eastAsia="Calibri" w:hAnsi="Calibri" w:cs="Arial"/>
          <w:lang w:eastAsia="en-US"/>
        </w:rPr>
        <w:commentReference w:id="26"/>
      </w:r>
      <w:r w:rsidR="00751764" w:rsidRPr="005F340F">
        <w:rPr>
          <w:rFonts w:asciiTheme="majorBidi" w:hAnsiTheme="majorBidi" w:cstheme="majorBidi"/>
          <w:sz w:val="24"/>
          <w:szCs w:val="24"/>
        </w:rPr>
        <w:t xml:space="preserve">effects when it is isolated </w:t>
      </w:r>
      <w:hyperlink w:anchor="_ENREF_23" w:tooltip="Smith, 2010 #23"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&lt;EndNote&gt;&lt;Cite&gt;&lt;Author&gt;Smith&lt;/Author&gt;&lt;Year&gt;2010&lt;/Year&gt;&lt;RecNum&gt;23&lt;/RecNum&gt;&lt;DisplayText&gt;&lt;style face="superscript"&gt;23&lt;/style&gt;&lt;/DisplayText&gt;&lt;record&gt;&lt;rec-number&gt;23&lt;/rec-number&gt;&lt;foreign-keys&gt;&lt;key app="EN" db-id="de05rdsatra50fexpeavrr9jwrz5vtfp5azt"&gt;23&lt;/key&gt;&lt;/foreign-keys&gt;&lt;ref-type name="Journal Article"&gt;17&lt;/ref-type&gt;&lt;contributors&gt;&lt;authors&gt;&lt;author&gt;Smith, Dennis A&lt;/author&gt;&lt;author&gt;Di, Li&lt;/author&gt;&lt;author&gt;Kerns, Edward H&lt;/author&gt;&lt;/authors&gt;&lt;/contributors&gt;&lt;titles&gt;&lt;title&gt;The effect of plasma protein binding on in vivo efficacy: misconceptions in drug discovery&lt;/title&gt;&lt;secondary-title&gt;Nature reviews Drug discovery&lt;/secondary-title&gt;&lt;/titles&gt;&lt;periodical&gt;&lt;full-title&gt;Nature reviews Drug discovery&lt;/full-title&gt;&lt;/periodical&gt;&lt;pages&gt;929-939&lt;/pages&gt;&lt;volume&gt;9&lt;/volume&gt;&lt;number&gt;12&lt;/number&gt;&lt;dates&gt;&lt;year&gt;2010&lt;/year&gt;&lt;/dates&gt;&lt;isbn&gt;1474-1784&lt;/isbn&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23</w:t>
        </w:r>
        <w:r w:rsidR="0053462E"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 All compounds</w:t>
      </w:r>
      <w:r w:rsidR="008254EF" w:rsidRPr="005F340F">
        <w:rPr>
          <w:rFonts w:asciiTheme="majorBidi" w:hAnsiTheme="majorBidi" w:cstheme="majorBidi"/>
          <w:sz w:val="24"/>
          <w:szCs w:val="24"/>
        </w:rPr>
        <w:t xml:space="preserve"> tested here</w:t>
      </w:r>
      <w:r w:rsidR="00842393" w:rsidRPr="005F340F">
        <w:rPr>
          <w:rFonts w:asciiTheme="majorBidi" w:hAnsiTheme="majorBidi" w:cstheme="majorBidi"/>
          <w:sz w:val="24"/>
          <w:szCs w:val="24"/>
        </w:rPr>
        <w:t xml:space="preserve"> were expected to </w:t>
      </w:r>
      <w:r w:rsidR="008254EF" w:rsidRPr="005F340F">
        <w:rPr>
          <w:rFonts w:asciiTheme="majorBidi" w:hAnsiTheme="majorBidi" w:cstheme="majorBidi"/>
          <w:sz w:val="24"/>
          <w:szCs w:val="24"/>
        </w:rPr>
        <w:t xml:space="preserve">exhibit &gt;90% </w:t>
      </w:r>
      <w:r w:rsidR="00842393" w:rsidRPr="005F340F">
        <w:rPr>
          <w:rFonts w:asciiTheme="majorBidi" w:hAnsiTheme="majorBidi" w:cstheme="majorBidi"/>
          <w:sz w:val="24"/>
          <w:szCs w:val="24"/>
        </w:rPr>
        <w:t>bind</w:t>
      </w:r>
      <w:r w:rsidR="008254EF" w:rsidRPr="005F340F">
        <w:rPr>
          <w:rFonts w:asciiTheme="majorBidi" w:hAnsiTheme="majorBidi" w:cstheme="majorBidi"/>
          <w:sz w:val="24"/>
          <w:szCs w:val="24"/>
        </w:rPr>
        <w:t>ing to</w:t>
      </w:r>
      <w:r w:rsidR="00842393" w:rsidRPr="005F340F">
        <w:rPr>
          <w:rFonts w:asciiTheme="majorBidi" w:hAnsiTheme="majorBidi" w:cstheme="majorBidi"/>
          <w:sz w:val="24"/>
          <w:szCs w:val="24"/>
        </w:rPr>
        <w:t xml:space="preserve"> plasma protein</w:t>
      </w:r>
      <w:r w:rsidR="008254EF" w:rsidRPr="005F340F">
        <w:rPr>
          <w:rFonts w:asciiTheme="majorBidi" w:hAnsiTheme="majorBidi" w:cstheme="majorBidi"/>
          <w:sz w:val="24"/>
          <w:szCs w:val="24"/>
        </w:rPr>
        <w:t xml:space="preserve">s,with the </w:t>
      </w:r>
      <w:r w:rsidR="00842393" w:rsidRPr="005F340F">
        <w:rPr>
          <w:rFonts w:asciiTheme="majorBidi" w:hAnsiTheme="majorBidi" w:cstheme="majorBidi"/>
          <w:sz w:val="24"/>
          <w:szCs w:val="24"/>
        </w:rPr>
        <w:t>except</w:t>
      </w:r>
      <w:r w:rsidR="008254EF" w:rsidRPr="005F340F">
        <w:rPr>
          <w:rFonts w:asciiTheme="majorBidi" w:hAnsiTheme="majorBidi" w:cstheme="majorBidi"/>
          <w:sz w:val="24"/>
          <w:szCs w:val="24"/>
        </w:rPr>
        <w:t>ion of</w:t>
      </w:r>
      <w:r w:rsidR="00842393" w:rsidRPr="005F340F">
        <w:rPr>
          <w:rFonts w:asciiTheme="majorBidi" w:hAnsiTheme="majorBidi" w:cstheme="majorBidi"/>
          <w:sz w:val="24"/>
          <w:szCs w:val="24"/>
        </w:rPr>
        <w:t xml:space="preserve"> compound</w:t>
      </w:r>
      <w:r w:rsidR="00842393" w:rsidRPr="005F340F">
        <w:rPr>
          <w:rFonts w:asciiTheme="majorBidi" w:hAnsiTheme="majorBidi" w:cstheme="majorBidi"/>
          <w:b/>
          <w:bCs/>
          <w:sz w:val="24"/>
          <w:szCs w:val="24"/>
        </w:rPr>
        <w:t>4</w:t>
      </w:r>
      <w:r w:rsidR="00842393" w:rsidRPr="005F340F">
        <w:rPr>
          <w:rFonts w:asciiTheme="majorBidi" w:hAnsiTheme="majorBidi" w:cstheme="majorBidi"/>
          <w:sz w:val="24"/>
          <w:szCs w:val="24"/>
        </w:rPr>
        <w:t xml:space="preserve"> (</w:t>
      </w:r>
      <w:r w:rsidR="00842393" w:rsidRPr="005F340F">
        <w:rPr>
          <w:rFonts w:asciiTheme="majorBidi" w:hAnsiTheme="majorBidi" w:cstheme="majorBidi"/>
          <w:b/>
          <w:bCs/>
          <w:sz w:val="24"/>
          <w:szCs w:val="24"/>
        </w:rPr>
        <w:t>Fig.13</w:t>
      </w:r>
      <w:r w:rsidR="00842393" w:rsidRPr="005F340F">
        <w:rPr>
          <w:rFonts w:asciiTheme="majorBidi" w:hAnsiTheme="majorBidi" w:cstheme="majorBidi"/>
          <w:sz w:val="24"/>
          <w:szCs w:val="24"/>
        </w:rPr>
        <w:t>)</w:t>
      </w:r>
      <w:r w:rsidR="008254EF" w:rsidRPr="005F340F">
        <w:rPr>
          <w:rFonts w:asciiTheme="majorBidi" w:hAnsiTheme="majorBidi" w:cstheme="majorBidi"/>
          <w:sz w:val="24"/>
          <w:szCs w:val="24"/>
        </w:rPr>
        <w:t>.</w:t>
      </w:r>
    </w:p>
    <w:p w:rsidR="00531486" w:rsidRPr="005F340F" w:rsidRDefault="00BA7A26" w:rsidP="00BA7A26">
      <w:pPr>
        <w:spacing w:line="276" w:lineRule="auto"/>
        <w:rPr>
          <w:rFonts w:asciiTheme="majorBidi" w:hAnsiTheme="majorBidi" w:cstheme="majorBidi"/>
          <w:b/>
          <w:bCs/>
          <w:sz w:val="24"/>
          <w:szCs w:val="24"/>
        </w:rPr>
      </w:pPr>
      <w:r>
        <w:rPr>
          <w:rFonts w:asciiTheme="majorBidi" w:hAnsiTheme="majorBidi" w:cstheme="majorBidi"/>
          <w:b/>
          <w:bCs/>
          <w:noProof/>
          <w:sz w:val="24"/>
          <w:szCs w:val="24"/>
          <w:lang w:eastAsia="en-US"/>
        </w:rPr>
        <w:drawing>
          <wp:inline distT="0" distB="0" distL="0" distR="0">
            <wp:extent cx="3469080" cy="21717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srcRect/>
                    <a:stretch>
                      <a:fillRect/>
                    </a:stretch>
                  </pic:blipFill>
                  <pic:spPr bwMode="auto">
                    <a:xfrm>
                      <a:off x="0" y="0"/>
                      <a:ext cx="3474720" cy="2175231"/>
                    </a:xfrm>
                    <a:prstGeom prst="rect">
                      <a:avLst/>
                    </a:prstGeom>
                    <a:noFill/>
                    <a:ln w="9525">
                      <a:noFill/>
                      <a:miter lim="800000"/>
                      <a:headEnd/>
                      <a:tailEnd/>
                    </a:ln>
                  </pic:spPr>
                </pic:pic>
              </a:graphicData>
            </a:graphic>
          </wp:inline>
        </w:drawing>
      </w:r>
    </w:p>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 13:</w:t>
      </w:r>
      <w:r w:rsidRPr="005F340F">
        <w:rPr>
          <w:rFonts w:asciiTheme="majorBidi" w:hAnsiTheme="majorBidi" w:cstheme="majorBidi"/>
          <w:sz w:val="24"/>
          <w:szCs w:val="24"/>
        </w:rPr>
        <w:t xml:space="preserve"> The expected ADMET studies.</w:t>
      </w:r>
    </w:p>
    <w:p w:rsidR="00531486" w:rsidRPr="005F340F" w:rsidRDefault="00531486" w:rsidP="00BA7A26">
      <w:pPr>
        <w:spacing w:line="276" w:lineRule="auto"/>
        <w:rPr>
          <w:rFonts w:asciiTheme="majorBidi" w:hAnsiTheme="majorBidi" w:cstheme="majorBidi"/>
          <w:sz w:val="24"/>
          <w:szCs w:val="24"/>
        </w:rPr>
      </w:pPr>
    </w:p>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 xml:space="preserve">Table 3. </w:t>
      </w:r>
      <w:r w:rsidRPr="005F340F">
        <w:rPr>
          <w:rFonts w:asciiTheme="majorBidi" w:hAnsiTheme="majorBidi" w:cstheme="majorBidi"/>
          <w:sz w:val="24"/>
          <w:szCs w:val="24"/>
        </w:rPr>
        <w:t>Predicted ADMET for the designed compounds and reference drugs</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8"/>
        <w:gridCol w:w="981"/>
        <w:gridCol w:w="1570"/>
        <w:gridCol w:w="1368"/>
        <w:gridCol w:w="1681"/>
        <w:gridCol w:w="1710"/>
        <w:gridCol w:w="1620"/>
      </w:tblGrid>
      <w:tr w:rsidR="00531486" w:rsidRPr="005F340F" w:rsidTr="00C26602">
        <w:trPr>
          <w:trHeight w:val="674"/>
          <w:jc w:val="center"/>
        </w:trPr>
        <w:tc>
          <w:tcPr>
            <w:tcW w:w="0" w:type="auto"/>
            <w:shd w:val="clear" w:color="auto" w:fill="auto"/>
            <w:noWrap/>
            <w:vAlign w:val="center"/>
            <w:hideMark/>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Comp.</w:t>
            </w:r>
          </w:p>
        </w:tc>
        <w:tc>
          <w:tcPr>
            <w:tcW w:w="981" w:type="dxa"/>
            <w:shd w:val="clear" w:color="auto" w:fill="auto"/>
            <w:noWrap/>
            <w:vAlign w:val="center"/>
            <w:hideMark/>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 xml:space="preserve">BBB level </w:t>
            </w:r>
            <w:r w:rsidRPr="005F340F">
              <w:rPr>
                <w:rFonts w:asciiTheme="majorBidi" w:hAnsiTheme="majorBidi" w:cstheme="majorBidi"/>
                <w:b/>
                <w:bCs/>
                <w:sz w:val="24"/>
                <w:szCs w:val="24"/>
                <w:vertAlign w:val="superscript"/>
              </w:rPr>
              <w:t>a</w:t>
            </w:r>
          </w:p>
        </w:tc>
        <w:tc>
          <w:tcPr>
            <w:tcW w:w="1570" w:type="dxa"/>
            <w:shd w:val="clear" w:color="auto" w:fill="auto"/>
            <w:noWrap/>
            <w:vAlign w:val="center"/>
            <w:hideMark/>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 xml:space="preserve">Absorption level </w:t>
            </w:r>
            <w:r w:rsidRPr="005F340F">
              <w:rPr>
                <w:rFonts w:asciiTheme="majorBidi" w:hAnsiTheme="majorBidi" w:cstheme="majorBidi"/>
                <w:b/>
                <w:bCs/>
                <w:sz w:val="24"/>
                <w:szCs w:val="24"/>
                <w:vertAlign w:val="superscript"/>
              </w:rPr>
              <w:t>b</w:t>
            </w:r>
          </w:p>
        </w:tc>
        <w:tc>
          <w:tcPr>
            <w:tcW w:w="1368" w:type="dxa"/>
            <w:vAlign w:val="center"/>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 xml:space="preserve">Solubility level </w:t>
            </w:r>
            <w:r w:rsidRPr="005F340F">
              <w:rPr>
                <w:rFonts w:asciiTheme="majorBidi" w:hAnsiTheme="majorBidi" w:cstheme="majorBidi"/>
                <w:b/>
                <w:bCs/>
                <w:sz w:val="24"/>
                <w:szCs w:val="24"/>
                <w:vertAlign w:val="superscript"/>
              </w:rPr>
              <w:t>c</w:t>
            </w:r>
          </w:p>
        </w:tc>
        <w:tc>
          <w:tcPr>
            <w:tcW w:w="1681" w:type="dxa"/>
            <w:shd w:val="clear" w:color="auto" w:fill="auto"/>
            <w:noWrap/>
            <w:vAlign w:val="center"/>
            <w:hideMark/>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Hepatotoxic prediction</w:t>
            </w:r>
            <w:r w:rsidRPr="005F340F">
              <w:rPr>
                <w:rFonts w:asciiTheme="majorBidi" w:hAnsiTheme="majorBidi" w:cstheme="majorBidi"/>
                <w:b/>
                <w:bCs/>
                <w:sz w:val="24"/>
                <w:szCs w:val="24"/>
                <w:vertAlign w:val="superscript"/>
              </w:rPr>
              <w:t xml:space="preserve"> d</w:t>
            </w:r>
          </w:p>
        </w:tc>
        <w:tc>
          <w:tcPr>
            <w:tcW w:w="1710" w:type="dxa"/>
            <w:shd w:val="clear" w:color="auto" w:fill="auto"/>
            <w:noWrap/>
            <w:vAlign w:val="center"/>
            <w:hideMark/>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 xml:space="preserve">CYP2D6 prediction </w:t>
            </w:r>
            <w:r w:rsidRPr="005F340F">
              <w:rPr>
                <w:rFonts w:asciiTheme="majorBidi" w:hAnsiTheme="majorBidi" w:cstheme="majorBidi"/>
                <w:b/>
                <w:bCs/>
                <w:sz w:val="24"/>
                <w:szCs w:val="24"/>
                <w:vertAlign w:val="superscript"/>
              </w:rPr>
              <w:t>e</w:t>
            </w:r>
          </w:p>
        </w:tc>
        <w:tc>
          <w:tcPr>
            <w:tcW w:w="1620" w:type="dxa"/>
            <w:shd w:val="clear" w:color="auto" w:fill="auto"/>
            <w:noWrap/>
            <w:vAlign w:val="center"/>
            <w:hideMark/>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 xml:space="preserve">PPB prediction </w:t>
            </w:r>
            <w:r w:rsidRPr="005F340F">
              <w:rPr>
                <w:rFonts w:asciiTheme="majorBidi" w:hAnsiTheme="majorBidi" w:cstheme="majorBidi"/>
                <w:b/>
                <w:bCs/>
                <w:sz w:val="24"/>
                <w:szCs w:val="24"/>
                <w:vertAlign w:val="superscript"/>
              </w:rPr>
              <w:t>f</w:t>
            </w:r>
          </w:p>
        </w:tc>
      </w:tr>
      <w:tr w:rsidR="00531486" w:rsidRPr="005F340F" w:rsidTr="00C26602">
        <w:trPr>
          <w:trHeight w:val="315"/>
          <w:jc w:val="center"/>
        </w:trPr>
        <w:tc>
          <w:tcPr>
            <w:tcW w:w="0" w:type="auto"/>
            <w:shd w:val="clear" w:color="auto" w:fill="auto"/>
            <w:noWrap/>
            <w:vAlign w:val="center"/>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1</w:t>
            </w:r>
          </w:p>
        </w:tc>
        <w:tc>
          <w:tcPr>
            <w:tcW w:w="9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2</w:t>
            </w:r>
          </w:p>
        </w:tc>
        <w:tc>
          <w:tcPr>
            <w:tcW w:w="157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0</w:t>
            </w:r>
          </w:p>
        </w:tc>
        <w:tc>
          <w:tcPr>
            <w:tcW w:w="1368" w:type="dxa"/>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1</w:t>
            </w:r>
          </w:p>
        </w:tc>
        <w:tc>
          <w:tcPr>
            <w:tcW w:w="16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TRUE</w:t>
            </w:r>
          </w:p>
        </w:tc>
        <w:tc>
          <w:tcPr>
            <w:tcW w:w="171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FALSE</w:t>
            </w:r>
          </w:p>
        </w:tc>
        <w:tc>
          <w:tcPr>
            <w:tcW w:w="162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TRUE</w:t>
            </w:r>
          </w:p>
        </w:tc>
      </w:tr>
      <w:tr w:rsidR="00531486" w:rsidRPr="005F340F" w:rsidTr="00C26602">
        <w:trPr>
          <w:trHeight w:val="315"/>
          <w:jc w:val="center"/>
        </w:trPr>
        <w:tc>
          <w:tcPr>
            <w:tcW w:w="0" w:type="auto"/>
            <w:shd w:val="clear" w:color="auto" w:fill="auto"/>
            <w:noWrap/>
            <w:vAlign w:val="center"/>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lastRenderedPageBreak/>
              <w:t>2</w:t>
            </w:r>
          </w:p>
        </w:tc>
        <w:tc>
          <w:tcPr>
            <w:tcW w:w="9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4</w:t>
            </w:r>
          </w:p>
        </w:tc>
        <w:tc>
          <w:tcPr>
            <w:tcW w:w="157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1</w:t>
            </w:r>
          </w:p>
        </w:tc>
        <w:tc>
          <w:tcPr>
            <w:tcW w:w="1368" w:type="dxa"/>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1</w:t>
            </w:r>
          </w:p>
        </w:tc>
        <w:tc>
          <w:tcPr>
            <w:tcW w:w="16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TRUE</w:t>
            </w:r>
          </w:p>
        </w:tc>
        <w:tc>
          <w:tcPr>
            <w:tcW w:w="171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FALSE</w:t>
            </w:r>
          </w:p>
        </w:tc>
        <w:tc>
          <w:tcPr>
            <w:tcW w:w="162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TRUE</w:t>
            </w:r>
          </w:p>
        </w:tc>
      </w:tr>
      <w:tr w:rsidR="00531486" w:rsidRPr="005F340F" w:rsidTr="00C26602">
        <w:trPr>
          <w:trHeight w:val="315"/>
          <w:jc w:val="center"/>
        </w:trPr>
        <w:tc>
          <w:tcPr>
            <w:tcW w:w="0" w:type="auto"/>
            <w:shd w:val="clear" w:color="auto" w:fill="auto"/>
            <w:noWrap/>
            <w:vAlign w:val="center"/>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3</w:t>
            </w:r>
          </w:p>
        </w:tc>
        <w:tc>
          <w:tcPr>
            <w:tcW w:w="9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4</w:t>
            </w:r>
          </w:p>
        </w:tc>
        <w:tc>
          <w:tcPr>
            <w:tcW w:w="157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1</w:t>
            </w:r>
          </w:p>
        </w:tc>
        <w:tc>
          <w:tcPr>
            <w:tcW w:w="1368" w:type="dxa"/>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3</w:t>
            </w:r>
          </w:p>
        </w:tc>
        <w:tc>
          <w:tcPr>
            <w:tcW w:w="16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FALSE</w:t>
            </w:r>
          </w:p>
        </w:tc>
        <w:tc>
          <w:tcPr>
            <w:tcW w:w="171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FALSE</w:t>
            </w:r>
          </w:p>
        </w:tc>
        <w:tc>
          <w:tcPr>
            <w:tcW w:w="162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FALSE</w:t>
            </w:r>
          </w:p>
        </w:tc>
      </w:tr>
      <w:tr w:rsidR="00531486" w:rsidRPr="005F340F" w:rsidTr="00C26602">
        <w:trPr>
          <w:trHeight w:val="315"/>
          <w:jc w:val="center"/>
        </w:trPr>
        <w:tc>
          <w:tcPr>
            <w:tcW w:w="0" w:type="auto"/>
            <w:shd w:val="clear" w:color="auto" w:fill="auto"/>
            <w:noWrap/>
            <w:vAlign w:val="center"/>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4</w:t>
            </w:r>
          </w:p>
        </w:tc>
        <w:tc>
          <w:tcPr>
            <w:tcW w:w="9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3</w:t>
            </w:r>
          </w:p>
        </w:tc>
        <w:tc>
          <w:tcPr>
            <w:tcW w:w="157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0</w:t>
            </w:r>
          </w:p>
        </w:tc>
        <w:tc>
          <w:tcPr>
            <w:tcW w:w="1368" w:type="dxa"/>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3</w:t>
            </w:r>
          </w:p>
        </w:tc>
        <w:tc>
          <w:tcPr>
            <w:tcW w:w="16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TRUE</w:t>
            </w:r>
          </w:p>
        </w:tc>
        <w:tc>
          <w:tcPr>
            <w:tcW w:w="171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FALSE</w:t>
            </w:r>
          </w:p>
        </w:tc>
        <w:tc>
          <w:tcPr>
            <w:tcW w:w="162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TRUE</w:t>
            </w:r>
          </w:p>
        </w:tc>
      </w:tr>
      <w:tr w:rsidR="00531486" w:rsidRPr="005F340F" w:rsidTr="00C26602">
        <w:trPr>
          <w:trHeight w:val="315"/>
          <w:jc w:val="center"/>
        </w:trPr>
        <w:tc>
          <w:tcPr>
            <w:tcW w:w="0" w:type="auto"/>
            <w:shd w:val="clear" w:color="auto" w:fill="auto"/>
            <w:noWrap/>
            <w:vAlign w:val="center"/>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5</w:t>
            </w:r>
          </w:p>
        </w:tc>
        <w:tc>
          <w:tcPr>
            <w:tcW w:w="9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2</w:t>
            </w:r>
          </w:p>
        </w:tc>
        <w:tc>
          <w:tcPr>
            <w:tcW w:w="157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0</w:t>
            </w:r>
          </w:p>
        </w:tc>
        <w:tc>
          <w:tcPr>
            <w:tcW w:w="1368" w:type="dxa"/>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2</w:t>
            </w:r>
          </w:p>
        </w:tc>
        <w:tc>
          <w:tcPr>
            <w:tcW w:w="16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TRUE</w:t>
            </w:r>
          </w:p>
        </w:tc>
        <w:tc>
          <w:tcPr>
            <w:tcW w:w="171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FALSE</w:t>
            </w:r>
          </w:p>
        </w:tc>
        <w:tc>
          <w:tcPr>
            <w:tcW w:w="162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TRUE</w:t>
            </w:r>
          </w:p>
        </w:tc>
      </w:tr>
    </w:tbl>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a</w:t>
      </w:r>
      <w:r w:rsidRPr="005F340F">
        <w:rPr>
          <w:rFonts w:asciiTheme="majorBidi" w:hAnsiTheme="majorBidi" w:cstheme="majorBidi"/>
          <w:sz w:val="24"/>
          <w:szCs w:val="24"/>
        </w:rPr>
        <w:t xml:space="preserve"> BBB level, blood brain barrier level, 0 = very high, 1 = high, 2 = medium, 3 = low, 4 = very low.</w:t>
      </w:r>
    </w:p>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b</w:t>
      </w:r>
      <w:r w:rsidRPr="005F340F">
        <w:rPr>
          <w:rFonts w:asciiTheme="majorBidi" w:hAnsiTheme="majorBidi" w:cstheme="majorBidi"/>
          <w:sz w:val="24"/>
          <w:szCs w:val="24"/>
        </w:rPr>
        <w:t xml:space="preserve"> Absorption level, 0 = good, 1 = moderate, 2 = poor, 3 = very poor.</w:t>
      </w:r>
    </w:p>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 xml:space="preserve">c </w:t>
      </w:r>
      <w:r w:rsidRPr="005F340F">
        <w:rPr>
          <w:rFonts w:asciiTheme="majorBidi" w:hAnsiTheme="majorBidi" w:cstheme="majorBidi"/>
          <w:sz w:val="24"/>
          <w:szCs w:val="24"/>
        </w:rPr>
        <w:t>Solubility level, 1 = very low, 2 = low, 3 = good, 4 = optimal.</w:t>
      </w:r>
    </w:p>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d</w:t>
      </w:r>
      <w:r w:rsidRPr="005F340F">
        <w:rPr>
          <w:rFonts w:asciiTheme="majorBidi" w:hAnsiTheme="majorBidi" w:cstheme="majorBidi"/>
          <w:sz w:val="24"/>
          <w:szCs w:val="24"/>
        </w:rPr>
        <w:t xml:space="preserve"> Hepatotoxicity probability, TRUE means toxic, FALSE means non-toxic.</w:t>
      </w:r>
    </w:p>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e</w:t>
      </w:r>
      <w:r w:rsidRPr="005F340F">
        <w:rPr>
          <w:rFonts w:asciiTheme="majorBidi" w:hAnsiTheme="majorBidi" w:cstheme="majorBidi"/>
          <w:sz w:val="24"/>
          <w:szCs w:val="24"/>
        </w:rPr>
        <w:t xml:space="preserve"> CYP2D6, cytochrome P2D6, TRUE = inhibitor, FALSE = non inhibitor.  </w:t>
      </w:r>
    </w:p>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f</w:t>
      </w:r>
      <w:r w:rsidRPr="005F340F">
        <w:rPr>
          <w:rFonts w:asciiTheme="majorBidi" w:hAnsiTheme="majorBidi" w:cstheme="majorBidi"/>
          <w:sz w:val="24"/>
          <w:szCs w:val="24"/>
        </w:rPr>
        <w:t xml:space="preserve"> PBB, plasma protein binding, FALSE means less than 90%, TRUE means more than 90%.</w:t>
      </w:r>
    </w:p>
    <w:p w:rsidR="00842393" w:rsidRPr="005F340F" w:rsidRDefault="00C31455" w:rsidP="00BA7A26">
      <w:pPr>
        <w:numPr>
          <w:ilvl w:val="1"/>
          <w:numId w:val="13"/>
        </w:numPr>
        <w:spacing w:line="276" w:lineRule="auto"/>
        <w:ind w:left="0" w:firstLine="0"/>
        <w:rPr>
          <w:rFonts w:asciiTheme="majorBidi" w:hAnsiTheme="majorBidi" w:cstheme="majorBidi"/>
          <w:b/>
          <w:bCs/>
          <w:sz w:val="24"/>
          <w:szCs w:val="24"/>
        </w:rPr>
      </w:pPr>
      <w:commentRangeStart w:id="27"/>
      <w:r w:rsidRPr="005F340F">
        <w:rPr>
          <w:rFonts w:asciiTheme="majorBidi" w:hAnsiTheme="majorBidi" w:cstheme="majorBidi"/>
          <w:b/>
          <w:bCs/>
          <w:sz w:val="24"/>
          <w:szCs w:val="24"/>
        </w:rPr>
        <w:t>Physico</w:t>
      </w:r>
      <w:r w:rsidR="00842393" w:rsidRPr="005F340F">
        <w:rPr>
          <w:rFonts w:asciiTheme="majorBidi" w:hAnsiTheme="majorBidi" w:cstheme="majorBidi"/>
          <w:b/>
          <w:bCs/>
          <w:sz w:val="24"/>
          <w:szCs w:val="24"/>
        </w:rPr>
        <w:t>chemical properties</w:t>
      </w:r>
      <w:commentRangeEnd w:id="27"/>
      <w:r w:rsidR="00BC7703">
        <w:rPr>
          <w:rStyle w:val="CommentReference"/>
          <w:rFonts w:ascii="Calibri" w:eastAsia="Calibri" w:hAnsi="Calibri" w:cs="Arial"/>
          <w:lang w:eastAsia="en-US"/>
        </w:rPr>
        <w:commentReference w:id="27"/>
      </w:r>
    </w:p>
    <w:p w:rsidR="00842393" w:rsidRPr="005F340F" w:rsidRDefault="00390C5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The logP values represent the degree of lipophilicity of a chemical compound, whereas the LogD values represent </w:t>
      </w:r>
      <w:commentRangeStart w:id="28"/>
      <w:r w:rsidRPr="005F340F">
        <w:rPr>
          <w:rFonts w:asciiTheme="majorBidi" w:hAnsiTheme="majorBidi" w:cstheme="majorBidi"/>
          <w:sz w:val="24"/>
          <w:szCs w:val="24"/>
        </w:rPr>
        <w:t>the degree of lipophilicity of a chemical compound taking into account the molecule's ioni</w:t>
      </w:r>
      <w:r w:rsidR="00730739" w:rsidRPr="005F340F">
        <w:rPr>
          <w:rFonts w:asciiTheme="majorBidi" w:hAnsiTheme="majorBidi" w:cstheme="majorBidi"/>
          <w:sz w:val="24"/>
          <w:szCs w:val="24"/>
        </w:rPr>
        <w:t>z</w:t>
      </w:r>
      <w:r w:rsidRPr="005F340F">
        <w:rPr>
          <w:rFonts w:asciiTheme="majorBidi" w:hAnsiTheme="majorBidi" w:cstheme="majorBidi"/>
          <w:sz w:val="24"/>
          <w:szCs w:val="24"/>
        </w:rPr>
        <w:t xml:space="preserve">ation states. </w:t>
      </w:r>
      <w:hyperlink w:anchor="_ENREF_24" w:tooltip="Eissa, 2018 #24"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&lt;EndNote&gt;&lt;Cite&gt;&lt;Author&gt;Eissa&lt;/Author&gt;&lt;Year&gt;2018&lt;/Year&gt;&lt;RecNum&gt;24&lt;/RecNum&gt;&lt;DisplayText&gt;&lt;style face="superscript"&gt;24&lt;/style&gt;&lt;/DisplayText&gt;&lt;record&gt;&lt;rec-number&gt;24&lt;/rec-number&gt;&lt;foreign-keys&gt;&lt;key app="EN" db-id="de05rdsatra50fexpeavrr9jwrz5vtfp5azt"&gt;24&lt;/key&gt;&lt;/foreign-keys&gt;&lt;ref-type name="Journal Article"&gt;17&lt;/ref-type&gt;&lt;contributors&gt;&lt;authors&gt;&lt;author&gt;Eissa, Ibrahim H&lt;/author&gt;&lt;author&gt;El-Naggar, Abeer M&lt;/author&gt;&lt;author&gt;El-Sattar, Nour EA&lt;/author&gt;&lt;author&gt;Youssef, Ahmed SA&lt;/author&gt;&lt;/authors&gt;&lt;/contributors&gt;&lt;titles&gt;&lt;title&gt;Design and discovery of novel quinoxaline derivatives as dual DNA intercalators and topoisomerase II inhibitors&lt;/title&gt;&lt;secondary-title&gt;Anti-Cancer Agents in Medicinal Chemistry (Formerly Current Medicinal Chemistry-Anti-Cancer Agents)&lt;/secondary-title&gt;&lt;/titles&gt;&lt;periodical&gt;&lt;full-title&gt;Anti-Cancer Agents in Medicinal Chemistry (Formerly Current Medicinal Chemistry-Anti-Cancer Agents)&lt;/full-title&gt;&lt;/periodical&gt;&lt;pages&gt;195-209&lt;/pages&gt;&lt;volume&gt;18&lt;/volume&gt;&lt;number&gt;2&lt;/number&gt;&lt;dates&gt;&lt;year&gt;2018&lt;/year&gt;&lt;/dates&gt;&lt;isbn&gt;1871-5206&lt;/isbn&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24</w:t>
        </w:r>
        <w:r w:rsidR="0053462E"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 xml:space="preserve">. </w:t>
      </w:r>
      <w:r w:rsidR="00730739" w:rsidRPr="005F340F">
        <w:rPr>
          <w:rFonts w:asciiTheme="majorBidi" w:hAnsiTheme="majorBidi" w:cstheme="majorBidi"/>
          <w:sz w:val="24"/>
          <w:szCs w:val="24"/>
        </w:rPr>
        <w:t xml:space="preserve">The fact that these values have risen indicates that the lipophilic nature of the chemical under examination has improved. Compounds </w:t>
      </w:r>
      <w:r w:rsidR="00730739" w:rsidRPr="005F340F">
        <w:rPr>
          <w:rFonts w:asciiTheme="majorBidi" w:hAnsiTheme="majorBidi" w:cstheme="majorBidi"/>
          <w:b/>
          <w:bCs/>
          <w:sz w:val="24"/>
          <w:szCs w:val="24"/>
        </w:rPr>
        <w:t>1, 2, 4,</w:t>
      </w:r>
      <w:r w:rsidR="00730739" w:rsidRPr="005F340F">
        <w:rPr>
          <w:rFonts w:asciiTheme="majorBidi" w:hAnsiTheme="majorBidi" w:cstheme="majorBidi"/>
          <w:sz w:val="24"/>
          <w:szCs w:val="24"/>
        </w:rPr>
        <w:t xml:space="preserve"> and </w:t>
      </w:r>
      <w:r w:rsidR="00730739" w:rsidRPr="005F340F">
        <w:rPr>
          <w:rFonts w:asciiTheme="majorBidi" w:hAnsiTheme="majorBidi" w:cstheme="majorBidi"/>
          <w:b/>
          <w:bCs/>
          <w:sz w:val="24"/>
          <w:szCs w:val="24"/>
        </w:rPr>
        <w:t>5</w:t>
      </w:r>
      <w:r w:rsidR="00730739" w:rsidRPr="005F340F">
        <w:rPr>
          <w:rFonts w:asciiTheme="majorBidi" w:hAnsiTheme="majorBidi" w:cstheme="majorBidi"/>
          <w:sz w:val="24"/>
          <w:szCs w:val="24"/>
        </w:rPr>
        <w:t xml:space="preserve"> have different A log P and LogD values, ranging from 1.928 to 5.602. These values may make it simpler for such substances to enter mucosal membranes and the lipophilic capsules of the virus.</w:t>
      </w:r>
    </w:p>
    <w:p w:rsidR="00F16E39" w:rsidRPr="005F340F" w:rsidRDefault="00842393"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Furthermore, the molecular polar surface area (MPSA) is a crucialparameter </w:t>
      </w:r>
      <w:r w:rsidR="00C976E0" w:rsidRPr="005F340F">
        <w:rPr>
          <w:rFonts w:asciiTheme="majorBidi" w:hAnsiTheme="majorBidi" w:cstheme="majorBidi"/>
          <w:sz w:val="24"/>
          <w:szCs w:val="24"/>
        </w:rPr>
        <w:t xml:space="preserve">that affects </w:t>
      </w:r>
      <w:r w:rsidR="00825574" w:rsidRPr="005F340F">
        <w:rPr>
          <w:rFonts w:asciiTheme="majorBidi" w:hAnsiTheme="majorBidi" w:cstheme="majorBidi"/>
          <w:sz w:val="24"/>
          <w:szCs w:val="24"/>
        </w:rPr>
        <w:t>drug bioavailability; compounds that are passively absorbed and have an MPSA of &gt;140 have a low oral bioavailability</w:t>
      </w:r>
      <w:hyperlink w:anchor="_ENREF_25" w:tooltip="Utilizing, 1977 #25"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&lt;EndNote&gt;&lt;Cite&gt;&lt;Author&gt;Utilizing&lt;/Author&gt;&lt;Year&gt;1977&lt;/Year&gt;&lt;RecNum&gt;25&lt;/RecNum&gt;&lt;DisplayText&gt;&lt;style face="superscript"&gt;25&lt;/style&gt;&lt;/DisplayText&gt;&lt;record&gt;&lt;rec-number&gt;25&lt;/rec-number&gt;&lt;foreign-keys&gt;&lt;key app="EN" db-id="de05rdsatra50fexpeavrr9jwrz5vtfp5azt"&gt;25&lt;/key&gt;&lt;/foreign-keys&gt;&lt;ref-type name="Journal Article"&gt;17&lt;/ref-type&gt;&lt;contributors&gt;&lt;authors&gt;&lt;author&gt;Utilizing, MM2 A Hydrocarbon Force Field&lt;/author&gt;&lt;/authors&gt;&lt;/contributors&gt;&lt;titles&gt;&lt;title&gt;OF THE AMERICAN CHEMICAL SOCIETY&lt;/title&gt;&lt;secondary-title&gt;J. Am. Chem. Soc&lt;/secondary-title&gt;&lt;/titles&gt;&lt;periodical&gt;&lt;full-title&gt;J. Am. Chem. Soc&lt;/full-title&gt;&lt;/periodical&gt;&lt;pages&gt;8127-8134&lt;/pages&gt;&lt;volume&gt;99&lt;/volume&gt;&lt;number&gt;25&lt;/number&gt;&lt;dates&gt;&lt;year&gt;1977&lt;/year&gt;&lt;/dates&gt;&lt;urls&gt;&lt;/urls&gt;&lt;/record&gt;&lt;/Cite&gt;&lt;/EndNote&gt;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25</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w:t>
      </w:r>
      <w:r w:rsidR="00D77C39" w:rsidRPr="005F340F">
        <w:rPr>
          <w:rFonts w:asciiTheme="majorBidi" w:hAnsiTheme="majorBidi" w:cstheme="majorBidi"/>
          <w:sz w:val="24"/>
          <w:szCs w:val="24"/>
        </w:rPr>
        <w:t xml:space="preserve">MPSA (140) levels were found in all of the substances studied. The molecular volume (MV) descriptor also provides information on molecule transport characteristics such as GIT absorption </w:t>
      </w:r>
      <w:hyperlink w:anchor="_ENREF_26" w:tooltip="Liang, 2016 #26"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&lt;EndNote&gt;&lt;Cite&gt;&lt;Author&gt;Liang&lt;/Author&gt;&lt;Year&gt;2016&lt;/Year&gt;&lt;RecNum&gt;26&lt;/RecNum&gt;&lt;DisplayText&gt;&lt;style face="superscript"&gt;26&lt;/style&gt;&lt;/DisplayText&gt;&lt;record&gt;&lt;rec-number&gt;26&lt;/rec-number&gt;&lt;foreign-keys&gt;&lt;key app="EN" db-id="de05rdsatra50fexpeavrr9jwrz5vtfp5azt"&gt;26&lt;/key&gt;&lt;/foreign-keys&gt;&lt;ref-type name="Book"&gt;6&lt;/ref-type&gt;&lt;contributors&gt;&lt;authors&gt;&lt;author&gt;Liang, Yizeng&lt;/author&gt;&lt;author&gt;Xu, Qing-Song&lt;/author&gt;&lt;author&gt;Li, Hong-Dong&lt;/author&gt;&lt;author&gt;Cao, Dong-Sheng&lt;/author&gt;&lt;/authors&gt;&lt;/contributors&gt;&lt;titles&gt;&lt;title&gt;Support vector machines and their application in chemistry and biotechnology&lt;/title&gt;&lt;/titles&gt;&lt;dates&gt;&lt;year&gt;2016&lt;/year&gt;&lt;/dates&gt;&lt;publisher&gt;CRC Press&lt;/publisher&gt;&lt;isbn&gt;1439821283&lt;/isbn&gt;&lt;urls&gt;&lt;/urls&gt;&lt;/record&gt;&lt;/Cite&gt;&lt;/EndNote&gt;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26</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w:t>
      </w:r>
      <w:r w:rsidR="00174670" w:rsidRPr="005F340F">
        <w:rPr>
          <w:rFonts w:asciiTheme="majorBidi" w:hAnsiTheme="majorBidi" w:cstheme="majorBidi"/>
          <w:sz w:val="24"/>
          <w:szCs w:val="24"/>
        </w:rPr>
        <w:t xml:space="preserve">The MV is inversely related to the drug diffusivity. Molecules with a lower MV have a higher diffusivity than those with a higher MV </w:t>
      </w:r>
      <w:hyperlink w:anchor="_ENREF_27" w:tooltip="Ansel, 1995 #27"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&lt;EndNote&gt;&lt;Cite&gt;&lt;Author&gt;Ansel&lt;/Author&gt;&lt;Year&gt;1995&lt;/Year&gt;&lt;RecNum&gt;27&lt;/RecNum&gt;&lt;DisplayText&gt;&lt;style face="superscript"&gt;27&lt;/style&gt;&lt;/DisplayText&gt;&lt;record&gt;&lt;rec-number&gt;27&lt;/rec-number&gt;&lt;foreign-keys&gt;&lt;key app="EN" db-id="de05rdsatra50fexpeavrr9jwrz5vtfp5azt"&gt;27&lt;/key&gt;&lt;/foreign-keys&gt;&lt;ref-type name="Book"&gt;6&lt;/ref-type&gt;&lt;contributors&gt;&lt;authors&gt;&lt;author&gt;Ansel, Howard C&lt;/author&gt;&lt;author&gt;Popovich, Nicholas G&lt;/author&gt;&lt;author&gt;Allen, Loyd V&lt;/author&gt;&lt;/authors&gt;&lt;/contributors&gt;&lt;titles&gt;&lt;title&gt;Pharmaceutical dosage forms and drug delivery systems&lt;/title&gt;&lt;/titles&gt;&lt;volume&gt;6&lt;/volume&gt;&lt;dates&gt;&lt;year&gt;1995&lt;/year&gt;&lt;/dates&gt;&lt;publisher&gt;Williams &amp;amp; Wilkins Baltimore&lt;/publisher&gt;&lt;urls&gt;&lt;/urls&gt;&lt;/record&gt;&lt;/Cite&gt;&lt;/EndNote&gt;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27</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It is noticeable that the tested compounds exhibited low </w:t>
      </w:r>
      <w:r w:rsidR="006B0EE9" w:rsidRPr="005F340F">
        <w:rPr>
          <w:rFonts w:asciiTheme="majorBidi" w:hAnsiTheme="majorBidi" w:cstheme="majorBidi"/>
          <w:sz w:val="24"/>
          <w:szCs w:val="24"/>
        </w:rPr>
        <w:t>MV</w:t>
      </w:r>
      <w:r w:rsidRPr="005F340F">
        <w:rPr>
          <w:rFonts w:asciiTheme="majorBidi" w:hAnsiTheme="majorBidi" w:cstheme="majorBidi"/>
          <w:sz w:val="24"/>
          <w:szCs w:val="24"/>
        </w:rPr>
        <w:t xml:space="preserve"> values compared with simeprevir (</w:t>
      </w:r>
      <w:r w:rsidRPr="005F340F">
        <w:rPr>
          <w:rFonts w:asciiTheme="majorBidi" w:hAnsiTheme="majorBidi" w:cstheme="majorBidi"/>
          <w:b/>
          <w:bCs/>
          <w:sz w:val="24"/>
          <w:szCs w:val="24"/>
        </w:rPr>
        <w:t xml:space="preserve">Table </w:t>
      </w:r>
      <w:r w:rsidR="00654B26" w:rsidRPr="005F340F">
        <w:rPr>
          <w:rFonts w:asciiTheme="majorBidi" w:hAnsiTheme="majorBidi" w:cstheme="majorBidi"/>
          <w:b/>
          <w:bCs/>
          <w:sz w:val="24"/>
          <w:szCs w:val="24"/>
        </w:rPr>
        <w:t>4</w:t>
      </w:r>
      <w:r w:rsidRPr="005F340F">
        <w:rPr>
          <w:rFonts w:asciiTheme="majorBidi" w:hAnsiTheme="majorBidi" w:cstheme="majorBidi"/>
          <w:b/>
          <w:bCs/>
          <w:sz w:val="24"/>
          <w:szCs w:val="24"/>
        </w:rPr>
        <w:t>)</w:t>
      </w:r>
      <w:r w:rsidRPr="005F340F">
        <w:rPr>
          <w:rFonts w:asciiTheme="majorBidi" w:hAnsiTheme="majorBidi" w:cstheme="majorBidi"/>
          <w:sz w:val="24"/>
          <w:szCs w:val="24"/>
        </w:rPr>
        <w:t xml:space="preserve">. </w:t>
      </w:r>
      <w:r w:rsidR="006D46BB" w:rsidRPr="005F340F">
        <w:rPr>
          <w:rFonts w:asciiTheme="majorBidi" w:hAnsiTheme="majorBidi" w:cstheme="majorBidi"/>
          <w:sz w:val="24"/>
          <w:szCs w:val="24"/>
        </w:rPr>
        <w:t xml:space="preserve">The electric dipole moment </w:t>
      </w:r>
      <w:commentRangeEnd w:id="28"/>
      <w:r w:rsidR="00AF0A3B">
        <w:rPr>
          <w:rStyle w:val="CommentReference"/>
          <w:rFonts w:ascii="Calibri" w:eastAsia="Calibri" w:hAnsi="Calibri" w:cs="Arial"/>
          <w:lang w:eastAsia="en-US"/>
        </w:rPr>
        <w:commentReference w:id="28"/>
      </w:r>
      <w:r w:rsidR="006D46BB" w:rsidRPr="005F340F">
        <w:rPr>
          <w:rFonts w:asciiTheme="majorBidi" w:hAnsiTheme="majorBidi" w:cstheme="majorBidi"/>
          <w:sz w:val="24"/>
          <w:szCs w:val="24"/>
        </w:rPr>
        <w:t xml:space="preserve">(µ) represents the electrical effects in drug–receptor interactions </w:t>
      </w:r>
      <w:hyperlink w:anchor="_ENREF_28" w:tooltip="Lien, 1982 #28"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&lt;EndNote&gt;&lt;Cite&gt;&lt;Author&gt;Lien&lt;/Author&gt;&lt;Year&gt;1982&lt;/Year&gt;&lt;RecNum&gt;28&lt;/RecNum&gt;&lt;DisplayText&gt;&lt;style face="superscript"&gt;28&lt;/style&gt;&lt;/DisplayText&gt;&lt;record&gt;&lt;rec-number&gt;28&lt;/rec-number&gt;&lt;foreign-keys&gt;&lt;key app="EN" db-id="de05rdsatra50fexpeavrr9jwrz5vtfp5azt"&gt;28&lt;/key&gt;&lt;/foreign-keys&gt;&lt;ref-type name="Journal Article"&gt;17&lt;/ref-type&gt;&lt;contributors&gt;&lt;authors&gt;&lt;author&gt;Lien, Eric J&lt;/author&gt;&lt;author&gt;Guo, Zong‐Ru&lt;/author&gt;&lt;author&gt;Li, Ren‐Li&lt;/author&gt;&lt;author&gt;Su, Ching‐Tang&lt;/author&gt;&lt;/authors&gt;&lt;/contributors&gt;&lt;titles&gt;&lt;title&gt;Use of dipole moment as a parameter in drug‐receptor interaction and quantitative structure‐activity relationship studies&lt;/title&gt;&lt;secondary-title&gt;Journal of Pharmaceutical Sciences&lt;/secondary-title&gt;&lt;/titles&gt;&lt;periodical&gt;&lt;full-title&gt;Journal of Pharmaceutical Sciences&lt;/full-title&gt;&lt;/periodical&gt;&lt;pages&gt;641-655&lt;/pages&gt;&lt;volume&gt;71&lt;/volume&gt;&lt;number&gt;6&lt;/number&gt;&lt;dates&gt;&lt;year&gt;1982&lt;/year&gt;&lt;/dates&gt;&lt;isbn&gt;0022-3549&lt;/isbn&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28</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w:t>
      </w:r>
      <w:r w:rsidR="00F16E39" w:rsidRPr="005F340F">
        <w:rPr>
          <w:rFonts w:asciiTheme="majorBidi" w:hAnsiTheme="majorBidi" w:cstheme="majorBidi"/>
          <w:sz w:val="24"/>
          <w:szCs w:val="24"/>
        </w:rPr>
        <w:t>The dipole moment values of the substances investigated varied from 3.2791 to 9.11863.</w:t>
      </w:r>
    </w:p>
    <w:p w:rsidR="00BB1CB6" w:rsidRDefault="00BB1CB6" w:rsidP="00BA7A26">
      <w:pPr>
        <w:spacing w:line="276" w:lineRule="auto"/>
        <w:rPr>
          <w:rFonts w:asciiTheme="majorBidi" w:hAnsiTheme="majorBidi" w:cstheme="majorBidi"/>
          <w:b/>
          <w:bCs/>
          <w:sz w:val="24"/>
          <w:szCs w:val="24"/>
        </w:rPr>
      </w:pPr>
    </w:p>
    <w:p w:rsidR="00BB1CB6" w:rsidRDefault="00BB1CB6" w:rsidP="00BA7A26">
      <w:pPr>
        <w:spacing w:line="276" w:lineRule="auto"/>
        <w:rPr>
          <w:rFonts w:asciiTheme="majorBidi" w:hAnsiTheme="majorBidi" w:cstheme="majorBidi"/>
          <w:b/>
          <w:bCs/>
          <w:sz w:val="24"/>
          <w:szCs w:val="24"/>
        </w:rPr>
      </w:pPr>
    </w:p>
    <w:p w:rsidR="00B871A6" w:rsidRPr="005F340F" w:rsidRDefault="00B871A6"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 xml:space="preserve">Table 4: </w:t>
      </w:r>
      <w:r w:rsidRPr="005F340F">
        <w:rPr>
          <w:rFonts w:asciiTheme="majorBidi" w:hAnsiTheme="majorBidi" w:cstheme="majorBidi"/>
          <w:sz w:val="24"/>
          <w:szCs w:val="24"/>
        </w:rPr>
        <w:t xml:space="preserve">Physico-chemical properties of the examined compounds. </w:t>
      </w:r>
    </w:p>
    <w:tbl>
      <w:tblPr>
        <w:tblW w:w="9441" w:type="dxa"/>
        <w:jc w:val="center"/>
        <w:tblLook w:val="04A0"/>
      </w:tblPr>
      <w:tblGrid>
        <w:gridCol w:w="1363"/>
        <w:gridCol w:w="1350"/>
        <w:gridCol w:w="1090"/>
        <w:gridCol w:w="890"/>
        <w:gridCol w:w="1170"/>
        <w:gridCol w:w="990"/>
        <w:gridCol w:w="1080"/>
        <w:gridCol w:w="1260"/>
        <w:gridCol w:w="248"/>
      </w:tblGrid>
      <w:tr w:rsidR="00B871A6" w:rsidRPr="005F340F" w:rsidTr="00C26602">
        <w:trPr>
          <w:trHeight w:val="440"/>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Comp.</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 xml:space="preserve">ALog P </w:t>
            </w:r>
            <w:r w:rsidRPr="005F340F">
              <w:rPr>
                <w:rFonts w:asciiTheme="majorBidi" w:hAnsiTheme="majorBidi" w:cstheme="majorBidi"/>
                <w:b/>
                <w:bCs/>
                <w:sz w:val="24"/>
                <w:szCs w:val="24"/>
                <w:vertAlign w:val="superscript"/>
              </w:rPr>
              <w:t>a</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Log D</w:t>
            </w:r>
            <w:r w:rsidRPr="005F340F">
              <w:rPr>
                <w:rFonts w:asciiTheme="majorBidi" w:hAnsiTheme="majorBidi" w:cstheme="majorBidi"/>
                <w:b/>
                <w:bCs/>
                <w:sz w:val="24"/>
                <w:szCs w:val="24"/>
                <w:vertAlign w:val="superscript"/>
              </w:rPr>
              <w:t>b</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Pka</w:t>
            </w:r>
            <w:r w:rsidRPr="005F340F">
              <w:rPr>
                <w:rFonts w:asciiTheme="majorBidi" w:hAnsiTheme="majorBidi" w:cstheme="majorBidi"/>
                <w:b/>
                <w:bCs/>
                <w:sz w:val="24"/>
                <w:szCs w:val="24"/>
                <w:vertAlign w:val="superscript"/>
              </w:rPr>
              <w:t>c</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MPSA</w:t>
            </w:r>
            <w:r w:rsidRPr="005F340F">
              <w:rPr>
                <w:rFonts w:asciiTheme="majorBidi" w:hAnsiTheme="majorBidi" w:cstheme="majorBidi"/>
                <w:b/>
                <w:bCs/>
                <w:sz w:val="24"/>
                <w:szCs w:val="24"/>
                <w:vertAlign w:val="superscript"/>
              </w:rPr>
              <w:t>d</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MSA</w:t>
            </w:r>
            <w:r w:rsidRPr="005F340F">
              <w:rPr>
                <w:rFonts w:asciiTheme="majorBidi" w:hAnsiTheme="majorBidi" w:cstheme="majorBidi"/>
                <w:b/>
                <w:bCs/>
                <w:sz w:val="24"/>
                <w:szCs w:val="24"/>
                <w:vertAlign w:val="superscript"/>
              </w:rPr>
              <w:t>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MV</w:t>
            </w:r>
            <w:r w:rsidRPr="005F340F">
              <w:rPr>
                <w:rFonts w:asciiTheme="majorBidi" w:hAnsiTheme="majorBidi" w:cstheme="majorBidi"/>
                <w:b/>
                <w:bCs/>
                <w:sz w:val="24"/>
                <w:szCs w:val="24"/>
                <w:vertAlign w:val="superscript"/>
              </w:rPr>
              <w:t>f</w:t>
            </w:r>
          </w:p>
        </w:tc>
        <w:tc>
          <w:tcPr>
            <w:tcW w:w="1260" w:type="dxa"/>
            <w:tcBorders>
              <w:top w:val="single" w:sz="4" w:space="0" w:color="auto"/>
              <w:left w:val="nil"/>
              <w:bottom w:val="single" w:sz="4" w:space="0" w:color="auto"/>
              <w:right w:val="nil"/>
            </w:tcBorders>
            <w:vAlign w:val="center"/>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 xml:space="preserve">Diploe </w:t>
            </w:r>
            <w:r w:rsidRPr="005F340F">
              <w:rPr>
                <w:rFonts w:asciiTheme="majorBidi" w:hAnsiTheme="majorBidi" w:cstheme="majorBidi"/>
                <w:b/>
                <w:bCs/>
                <w:sz w:val="24"/>
                <w:szCs w:val="24"/>
                <w:vertAlign w:val="superscript"/>
              </w:rPr>
              <w:t>g</w:t>
            </w:r>
          </w:p>
        </w:tc>
        <w:tc>
          <w:tcPr>
            <w:tcW w:w="248" w:type="dxa"/>
            <w:tcBorders>
              <w:top w:val="single" w:sz="4" w:space="0" w:color="auto"/>
              <w:left w:val="nil"/>
              <w:bottom w:val="single" w:sz="4" w:space="0" w:color="auto"/>
              <w:right w:val="single" w:sz="4" w:space="0" w:color="auto"/>
            </w:tcBorders>
            <w:vAlign w:val="center"/>
          </w:tcPr>
          <w:p w:rsidR="00B871A6" w:rsidRPr="005F340F" w:rsidRDefault="00B871A6" w:rsidP="00BB1CB6">
            <w:pPr>
              <w:rPr>
                <w:rFonts w:asciiTheme="majorBidi" w:hAnsiTheme="majorBidi" w:cstheme="majorBidi"/>
                <w:b/>
                <w:bCs/>
                <w:sz w:val="24"/>
                <w:szCs w:val="24"/>
              </w:rPr>
            </w:pPr>
          </w:p>
        </w:tc>
      </w:tr>
      <w:tr w:rsidR="00B871A6" w:rsidRPr="005F340F" w:rsidTr="00C26602">
        <w:trPr>
          <w:trHeight w:val="593"/>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4.676</w:t>
            </w:r>
          </w:p>
        </w:tc>
        <w:tc>
          <w:tcPr>
            <w:tcW w:w="10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4.677</w:t>
            </w:r>
          </w:p>
        </w:tc>
        <w:tc>
          <w:tcPr>
            <w:tcW w:w="890" w:type="dxa"/>
            <w:tcBorders>
              <w:top w:val="nil"/>
              <w:left w:val="nil"/>
              <w:bottom w:val="single" w:sz="4" w:space="0" w:color="auto"/>
              <w:right w:val="single" w:sz="4" w:space="0" w:color="auto"/>
            </w:tcBorders>
            <w:shd w:val="clear" w:color="auto" w:fill="auto"/>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3.98</w:t>
            </w:r>
            <w:r w:rsidRPr="005F340F">
              <w:rPr>
                <w:rFonts w:asciiTheme="majorBidi" w:hAnsiTheme="majorBidi" w:cstheme="majorBidi"/>
                <w:sz w:val="24"/>
                <w:szCs w:val="24"/>
              </w:rPr>
              <w:br/>
              <w:t>4.47</w:t>
            </w:r>
          </w:p>
        </w:tc>
        <w:tc>
          <w:tcPr>
            <w:tcW w:w="117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115.85</w:t>
            </w:r>
          </w:p>
        </w:tc>
        <w:tc>
          <w:tcPr>
            <w:tcW w:w="9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437.77</w:t>
            </w:r>
          </w:p>
        </w:tc>
        <w:tc>
          <w:tcPr>
            <w:tcW w:w="108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354.66</w:t>
            </w:r>
          </w:p>
        </w:tc>
        <w:tc>
          <w:tcPr>
            <w:tcW w:w="1260" w:type="dxa"/>
            <w:tcBorders>
              <w:top w:val="nil"/>
              <w:left w:val="nil"/>
              <w:bottom w:val="single" w:sz="4" w:space="0" w:color="auto"/>
              <w:right w:val="nil"/>
            </w:tcBorders>
            <w:vAlign w:val="center"/>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3.2791</w:t>
            </w:r>
          </w:p>
        </w:tc>
        <w:tc>
          <w:tcPr>
            <w:tcW w:w="248" w:type="dxa"/>
            <w:tcBorders>
              <w:top w:val="nil"/>
              <w:left w:val="nil"/>
              <w:bottom w:val="single" w:sz="4" w:space="0" w:color="auto"/>
              <w:right w:val="single" w:sz="4" w:space="0" w:color="auto"/>
            </w:tcBorders>
            <w:vAlign w:val="center"/>
          </w:tcPr>
          <w:p w:rsidR="00B871A6" w:rsidRPr="005F340F" w:rsidRDefault="00B871A6" w:rsidP="00BB1CB6">
            <w:pPr>
              <w:rPr>
                <w:rFonts w:asciiTheme="majorBidi" w:hAnsiTheme="majorBidi" w:cstheme="majorBidi"/>
                <w:sz w:val="24"/>
                <w:szCs w:val="24"/>
              </w:rPr>
            </w:pPr>
          </w:p>
        </w:tc>
      </w:tr>
      <w:tr w:rsidR="00B871A6" w:rsidRPr="005F340F" w:rsidTr="00C26602">
        <w:trPr>
          <w:trHeight w:val="269"/>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5.602</w:t>
            </w:r>
          </w:p>
        </w:tc>
        <w:tc>
          <w:tcPr>
            <w:tcW w:w="10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5.603</w:t>
            </w:r>
          </w:p>
        </w:tc>
        <w:tc>
          <w:tcPr>
            <w:tcW w:w="890" w:type="dxa"/>
            <w:tcBorders>
              <w:top w:val="nil"/>
              <w:left w:val="nil"/>
              <w:bottom w:val="single" w:sz="4" w:space="0" w:color="auto"/>
              <w:right w:val="single" w:sz="4" w:space="0" w:color="auto"/>
            </w:tcBorders>
            <w:shd w:val="clear" w:color="auto" w:fill="auto"/>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3.98</w:t>
            </w:r>
            <w:r w:rsidRPr="005F340F">
              <w:rPr>
                <w:rFonts w:asciiTheme="majorBidi" w:hAnsiTheme="majorBidi" w:cstheme="majorBidi"/>
                <w:sz w:val="24"/>
                <w:szCs w:val="24"/>
              </w:rPr>
              <w:br/>
              <w:t>4.47</w:t>
            </w:r>
          </w:p>
        </w:tc>
        <w:tc>
          <w:tcPr>
            <w:tcW w:w="117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121.89</w:t>
            </w:r>
          </w:p>
        </w:tc>
        <w:tc>
          <w:tcPr>
            <w:tcW w:w="9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615.58</w:t>
            </w:r>
          </w:p>
        </w:tc>
        <w:tc>
          <w:tcPr>
            <w:tcW w:w="108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500.77</w:t>
            </w:r>
          </w:p>
        </w:tc>
        <w:tc>
          <w:tcPr>
            <w:tcW w:w="1260" w:type="dxa"/>
            <w:tcBorders>
              <w:top w:val="nil"/>
              <w:left w:val="nil"/>
              <w:bottom w:val="single" w:sz="4" w:space="0" w:color="auto"/>
              <w:right w:val="nil"/>
            </w:tcBorders>
            <w:vAlign w:val="center"/>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4.07006</w:t>
            </w:r>
          </w:p>
        </w:tc>
        <w:tc>
          <w:tcPr>
            <w:tcW w:w="248" w:type="dxa"/>
            <w:tcBorders>
              <w:top w:val="nil"/>
              <w:left w:val="nil"/>
              <w:bottom w:val="single" w:sz="4" w:space="0" w:color="auto"/>
              <w:right w:val="single" w:sz="4" w:space="0" w:color="auto"/>
            </w:tcBorders>
            <w:vAlign w:val="center"/>
          </w:tcPr>
          <w:p w:rsidR="00B871A6" w:rsidRPr="005F340F" w:rsidRDefault="00B871A6" w:rsidP="00BB1CB6">
            <w:pPr>
              <w:rPr>
                <w:rFonts w:asciiTheme="majorBidi" w:hAnsiTheme="majorBidi" w:cstheme="majorBidi"/>
                <w:sz w:val="24"/>
                <w:szCs w:val="24"/>
              </w:rPr>
            </w:pPr>
          </w:p>
        </w:tc>
      </w:tr>
      <w:tr w:rsidR="00B871A6" w:rsidRPr="005F340F" w:rsidTr="00C26602">
        <w:trPr>
          <w:trHeight w:val="251"/>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3</w:t>
            </w:r>
          </w:p>
        </w:tc>
        <w:tc>
          <w:tcPr>
            <w:tcW w:w="135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-0.253</w:t>
            </w:r>
          </w:p>
        </w:tc>
        <w:tc>
          <w:tcPr>
            <w:tcW w:w="10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-0.149</w:t>
            </w:r>
          </w:p>
        </w:tc>
        <w:tc>
          <w:tcPr>
            <w:tcW w:w="8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2.5</w:t>
            </w:r>
          </w:p>
        </w:tc>
        <w:tc>
          <w:tcPr>
            <w:tcW w:w="117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141.26</w:t>
            </w:r>
          </w:p>
        </w:tc>
        <w:tc>
          <w:tcPr>
            <w:tcW w:w="9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428.6</w:t>
            </w:r>
          </w:p>
        </w:tc>
        <w:tc>
          <w:tcPr>
            <w:tcW w:w="108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358.77</w:t>
            </w:r>
          </w:p>
        </w:tc>
        <w:tc>
          <w:tcPr>
            <w:tcW w:w="1260" w:type="dxa"/>
            <w:tcBorders>
              <w:top w:val="nil"/>
              <w:left w:val="nil"/>
              <w:bottom w:val="single" w:sz="4" w:space="0" w:color="auto"/>
              <w:right w:val="nil"/>
            </w:tcBorders>
            <w:vAlign w:val="center"/>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7.21119</w:t>
            </w:r>
          </w:p>
        </w:tc>
        <w:tc>
          <w:tcPr>
            <w:tcW w:w="248" w:type="dxa"/>
            <w:tcBorders>
              <w:top w:val="nil"/>
              <w:left w:val="nil"/>
              <w:bottom w:val="single" w:sz="4" w:space="0" w:color="auto"/>
              <w:right w:val="single" w:sz="4" w:space="0" w:color="auto"/>
            </w:tcBorders>
            <w:vAlign w:val="center"/>
          </w:tcPr>
          <w:p w:rsidR="00B871A6" w:rsidRPr="005F340F" w:rsidRDefault="00B871A6" w:rsidP="00BB1CB6">
            <w:pPr>
              <w:rPr>
                <w:rFonts w:asciiTheme="majorBidi" w:hAnsiTheme="majorBidi" w:cstheme="majorBidi"/>
                <w:sz w:val="24"/>
                <w:szCs w:val="24"/>
              </w:rPr>
            </w:pPr>
          </w:p>
        </w:tc>
      </w:tr>
      <w:tr w:rsidR="00B871A6" w:rsidRPr="005F340F" w:rsidTr="00C26602">
        <w:trPr>
          <w:trHeight w:val="98"/>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4</w:t>
            </w:r>
          </w:p>
        </w:tc>
        <w:tc>
          <w:tcPr>
            <w:tcW w:w="135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1.928</w:t>
            </w:r>
          </w:p>
        </w:tc>
        <w:tc>
          <w:tcPr>
            <w:tcW w:w="10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1.928</w:t>
            </w:r>
          </w:p>
        </w:tc>
        <w:tc>
          <w:tcPr>
            <w:tcW w:w="8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w:t>
            </w:r>
          </w:p>
        </w:tc>
        <w:tc>
          <w:tcPr>
            <w:tcW w:w="117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108.61</w:t>
            </w:r>
          </w:p>
        </w:tc>
        <w:tc>
          <w:tcPr>
            <w:tcW w:w="9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355.15</w:t>
            </w:r>
          </w:p>
        </w:tc>
        <w:tc>
          <w:tcPr>
            <w:tcW w:w="108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270.28</w:t>
            </w:r>
          </w:p>
        </w:tc>
        <w:tc>
          <w:tcPr>
            <w:tcW w:w="1260" w:type="dxa"/>
            <w:tcBorders>
              <w:top w:val="nil"/>
              <w:left w:val="nil"/>
              <w:bottom w:val="single" w:sz="4" w:space="0" w:color="auto"/>
              <w:right w:val="nil"/>
            </w:tcBorders>
            <w:vAlign w:val="center"/>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6.10701</w:t>
            </w:r>
          </w:p>
        </w:tc>
        <w:tc>
          <w:tcPr>
            <w:tcW w:w="248" w:type="dxa"/>
            <w:tcBorders>
              <w:top w:val="nil"/>
              <w:left w:val="nil"/>
              <w:bottom w:val="single" w:sz="4" w:space="0" w:color="auto"/>
              <w:right w:val="single" w:sz="4" w:space="0" w:color="auto"/>
            </w:tcBorders>
            <w:vAlign w:val="center"/>
          </w:tcPr>
          <w:p w:rsidR="00B871A6" w:rsidRPr="005F340F" w:rsidRDefault="00B871A6" w:rsidP="00BB1CB6">
            <w:pPr>
              <w:rPr>
                <w:rFonts w:asciiTheme="majorBidi" w:hAnsiTheme="majorBidi" w:cstheme="majorBidi"/>
                <w:sz w:val="24"/>
                <w:szCs w:val="24"/>
              </w:rPr>
            </w:pPr>
          </w:p>
        </w:tc>
      </w:tr>
      <w:tr w:rsidR="00B871A6" w:rsidRPr="005F340F" w:rsidTr="00C26602">
        <w:trPr>
          <w:trHeight w:val="7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5</w:t>
            </w:r>
          </w:p>
        </w:tc>
        <w:tc>
          <w:tcPr>
            <w:tcW w:w="135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3.019</w:t>
            </w:r>
          </w:p>
        </w:tc>
        <w:tc>
          <w:tcPr>
            <w:tcW w:w="10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3.019</w:t>
            </w:r>
          </w:p>
        </w:tc>
        <w:tc>
          <w:tcPr>
            <w:tcW w:w="8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w:t>
            </w:r>
          </w:p>
        </w:tc>
        <w:tc>
          <w:tcPr>
            <w:tcW w:w="117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88.38</w:t>
            </w:r>
          </w:p>
        </w:tc>
        <w:tc>
          <w:tcPr>
            <w:tcW w:w="9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345.41</w:t>
            </w:r>
          </w:p>
        </w:tc>
        <w:tc>
          <w:tcPr>
            <w:tcW w:w="108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267.88</w:t>
            </w:r>
          </w:p>
        </w:tc>
        <w:tc>
          <w:tcPr>
            <w:tcW w:w="1260" w:type="dxa"/>
            <w:tcBorders>
              <w:top w:val="nil"/>
              <w:left w:val="nil"/>
              <w:bottom w:val="single" w:sz="4" w:space="0" w:color="auto"/>
              <w:right w:val="nil"/>
            </w:tcBorders>
            <w:vAlign w:val="center"/>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7.40372</w:t>
            </w:r>
          </w:p>
        </w:tc>
        <w:tc>
          <w:tcPr>
            <w:tcW w:w="248" w:type="dxa"/>
            <w:tcBorders>
              <w:top w:val="nil"/>
              <w:left w:val="nil"/>
              <w:bottom w:val="single" w:sz="4" w:space="0" w:color="auto"/>
              <w:right w:val="single" w:sz="4" w:space="0" w:color="auto"/>
            </w:tcBorders>
            <w:vAlign w:val="center"/>
          </w:tcPr>
          <w:p w:rsidR="00B871A6" w:rsidRPr="005F340F" w:rsidRDefault="00B871A6" w:rsidP="00BB1CB6">
            <w:pPr>
              <w:rPr>
                <w:rFonts w:asciiTheme="majorBidi" w:hAnsiTheme="majorBidi" w:cstheme="majorBidi"/>
                <w:sz w:val="24"/>
                <w:szCs w:val="24"/>
              </w:rPr>
            </w:pPr>
          </w:p>
        </w:tc>
      </w:tr>
    </w:tbl>
    <w:p w:rsidR="00B871A6" w:rsidRPr="005F340F" w:rsidRDefault="00B871A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a</w:t>
      </w:r>
      <w:r w:rsidRPr="005F340F">
        <w:rPr>
          <w:rFonts w:asciiTheme="majorBidi" w:hAnsiTheme="majorBidi" w:cstheme="majorBidi"/>
          <w:sz w:val="24"/>
          <w:szCs w:val="24"/>
        </w:rPr>
        <w:t xml:space="preserve"> Log of the octanol-water partition coefficient.</w:t>
      </w:r>
    </w:p>
    <w:p w:rsidR="00B871A6" w:rsidRPr="005F340F" w:rsidRDefault="00B871A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b</w:t>
      </w:r>
      <w:r w:rsidRPr="005F340F">
        <w:rPr>
          <w:rFonts w:asciiTheme="majorBidi" w:hAnsiTheme="majorBidi" w:cstheme="majorBidi"/>
          <w:sz w:val="24"/>
          <w:szCs w:val="24"/>
        </w:rPr>
        <w:t>The octanol-water partition coefficient calculated taking into account the ionization states of the molecule.</w:t>
      </w:r>
    </w:p>
    <w:p w:rsidR="00B871A6" w:rsidRPr="005F340F" w:rsidRDefault="00B871A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c</w:t>
      </w:r>
      <w:r w:rsidRPr="005F340F">
        <w:rPr>
          <w:rFonts w:asciiTheme="majorBidi" w:hAnsiTheme="majorBidi" w:cstheme="majorBidi"/>
          <w:sz w:val="24"/>
          <w:szCs w:val="24"/>
        </w:rPr>
        <w:t>ThepKa of all ionizable sites.</w:t>
      </w:r>
    </w:p>
    <w:p w:rsidR="00B871A6" w:rsidRPr="005F340F" w:rsidRDefault="00B871A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 xml:space="preserve">d </w:t>
      </w:r>
      <w:r w:rsidRPr="005F340F">
        <w:rPr>
          <w:rFonts w:asciiTheme="majorBidi" w:hAnsiTheme="majorBidi" w:cstheme="majorBidi"/>
          <w:sz w:val="24"/>
          <w:szCs w:val="24"/>
        </w:rPr>
        <w:t>Molecular surface area: Calculates the total surface area for each molecule using a 2D approximation.</w:t>
      </w:r>
    </w:p>
    <w:p w:rsidR="00B871A6" w:rsidRPr="005F340F" w:rsidRDefault="00B871A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 xml:space="preserve">e </w:t>
      </w:r>
      <w:r w:rsidRPr="005F340F">
        <w:rPr>
          <w:rFonts w:asciiTheme="majorBidi" w:hAnsiTheme="majorBidi" w:cstheme="majorBidi"/>
          <w:sz w:val="24"/>
          <w:szCs w:val="24"/>
        </w:rPr>
        <w:t>Molecular polar surface area: Calculates the polar surface area for each molecule using a 2D approximation.</w:t>
      </w:r>
    </w:p>
    <w:p w:rsidR="00B871A6" w:rsidRPr="005F340F" w:rsidRDefault="00B871A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f</w:t>
      </w:r>
      <w:r w:rsidRPr="005F340F">
        <w:rPr>
          <w:rFonts w:asciiTheme="majorBidi" w:hAnsiTheme="majorBidi" w:cstheme="majorBidi"/>
          <w:sz w:val="24"/>
          <w:szCs w:val="24"/>
        </w:rPr>
        <w:t xml:space="preserve"> Molecular volume: calculates the 3D volume for each molecule using the current 3D coordinates. </w:t>
      </w:r>
    </w:p>
    <w:p w:rsidR="00B871A6" w:rsidRPr="005F340F" w:rsidRDefault="00B871A6" w:rsidP="00BA7A26">
      <w:pPr>
        <w:spacing w:line="276" w:lineRule="auto"/>
        <w:rPr>
          <w:rFonts w:asciiTheme="majorBidi" w:hAnsiTheme="majorBidi" w:cstheme="majorBidi"/>
          <w:b/>
          <w:bCs/>
          <w:sz w:val="24"/>
          <w:szCs w:val="24"/>
        </w:rPr>
      </w:pPr>
      <w:r w:rsidRPr="005F340F">
        <w:rPr>
          <w:rFonts w:asciiTheme="majorBidi" w:hAnsiTheme="majorBidi" w:cstheme="majorBidi"/>
          <w:sz w:val="24"/>
          <w:szCs w:val="24"/>
          <w:vertAlign w:val="superscript"/>
        </w:rPr>
        <w:lastRenderedPageBreak/>
        <w:t>g</w:t>
      </w:r>
      <w:r w:rsidRPr="005F340F">
        <w:rPr>
          <w:rFonts w:asciiTheme="majorBidi" w:hAnsiTheme="majorBidi" w:cstheme="majorBidi"/>
          <w:sz w:val="24"/>
          <w:szCs w:val="24"/>
        </w:rPr>
        <w:t xml:space="preserve"> Dipole moment: 3D electronic descriptors that indicates the strength and orientation behavior of a molecule in an electrostatic field.</w:t>
      </w:r>
    </w:p>
    <w:p w:rsidR="00842393" w:rsidRPr="005F340F" w:rsidRDefault="00842393" w:rsidP="00BA7A26">
      <w:pPr>
        <w:numPr>
          <w:ilvl w:val="1"/>
          <w:numId w:val="13"/>
        </w:numPr>
        <w:spacing w:line="276" w:lineRule="auto"/>
        <w:ind w:left="0" w:firstLine="0"/>
        <w:rPr>
          <w:rFonts w:asciiTheme="majorBidi" w:hAnsiTheme="majorBidi" w:cstheme="majorBidi"/>
          <w:b/>
          <w:bCs/>
          <w:sz w:val="24"/>
          <w:szCs w:val="24"/>
        </w:rPr>
      </w:pPr>
      <w:r w:rsidRPr="005F340F">
        <w:rPr>
          <w:rFonts w:asciiTheme="majorBidi" w:hAnsiTheme="majorBidi" w:cstheme="majorBidi"/>
          <w:b/>
          <w:bCs/>
          <w:sz w:val="24"/>
          <w:szCs w:val="24"/>
        </w:rPr>
        <w:t>Toxicity studies (</w:t>
      </w:r>
      <w:r w:rsidRPr="005F340F">
        <w:rPr>
          <w:rFonts w:asciiTheme="majorBidi" w:hAnsiTheme="majorBidi" w:cstheme="majorBidi"/>
          <w:b/>
          <w:i/>
          <w:sz w:val="24"/>
        </w:rPr>
        <w:t>in</w:t>
      </w:r>
      <w:r w:rsidR="00957C14" w:rsidRPr="005F340F">
        <w:rPr>
          <w:rFonts w:asciiTheme="majorBidi" w:hAnsiTheme="majorBidi" w:cstheme="majorBidi"/>
          <w:b/>
          <w:i/>
          <w:sz w:val="24"/>
        </w:rPr>
        <w:t>-</w:t>
      </w:r>
      <w:r w:rsidRPr="005F340F">
        <w:rPr>
          <w:rFonts w:asciiTheme="majorBidi" w:hAnsiTheme="majorBidi" w:cstheme="majorBidi"/>
          <w:b/>
          <w:i/>
          <w:sz w:val="24"/>
        </w:rPr>
        <w:t>silico</w:t>
      </w:r>
      <w:r w:rsidRPr="005F340F">
        <w:rPr>
          <w:rFonts w:asciiTheme="majorBidi" w:hAnsiTheme="majorBidi" w:cstheme="majorBidi"/>
          <w:b/>
          <w:bCs/>
          <w:sz w:val="24"/>
          <w:szCs w:val="24"/>
        </w:rPr>
        <w:t>/</w:t>
      </w:r>
      <w:r w:rsidRPr="005F340F">
        <w:rPr>
          <w:rFonts w:asciiTheme="majorBidi" w:hAnsiTheme="majorBidi" w:cstheme="majorBidi"/>
          <w:b/>
          <w:i/>
          <w:sz w:val="24"/>
        </w:rPr>
        <w:t>in</w:t>
      </w:r>
      <w:r w:rsidR="00957C14" w:rsidRPr="005F340F">
        <w:rPr>
          <w:rFonts w:asciiTheme="majorBidi" w:hAnsiTheme="majorBidi" w:cstheme="majorBidi"/>
          <w:b/>
          <w:i/>
          <w:sz w:val="24"/>
        </w:rPr>
        <w:t>-</w:t>
      </w:r>
      <w:r w:rsidRPr="005F340F">
        <w:rPr>
          <w:rFonts w:asciiTheme="majorBidi" w:hAnsiTheme="majorBidi" w:cstheme="majorBidi"/>
          <w:b/>
          <w:i/>
          <w:sz w:val="24"/>
        </w:rPr>
        <w:t>vitro</w:t>
      </w:r>
      <w:r w:rsidRPr="005F340F">
        <w:rPr>
          <w:rFonts w:asciiTheme="majorBidi" w:hAnsiTheme="majorBidi" w:cstheme="majorBidi"/>
          <w:b/>
          <w:bCs/>
          <w:sz w:val="24"/>
          <w:szCs w:val="24"/>
        </w:rPr>
        <w:t>)</w:t>
      </w:r>
    </w:p>
    <w:p w:rsidR="006C61E4" w:rsidRPr="005F340F" w:rsidRDefault="00C05140"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Our </w:t>
      </w:r>
      <w:commentRangeStart w:id="29"/>
      <w:r w:rsidRPr="005F340F">
        <w:rPr>
          <w:rFonts w:asciiTheme="majorBidi" w:hAnsiTheme="majorBidi" w:cstheme="majorBidi"/>
          <w:sz w:val="24"/>
          <w:szCs w:val="24"/>
        </w:rPr>
        <w:t xml:space="preserve">compounds' toxicity was predicted using the Discovery studio software's proven and built models. </w:t>
      </w:r>
      <w:r w:rsidR="0053462E" w:rsidRPr="005F340F">
        <w:rPr>
          <w:rFonts w:asciiTheme="majorBidi" w:hAnsiTheme="majorBidi" w:cstheme="majorBidi"/>
          <w:sz w:val="24"/>
          <w:szCs w:val="24"/>
        </w:rPr>
        <w:fldChar w:fldCharType="begin"/>
      </w:r>
      <w:r w:rsidR="008E3957">
        <w:rPr>
          <w:rFonts w:asciiTheme="majorBidi" w:hAnsiTheme="majorBidi" w:cstheme="majorBidi"/>
          <w:sz w:val="24"/>
          <w:szCs w:val="24"/>
        </w:rPr>
        <w:instrText xml:space="preserve"> ADDIN EN.CITE &lt;EndNote&gt;&lt;Cite&gt;&lt;Author&gt;Xia&lt;/Author&gt;&lt;Year&gt;2004&lt;/Year&gt;&lt;RecNum&gt;29&lt;/RecNum&gt;&lt;DisplayText&gt;&lt;style face="superscript"&gt;29, 30&lt;/style&gt;&lt;/DisplayText&gt;&lt;record&gt;&lt;rec-number&gt;29&lt;/rec-number&gt;&lt;foreign-keys&gt;&lt;key app="EN" db-id="de05rdsatra50fexpeavrr9jwrz5vtfp5azt"&gt;29&lt;/key&gt;&lt;/foreign-keys&gt;&lt;ref-type name="Journal Article"&gt;17&lt;/ref-type&gt;&lt;contributors&gt;&lt;authors&gt;&lt;author&gt;Xia, Xiaoyang&lt;/author&gt;&lt;author&gt;Maliski, Edward G&lt;/author&gt;&lt;author&gt;Gallant, Paul&lt;/author&gt;&lt;author&gt;Rogers, David&lt;/author&gt;&lt;/authors&gt;&lt;/contributors&gt;&lt;titles&gt;&lt;title&gt;Classification of kinase inhibitors using a Bayesian model&lt;/title&gt;&lt;secondary-title&gt;Journal of medicinal chemistry&lt;/secondary-title&gt;&lt;/titles&gt;&lt;periodical&gt;&lt;full-title&gt;Journal of medicinal chemistry&lt;/full-title&gt;&lt;/periodical&gt;&lt;pages&gt;4463-4470&lt;/pages&gt;&lt;volume&gt;47&lt;/volume&gt;&lt;number&gt;18&lt;/number&gt;&lt;dates&gt;&lt;year&gt;2004&lt;/year&gt;&lt;/dates&gt;&lt;isbn&gt;0022-2623&lt;/isbn&gt;&lt;urls&gt;&lt;/urls&gt;&lt;/record&gt;&lt;/Cite&gt;&lt;Cite&gt;&lt;Author&gt;BIOVIA&lt;/Author&gt;&lt;RecNum&gt;30&lt;/RecNum&gt;&lt;record&gt;&lt;rec-number&gt;30&lt;/rec-number&gt;&lt;foreign-keys&gt;&lt;key app="EN" db-id="de05rdsatra50fexpeavrr9jwrz5vtfp5azt"&gt;30&lt;/key&gt;&lt;/foreign-keys&gt;&lt;ref-type name="Web Page"&gt;12&lt;/ref-type&gt;&lt;contributors&gt;&lt;authors&gt;&lt;author&gt;BIOVIA&lt;/author&gt;&lt;/authors&gt;&lt;/contributors&gt;&lt;titles&gt;&lt;title&gt;QSAR, ADMET and Predictive Toxicology&lt;/title&gt;&lt;/titles&gt;&lt;number&gt;May 2020&lt;/number&gt;&lt;dates&gt;&lt;/dates&gt;&lt;urls&gt;&lt;related-urls&gt;&lt;url&gt;https://www.3dsbiovia.com/products/collaborative-science/biovia-discovery-studio/qsar-admet-and-predictive-toxicology.html&lt;/url&gt;&lt;/related-urls&gt;&lt;/urls&gt;&lt;/record&gt;&lt;/Cite&gt;&lt;/EndNote&gt;</w:instrText>
      </w:r>
      <w:r w:rsidR="0053462E" w:rsidRPr="005F340F">
        <w:rPr>
          <w:rFonts w:asciiTheme="majorBidi" w:hAnsiTheme="majorBidi" w:cstheme="majorBidi"/>
          <w:sz w:val="24"/>
          <w:szCs w:val="24"/>
        </w:rPr>
        <w:fldChar w:fldCharType="separate"/>
      </w:r>
      <w:hyperlink w:anchor="_ENREF_29" w:tooltip="Xia, 2004 #29" w:history="1">
        <w:r w:rsidR="0012746E" w:rsidRPr="008E3957">
          <w:rPr>
            <w:rFonts w:asciiTheme="majorBidi" w:hAnsiTheme="majorBidi" w:cstheme="majorBidi"/>
            <w:noProof/>
            <w:sz w:val="24"/>
            <w:szCs w:val="24"/>
            <w:vertAlign w:val="superscript"/>
          </w:rPr>
          <w:t>29</w:t>
        </w:r>
      </w:hyperlink>
      <w:r w:rsidR="008E3957" w:rsidRPr="008E3957">
        <w:rPr>
          <w:rFonts w:asciiTheme="majorBidi" w:hAnsiTheme="majorBidi" w:cstheme="majorBidi"/>
          <w:noProof/>
          <w:sz w:val="24"/>
          <w:szCs w:val="24"/>
          <w:vertAlign w:val="superscript"/>
        </w:rPr>
        <w:t xml:space="preserve">, </w:t>
      </w:r>
      <w:hyperlink w:anchor="_ENREF_30" w:tooltip="BIOVIA,  #30" w:history="1">
        <w:r w:rsidR="0012746E" w:rsidRPr="008E3957">
          <w:rPr>
            <w:rFonts w:asciiTheme="majorBidi" w:hAnsiTheme="majorBidi" w:cstheme="majorBidi"/>
            <w:noProof/>
            <w:sz w:val="24"/>
            <w:szCs w:val="24"/>
            <w:vertAlign w:val="superscript"/>
          </w:rPr>
          <w:t>30</w:t>
        </w:r>
      </w:hyperlink>
      <w:r w:rsidR="0053462E" w:rsidRPr="005F340F">
        <w:rPr>
          <w:rFonts w:asciiTheme="majorBidi" w:hAnsiTheme="majorBidi" w:cstheme="majorBidi"/>
          <w:sz w:val="24"/>
          <w:szCs w:val="24"/>
        </w:rPr>
        <w:fldChar w:fldCharType="end"/>
      </w:r>
      <w:r w:rsidR="00842393" w:rsidRPr="005F340F">
        <w:rPr>
          <w:rFonts w:asciiTheme="majorBidi" w:hAnsiTheme="majorBidi" w:cstheme="majorBidi"/>
          <w:sz w:val="24"/>
          <w:szCs w:val="24"/>
        </w:rPr>
        <w:t xml:space="preserve">. </w:t>
      </w:r>
      <w:r w:rsidR="006C61E4" w:rsidRPr="005F340F">
        <w:rPr>
          <w:rFonts w:asciiTheme="majorBidi" w:hAnsiTheme="majorBidi" w:cstheme="majorBidi"/>
          <w:sz w:val="24"/>
          <w:szCs w:val="24"/>
        </w:rPr>
        <w:t>The ADMET research looked at the toxicity of the chemicals tested on the central nervous system and liver.</w:t>
      </w:r>
    </w:p>
    <w:p w:rsidR="00842393" w:rsidRPr="005F340F" w:rsidRDefault="00EA1512"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The ability to assess a new drug's carcinogenic potential is dependent on its measurement </w:t>
      </w:r>
      <w:hyperlink w:anchor="_ENREF_31" w:tooltip="Heidelberger, 1975 #31"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&lt;EndNote&gt;&lt;Cite&gt;&lt;Author&gt;Heidelberger&lt;/Author&gt;&lt;Year&gt;1975&lt;/Year&gt;&lt;RecNum&gt;31&lt;/RecNum&gt;&lt;DisplayText&gt;&lt;style face="superscript"&gt;31&lt;/style&gt;&lt;/DisplayText&gt;&lt;record&gt;&lt;rec-number&gt;31&lt;/rec-number&gt;&lt;foreign-keys&gt;&lt;key app="EN" db-id="de05rdsatra50fexpeavrr9jwrz5vtfp5azt"&gt;31&lt;/key&gt;&lt;/foreign-keys&gt;&lt;ref-type name="Journal Article"&gt;17&lt;/ref-type&gt;&lt;contributors&gt;&lt;authors&gt;&lt;author&gt;Heidelberger, Charles&lt;/author&gt;&lt;/authors&gt;&lt;/contributors&gt;&lt;titles&gt;&lt;title&gt;Chemical carcinogenesis&lt;/title&gt;&lt;secondary-title&gt;Annual review of biochemistry&lt;/secondary-title&gt;&lt;/titles&gt;&lt;periodical&gt;&lt;full-title&gt;Annual review of biochemistry&lt;/full-title&gt;&lt;/periodical&gt;&lt;pages&gt;79-121&lt;/pages&gt;&lt;volume&gt;44&lt;/volume&gt;&lt;number&gt;1&lt;/number&gt;&lt;dates&gt;&lt;year&gt;1975&lt;/year&gt;&lt;/dates&gt;&lt;isbn&gt;0066-4154&lt;/isbn&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31</w:t>
        </w:r>
        <w:r w:rsidR="0053462E"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 xml:space="preserve">. </w:t>
      </w:r>
      <w:r w:rsidR="008F6952" w:rsidRPr="005F340F">
        <w:rPr>
          <w:rFonts w:asciiTheme="majorBidi" w:hAnsiTheme="majorBidi" w:cstheme="majorBidi"/>
          <w:sz w:val="24"/>
          <w:szCs w:val="24"/>
        </w:rPr>
        <w:t xml:space="preserve">As a result, three in-silico investigations were conducted: I the TOPKAT mouse male FDA none vs carcinogen model, which is an FDA Rodent Carcinogenicity model; and ii) the TOPKAT mouse male FDA none vs carcinogen model, which is an FDA Rodent Carcinogenicity model. The chosen model determines whether or not specific substances are carcinogenic </w:t>
      </w:r>
      <w:hyperlink w:anchor="_ENREF_32" w:tooltip="Venkatapathy, 2009 #32"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&lt;EndNote&gt;&lt;Cite&gt;&lt;Author&gt;Venkatapathy&lt;/Author&gt;&lt;Year&gt;2009&lt;/Year&gt;&lt;RecNum&gt;32&lt;/RecNum&gt;&lt;DisplayText&gt;&lt;style face="superscript"&gt;32&lt;/style&gt;&lt;/DisplayText&gt;&lt;record&gt;&lt;rec-number&gt;32&lt;/rec-number&gt;&lt;foreign-keys&gt;&lt;key app="EN" db-id="de05rdsatra50fexpeavrr9jwrz5vtfp5azt"&gt;32&lt;/key&gt;&lt;/foreign-keys&gt;&lt;ref-type name="Journal Article"&gt;17&lt;/ref-type&gt;&lt;contributors&gt;&lt;authors&gt;&lt;author&gt;Venkatapathy, Raghuraman&lt;/author&gt;&lt;author&gt;Wang, Nina Ching Y&lt;/author&gt;&lt;author&gt;Martin, Todd M&lt;/author&gt;&lt;author&gt;Harten, Paul F&lt;/author&gt;&lt;author&gt;Young, Douglas&lt;/author&gt;&lt;/authors&gt;&lt;/contributors&gt;&lt;titles&gt;&lt;title&gt;Structure–Activity Relationships for Carcinogenic Potential&lt;/title&gt;&lt;secondary-title&gt;General, Applied and Systems Toxicology&lt;/secondary-title&gt;&lt;/titles&gt;&lt;periodical&gt;&lt;full-title&gt;General, Applied and Systems Toxicology&lt;/full-title&gt;&lt;/periodical&gt;&lt;dates&gt;&lt;year&gt;2009&lt;/year&gt;&lt;/dates&gt;&lt;urls&gt;&lt;/urls&gt;&lt;/record&gt;&lt;/Cite&gt;&lt;/EndNote&gt;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32</w:t>
        </w:r>
        <w:r w:rsidR="0053462E"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 xml:space="preserve">. </w:t>
      </w:r>
      <w:r w:rsidR="00433680" w:rsidRPr="005F340F">
        <w:rPr>
          <w:rFonts w:asciiTheme="majorBidi" w:hAnsiTheme="majorBidi" w:cstheme="majorBidi"/>
          <w:sz w:val="24"/>
          <w:szCs w:val="24"/>
        </w:rPr>
        <w:t>ii) Carcinogenic potency (TD</w:t>
      </w:r>
      <w:r w:rsidR="00433680" w:rsidRPr="005F340F">
        <w:rPr>
          <w:rFonts w:asciiTheme="majorBidi" w:hAnsiTheme="majorBidi" w:cstheme="majorBidi"/>
          <w:sz w:val="24"/>
          <w:szCs w:val="24"/>
          <w:vertAlign w:val="subscript"/>
        </w:rPr>
        <w:t>50</w:t>
      </w:r>
      <w:r w:rsidR="00433680" w:rsidRPr="005F340F">
        <w:rPr>
          <w:rFonts w:asciiTheme="majorBidi" w:hAnsiTheme="majorBidi" w:cstheme="majorBidi"/>
          <w:sz w:val="24"/>
          <w:szCs w:val="24"/>
        </w:rPr>
        <w:t xml:space="preserve">), which forecasts a chemical's median tumorigenic dose (the dosage needed to cause tumorigenesis in 50% of rats) in a prolonged exposure toxicity test </w:t>
      </w:r>
      <w:hyperlink w:anchor="_ENREF_32" w:tooltip="Venkatapathy, 2009 #32"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&lt;EndNote&gt;&lt;Cite&gt;&lt;Author&gt;Venkatapathy&lt;/Author&gt;&lt;Year&gt;2009&lt;/Year&gt;&lt;RecNum&gt;32&lt;/RecNum&gt;&lt;DisplayText&gt;&lt;style face="superscript"&gt;32&lt;/style&gt;&lt;/DisplayText&gt;&lt;record&gt;&lt;rec-number&gt;32&lt;/rec-number&gt;&lt;foreign-keys&gt;&lt;key app="EN" db-id="de05rdsatra50fexpeavrr9jwrz5vtfp5azt"&gt;32&lt;/key&gt;&lt;/foreign-keys&gt;&lt;ref-type name="Journal Article"&gt;17&lt;/ref-type&gt;&lt;contributors&gt;&lt;authors&gt;&lt;author&gt;Venkatapathy, Raghuraman&lt;/author&gt;&lt;author&gt;Wang, Nina Ching Y&lt;/author&gt;&lt;author&gt;Martin, Todd M&lt;/author&gt;&lt;author&gt;Harten, Paul F&lt;/author&gt;&lt;author&gt;Young, Douglas&lt;/author&gt;&lt;/authors&gt;&lt;/contributors&gt;&lt;titles&gt;&lt;title&gt;Structure–Activity Relationships for Carcinogenic Potential&lt;/title&gt;&lt;secondary-title&gt;General, Applied and Systems Toxicology&lt;/secondary-title&gt;&lt;/titles&gt;&lt;periodical&gt;&lt;full-title&gt;General, Applied and Systems Toxicology&lt;/full-title&gt;&lt;/periodical&gt;&lt;dates&gt;&lt;year&gt;2009&lt;/year&gt;&lt;/dates&gt;&lt;urls&gt;&lt;/urls&gt;&lt;/record&gt;&lt;/Cite&gt;&lt;/EndNote&gt;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32</w:t>
        </w:r>
        <w:r w:rsidR="0053462E"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 xml:space="preserve">. </w:t>
      </w:r>
      <w:r w:rsidR="00CC2846" w:rsidRPr="005F340F">
        <w:rPr>
          <w:rFonts w:asciiTheme="majorBidi" w:hAnsiTheme="majorBidi" w:cstheme="majorBidi"/>
          <w:sz w:val="24"/>
          <w:szCs w:val="24"/>
        </w:rPr>
        <w:t>The Carcinogenic Potency Data Base includes the TD</w:t>
      </w:r>
      <w:r w:rsidR="00CC2846" w:rsidRPr="005F340F">
        <w:rPr>
          <w:rFonts w:asciiTheme="majorBidi" w:hAnsiTheme="majorBidi" w:cstheme="majorBidi"/>
          <w:sz w:val="24"/>
          <w:szCs w:val="24"/>
          <w:vertAlign w:val="subscript"/>
        </w:rPr>
        <w:t>50</w:t>
      </w:r>
      <w:r w:rsidR="00CC2846" w:rsidRPr="005F340F">
        <w:rPr>
          <w:rFonts w:asciiTheme="majorBidi" w:hAnsiTheme="majorBidi" w:cstheme="majorBidi"/>
          <w:sz w:val="24"/>
          <w:szCs w:val="24"/>
        </w:rPr>
        <w:t xml:space="preserve"> measure, which has been used previously to evaluate carcinogenic potency (CPDB) </w:t>
      </w:r>
      <w:hyperlink w:anchor="_ENREF_33" w:tooltip="Thresher, 2019 #33"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&lt;EndNote&gt;&lt;Cite&gt;&lt;Author&gt;Thresher&lt;/Author&gt;&lt;Year&gt;2019&lt;/Year&gt;&lt;RecNum&gt;33&lt;/RecNum&gt;&lt;DisplayText&gt;&lt;style face="superscript"&gt;33&lt;/style&gt;&lt;/DisplayText&gt;&lt;record&gt;&lt;rec-number&gt;33&lt;/rec-number&gt;&lt;foreign-keys&gt;&lt;key app="EN" db-id="de05rdsatra50fexpeavrr9jwrz5vtfp5azt"&gt;33&lt;/key&gt;&lt;/foreign-keys&gt;&lt;ref-type name="Journal Article"&gt;17&lt;/ref-type&gt;&lt;contributors&gt;&lt;authors&gt;&lt;author&gt;Thresher, Andrew&lt;/author&gt;&lt;author&gt;Gosling, John Paul&lt;/author&gt;&lt;author&gt;Williams, Richard&lt;/author&gt;&lt;/authors&gt;&lt;/contributors&gt;&lt;titles&gt;&lt;title&gt;Generation of TD 50 values for carcinogenicity study data&lt;/title&gt;&lt;secondary-title&gt;Toxicology research&lt;/secondary-title&gt;&lt;/titles&gt;&lt;periodical&gt;&lt;full-title&gt;Toxicology research&lt;/full-title&gt;&lt;/periodical&gt;&lt;pages&gt;696-703&lt;/pages&gt;&lt;volume&gt;8&lt;/volume&gt;&lt;number&gt;5&lt;/number&gt;&lt;dates&gt;&lt;year&gt;2019&lt;/year&gt;&lt;/dates&gt;&lt;urls&gt;&lt;/urls&gt;&lt;/record&gt;&lt;/Cite&gt;&lt;/EndNote&gt;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33</w:t>
        </w:r>
        <w:r w:rsidR="0053462E" w:rsidRPr="005F340F">
          <w:rPr>
            <w:rFonts w:asciiTheme="majorBidi" w:hAnsiTheme="majorBidi" w:cstheme="majorBidi"/>
            <w:sz w:val="24"/>
            <w:szCs w:val="24"/>
          </w:rPr>
          <w:fldChar w:fldCharType="end"/>
        </w:r>
      </w:hyperlink>
      <w:r w:rsidR="006B0EE9" w:rsidRPr="005F340F">
        <w:rPr>
          <w:rFonts w:asciiTheme="majorBidi" w:hAnsiTheme="majorBidi" w:cstheme="majorBidi"/>
          <w:sz w:val="24"/>
          <w:szCs w:val="24"/>
        </w:rPr>
        <w:t>.</w:t>
      </w:r>
      <w:r w:rsidR="00B02714" w:rsidRPr="005F340F">
        <w:rPr>
          <w:rFonts w:asciiTheme="majorBidi" w:hAnsiTheme="majorBidi" w:cstheme="majorBidi"/>
          <w:sz w:val="24"/>
          <w:szCs w:val="24"/>
        </w:rPr>
        <w:t xml:space="preserve">iii) In a developmental toxicity potential evaluation, developmental toxicity potential indicates whether a chemical substance is likely to be hazardous. Any reversible or irreversible functional or structural alteration that interferes with and changes homeostasis, proper growth, differentiation, development, or behavior is referred to as developmental toxicity </w:t>
      </w:r>
      <w:r w:rsidR="0053462E" w:rsidRPr="005F340F">
        <w:rPr>
          <w:rFonts w:asciiTheme="majorBidi" w:hAnsiTheme="majorBidi" w:cstheme="majorBidi"/>
          <w:sz w:val="24"/>
          <w:szCs w:val="24"/>
        </w:rPr>
        <w:fldChar w:fldCharType="begin"/>
      </w:r>
      <w:r w:rsidR="008E3957">
        <w:rPr>
          <w:rFonts w:asciiTheme="majorBidi" w:hAnsiTheme="majorBidi" w:cstheme="majorBidi"/>
          <w:sz w:val="24"/>
          <w:szCs w:val="24"/>
        </w:rPr>
        <w:instrText xml:space="preserve"> ADDIN EN.CITE &lt;EndNote&gt;&lt;Cite&gt;&lt;Author&gt;Louisse&lt;/Author&gt;&lt;Year&gt;2015&lt;/Year&gt;&lt;RecNum&gt;34&lt;/RecNum&gt;&lt;DisplayText&gt;&lt;style face="superscript"&gt;34, 35&lt;/style&gt;&lt;/DisplayText&gt;&lt;record&gt;&lt;rec-number&gt;34&lt;/rec-number&gt;&lt;foreign-keys&gt;&lt;key app="EN" db-id="de05rdsatra50fexpeavrr9jwrz5vtfp5azt"&gt;34&lt;/key&gt;&lt;/foreign-keys&gt;&lt;ref-type name="Journal Article"&gt;17&lt;/ref-type&gt;&lt;contributors&gt;&lt;authors&gt;&lt;author&gt;Louisse, Jochem&lt;/author&gt;&lt;author&gt;Bosgra, Sieto&lt;/author&gt;&lt;author&gt;Blaauboer, Bas J&lt;/author&gt;&lt;author&gt;Rietjens, Ivonne MCM&lt;/author&gt;&lt;author&gt;Verwei, Miriam&lt;/author&gt;&lt;/authors&gt;&lt;/contributors&gt;&lt;titles&gt;&lt;title&gt;Prediction of in vivo developmental toxicity of all-trans-retinoic acid based on in vitro toxicity data and in silico physiologically based kinetic modeling&lt;/title&gt;&lt;secondary-title&gt;Archives of toxicology&lt;/secondary-title&gt;&lt;/titles&gt;&lt;periodical&gt;&lt;full-title&gt;Archives of toxicology&lt;/full-title&gt;&lt;/periodical&gt;&lt;pages&gt;1135-1148&lt;/pages&gt;&lt;volume&gt;89&lt;/volume&gt;&lt;number&gt;7&lt;/number&gt;&lt;dates&gt;&lt;year&gt;2015&lt;/year&gt;&lt;/dates&gt;&lt;isbn&gt;0340-5761&lt;/isbn&gt;&lt;urls&gt;&lt;/urls&gt;&lt;/record&gt;&lt;/Cite&gt;&lt;Cite&gt;&lt;Author&gt;EPA&lt;/Author&gt;&lt;RecNum&gt;35&lt;/RecNum&gt;&lt;record&gt;&lt;rec-number&gt;35&lt;/rec-number&gt;&lt;foreign-keys&gt;&lt;key app="EN" db-id="de05rdsatra50fexpeavrr9jwrz5vtfp5azt"&gt;35&lt;/key&gt;&lt;/foreign-keys&gt;&lt;ref-type name="Web Page"&gt;12&lt;/ref-type&gt;&lt;contributors&gt;&lt;authors&gt;&lt;author&gt;EPA&lt;/author&gt;&lt;/authors&gt;&lt;/contributors&gt;&lt;titles&gt;&lt;title&gt;Guidelines for Developmental Toxicity Risk Assessment&lt;/title&gt;&lt;/titles&gt;&lt;number&gt;May 2020&lt;/number&gt;&lt;dates&gt;&lt;/dates&gt;&lt;urls&gt;&lt;related-urls&gt;&lt;url&gt;https://www.epa.gov/sites/production/files/2014-11/documents/dev_tox.pdf&lt;/url&gt;&lt;/related-urls&gt;&lt;/urls&gt;&lt;/record&gt;&lt;/Cite&gt;&lt;/EndNote&gt;</w:instrText>
      </w:r>
      <w:r w:rsidR="0053462E" w:rsidRPr="005F340F">
        <w:rPr>
          <w:rFonts w:asciiTheme="majorBidi" w:hAnsiTheme="majorBidi" w:cstheme="majorBidi"/>
          <w:sz w:val="24"/>
          <w:szCs w:val="24"/>
        </w:rPr>
        <w:fldChar w:fldCharType="separate"/>
      </w:r>
      <w:hyperlink w:anchor="_ENREF_34" w:tooltip="Louisse, 2015 #34" w:history="1">
        <w:r w:rsidR="0012746E" w:rsidRPr="008E3957">
          <w:rPr>
            <w:rFonts w:asciiTheme="majorBidi" w:hAnsiTheme="majorBidi" w:cstheme="majorBidi"/>
            <w:noProof/>
            <w:sz w:val="24"/>
            <w:szCs w:val="24"/>
            <w:vertAlign w:val="superscript"/>
          </w:rPr>
          <w:t>34</w:t>
        </w:r>
      </w:hyperlink>
      <w:r w:rsidR="008E3957" w:rsidRPr="008E3957">
        <w:rPr>
          <w:rFonts w:asciiTheme="majorBidi" w:hAnsiTheme="majorBidi" w:cstheme="majorBidi"/>
          <w:noProof/>
          <w:sz w:val="24"/>
          <w:szCs w:val="24"/>
          <w:vertAlign w:val="superscript"/>
        </w:rPr>
        <w:t xml:space="preserve">, </w:t>
      </w:r>
      <w:hyperlink w:anchor="_ENREF_35" w:tooltip="EPA,  #35" w:history="1">
        <w:r w:rsidR="0012746E" w:rsidRPr="008E3957">
          <w:rPr>
            <w:rFonts w:asciiTheme="majorBidi" w:hAnsiTheme="majorBidi" w:cstheme="majorBidi"/>
            <w:noProof/>
            <w:sz w:val="24"/>
            <w:szCs w:val="24"/>
            <w:vertAlign w:val="superscript"/>
          </w:rPr>
          <w:t>35</w:t>
        </w:r>
      </w:hyperlink>
      <w:r w:rsidR="0053462E" w:rsidRPr="005F340F">
        <w:rPr>
          <w:rFonts w:asciiTheme="majorBidi" w:hAnsiTheme="majorBidi" w:cstheme="majorBidi"/>
          <w:sz w:val="24"/>
          <w:szCs w:val="24"/>
        </w:rPr>
        <w:fldChar w:fldCharType="end"/>
      </w:r>
      <w:r w:rsidR="00842393" w:rsidRPr="005F340F">
        <w:rPr>
          <w:rFonts w:asciiTheme="majorBidi" w:hAnsiTheme="majorBidi" w:cstheme="majorBidi"/>
          <w:sz w:val="24"/>
          <w:szCs w:val="24"/>
        </w:rPr>
        <w:t>.</w:t>
      </w:r>
    </w:p>
    <w:p w:rsidR="00842393" w:rsidRPr="005F340F" w:rsidRDefault="00677D55"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Three more in-silico studies were conducted to determine the acute and chronic toxicity of the investigated substances. I Maximum tolerated dose (MTD) for rats, which forecasts the greatest dose of a drug that will provide the intended effect without generating undesirable side effects </w:t>
      </w:r>
      <w:r w:rsidR="0053462E" w:rsidRPr="005F340F">
        <w:rPr>
          <w:rFonts w:asciiTheme="majorBidi" w:hAnsiTheme="majorBidi" w:cstheme="majorBidi"/>
          <w:sz w:val="24"/>
          <w:szCs w:val="24"/>
        </w:rPr>
        <w:fldChar w:fldCharType="begin"/>
      </w:r>
      <w:r w:rsidR="008E3957">
        <w:rPr>
          <w:rFonts w:asciiTheme="majorBidi" w:hAnsiTheme="majorBidi" w:cstheme="majorBidi"/>
          <w:sz w:val="24"/>
          <w:szCs w:val="24"/>
        </w:rPr>
        <w:instrText xml:space="preserve"> ADDIN EN.CITE &lt;EndNote&gt;&lt;Cite&gt;&lt;Author&gt;Goodrnan&lt;/Author&gt;&lt;Year&gt;1992&lt;/Year&gt;&lt;RecNum&gt;36&lt;/RecNum&gt;&lt;DisplayText&gt;&lt;style face="superscript"&gt;36, 37&lt;/style&gt;&lt;/DisplayText&gt;&lt;record&gt;&lt;rec-number&gt;36&lt;/rec-number&gt;&lt;foreign-keys&gt;&lt;key app="EN" db-id="de05rdsatra50fexpeavrr9jwrz5vtfp5azt"&gt;36&lt;/key&gt;&lt;/foreign-keys&gt;&lt;ref-type name="Journal Article"&gt;17&lt;/ref-type&gt;&lt;contributors&gt;&lt;authors&gt;&lt;author&gt;Goodrnan, Gay&lt;/author&gt;&lt;author&gt;Wilson, Richard&lt;/author&gt;&lt;/authors&gt;&lt;/contributors&gt;&lt;titles&gt;&lt;title&gt;Comparison of the dependence of the TD50 on maximum tolerated dose for mutagens and nonmutagens&lt;/title&gt;&lt;secondary-title&gt;Risk Analysis&lt;/secondary-title&gt;&lt;/titles&gt;&lt;periodical&gt;&lt;full-title&gt;Risk Analysis&lt;/full-title&gt;&lt;/periodical&gt;&lt;pages&gt;525-533&lt;/pages&gt;&lt;volume&gt;12&lt;/volume&gt;&lt;number&gt;4&lt;/number&gt;&lt;dates&gt;&lt;year&gt;1992&lt;/year&gt;&lt;/dates&gt;&lt;isbn&gt;0272-4332&lt;/isbn&gt;&lt;urls&gt;&lt;/urls&gt;&lt;/record&gt;&lt;/Cite&gt;&lt;Cite&gt;&lt;Author&gt;Council&lt;/Author&gt;&lt;Year&gt;1993&lt;/Year&gt;&lt;RecNum&gt;37&lt;/RecNum&gt;&lt;record&gt;&lt;rec-number&gt;37&lt;/rec-number&gt;&lt;foreign-keys&gt;&lt;key app="EN" db-id="de05rdsatra50fexpeavrr9jwrz5vtfp5azt"&gt;37&lt;/key&gt;&lt;/foreign-keys&gt;&lt;ref-type name="Book Section"&gt;5&lt;/ref-type&gt;&lt;contributors&gt;&lt;authors&gt;&lt;author&gt;National Research Council&lt;/author&gt;&lt;/authors&gt;&lt;/contributors&gt;&lt;titles&gt;&lt;title&gt;Correlation Between Carcinogenic Potency and the Maximum Tolerated Dose: Implications for Risk Assessment&lt;/title&gt;&lt;secondary-title&gt;Issues in Risk Assessment&lt;/secondary-title&gt;&lt;/titles&gt;&lt;dates&gt;&lt;year&gt;1993&lt;/year&gt;&lt;/dates&gt;&lt;publisher&gt;National Academies Press (US)&lt;/publisher&gt;&lt;urls&gt;&lt;/urls&gt;&lt;/record&gt;&lt;/Cite&gt;&lt;/EndNote&gt;</w:instrText>
      </w:r>
      <w:r w:rsidR="0053462E" w:rsidRPr="005F340F">
        <w:rPr>
          <w:rFonts w:asciiTheme="majorBidi" w:hAnsiTheme="majorBidi" w:cstheme="majorBidi"/>
          <w:sz w:val="24"/>
          <w:szCs w:val="24"/>
        </w:rPr>
        <w:fldChar w:fldCharType="separate"/>
      </w:r>
      <w:hyperlink w:anchor="_ENREF_36" w:tooltip="Goodrnan, 1992 #36" w:history="1">
        <w:r w:rsidR="0012746E" w:rsidRPr="008E3957">
          <w:rPr>
            <w:rFonts w:asciiTheme="majorBidi" w:hAnsiTheme="majorBidi" w:cstheme="majorBidi"/>
            <w:noProof/>
            <w:sz w:val="24"/>
            <w:szCs w:val="24"/>
            <w:vertAlign w:val="superscript"/>
          </w:rPr>
          <w:t>36</w:t>
        </w:r>
      </w:hyperlink>
      <w:r w:rsidR="008E3957" w:rsidRPr="008E3957">
        <w:rPr>
          <w:rFonts w:asciiTheme="majorBidi" w:hAnsiTheme="majorBidi" w:cstheme="majorBidi"/>
          <w:noProof/>
          <w:sz w:val="24"/>
          <w:szCs w:val="24"/>
          <w:vertAlign w:val="superscript"/>
        </w:rPr>
        <w:t xml:space="preserve">, </w:t>
      </w:r>
      <w:hyperlink w:anchor="_ENREF_37" w:tooltip="Council, 1993 #37" w:history="1">
        <w:r w:rsidR="0012746E" w:rsidRPr="008E3957">
          <w:rPr>
            <w:rFonts w:asciiTheme="majorBidi" w:hAnsiTheme="majorBidi" w:cstheme="majorBidi"/>
            <w:noProof/>
            <w:sz w:val="24"/>
            <w:szCs w:val="24"/>
            <w:vertAlign w:val="superscript"/>
          </w:rPr>
          <w:t>37</w:t>
        </w:r>
      </w:hyperlink>
      <w:r w:rsidR="0053462E" w:rsidRPr="005F340F">
        <w:rPr>
          <w:rFonts w:asciiTheme="majorBidi" w:hAnsiTheme="majorBidi" w:cstheme="majorBidi"/>
          <w:sz w:val="24"/>
          <w:szCs w:val="24"/>
        </w:rPr>
        <w:fldChar w:fldCharType="end"/>
      </w:r>
      <w:r w:rsidR="009D0635" w:rsidRPr="005F340F">
        <w:rPr>
          <w:rFonts w:asciiTheme="majorBidi" w:hAnsiTheme="majorBidi" w:cstheme="majorBidi"/>
          <w:sz w:val="24"/>
          <w:szCs w:val="24"/>
        </w:rPr>
        <w:t>,</w:t>
      </w:r>
      <w:r w:rsidR="00F56D67" w:rsidRPr="005F340F">
        <w:rPr>
          <w:rFonts w:asciiTheme="majorBidi" w:hAnsiTheme="majorBidi" w:cstheme="majorBidi"/>
          <w:sz w:val="24"/>
          <w:szCs w:val="24"/>
        </w:rPr>
        <w:t>ii) rat oral LD</w:t>
      </w:r>
      <w:r w:rsidR="00F56D67" w:rsidRPr="005F340F">
        <w:rPr>
          <w:rFonts w:asciiTheme="majorBidi" w:hAnsiTheme="majorBidi" w:cstheme="majorBidi"/>
          <w:sz w:val="24"/>
          <w:szCs w:val="24"/>
          <w:vertAlign w:val="subscript"/>
        </w:rPr>
        <w:t>50</w:t>
      </w:r>
      <w:r w:rsidR="00F56D67" w:rsidRPr="005F340F">
        <w:rPr>
          <w:rFonts w:asciiTheme="majorBidi" w:hAnsiTheme="majorBidi" w:cstheme="majorBidi"/>
          <w:sz w:val="24"/>
          <w:szCs w:val="24"/>
        </w:rPr>
        <w:t>, which forecasts a chemical's rat oral acute median fatal dosage (LD</w:t>
      </w:r>
      <w:r w:rsidR="00F56D67" w:rsidRPr="005F340F">
        <w:rPr>
          <w:rFonts w:asciiTheme="majorBidi" w:hAnsiTheme="majorBidi" w:cstheme="majorBidi"/>
          <w:sz w:val="24"/>
          <w:szCs w:val="24"/>
          <w:vertAlign w:val="subscript"/>
        </w:rPr>
        <w:t>50</w:t>
      </w:r>
      <w:r w:rsidR="00F56D67" w:rsidRPr="005F340F">
        <w:rPr>
          <w:rFonts w:asciiTheme="majorBidi" w:hAnsiTheme="majorBidi" w:cstheme="majorBidi"/>
          <w:sz w:val="24"/>
          <w:szCs w:val="24"/>
        </w:rPr>
        <w:t xml:space="preserve">) in toxicity tests. </w:t>
      </w:r>
      <w:hyperlink w:anchor="_ENREF_38" w:tooltip="Gonella Diaza, 2015 #38"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&lt;EndNote&gt;&lt;Cite&gt;&lt;Author&gt;Gonella Diaza&lt;/Author&gt;&lt;Year&gt;2015&lt;/Year&gt;&lt;RecNum&gt;38&lt;/RecNum&gt;&lt;DisplayText&gt;&lt;style face="superscript"&gt;38&lt;/style&gt;&lt;/DisplayText&gt;&lt;record&gt;&lt;rec-number&gt;38&lt;/rec-number&gt;&lt;foreign-keys&gt;&lt;key app="EN" db-id="de05rdsatra50fexpeavrr9jwrz5vtfp5azt"&gt;38&lt;/key&gt;&lt;/foreign-keys&gt;&lt;ref-type name="Journal Article"&gt;17&lt;/ref-type&gt;&lt;contributors&gt;&lt;authors&gt;&lt;author&gt;Gonella Diaza, R&lt;/author&gt;&lt;author&gt;Manganelli, Serena&lt;/author&gt;&lt;author&gt;Esposito, Antonella&lt;/author&gt;&lt;author&gt;Roncaglioni, Alessandra&lt;/author&gt;&lt;author&gt;Manganaro, Alberto&lt;/author&gt;&lt;author&gt;Benfenati, Emilio&lt;/author&gt;&lt;/authors&gt;&lt;/contributors&gt;&lt;titles&gt;&lt;title&gt;Comparison of in silico tools for evaluating rat oral acute toxicity&lt;/title&gt;&lt;secondary-title&gt;SAR and QSAR in Environmental Research&lt;/secondary-title&gt;&lt;/titles&gt;&lt;periodical&gt;&lt;full-title&gt;SAR and QSAR in Environmental Research&lt;/full-title&gt;&lt;/periodical&gt;&lt;pages&gt;1-27&lt;/pages&gt;&lt;volume&gt;26&lt;/volume&gt;&lt;number&gt;1&lt;/number&gt;&lt;dates&gt;&lt;year&gt;2015&lt;/year&gt;&lt;/dates&gt;&lt;isbn&gt;1062-936X&lt;/isbn&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38</w:t>
        </w:r>
        <w:r w:rsidR="0053462E" w:rsidRPr="005F340F">
          <w:rPr>
            <w:rFonts w:asciiTheme="majorBidi" w:hAnsiTheme="majorBidi" w:cstheme="majorBidi"/>
            <w:sz w:val="24"/>
            <w:szCs w:val="24"/>
          </w:rPr>
          <w:fldChar w:fldCharType="end"/>
        </w:r>
      </w:hyperlink>
      <w:r w:rsidR="006B3B86" w:rsidRPr="005F340F">
        <w:rPr>
          <w:rFonts w:asciiTheme="majorBidi" w:hAnsiTheme="majorBidi" w:cstheme="majorBidi"/>
          <w:sz w:val="24"/>
          <w:szCs w:val="24"/>
        </w:rPr>
        <w:t xml:space="preserve">,iii) The rat chronic </w:t>
      </w:r>
      <w:commentRangeEnd w:id="29"/>
      <w:r w:rsidR="00AF0A3B">
        <w:rPr>
          <w:rStyle w:val="CommentReference"/>
          <w:rFonts w:ascii="Calibri" w:eastAsia="Calibri" w:hAnsi="Calibri" w:cs="Arial"/>
          <w:lang w:eastAsia="en-US"/>
        </w:rPr>
        <w:commentReference w:id="29"/>
      </w:r>
      <w:r w:rsidR="006B3B86" w:rsidRPr="005F340F">
        <w:rPr>
          <w:rFonts w:asciiTheme="majorBidi" w:hAnsiTheme="majorBidi" w:cstheme="majorBidi"/>
          <w:sz w:val="24"/>
          <w:szCs w:val="24"/>
        </w:rPr>
        <w:t xml:space="preserve">least observed adverse effect level (LOAEL), which forecasts a chemical's rat chronic LOAEL </w:t>
      </w:r>
      <w:hyperlink w:anchor="_ENREF_39" w:tooltip="Venkatapathy, 2004 #39"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&lt;EndNote&gt;&lt;Cite&gt;&lt;Author&gt;Venkatapathy&lt;/Author&gt;&lt;Year&gt;2004&lt;/Year&gt;&lt;RecNum&gt;39&lt;/RecNum&gt;&lt;DisplayText&gt;&lt;style face="superscript"&gt;39&lt;/style&gt;&lt;/DisplayText&gt;&lt;record&gt;&lt;rec-number&gt;39&lt;/rec-number&gt;&lt;foreign-keys&gt;&lt;key app="EN" db-id="de05rdsatra50fexpeavrr9jwrz5vtfp5azt"&gt;39&lt;/key&gt;&lt;/foreign-keys&gt;&lt;ref-type name="Journal Article"&gt;17&lt;/ref-type&gt;&lt;contributors&gt;&lt;authors&gt;&lt;author&gt;Venkatapathy, Raghuraman&lt;/author&gt;&lt;author&gt;Moudgal, Chandrika J&lt;/author&gt;&lt;author&gt;Bruce, Robert M&lt;/author&gt;&lt;/authors&gt;&lt;/contributors&gt;&lt;titles&gt;&lt;title&gt;Assessment of the oral rat chronic lowest observed adverse effect level model in TOPKAT, a QSAR software package for toxicity prediction&lt;/title&gt;&lt;secondary-title&gt;Journal of chemical information and computer sciences&lt;/secondary-title&gt;&lt;/titles&gt;&lt;periodical&gt;&lt;full-title&gt;Journal of chemical information and computer sciences&lt;/full-title&gt;&lt;/periodical&gt;&lt;pages&gt;1623-1629&lt;/pages&gt;&lt;volume&gt;44&lt;/volume&gt;&lt;number&gt;5&lt;/number&gt;&lt;dates&gt;&lt;year&gt;2004&lt;/year&gt;&lt;/dates&gt;&lt;isbn&gt;0095-2338&lt;/isbn&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39</w:t>
        </w:r>
        <w:r w:rsidR="0053462E"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w:t>
      </w:r>
    </w:p>
    <w:p w:rsidR="00EC4027" w:rsidRPr="005F340F" w:rsidRDefault="00EC4027" w:rsidP="00BA7A26">
      <w:pPr>
        <w:spacing w:line="276" w:lineRule="auto"/>
        <w:rPr>
          <w:rFonts w:asciiTheme="majorBidi" w:hAnsiTheme="majorBidi" w:cstheme="majorBidi"/>
          <w:sz w:val="24"/>
          <w:szCs w:val="24"/>
        </w:rPr>
      </w:pPr>
      <w:bookmarkStart w:id="30" w:name="s8"/>
      <w:bookmarkStart w:id="31" w:name="s10"/>
      <w:bookmarkEnd w:id="30"/>
      <w:bookmarkEnd w:id="31"/>
      <w:r w:rsidRPr="005F340F">
        <w:rPr>
          <w:rFonts w:asciiTheme="majorBidi" w:hAnsiTheme="majorBidi" w:cstheme="majorBidi"/>
          <w:sz w:val="24"/>
          <w:szCs w:val="24"/>
        </w:rPr>
        <w:t xml:space="preserve">In silico, </w:t>
      </w:r>
      <w:commentRangeStart w:id="32"/>
      <w:r w:rsidRPr="005F340F">
        <w:rPr>
          <w:rFonts w:asciiTheme="majorBidi" w:hAnsiTheme="majorBidi" w:cstheme="majorBidi"/>
          <w:sz w:val="24"/>
          <w:szCs w:val="24"/>
        </w:rPr>
        <w:t>most chemicals demonstrated relatively little unfavourable effects and toxicity against the evaluated models, as shown in Table 5. With the exception of compound 3, all compounds seemed to be non-carcinogenic in the FDA Rodent Carcinogenicity Model. Compounds 1 and 2 had low TD50 values in the carcinogenic potency TD50 mouse model, but compounds 2, 4, and 5 had high TD50 values. The tested compounds showed MTDs ranging from 0.006 to 0.020 g/kg of body weight in the rat MTD model. Furthermore, in the developmental toxicity potential model, all chemicals were non-toxic. All drugs had modest oral LD50 values in the rat oral LD50 paradigm, ranging from 0.080 to 0.352 mg/kg of body weight/day.</w:t>
      </w:r>
      <w:r w:rsidR="007C10B0" w:rsidRPr="005F340F">
        <w:rPr>
          <w:rFonts w:asciiTheme="majorBidi" w:hAnsiTheme="majorBidi" w:cstheme="majorBidi"/>
          <w:sz w:val="24"/>
          <w:szCs w:val="24"/>
        </w:rPr>
        <w:t xml:space="preserve">Finally, the compounds' LOAELs in the rat </w:t>
      </w:r>
      <w:commentRangeEnd w:id="32"/>
      <w:r w:rsidR="00AF0A3B">
        <w:rPr>
          <w:rStyle w:val="CommentReference"/>
          <w:rFonts w:ascii="Calibri" w:eastAsia="Calibri" w:hAnsi="Calibri" w:cs="Arial"/>
          <w:lang w:eastAsia="en-US"/>
        </w:rPr>
        <w:commentReference w:id="32"/>
      </w:r>
      <w:r w:rsidR="007C10B0" w:rsidRPr="005F340F">
        <w:rPr>
          <w:rFonts w:asciiTheme="majorBidi" w:hAnsiTheme="majorBidi" w:cstheme="majorBidi"/>
          <w:sz w:val="24"/>
          <w:szCs w:val="24"/>
        </w:rPr>
        <w:t>chronic LOAEL model varied from 0.005 to 0.023 g/kg of body weight.</w:t>
      </w:r>
    </w:p>
    <w:p w:rsidR="00274524" w:rsidRPr="005F340F" w:rsidRDefault="00274524"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Table 5:</w:t>
      </w:r>
      <w:r w:rsidRPr="005F340F">
        <w:rPr>
          <w:rFonts w:asciiTheme="majorBidi" w:hAnsiTheme="majorBidi" w:cstheme="majorBidi"/>
          <w:sz w:val="24"/>
          <w:szCs w:val="24"/>
        </w:rPr>
        <w:t xml:space="preserve"> Toxicity properties of our compounds.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7"/>
        <w:gridCol w:w="1269"/>
        <w:gridCol w:w="1269"/>
        <w:gridCol w:w="1323"/>
        <w:gridCol w:w="1269"/>
        <w:gridCol w:w="1269"/>
      </w:tblGrid>
      <w:tr w:rsidR="00274524" w:rsidRPr="005F340F" w:rsidTr="00274524">
        <w:trPr>
          <w:trHeight w:val="173"/>
          <w:jc w:val="center"/>
        </w:trPr>
        <w:tc>
          <w:tcPr>
            <w:tcW w:w="1897" w:type="pct"/>
            <w:shd w:val="clear" w:color="auto" w:fill="auto"/>
            <w:vAlign w:val="center"/>
          </w:tcPr>
          <w:p w:rsidR="00274524" w:rsidRPr="005F340F" w:rsidRDefault="00274524" w:rsidP="00BB1CB6">
            <w:pPr>
              <w:ind w:left="1425"/>
              <w:rPr>
                <w:rFonts w:asciiTheme="majorBidi" w:hAnsiTheme="majorBidi" w:cstheme="majorBidi"/>
                <w:b/>
                <w:bCs/>
                <w:sz w:val="24"/>
                <w:szCs w:val="24"/>
              </w:rPr>
            </w:pPr>
          </w:p>
        </w:tc>
        <w:tc>
          <w:tcPr>
            <w:tcW w:w="615" w:type="pct"/>
            <w:shd w:val="clear" w:color="auto" w:fill="auto"/>
            <w:vAlign w:val="center"/>
          </w:tcPr>
          <w:p w:rsidR="00274524" w:rsidRPr="005F340F" w:rsidRDefault="00274524" w:rsidP="00BB1CB6">
            <w:pPr>
              <w:rPr>
                <w:rFonts w:asciiTheme="majorBidi" w:hAnsiTheme="majorBidi" w:cstheme="majorBidi"/>
                <w:b/>
                <w:bCs/>
                <w:sz w:val="24"/>
                <w:szCs w:val="24"/>
              </w:rPr>
            </w:pPr>
            <w:r w:rsidRPr="005F340F">
              <w:rPr>
                <w:rFonts w:asciiTheme="majorBidi" w:hAnsiTheme="majorBidi" w:cstheme="majorBidi"/>
                <w:b/>
                <w:bCs/>
                <w:sz w:val="24"/>
                <w:szCs w:val="24"/>
              </w:rPr>
              <w:t>1</w:t>
            </w:r>
          </w:p>
        </w:tc>
        <w:tc>
          <w:tcPr>
            <w:tcW w:w="615" w:type="pct"/>
            <w:shd w:val="clear" w:color="auto" w:fill="auto"/>
            <w:vAlign w:val="center"/>
          </w:tcPr>
          <w:p w:rsidR="00274524" w:rsidRPr="005F340F" w:rsidRDefault="00274524" w:rsidP="00BB1CB6">
            <w:pPr>
              <w:rPr>
                <w:rFonts w:asciiTheme="majorBidi" w:hAnsiTheme="majorBidi" w:cstheme="majorBidi"/>
                <w:b/>
                <w:bCs/>
                <w:sz w:val="24"/>
                <w:szCs w:val="24"/>
              </w:rPr>
            </w:pPr>
            <w:r w:rsidRPr="005F340F">
              <w:rPr>
                <w:rFonts w:asciiTheme="majorBidi" w:hAnsiTheme="majorBidi" w:cstheme="majorBidi"/>
                <w:b/>
                <w:bCs/>
                <w:sz w:val="24"/>
                <w:szCs w:val="24"/>
              </w:rPr>
              <w:t>2</w:t>
            </w:r>
          </w:p>
        </w:tc>
        <w:tc>
          <w:tcPr>
            <w:tcW w:w="642" w:type="pct"/>
            <w:shd w:val="clear" w:color="auto" w:fill="auto"/>
            <w:vAlign w:val="center"/>
          </w:tcPr>
          <w:p w:rsidR="00274524" w:rsidRPr="005F340F" w:rsidRDefault="00274524" w:rsidP="00BB1CB6">
            <w:pPr>
              <w:rPr>
                <w:rFonts w:asciiTheme="majorBidi" w:hAnsiTheme="majorBidi" w:cstheme="majorBidi"/>
                <w:b/>
                <w:bCs/>
                <w:sz w:val="24"/>
                <w:szCs w:val="24"/>
              </w:rPr>
            </w:pPr>
            <w:r w:rsidRPr="005F340F">
              <w:rPr>
                <w:rFonts w:asciiTheme="majorBidi" w:hAnsiTheme="majorBidi" w:cstheme="majorBidi"/>
                <w:b/>
                <w:bCs/>
                <w:sz w:val="24"/>
                <w:szCs w:val="24"/>
              </w:rPr>
              <w:t>3</w:t>
            </w:r>
          </w:p>
        </w:tc>
        <w:tc>
          <w:tcPr>
            <w:tcW w:w="615" w:type="pct"/>
            <w:shd w:val="clear" w:color="auto" w:fill="auto"/>
            <w:vAlign w:val="center"/>
          </w:tcPr>
          <w:p w:rsidR="00274524" w:rsidRPr="005F340F" w:rsidRDefault="00274524" w:rsidP="00BB1CB6">
            <w:pPr>
              <w:rPr>
                <w:rFonts w:asciiTheme="majorBidi" w:hAnsiTheme="majorBidi" w:cstheme="majorBidi"/>
                <w:b/>
                <w:bCs/>
                <w:sz w:val="24"/>
                <w:szCs w:val="24"/>
              </w:rPr>
            </w:pPr>
            <w:r w:rsidRPr="005F340F">
              <w:rPr>
                <w:rFonts w:asciiTheme="majorBidi" w:hAnsiTheme="majorBidi" w:cstheme="majorBidi"/>
                <w:b/>
                <w:bCs/>
                <w:sz w:val="24"/>
                <w:szCs w:val="24"/>
              </w:rPr>
              <w:t>4</w:t>
            </w:r>
          </w:p>
        </w:tc>
        <w:tc>
          <w:tcPr>
            <w:tcW w:w="615" w:type="pct"/>
            <w:shd w:val="clear" w:color="auto" w:fill="auto"/>
            <w:vAlign w:val="center"/>
          </w:tcPr>
          <w:p w:rsidR="00274524" w:rsidRPr="005F340F" w:rsidRDefault="00274524" w:rsidP="00BB1CB6">
            <w:pPr>
              <w:rPr>
                <w:rFonts w:asciiTheme="majorBidi" w:hAnsiTheme="majorBidi" w:cstheme="majorBidi"/>
                <w:b/>
                <w:bCs/>
                <w:sz w:val="24"/>
                <w:szCs w:val="24"/>
              </w:rPr>
            </w:pPr>
            <w:r w:rsidRPr="005F340F">
              <w:rPr>
                <w:rFonts w:asciiTheme="majorBidi" w:hAnsiTheme="majorBidi" w:cstheme="majorBidi"/>
                <w:b/>
                <w:bCs/>
                <w:sz w:val="24"/>
                <w:szCs w:val="24"/>
              </w:rPr>
              <w:t>5</w:t>
            </w:r>
          </w:p>
        </w:tc>
      </w:tr>
      <w:tr w:rsidR="00274524" w:rsidRPr="005F340F" w:rsidTr="00274524">
        <w:trPr>
          <w:trHeight w:val="355"/>
          <w:jc w:val="center"/>
        </w:trPr>
        <w:tc>
          <w:tcPr>
            <w:tcW w:w="1897" w:type="pct"/>
            <w:shd w:val="clear" w:color="auto" w:fill="auto"/>
            <w:vAlign w:val="center"/>
          </w:tcPr>
          <w:p w:rsidR="00274524" w:rsidRPr="005F340F" w:rsidRDefault="00274524" w:rsidP="00BB1CB6">
            <w:pPr>
              <w:ind w:left="165"/>
              <w:rPr>
                <w:rFonts w:asciiTheme="majorBidi" w:hAnsiTheme="majorBidi" w:cstheme="majorBidi"/>
                <w:sz w:val="24"/>
                <w:szCs w:val="24"/>
              </w:rPr>
            </w:pPr>
            <w:r w:rsidRPr="005F340F">
              <w:rPr>
                <w:rFonts w:asciiTheme="majorBidi" w:hAnsiTheme="majorBidi" w:cstheme="majorBidi"/>
                <w:sz w:val="24"/>
                <w:szCs w:val="24"/>
              </w:rPr>
              <w:t>TOPKAT_mouse_male_</w:t>
            </w:r>
          </w:p>
          <w:p w:rsidR="00274524" w:rsidRPr="005F340F" w:rsidRDefault="00274524" w:rsidP="00BB1CB6">
            <w:pPr>
              <w:ind w:left="165"/>
              <w:rPr>
                <w:rFonts w:asciiTheme="majorBidi" w:hAnsiTheme="majorBidi" w:cstheme="majorBidi"/>
                <w:sz w:val="24"/>
                <w:szCs w:val="24"/>
              </w:rPr>
            </w:pPr>
            <w:r w:rsidRPr="005F340F">
              <w:rPr>
                <w:rFonts w:asciiTheme="majorBidi" w:hAnsiTheme="majorBidi" w:cstheme="majorBidi"/>
                <w:sz w:val="24"/>
                <w:szCs w:val="24"/>
              </w:rPr>
              <w:t>FDA_none_vs_carcinogen model</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Non-carcinogen</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Non-carcinogen</w:t>
            </w:r>
          </w:p>
        </w:tc>
        <w:tc>
          <w:tcPr>
            <w:tcW w:w="642"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Carcinogen</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Non-carcinogen</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Non-carcinogen</w:t>
            </w:r>
          </w:p>
        </w:tc>
      </w:tr>
      <w:tr w:rsidR="00274524" w:rsidRPr="005F340F" w:rsidTr="00274524">
        <w:trPr>
          <w:trHeight w:val="356"/>
          <w:jc w:val="center"/>
        </w:trPr>
        <w:tc>
          <w:tcPr>
            <w:tcW w:w="1897" w:type="pct"/>
            <w:shd w:val="clear" w:color="auto" w:fill="auto"/>
            <w:vAlign w:val="center"/>
          </w:tcPr>
          <w:p w:rsidR="00274524" w:rsidRPr="005F340F" w:rsidRDefault="00274524" w:rsidP="00BB1CB6">
            <w:pPr>
              <w:ind w:left="165"/>
              <w:rPr>
                <w:rFonts w:asciiTheme="majorBidi" w:hAnsiTheme="majorBidi" w:cstheme="majorBidi"/>
                <w:sz w:val="24"/>
                <w:szCs w:val="24"/>
              </w:rPr>
            </w:pPr>
            <w:r w:rsidRPr="005F340F">
              <w:rPr>
                <w:rFonts w:asciiTheme="majorBidi" w:hAnsiTheme="majorBidi" w:cstheme="majorBidi"/>
                <w:sz w:val="24"/>
                <w:szCs w:val="24"/>
              </w:rPr>
              <w:t>Carcinogenic Potency TD</w:t>
            </w:r>
            <w:r w:rsidRPr="005F340F">
              <w:rPr>
                <w:rFonts w:asciiTheme="majorBidi" w:hAnsiTheme="majorBidi" w:cstheme="majorBidi"/>
                <w:sz w:val="24"/>
                <w:szCs w:val="24"/>
                <w:vertAlign w:val="subscript"/>
              </w:rPr>
              <w:t>50</w:t>
            </w:r>
            <w:r w:rsidRPr="005F340F">
              <w:rPr>
                <w:rFonts w:asciiTheme="majorBidi" w:hAnsiTheme="majorBidi" w:cstheme="majorBidi"/>
                <w:sz w:val="24"/>
                <w:szCs w:val="24"/>
              </w:rPr>
              <w:t xml:space="preserve"> Mouse </w:t>
            </w:r>
            <w:r w:rsidRPr="005F340F">
              <w:rPr>
                <w:rFonts w:asciiTheme="majorBidi" w:hAnsiTheme="majorBidi" w:cstheme="majorBidi"/>
                <w:sz w:val="24"/>
                <w:szCs w:val="24"/>
                <w:vertAlign w:val="superscript"/>
              </w:rPr>
              <w:t>a</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11.613</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3.910</w:t>
            </w:r>
          </w:p>
        </w:tc>
        <w:tc>
          <w:tcPr>
            <w:tcW w:w="642"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33.345</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47.454</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73.882</w:t>
            </w:r>
          </w:p>
        </w:tc>
      </w:tr>
      <w:tr w:rsidR="00274524" w:rsidRPr="005F340F" w:rsidTr="00274524">
        <w:trPr>
          <w:trHeight w:val="173"/>
          <w:jc w:val="center"/>
        </w:trPr>
        <w:tc>
          <w:tcPr>
            <w:tcW w:w="1897" w:type="pct"/>
            <w:shd w:val="clear" w:color="auto" w:fill="auto"/>
            <w:vAlign w:val="center"/>
          </w:tcPr>
          <w:p w:rsidR="00274524" w:rsidRPr="005F340F" w:rsidRDefault="00274524" w:rsidP="00BB1CB6">
            <w:pPr>
              <w:ind w:left="165"/>
              <w:rPr>
                <w:rFonts w:asciiTheme="majorBidi" w:hAnsiTheme="majorBidi" w:cstheme="majorBidi"/>
                <w:sz w:val="24"/>
                <w:szCs w:val="24"/>
              </w:rPr>
            </w:pPr>
            <w:r w:rsidRPr="005F340F">
              <w:rPr>
                <w:rFonts w:asciiTheme="majorBidi" w:hAnsiTheme="majorBidi" w:cstheme="majorBidi"/>
                <w:sz w:val="24"/>
                <w:szCs w:val="24"/>
              </w:rPr>
              <w:t>Developmental Toxicity Potential</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Toxic</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Non-Toxic</w:t>
            </w:r>
          </w:p>
        </w:tc>
        <w:tc>
          <w:tcPr>
            <w:tcW w:w="642"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Non-Toxic</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Non-Toxic</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Non-Toxic</w:t>
            </w:r>
          </w:p>
        </w:tc>
      </w:tr>
      <w:tr w:rsidR="00274524" w:rsidRPr="005F340F" w:rsidTr="00274524">
        <w:trPr>
          <w:trHeight w:val="446"/>
          <w:jc w:val="center"/>
        </w:trPr>
        <w:tc>
          <w:tcPr>
            <w:tcW w:w="1897" w:type="pct"/>
            <w:shd w:val="clear" w:color="auto" w:fill="auto"/>
            <w:vAlign w:val="center"/>
          </w:tcPr>
          <w:p w:rsidR="00274524" w:rsidRPr="005F340F" w:rsidRDefault="00274524" w:rsidP="00BB1CB6">
            <w:pPr>
              <w:ind w:left="165"/>
              <w:rPr>
                <w:rFonts w:asciiTheme="majorBidi" w:hAnsiTheme="majorBidi" w:cstheme="majorBidi"/>
                <w:sz w:val="24"/>
                <w:szCs w:val="24"/>
              </w:rPr>
            </w:pPr>
            <w:r w:rsidRPr="005F340F">
              <w:rPr>
                <w:rFonts w:asciiTheme="majorBidi" w:hAnsiTheme="majorBidi" w:cstheme="majorBidi"/>
                <w:sz w:val="24"/>
                <w:szCs w:val="24"/>
              </w:rPr>
              <w:t>Rat Maximum Tolerated Dose</w:t>
            </w:r>
            <w:r w:rsidRPr="005F340F">
              <w:rPr>
                <w:rFonts w:asciiTheme="majorBidi" w:hAnsiTheme="majorBidi" w:cstheme="majorBidi"/>
                <w:sz w:val="24"/>
                <w:szCs w:val="24"/>
                <w:vertAlign w:val="superscript"/>
              </w:rPr>
              <w:t xml:space="preserve"> b</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0.018</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0.006</w:t>
            </w:r>
          </w:p>
        </w:tc>
        <w:tc>
          <w:tcPr>
            <w:tcW w:w="642"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0.012</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0.020</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0.013</w:t>
            </w:r>
          </w:p>
        </w:tc>
      </w:tr>
      <w:tr w:rsidR="00274524" w:rsidRPr="005F340F" w:rsidTr="00274524">
        <w:trPr>
          <w:trHeight w:val="446"/>
          <w:jc w:val="center"/>
        </w:trPr>
        <w:tc>
          <w:tcPr>
            <w:tcW w:w="1897" w:type="pct"/>
            <w:shd w:val="clear" w:color="auto" w:fill="auto"/>
            <w:vAlign w:val="center"/>
          </w:tcPr>
          <w:p w:rsidR="00274524" w:rsidRPr="005F340F" w:rsidRDefault="00274524" w:rsidP="00BB1CB6">
            <w:pPr>
              <w:ind w:left="165"/>
              <w:rPr>
                <w:rFonts w:asciiTheme="majorBidi" w:hAnsiTheme="majorBidi" w:cstheme="majorBidi"/>
                <w:sz w:val="24"/>
                <w:szCs w:val="24"/>
              </w:rPr>
            </w:pPr>
            <w:r w:rsidRPr="005F340F">
              <w:rPr>
                <w:rFonts w:asciiTheme="majorBidi" w:hAnsiTheme="majorBidi" w:cstheme="majorBidi"/>
                <w:sz w:val="24"/>
                <w:szCs w:val="24"/>
              </w:rPr>
              <w:t>Rat Oral LD</w:t>
            </w:r>
            <w:r w:rsidRPr="005F340F">
              <w:rPr>
                <w:rFonts w:asciiTheme="majorBidi" w:hAnsiTheme="majorBidi" w:cstheme="majorBidi"/>
                <w:sz w:val="24"/>
                <w:szCs w:val="24"/>
                <w:vertAlign w:val="subscript"/>
              </w:rPr>
              <w:t xml:space="preserve">50 </w:t>
            </w:r>
            <w:r w:rsidRPr="005F340F">
              <w:rPr>
                <w:rFonts w:asciiTheme="majorBidi" w:hAnsiTheme="majorBidi" w:cstheme="majorBidi"/>
                <w:sz w:val="24"/>
                <w:szCs w:val="24"/>
                <w:vertAlign w:val="superscript"/>
              </w:rPr>
              <w:t>b</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0.300</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0.352</w:t>
            </w:r>
          </w:p>
        </w:tc>
        <w:tc>
          <w:tcPr>
            <w:tcW w:w="642"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0.290</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0.115</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0.080</w:t>
            </w:r>
          </w:p>
        </w:tc>
      </w:tr>
      <w:tr w:rsidR="00274524" w:rsidRPr="005F340F" w:rsidTr="00274524">
        <w:trPr>
          <w:trHeight w:val="173"/>
          <w:jc w:val="center"/>
        </w:trPr>
        <w:tc>
          <w:tcPr>
            <w:tcW w:w="1897" w:type="pct"/>
            <w:shd w:val="clear" w:color="auto" w:fill="auto"/>
            <w:vAlign w:val="center"/>
          </w:tcPr>
          <w:p w:rsidR="00274524" w:rsidRPr="005F340F" w:rsidRDefault="00274524" w:rsidP="00BB1CB6">
            <w:pPr>
              <w:ind w:left="165"/>
              <w:rPr>
                <w:rFonts w:asciiTheme="majorBidi" w:hAnsiTheme="majorBidi" w:cstheme="majorBidi"/>
                <w:sz w:val="24"/>
                <w:szCs w:val="24"/>
              </w:rPr>
            </w:pPr>
            <w:r w:rsidRPr="005F340F">
              <w:rPr>
                <w:rFonts w:asciiTheme="majorBidi" w:hAnsiTheme="majorBidi" w:cstheme="majorBidi"/>
                <w:sz w:val="24"/>
                <w:szCs w:val="24"/>
              </w:rPr>
              <w:t>Rat Chronic LOAEL</w:t>
            </w:r>
            <w:r w:rsidRPr="005F340F">
              <w:rPr>
                <w:rFonts w:asciiTheme="majorBidi" w:hAnsiTheme="majorBidi" w:cstheme="majorBidi"/>
                <w:sz w:val="24"/>
                <w:szCs w:val="24"/>
                <w:vertAlign w:val="superscript"/>
              </w:rPr>
              <w:t>b</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0.011</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0.005</w:t>
            </w:r>
          </w:p>
        </w:tc>
        <w:tc>
          <w:tcPr>
            <w:tcW w:w="642"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0.005</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0.019</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0.023</w:t>
            </w:r>
          </w:p>
        </w:tc>
      </w:tr>
    </w:tbl>
    <w:p w:rsidR="00274524" w:rsidRPr="005F340F" w:rsidRDefault="00274524"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a</w:t>
      </w:r>
      <w:r w:rsidRPr="005F340F">
        <w:rPr>
          <w:rFonts w:asciiTheme="majorBidi" w:hAnsiTheme="majorBidi" w:cstheme="majorBidi"/>
          <w:sz w:val="24"/>
          <w:szCs w:val="24"/>
        </w:rPr>
        <w:t xml:space="preserve"> Unit: mg/kg body weight/day.</w:t>
      </w:r>
    </w:p>
    <w:p w:rsidR="00274524" w:rsidRPr="005F340F" w:rsidRDefault="00274524"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 xml:space="preserve">b </w:t>
      </w:r>
      <w:r w:rsidRPr="005F340F">
        <w:rPr>
          <w:rFonts w:asciiTheme="majorBidi" w:hAnsiTheme="majorBidi" w:cstheme="majorBidi"/>
          <w:sz w:val="24"/>
          <w:szCs w:val="24"/>
        </w:rPr>
        <w:t>Unit: g/kg body weight.</w:t>
      </w:r>
    </w:p>
    <w:p w:rsidR="00274524" w:rsidRPr="005F340F" w:rsidRDefault="00274524" w:rsidP="00BA7A26">
      <w:pPr>
        <w:spacing w:line="276" w:lineRule="auto"/>
        <w:rPr>
          <w:rFonts w:asciiTheme="majorBidi" w:hAnsiTheme="majorBidi" w:cstheme="majorBidi"/>
          <w:sz w:val="24"/>
          <w:szCs w:val="24"/>
        </w:rPr>
      </w:pPr>
    </w:p>
    <w:p w:rsidR="00FE0B48" w:rsidRDefault="00842393"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lastRenderedPageBreak/>
        <w:t>T</w:t>
      </w:r>
      <w:r w:rsidR="00ED32A4" w:rsidRPr="005F340F">
        <w:rPr>
          <w:rFonts w:asciiTheme="majorBidi" w:hAnsiTheme="majorBidi" w:cstheme="majorBidi"/>
          <w:sz w:val="24"/>
          <w:szCs w:val="24"/>
        </w:rPr>
        <w:t>he t</w:t>
      </w:r>
      <w:r w:rsidRPr="005F340F">
        <w:rPr>
          <w:rFonts w:asciiTheme="majorBidi" w:hAnsiTheme="majorBidi" w:cstheme="majorBidi"/>
          <w:sz w:val="24"/>
          <w:szCs w:val="24"/>
        </w:rPr>
        <w:t>oxicity of</w:t>
      </w:r>
      <w:r w:rsidR="00ED32A4" w:rsidRPr="005F340F">
        <w:rPr>
          <w:rFonts w:asciiTheme="majorBidi" w:hAnsiTheme="majorBidi" w:cstheme="majorBidi"/>
          <w:sz w:val="24"/>
          <w:szCs w:val="24"/>
        </w:rPr>
        <w:t xml:space="preserve"> a</w:t>
      </w:r>
      <w:r w:rsidRPr="005F340F">
        <w:rPr>
          <w:rFonts w:asciiTheme="majorBidi" w:hAnsiTheme="majorBidi" w:cstheme="majorBidi"/>
          <w:sz w:val="24"/>
          <w:szCs w:val="24"/>
        </w:rPr>
        <w:t xml:space="preserve"> chemical structure is very crucial for </w:t>
      </w:r>
      <w:r w:rsidR="00ED32A4" w:rsidRPr="005F340F">
        <w:rPr>
          <w:rFonts w:asciiTheme="majorBidi" w:hAnsiTheme="majorBidi" w:cstheme="majorBidi"/>
          <w:sz w:val="24"/>
          <w:szCs w:val="24"/>
        </w:rPr>
        <w:t xml:space="preserve">the </w:t>
      </w:r>
      <w:r w:rsidR="007401BE" w:rsidRPr="005F340F">
        <w:rPr>
          <w:rFonts w:asciiTheme="majorBidi" w:hAnsiTheme="majorBidi" w:cstheme="majorBidi"/>
          <w:sz w:val="24"/>
          <w:szCs w:val="24"/>
        </w:rPr>
        <w:t>validation</w:t>
      </w:r>
      <w:r w:rsidR="00ED32A4" w:rsidRPr="005F340F">
        <w:rPr>
          <w:rFonts w:asciiTheme="majorBidi" w:hAnsiTheme="majorBidi" w:cstheme="majorBidi"/>
          <w:sz w:val="24"/>
          <w:szCs w:val="24"/>
        </w:rPr>
        <w:t xml:space="preserve"> of its use </w:t>
      </w:r>
      <w:r w:rsidRPr="005F340F">
        <w:rPr>
          <w:rFonts w:asciiTheme="majorBidi" w:hAnsiTheme="majorBidi" w:cstheme="majorBidi"/>
          <w:sz w:val="24"/>
          <w:szCs w:val="24"/>
        </w:rPr>
        <w:t xml:space="preserve">as a drug. Thus, it was of interest to check the toxicity of the tested structures. </w:t>
      </w:r>
      <w:r w:rsidR="00ED32A4" w:rsidRPr="005F340F">
        <w:rPr>
          <w:rFonts w:asciiTheme="majorBidi" w:hAnsiTheme="majorBidi" w:cstheme="majorBidi"/>
          <w:sz w:val="24"/>
          <w:szCs w:val="24"/>
        </w:rPr>
        <w:t xml:space="preserve">The </w:t>
      </w:r>
      <w:r w:rsidRPr="005F340F">
        <w:rPr>
          <w:rFonts w:asciiTheme="majorBidi" w:hAnsiTheme="majorBidi" w:cstheme="majorBidi"/>
          <w:sz w:val="24"/>
          <w:szCs w:val="24"/>
        </w:rPr>
        <w:t xml:space="preserve">SRB assay was used to assess the potential toxicity and/or safety of </w:t>
      </w:r>
      <w:r w:rsidR="00ED32A4" w:rsidRPr="005F340F">
        <w:rPr>
          <w:rFonts w:asciiTheme="majorBidi" w:hAnsiTheme="majorBidi" w:cstheme="majorBidi"/>
          <w:sz w:val="24"/>
          <w:szCs w:val="24"/>
        </w:rPr>
        <w:t>simeprevir</w:t>
      </w:r>
      <w:r w:rsidRPr="005F340F">
        <w:rPr>
          <w:rFonts w:asciiTheme="majorBidi" w:hAnsiTheme="majorBidi" w:cstheme="majorBidi"/>
          <w:sz w:val="24"/>
          <w:szCs w:val="24"/>
        </w:rPr>
        <w:t>and its degradation products (</w:t>
      </w:r>
      <w:r w:rsidRPr="005F340F">
        <w:rPr>
          <w:rFonts w:asciiTheme="majorBidi" w:hAnsiTheme="majorBidi" w:cstheme="majorBidi"/>
          <w:b/>
          <w:bCs/>
          <w:sz w:val="24"/>
          <w:szCs w:val="24"/>
        </w:rPr>
        <w:t>1</w:t>
      </w:r>
      <w:r w:rsidR="00ED32A4" w:rsidRPr="005F340F">
        <w:rPr>
          <w:rFonts w:asciiTheme="majorBidi" w:hAnsiTheme="majorBidi" w:cstheme="majorBidi"/>
          <w:b/>
          <w:bCs/>
          <w:sz w:val="24"/>
          <w:szCs w:val="24"/>
        </w:rPr>
        <w:t>–</w:t>
      </w:r>
      <w:r w:rsidRPr="005F340F">
        <w:rPr>
          <w:rFonts w:asciiTheme="majorBidi" w:hAnsiTheme="majorBidi" w:cstheme="majorBidi"/>
          <w:b/>
          <w:bCs/>
          <w:sz w:val="24"/>
          <w:szCs w:val="24"/>
        </w:rPr>
        <w:t>5</w:t>
      </w:r>
      <w:r w:rsidRPr="005F340F">
        <w:rPr>
          <w:rFonts w:asciiTheme="majorBidi" w:hAnsiTheme="majorBidi" w:cstheme="majorBidi"/>
          <w:sz w:val="24"/>
          <w:szCs w:val="24"/>
        </w:rPr>
        <w:t xml:space="preserve">) against </w:t>
      </w:r>
      <w:r w:rsidR="00ED32A4" w:rsidRPr="005F340F">
        <w:rPr>
          <w:rFonts w:asciiTheme="majorBidi" w:hAnsiTheme="majorBidi" w:cstheme="majorBidi"/>
          <w:sz w:val="24"/>
          <w:szCs w:val="24"/>
        </w:rPr>
        <w:t xml:space="preserve">a human skin fibroblast </w:t>
      </w:r>
      <w:r w:rsidRPr="005F340F">
        <w:rPr>
          <w:rFonts w:asciiTheme="majorBidi" w:hAnsiTheme="majorBidi" w:cstheme="majorBidi"/>
          <w:sz w:val="24"/>
          <w:szCs w:val="24"/>
        </w:rPr>
        <w:t>(</w:t>
      </w:r>
      <w:commentRangeStart w:id="33"/>
      <w:r w:rsidRPr="005F340F">
        <w:rPr>
          <w:rFonts w:asciiTheme="majorBidi" w:hAnsiTheme="majorBidi" w:cstheme="majorBidi"/>
          <w:sz w:val="24"/>
          <w:szCs w:val="24"/>
        </w:rPr>
        <w:t>HSF</w:t>
      </w:r>
      <w:commentRangeEnd w:id="33"/>
      <w:r w:rsidR="00BC7703">
        <w:rPr>
          <w:rStyle w:val="CommentReference"/>
          <w:rFonts w:ascii="Calibri" w:eastAsia="Calibri" w:hAnsi="Calibri" w:cs="Arial"/>
          <w:lang w:eastAsia="en-US"/>
        </w:rPr>
        <w:commentReference w:id="33"/>
      </w:r>
      <w:r w:rsidRPr="005F340F">
        <w:rPr>
          <w:rFonts w:asciiTheme="majorBidi" w:hAnsiTheme="majorBidi" w:cstheme="majorBidi"/>
          <w:sz w:val="24"/>
          <w:szCs w:val="24"/>
        </w:rPr>
        <w:t>) normal cell line at five different concentrations (0.01</w:t>
      </w:r>
      <w:r w:rsidR="00ED32A4" w:rsidRPr="005F340F">
        <w:rPr>
          <w:rFonts w:asciiTheme="majorBidi" w:hAnsiTheme="majorBidi" w:cstheme="majorBidi"/>
          <w:sz w:val="24"/>
          <w:szCs w:val="24"/>
        </w:rPr>
        <w:t>,</w:t>
      </w:r>
      <w:r w:rsidRPr="005F340F">
        <w:rPr>
          <w:rFonts w:asciiTheme="majorBidi" w:hAnsiTheme="majorBidi" w:cstheme="majorBidi"/>
          <w:sz w:val="24"/>
          <w:szCs w:val="24"/>
        </w:rPr>
        <w:t xml:space="preserve"> 0.1, 1, 10</w:t>
      </w:r>
      <w:r w:rsidR="00ED32A4" w:rsidRPr="005F340F">
        <w:rPr>
          <w:rFonts w:asciiTheme="majorBidi" w:hAnsiTheme="majorBidi" w:cstheme="majorBidi"/>
          <w:sz w:val="24"/>
          <w:szCs w:val="24"/>
        </w:rPr>
        <w:t>,</w:t>
      </w:r>
      <w:r w:rsidRPr="005F340F">
        <w:rPr>
          <w:rFonts w:asciiTheme="majorBidi" w:hAnsiTheme="majorBidi" w:cstheme="majorBidi"/>
          <w:sz w:val="24"/>
          <w:szCs w:val="24"/>
        </w:rPr>
        <w:t xml:space="preserve"> and 100 µM) in comparison </w:t>
      </w:r>
      <w:r w:rsidR="00ED32A4" w:rsidRPr="005F340F">
        <w:rPr>
          <w:rFonts w:asciiTheme="majorBidi" w:hAnsiTheme="majorBidi" w:cstheme="majorBidi"/>
          <w:sz w:val="24"/>
          <w:szCs w:val="24"/>
        </w:rPr>
        <w:t xml:space="preserve">with a </w:t>
      </w:r>
      <w:r w:rsidRPr="005F340F">
        <w:rPr>
          <w:rFonts w:asciiTheme="majorBidi" w:hAnsiTheme="majorBidi" w:cstheme="majorBidi"/>
          <w:sz w:val="24"/>
          <w:szCs w:val="24"/>
        </w:rPr>
        <w:t xml:space="preserve">standard drug (doxorubicin, positive control). </w:t>
      </w:r>
      <w:r w:rsidR="00ED32A4" w:rsidRPr="005F340F">
        <w:rPr>
          <w:rFonts w:asciiTheme="majorBidi" w:hAnsiTheme="majorBidi" w:cstheme="majorBidi"/>
          <w:sz w:val="24"/>
          <w:szCs w:val="24"/>
        </w:rPr>
        <w:t xml:space="preserve">The </w:t>
      </w:r>
      <w:r w:rsidRPr="005F340F">
        <w:rPr>
          <w:rFonts w:asciiTheme="majorBidi" w:hAnsiTheme="majorBidi" w:cstheme="majorBidi"/>
          <w:sz w:val="24"/>
          <w:szCs w:val="24"/>
        </w:rPr>
        <w:t xml:space="preserve">SRB assay showed </w:t>
      </w:r>
      <w:r w:rsidR="00ED32A4" w:rsidRPr="005F340F">
        <w:rPr>
          <w:rFonts w:asciiTheme="majorBidi" w:hAnsiTheme="majorBidi" w:cstheme="majorBidi"/>
          <w:sz w:val="24"/>
          <w:szCs w:val="24"/>
        </w:rPr>
        <w:t xml:space="preserve">a lack of </w:t>
      </w:r>
      <w:r w:rsidRPr="005F340F">
        <w:rPr>
          <w:rFonts w:asciiTheme="majorBidi" w:hAnsiTheme="majorBidi" w:cstheme="majorBidi"/>
          <w:sz w:val="24"/>
          <w:szCs w:val="24"/>
        </w:rPr>
        <w:t xml:space="preserve">observed alterations </w:t>
      </w:r>
      <w:r w:rsidR="00ED32A4" w:rsidRPr="005F340F">
        <w:rPr>
          <w:rFonts w:asciiTheme="majorBidi" w:hAnsiTheme="majorBidi" w:cstheme="majorBidi"/>
          <w:sz w:val="24"/>
          <w:szCs w:val="24"/>
        </w:rPr>
        <w:t>of</w:t>
      </w:r>
      <w:r w:rsidRPr="005F340F">
        <w:rPr>
          <w:rFonts w:asciiTheme="majorBidi" w:hAnsiTheme="majorBidi" w:cstheme="majorBidi"/>
          <w:sz w:val="24"/>
          <w:szCs w:val="24"/>
        </w:rPr>
        <w:t xml:space="preserve"> cell viability</w:t>
      </w:r>
      <w:r w:rsidR="00ED32A4" w:rsidRPr="005F340F">
        <w:rPr>
          <w:rFonts w:asciiTheme="majorBidi" w:hAnsiTheme="majorBidi" w:cstheme="majorBidi"/>
          <w:sz w:val="24"/>
          <w:szCs w:val="24"/>
        </w:rPr>
        <w:t>, with the</w:t>
      </w:r>
      <w:r w:rsidRPr="005F340F">
        <w:rPr>
          <w:rFonts w:asciiTheme="majorBidi" w:hAnsiTheme="majorBidi" w:cstheme="majorBidi"/>
          <w:sz w:val="24"/>
          <w:szCs w:val="24"/>
        </w:rPr>
        <w:t xml:space="preserve"> except</w:t>
      </w:r>
      <w:r w:rsidR="00ED32A4" w:rsidRPr="005F340F">
        <w:rPr>
          <w:rFonts w:asciiTheme="majorBidi" w:hAnsiTheme="majorBidi" w:cstheme="majorBidi"/>
          <w:sz w:val="24"/>
          <w:szCs w:val="24"/>
        </w:rPr>
        <w:t>ion of</w:t>
      </w:r>
      <w:r w:rsidRPr="005F340F">
        <w:rPr>
          <w:rFonts w:asciiTheme="majorBidi" w:hAnsiTheme="majorBidi" w:cstheme="majorBidi"/>
          <w:sz w:val="24"/>
          <w:szCs w:val="24"/>
        </w:rPr>
        <w:t xml:space="preserve"> compound 3</w:t>
      </w:r>
      <w:r w:rsidR="00ED32A4" w:rsidRPr="005F340F">
        <w:rPr>
          <w:rFonts w:asciiTheme="majorBidi" w:hAnsiTheme="majorBidi" w:cstheme="majorBidi"/>
          <w:sz w:val="24"/>
          <w:szCs w:val="24"/>
        </w:rPr>
        <w:t xml:space="preserve">,for which a </w:t>
      </w:r>
      <w:r w:rsidRPr="005F340F">
        <w:rPr>
          <w:rFonts w:asciiTheme="majorBidi" w:hAnsiTheme="majorBidi" w:cstheme="majorBidi"/>
          <w:sz w:val="24"/>
          <w:szCs w:val="24"/>
        </w:rPr>
        <w:t>slight cytotoxicity was noticed</w:t>
      </w:r>
      <w:r w:rsidR="00ED32A4" w:rsidRPr="005F340F">
        <w:rPr>
          <w:rFonts w:asciiTheme="majorBidi" w:hAnsiTheme="majorBidi" w:cstheme="majorBidi"/>
          <w:sz w:val="24"/>
          <w:szCs w:val="24"/>
        </w:rPr>
        <w:t>,in accordance with</w:t>
      </w:r>
      <w:r w:rsidRPr="005F340F">
        <w:rPr>
          <w:rFonts w:asciiTheme="majorBidi" w:hAnsiTheme="majorBidi" w:cstheme="majorBidi"/>
          <w:sz w:val="24"/>
          <w:szCs w:val="24"/>
        </w:rPr>
        <w:t xml:space="preserve"> the </w:t>
      </w:r>
      <w:r w:rsidRPr="005F340F">
        <w:rPr>
          <w:rFonts w:asciiTheme="majorBidi" w:hAnsiTheme="majorBidi" w:cstheme="majorBidi"/>
          <w:i/>
          <w:sz w:val="24"/>
        </w:rPr>
        <w:t>in</w:t>
      </w:r>
      <w:r w:rsidR="00957C14" w:rsidRPr="005F340F">
        <w:rPr>
          <w:rFonts w:asciiTheme="majorBidi" w:hAnsiTheme="majorBidi" w:cstheme="majorBidi"/>
          <w:i/>
          <w:sz w:val="24"/>
        </w:rPr>
        <w:t>-silico</w:t>
      </w:r>
      <w:r w:rsidRPr="005F340F">
        <w:rPr>
          <w:rFonts w:asciiTheme="majorBidi" w:hAnsiTheme="majorBidi" w:cstheme="majorBidi"/>
          <w:sz w:val="24"/>
          <w:szCs w:val="24"/>
        </w:rPr>
        <w:t xml:space="preserve"> study. These results were also confirmed by the </w:t>
      </w:r>
      <w:r w:rsidR="00ED32A4" w:rsidRPr="005F340F">
        <w:rPr>
          <w:rFonts w:asciiTheme="majorBidi" w:hAnsiTheme="majorBidi" w:cstheme="majorBidi"/>
          <w:sz w:val="24"/>
          <w:szCs w:val="24"/>
        </w:rPr>
        <w:t xml:space="preserve">recording </w:t>
      </w:r>
      <w:r w:rsidRPr="005F340F">
        <w:rPr>
          <w:rFonts w:asciiTheme="majorBidi" w:hAnsiTheme="majorBidi" w:cstheme="majorBidi"/>
          <w:sz w:val="24"/>
          <w:szCs w:val="24"/>
        </w:rPr>
        <w:t xml:space="preserve">of morphological changes </w:t>
      </w:r>
      <w:r w:rsidR="00ED32A4" w:rsidRPr="005F340F">
        <w:rPr>
          <w:rFonts w:asciiTheme="majorBidi" w:hAnsiTheme="majorBidi" w:cstheme="majorBidi"/>
          <w:sz w:val="24"/>
          <w:szCs w:val="24"/>
        </w:rPr>
        <w:t xml:space="preserve">via </w:t>
      </w:r>
      <w:r w:rsidRPr="005F340F">
        <w:rPr>
          <w:rFonts w:asciiTheme="majorBidi" w:hAnsiTheme="majorBidi" w:cstheme="majorBidi"/>
          <w:sz w:val="24"/>
          <w:szCs w:val="24"/>
        </w:rPr>
        <w:t xml:space="preserve">optical </w:t>
      </w:r>
      <w:r w:rsidR="00ED32A4" w:rsidRPr="005F340F">
        <w:rPr>
          <w:rFonts w:asciiTheme="majorBidi" w:hAnsiTheme="majorBidi" w:cstheme="majorBidi"/>
          <w:sz w:val="24"/>
          <w:szCs w:val="24"/>
        </w:rPr>
        <w:t>microscopy</w:t>
      </w:r>
      <w:r w:rsidRPr="005F340F">
        <w:rPr>
          <w:rFonts w:asciiTheme="majorBidi" w:hAnsiTheme="majorBidi" w:cstheme="majorBidi"/>
          <w:sz w:val="24"/>
          <w:szCs w:val="24"/>
        </w:rPr>
        <w:t xml:space="preserve"> images. Simeprevir and compounds </w:t>
      </w:r>
      <w:r w:rsidRPr="005F340F">
        <w:rPr>
          <w:rFonts w:asciiTheme="majorBidi" w:hAnsiTheme="majorBidi" w:cstheme="majorBidi"/>
          <w:b/>
          <w:sz w:val="24"/>
        </w:rPr>
        <w:t>1</w:t>
      </w:r>
      <w:r w:rsidR="00ED32A4" w:rsidRPr="005F340F">
        <w:rPr>
          <w:rFonts w:asciiTheme="majorBidi" w:hAnsiTheme="majorBidi" w:cstheme="majorBidi"/>
          <w:b/>
          <w:bCs/>
          <w:sz w:val="24"/>
          <w:szCs w:val="24"/>
        </w:rPr>
        <w:t>–</w:t>
      </w:r>
      <w:r w:rsidRPr="005F340F">
        <w:rPr>
          <w:rFonts w:asciiTheme="majorBidi" w:hAnsiTheme="majorBidi" w:cstheme="majorBidi"/>
          <w:b/>
          <w:sz w:val="24"/>
        </w:rPr>
        <w:t>5</w:t>
      </w:r>
      <w:r w:rsidR="00ED32A4" w:rsidRPr="005F340F">
        <w:rPr>
          <w:rFonts w:asciiTheme="majorBidi" w:hAnsiTheme="majorBidi" w:cstheme="majorBidi"/>
          <w:sz w:val="24"/>
          <w:szCs w:val="24"/>
        </w:rPr>
        <w:t>were demonstrated to be</w:t>
      </w:r>
      <w:r w:rsidRPr="005F340F">
        <w:rPr>
          <w:rFonts w:asciiTheme="majorBidi" w:hAnsiTheme="majorBidi" w:cstheme="majorBidi"/>
          <w:sz w:val="24"/>
          <w:szCs w:val="24"/>
        </w:rPr>
        <w:t xml:space="preserve"> non-toxic up to 100 µM (IC</w:t>
      </w:r>
      <w:r w:rsidRPr="005F340F">
        <w:rPr>
          <w:rFonts w:asciiTheme="majorBidi" w:hAnsiTheme="majorBidi" w:cstheme="majorBidi"/>
          <w:sz w:val="24"/>
          <w:vertAlign w:val="subscript"/>
        </w:rPr>
        <w:t>50</w:t>
      </w:r>
      <w:r w:rsidRPr="005F340F">
        <w:rPr>
          <w:rFonts w:asciiTheme="majorBidi" w:hAnsiTheme="majorBidi" w:cstheme="majorBidi"/>
          <w:sz w:val="24"/>
          <w:szCs w:val="24"/>
        </w:rPr>
        <w:t xml:space="preserve">&gt; 100 µM) </w:t>
      </w:r>
      <w:hyperlink w:anchor="_ENREF_40" w:tooltip="Ahmed, 2020 #49"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&lt;EndNote&gt;&lt;Cite&gt;&lt;Author&gt;Ahmed&lt;/Author&gt;&lt;Year&gt;2020&lt;/Year&gt;&lt;RecNum&gt;49&lt;/RecNum&gt;&lt;DisplayText&gt;&lt;style face="superscript"&gt;40&lt;/style&gt;&lt;/DisplayText&gt;&lt;record&gt;&lt;rec-number&gt;49&lt;/rec-number&gt;&lt;foreign-keys&gt;&lt;key app="EN" db-id="de05rdsatra50fexpeavrr9jwrz5vtfp5azt"&gt;49&lt;/key&gt;&lt;/foreign-keys&gt;&lt;ref-type name="Journal Article"&gt;17&lt;/ref-type&gt;&lt;contributors&gt;&lt;authors&gt;&lt;author&gt;Ahmed, Rasha M.&lt;/author&gt;&lt;author&gt;Fayed, Marwa A. A.&lt;/author&gt;&lt;author&gt;El-Behairy, Mohammed F.&lt;/author&gt;&lt;author&gt;Abdallah, Inas A.&lt;/author&gt;&lt;/authors&gt;&lt;/contributors&gt;&lt;titles&gt;&lt;title&gt;Identification, isolation, structural characterization, in silico toxicity prediction and in vitro cytotoxicity assay of simeprevir acidic and oxidative degradation products&lt;/title&gt;&lt;secondary-title&gt;RSC Advances&lt;/secondary-title&gt;&lt;/titles&gt;&lt;periodical&gt;&lt;full-title&gt;RSC Advances&lt;/full-title&gt;&lt;/periodical&gt;&lt;pages&gt;42816-42826&lt;/pages&gt;&lt;volume&gt;10&lt;/volume&gt;&lt;number&gt;70&lt;/number&gt;&lt;dates&gt;&lt;year&gt;2020&lt;/year&gt;&lt;/dates&gt;&lt;publisher&gt;The Royal Society of Chemistry&lt;/publisher&gt;&lt;work-type&gt;10.1039/D0RA09253C&lt;/work-type&gt;&lt;urls&gt;&lt;related-urls&gt;&lt;url&gt;http://dx.doi.org/10.1039/D0RA09253C&lt;/url&gt;&lt;/related-urls&gt;&lt;/urls&gt;&lt;electronic-resource-num&gt;10.1039/d0ra09253c&lt;/electronic-resource-num&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40</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w:t>
      </w:r>
    </w:p>
    <w:p w:rsidR="006A5391" w:rsidRDefault="006A5391" w:rsidP="006A5391">
      <w:pPr>
        <w:rPr>
          <w:rFonts w:ascii="Bookman Old Style" w:hAnsi="Bookman Old Style"/>
          <w:b/>
          <w:color w:val="FF0000"/>
          <w:highlight w:val="yellow"/>
        </w:rPr>
      </w:pPr>
      <w:commentRangeStart w:id="34"/>
      <w:r>
        <w:rPr>
          <w:rFonts w:ascii="Bookman Old Style" w:hAnsi="Bookman Old Style"/>
          <w:b/>
          <w:color w:val="FF0000"/>
          <w:highlight w:val="yellow"/>
        </w:rPr>
        <w:t>LIMITATIONS OF THE STUDY</w:t>
      </w:r>
      <w:commentRangeEnd w:id="34"/>
      <w:r>
        <w:rPr>
          <w:rStyle w:val="CommentReference"/>
          <w:rFonts w:ascii="Courier" w:hAnsi="Courier" w:cs="Courier"/>
          <w:snapToGrid w:val="0"/>
        </w:rPr>
        <w:commentReference w:id="34"/>
      </w:r>
    </w:p>
    <w:p w:rsidR="006A5391" w:rsidRPr="005F340F" w:rsidRDefault="006A5391" w:rsidP="00BA7A26">
      <w:pPr>
        <w:spacing w:line="276" w:lineRule="auto"/>
        <w:rPr>
          <w:rFonts w:asciiTheme="majorBidi" w:hAnsiTheme="majorBidi" w:cstheme="majorBidi"/>
          <w:sz w:val="24"/>
          <w:szCs w:val="24"/>
        </w:rPr>
      </w:pPr>
    </w:p>
    <w:p w:rsidR="000D78AA" w:rsidRPr="005F340F" w:rsidRDefault="000D78AA" w:rsidP="00BA7A26">
      <w:pPr>
        <w:pStyle w:val="Heading1"/>
        <w:keepNext w:val="0"/>
        <w:numPr>
          <w:ilvl w:val="0"/>
          <w:numId w:val="13"/>
        </w:numPr>
        <w:spacing w:line="276" w:lineRule="auto"/>
        <w:rPr>
          <w:rFonts w:asciiTheme="majorBidi" w:hAnsiTheme="majorBidi" w:cstheme="majorBidi"/>
          <w:sz w:val="24"/>
          <w:szCs w:val="24"/>
        </w:rPr>
      </w:pPr>
      <w:r w:rsidRPr="005F340F">
        <w:rPr>
          <w:rFonts w:asciiTheme="majorBidi" w:hAnsiTheme="majorBidi" w:cstheme="majorBidi"/>
          <w:sz w:val="24"/>
          <w:szCs w:val="24"/>
        </w:rPr>
        <w:t>Conclusion</w:t>
      </w:r>
    </w:p>
    <w:p w:rsidR="000D78AA" w:rsidRPr="005F340F" w:rsidRDefault="00842393" w:rsidP="00BA7A26">
      <w:pPr>
        <w:pStyle w:val="Heading1"/>
        <w:keepNext w:val="0"/>
        <w:numPr>
          <w:ilvl w:val="0"/>
          <w:numId w:val="13"/>
        </w:numPr>
        <w:spacing w:line="276" w:lineRule="auto"/>
        <w:rPr>
          <w:rFonts w:asciiTheme="majorBidi" w:hAnsiTheme="majorBidi" w:cstheme="majorBidi"/>
          <w:b w:val="0"/>
          <w:sz w:val="24"/>
          <w:szCs w:val="24"/>
        </w:rPr>
      </w:pPr>
      <w:r w:rsidRPr="005F340F">
        <w:rPr>
          <w:rFonts w:asciiTheme="majorBidi" w:hAnsiTheme="majorBidi" w:cstheme="majorBidi"/>
          <w:b w:val="0"/>
          <w:sz w:val="24"/>
          <w:szCs w:val="24"/>
        </w:rPr>
        <w:t xml:space="preserve">The molecular docking study of the antiviral </w:t>
      </w:r>
      <w:r w:rsidR="00ED32A4" w:rsidRPr="005F340F">
        <w:rPr>
          <w:rFonts w:asciiTheme="majorBidi" w:hAnsiTheme="majorBidi" w:cstheme="majorBidi"/>
          <w:b w:val="0"/>
          <w:sz w:val="24"/>
          <w:szCs w:val="24"/>
        </w:rPr>
        <w:t>s</w:t>
      </w:r>
      <w:r w:rsidR="007401BE" w:rsidRPr="005F340F">
        <w:rPr>
          <w:rFonts w:asciiTheme="majorBidi" w:hAnsiTheme="majorBidi" w:cstheme="majorBidi"/>
          <w:b w:val="0"/>
          <w:sz w:val="24"/>
          <w:szCs w:val="24"/>
        </w:rPr>
        <w:t>ime</w:t>
      </w:r>
      <w:r w:rsidR="00ED32A4" w:rsidRPr="005F340F">
        <w:rPr>
          <w:rFonts w:asciiTheme="majorBidi" w:hAnsiTheme="majorBidi" w:cstheme="majorBidi"/>
          <w:b w:val="0"/>
          <w:sz w:val="24"/>
          <w:szCs w:val="24"/>
        </w:rPr>
        <w:t>previr</w:t>
      </w:r>
      <w:r w:rsidRPr="005F340F">
        <w:rPr>
          <w:rFonts w:asciiTheme="majorBidi" w:hAnsiTheme="majorBidi" w:cstheme="majorBidi"/>
          <w:b w:val="0"/>
          <w:sz w:val="24"/>
          <w:szCs w:val="24"/>
        </w:rPr>
        <w:t xml:space="preserve">and its degradants </w:t>
      </w:r>
      <w:r w:rsidRPr="005F340F">
        <w:rPr>
          <w:rFonts w:asciiTheme="majorBidi" w:hAnsiTheme="majorBidi" w:cstheme="majorBidi"/>
          <w:sz w:val="24"/>
        </w:rPr>
        <w:t>1</w:t>
      </w:r>
      <w:r w:rsidR="00ED32A4" w:rsidRPr="005F340F">
        <w:rPr>
          <w:rFonts w:asciiTheme="majorBidi" w:hAnsiTheme="majorBidi" w:cstheme="majorBidi"/>
          <w:sz w:val="24"/>
          <w:szCs w:val="24"/>
        </w:rPr>
        <w:t>–</w:t>
      </w:r>
      <w:r w:rsidRPr="005F340F">
        <w:rPr>
          <w:rFonts w:asciiTheme="majorBidi" w:hAnsiTheme="majorBidi" w:cstheme="majorBidi"/>
          <w:sz w:val="24"/>
        </w:rPr>
        <w:t>5</w:t>
      </w:r>
      <w:r w:rsidRPr="005F340F">
        <w:rPr>
          <w:rFonts w:asciiTheme="majorBidi" w:hAnsiTheme="majorBidi" w:cstheme="majorBidi"/>
          <w:b w:val="0"/>
          <w:sz w:val="24"/>
          <w:szCs w:val="24"/>
        </w:rPr>
        <w:t xml:space="preserve"> proved that simeprevir and its degradants </w:t>
      </w:r>
      <w:r w:rsidRPr="005F340F">
        <w:rPr>
          <w:rFonts w:asciiTheme="majorBidi" w:hAnsiTheme="majorBidi" w:cstheme="majorBidi"/>
          <w:sz w:val="24"/>
        </w:rPr>
        <w:t>1</w:t>
      </w:r>
      <w:r w:rsidRPr="005F340F">
        <w:rPr>
          <w:rFonts w:asciiTheme="majorBidi" w:hAnsiTheme="majorBidi" w:cstheme="majorBidi"/>
          <w:b w:val="0"/>
          <w:sz w:val="24"/>
          <w:szCs w:val="24"/>
        </w:rPr>
        <w:t xml:space="preserve"> and </w:t>
      </w:r>
      <w:r w:rsidRPr="005F340F">
        <w:rPr>
          <w:rFonts w:asciiTheme="majorBidi" w:hAnsiTheme="majorBidi" w:cstheme="majorBidi"/>
          <w:sz w:val="24"/>
        </w:rPr>
        <w:t>2</w:t>
      </w:r>
      <w:r w:rsidRPr="005F340F">
        <w:rPr>
          <w:rFonts w:asciiTheme="majorBidi" w:hAnsiTheme="majorBidi" w:cstheme="majorBidi"/>
          <w:b w:val="0"/>
          <w:sz w:val="24"/>
          <w:szCs w:val="24"/>
        </w:rPr>
        <w:t xml:space="preserve"> could be added to the protocol of treatment of SARS-COV-2. </w:t>
      </w:r>
      <w:r w:rsidR="00ED32A4" w:rsidRPr="005F340F">
        <w:rPr>
          <w:rFonts w:asciiTheme="majorBidi" w:hAnsiTheme="majorBidi" w:cstheme="majorBidi"/>
          <w:b w:val="0"/>
          <w:sz w:val="24"/>
          <w:szCs w:val="24"/>
        </w:rPr>
        <w:t xml:space="preserve">A docking </w:t>
      </w:r>
      <w:r w:rsidRPr="005F340F">
        <w:rPr>
          <w:rFonts w:asciiTheme="majorBidi" w:hAnsiTheme="majorBidi" w:cstheme="majorBidi"/>
          <w:b w:val="0"/>
          <w:sz w:val="24"/>
          <w:szCs w:val="24"/>
        </w:rPr>
        <w:t xml:space="preserve">study revealed </w:t>
      </w:r>
      <w:r w:rsidR="00ED32A4" w:rsidRPr="005F340F">
        <w:rPr>
          <w:rFonts w:asciiTheme="majorBidi" w:hAnsiTheme="majorBidi" w:cstheme="majorBidi"/>
          <w:b w:val="0"/>
          <w:sz w:val="24"/>
          <w:szCs w:val="24"/>
        </w:rPr>
        <w:t xml:space="preserve">the </w:t>
      </w:r>
      <w:r w:rsidRPr="005F340F">
        <w:rPr>
          <w:rFonts w:asciiTheme="majorBidi" w:hAnsiTheme="majorBidi" w:cstheme="majorBidi"/>
          <w:b w:val="0"/>
          <w:sz w:val="24"/>
          <w:szCs w:val="24"/>
        </w:rPr>
        <w:t xml:space="preserve">higher binding affinity of </w:t>
      </w:r>
      <w:r w:rsidR="00ED32A4" w:rsidRPr="005F340F">
        <w:rPr>
          <w:rFonts w:asciiTheme="majorBidi" w:hAnsiTheme="majorBidi" w:cstheme="majorBidi"/>
          <w:b w:val="0"/>
          <w:sz w:val="24"/>
          <w:szCs w:val="24"/>
        </w:rPr>
        <w:t>s</w:t>
      </w:r>
      <w:r w:rsidR="007401BE" w:rsidRPr="005F340F">
        <w:rPr>
          <w:rFonts w:asciiTheme="majorBidi" w:hAnsiTheme="majorBidi" w:cstheme="majorBidi"/>
          <w:b w:val="0"/>
          <w:sz w:val="24"/>
          <w:szCs w:val="24"/>
        </w:rPr>
        <w:t>ime</w:t>
      </w:r>
      <w:r w:rsidR="00ED32A4" w:rsidRPr="005F340F">
        <w:rPr>
          <w:rFonts w:asciiTheme="majorBidi" w:hAnsiTheme="majorBidi" w:cstheme="majorBidi"/>
          <w:b w:val="0"/>
          <w:sz w:val="24"/>
          <w:szCs w:val="24"/>
        </w:rPr>
        <w:t>previr</w:t>
      </w:r>
      <w:r w:rsidRPr="005F340F">
        <w:rPr>
          <w:rFonts w:asciiTheme="majorBidi" w:hAnsiTheme="majorBidi" w:cstheme="majorBidi"/>
          <w:b w:val="0"/>
          <w:sz w:val="24"/>
          <w:szCs w:val="24"/>
        </w:rPr>
        <w:t xml:space="preserve">and compound </w:t>
      </w:r>
      <w:r w:rsidRPr="005F340F">
        <w:rPr>
          <w:rFonts w:asciiTheme="majorBidi" w:hAnsiTheme="majorBidi" w:cstheme="majorBidi"/>
          <w:sz w:val="24"/>
        </w:rPr>
        <w:t>2</w:t>
      </w:r>
      <w:r w:rsidR="00ED32A4" w:rsidRPr="005F340F">
        <w:rPr>
          <w:rFonts w:asciiTheme="majorBidi" w:hAnsiTheme="majorBidi" w:cstheme="majorBidi"/>
          <w:b w:val="0"/>
          <w:sz w:val="24"/>
          <w:szCs w:val="24"/>
        </w:rPr>
        <w:t xml:space="preserve">compared with </w:t>
      </w:r>
      <w:r w:rsidRPr="005F340F">
        <w:rPr>
          <w:rFonts w:asciiTheme="majorBidi" w:hAnsiTheme="majorBidi" w:cstheme="majorBidi"/>
          <w:b w:val="0"/>
          <w:sz w:val="24"/>
          <w:szCs w:val="24"/>
        </w:rPr>
        <w:t>the natural ligand</w:t>
      </w:r>
      <w:r w:rsidR="00ED32A4" w:rsidRPr="005F340F">
        <w:rPr>
          <w:rFonts w:asciiTheme="majorBidi" w:hAnsiTheme="majorBidi" w:cstheme="majorBidi"/>
          <w:b w:val="0"/>
          <w:sz w:val="24"/>
          <w:szCs w:val="24"/>
        </w:rPr>
        <w:t xml:space="preserve">,whereas </w:t>
      </w:r>
      <w:r w:rsidRPr="005F340F">
        <w:rPr>
          <w:rFonts w:asciiTheme="majorBidi" w:hAnsiTheme="majorBidi" w:cstheme="majorBidi"/>
          <w:b w:val="0"/>
          <w:sz w:val="24"/>
          <w:szCs w:val="24"/>
        </w:rPr>
        <w:t xml:space="preserve">compound </w:t>
      </w:r>
      <w:r w:rsidRPr="005F340F">
        <w:rPr>
          <w:rFonts w:asciiTheme="majorBidi" w:hAnsiTheme="majorBidi" w:cstheme="majorBidi"/>
          <w:sz w:val="24"/>
        </w:rPr>
        <w:t>1</w:t>
      </w:r>
      <w:r w:rsidRPr="005F340F">
        <w:rPr>
          <w:rFonts w:asciiTheme="majorBidi" w:hAnsiTheme="majorBidi" w:cstheme="majorBidi"/>
          <w:b w:val="0"/>
          <w:sz w:val="24"/>
          <w:szCs w:val="24"/>
        </w:rPr>
        <w:t xml:space="preserve"> showed equal affinity to the natural ligand. </w:t>
      </w:r>
      <w:r w:rsidR="0088010B" w:rsidRPr="005F340F">
        <w:rPr>
          <w:rFonts w:asciiTheme="majorBidi" w:hAnsiTheme="majorBidi" w:cstheme="majorBidi"/>
          <w:b w:val="0"/>
          <w:sz w:val="24"/>
          <w:szCs w:val="24"/>
        </w:rPr>
        <w:t>In contrast</w:t>
      </w:r>
      <w:r w:rsidRPr="005F340F">
        <w:rPr>
          <w:rFonts w:asciiTheme="majorBidi" w:hAnsiTheme="majorBidi" w:cstheme="majorBidi"/>
          <w:b w:val="0"/>
          <w:sz w:val="24"/>
          <w:szCs w:val="24"/>
        </w:rPr>
        <w:t xml:space="preserve">, compounds </w:t>
      </w:r>
      <w:r w:rsidRPr="005F340F">
        <w:rPr>
          <w:rFonts w:asciiTheme="majorBidi" w:hAnsiTheme="majorBidi" w:cstheme="majorBidi"/>
          <w:sz w:val="24"/>
        </w:rPr>
        <w:t>3</w:t>
      </w:r>
      <w:r w:rsidR="0088010B" w:rsidRPr="005F340F">
        <w:rPr>
          <w:rFonts w:asciiTheme="majorBidi" w:hAnsiTheme="majorBidi" w:cstheme="majorBidi"/>
          <w:sz w:val="24"/>
          <w:szCs w:val="24"/>
        </w:rPr>
        <w:t>–</w:t>
      </w:r>
      <w:r w:rsidRPr="005F340F">
        <w:rPr>
          <w:rFonts w:asciiTheme="majorBidi" w:hAnsiTheme="majorBidi" w:cstheme="majorBidi"/>
          <w:sz w:val="24"/>
        </w:rPr>
        <w:t>5</w:t>
      </w:r>
      <w:r w:rsidR="0088010B" w:rsidRPr="005F340F">
        <w:rPr>
          <w:rFonts w:asciiTheme="majorBidi" w:hAnsiTheme="majorBidi" w:cstheme="majorBidi"/>
          <w:b w:val="0"/>
          <w:sz w:val="24"/>
          <w:szCs w:val="24"/>
        </w:rPr>
        <w:t xml:space="preserve">exhibited a </w:t>
      </w:r>
      <w:r w:rsidRPr="005F340F">
        <w:rPr>
          <w:rFonts w:asciiTheme="majorBidi" w:hAnsiTheme="majorBidi" w:cstheme="majorBidi"/>
          <w:b w:val="0"/>
          <w:sz w:val="24"/>
          <w:szCs w:val="24"/>
        </w:rPr>
        <w:t xml:space="preserve">lower binding affinity. ADMET and toxicity studies confirmed that compounds </w:t>
      </w:r>
      <w:r w:rsidRPr="005F340F">
        <w:rPr>
          <w:rFonts w:asciiTheme="majorBidi" w:hAnsiTheme="majorBidi" w:cstheme="majorBidi"/>
          <w:sz w:val="24"/>
        </w:rPr>
        <w:t>1</w:t>
      </w:r>
      <w:r w:rsidRPr="005F340F">
        <w:rPr>
          <w:rFonts w:asciiTheme="majorBidi" w:hAnsiTheme="majorBidi" w:cstheme="majorBidi"/>
          <w:b w:val="0"/>
          <w:sz w:val="24"/>
          <w:szCs w:val="24"/>
        </w:rPr>
        <w:t xml:space="preserve"> and </w:t>
      </w:r>
      <w:r w:rsidRPr="005F340F">
        <w:rPr>
          <w:rFonts w:asciiTheme="majorBidi" w:hAnsiTheme="majorBidi" w:cstheme="majorBidi"/>
          <w:sz w:val="24"/>
        </w:rPr>
        <w:t>2</w:t>
      </w:r>
      <w:r w:rsidRPr="005F340F">
        <w:rPr>
          <w:rFonts w:asciiTheme="majorBidi" w:hAnsiTheme="majorBidi" w:cstheme="majorBidi"/>
          <w:b w:val="0"/>
          <w:sz w:val="24"/>
          <w:szCs w:val="24"/>
        </w:rPr>
        <w:t xml:space="preserve"> are safe to </w:t>
      </w:r>
      <w:r w:rsidR="0088010B" w:rsidRPr="005F340F">
        <w:rPr>
          <w:rFonts w:asciiTheme="majorBidi" w:hAnsiTheme="majorBidi" w:cstheme="majorBidi"/>
          <w:b w:val="0"/>
          <w:sz w:val="24"/>
          <w:szCs w:val="24"/>
        </w:rPr>
        <w:t xml:space="preserve">the </w:t>
      </w:r>
      <w:r w:rsidRPr="005F340F">
        <w:rPr>
          <w:rFonts w:asciiTheme="majorBidi" w:hAnsiTheme="majorBidi" w:cstheme="majorBidi"/>
          <w:b w:val="0"/>
          <w:sz w:val="24"/>
          <w:szCs w:val="24"/>
        </w:rPr>
        <w:t>CNS, non-toxic, non-carcinogenic</w:t>
      </w:r>
      <w:r w:rsidR="0088010B" w:rsidRPr="005F340F">
        <w:rPr>
          <w:rFonts w:asciiTheme="majorBidi" w:hAnsiTheme="majorBidi" w:cstheme="majorBidi"/>
          <w:b w:val="0"/>
          <w:sz w:val="24"/>
          <w:szCs w:val="24"/>
        </w:rPr>
        <w:t>,</w:t>
      </w:r>
      <w:r w:rsidRPr="005F340F">
        <w:rPr>
          <w:rFonts w:asciiTheme="majorBidi" w:hAnsiTheme="majorBidi" w:cstheme="majorBidi"/>
          <w:b w:val="0"/>
          <w:sz w:val="24"/>
          <w:szCs w:val="24"/>
        </w:rPr>
        <w:t xml:space="preserve"> and expected to be orally bioavailable. The approach </w:t>
      </w:r>
      <w:r w:rsidR="0088010B" w:rsidRPr="005F340F">
        <w:rPr>
          <w:rFonts w:asciiTheme="majorBidi" w:hAnsiTheme="majorBidi" w:cstheme="majorBidi"/>
          <w:b w:val="0"/>
          <w:sz w:val="24"/>
          <w:szCs w:val="24"/>
        </w:rPr>
        <w:t>highlighted</w:t>
      </w:r>
      <w:r w:rsidRPr="005F340F">
        <w:rPr>
          <w:rFonts w:asciiTheme="majorBidi" w:hAnsiTheme="majorBidi" w:cstheme="majorBidi"/>
          <w:b w:val="0"/>
          <w:sz w:val="24"/>
          <w:szCs w:val="24"/>
        </w:rPr>
        <w:t xml:space="preserve"> in this study could be defined as “reverse </w:t>
      </w:r>
      <w:r w:rsidR="00614DBD" w:rsidRPr="005F340F">
        <w:rPr>
          <w:rFonts w:asciiTheme="majorBidi" w:hAnsiTheme="majorBidi" w:cstheme="majorBidi"/>
          <w:b w:val="0"/>
          <w:sz w:val="24"/>
          <w:szCs w:val="24"/>
        </w:rPr>
        <w:t>FBDD</w:t>
      </w:r>
      <w:r w:rsidR="00062D96" w:rsidRPr="005F340F">
        <w:rPr>
          <w:rFonts w:asciiTheme="majorBidi" w:hAnsiTheme="majorBidi" w:cstheme="majorBidi"/>
          <w:b w:val="0"/>
          <w:sz w:val="24"/>
          <w:szCs w:val="24"/>
        </w:rPr>
        <w:t>,</w:t>
      </w:r>
      <w:r w:rsidRPr="005F340F">
        <w:rPr>
          <w:rFonts w:asciiTheme="majorBidi" w:hAnsiTheme="majorBidi" w:cstheme="majorBidi"/>
          <w:b w:val="0"/>
          <w:sz w:val="24"/>
          <w:szCs w:val="24"/>
        </w:rPr>
        <w:t xml:space="preserve">” </w:t>
      </w:r>
      <w:r w:rsidR="0088010B" w:rsidRPr="005F340F">
        <w:rPr>
          <w:rFonts w:asciiTheme="majorBidi" w:hAnsiTheme="majorBidi" w:cstheme="majorBidi"/>
          <w:b w:val="0"/>
          <w:sz w:val="24"/>
          <w:szCs w:val="24"/>
        </w:rPr>
        <w:t xml:space="preserve">in which </w:t>
      </w:r>
      <w:r w:rsidRPr="005F340F">
        <w:rPr>
          <w:rFonts w:asciiTheme="majorBidi" w:hAnsiTheme="majorBidi" w:cstheme="majorBidi"/>
          <w:b w:val="0"/>
          <w:sz w:val="24"/>
          <w:szCs w:val="24"/>
        </w:rPr>
        <w:t xml:space="preserve">different fragments of </w:t>
      </w:r>
      <w:r w:rsidR="0088010B" w:rsidRPr="005F340F">
        <w:rPr>
          <w:rFonts w:asciiTheme="majorBidi" w:hAnsiTheme="majorBidi" w:cstheme="majorBidi"/>
          <w:b w:val="0"/>
          <w:sz w:val="24"/>
          <w:szCs w:val="24"/>
        </w:rPr>
        <w:t xml:space="preserve">an </w:t>
      </w:r>
      <w:r w:rsidRPr="005F340F">
        <w:rPr>
          <w:rFonts w:asciiTheme="majorBidi" w:hAnsiTheme="majorBidi" w:cstheme="majorBidi"/>
          <w:b w:val="0"/>
          <w:sz w:val="24"/>
          <w:szCs w:val="24"/>
        </w:rPr>
        <w:t>already active candidate (</w:t>
      </w:r>
      <w:r w:rsidR="0088010B" w:rsidRPr="005F340F">
        <w:rPr>
          <w:rFonts w:asciiTheme="majorBidi" w:hAnsiTheme="majorBidi" w:cstheme="majorBidi"/>
          <w:b w:val="0"/>
          <w:sz w:val="24"/>
          <w:szCs w:val="24"/>
        </w:rPr>
        <w:t>simeprevir</w:t>
      </w:r>
      <w:r w:rsidRPr="005F340F">
        <w:rPr>
          <w:rFonts w:asciiTheme="majorBidi" w:hAnsiTheme="majorBidi" w:cstheme="majorBidi"/>
          <w:b w:val="0"/>
          <w:sz w:val="24"/>
          <w:szCs w:val="24"/>
        </w:rPr>
        <w:t xml:space="preserve">) </w:t>
      </w:r>
      <w:r w:rsidR="0088010B" w:rsidRPr="005F340F">
        <w:rPr>
          <w:rFonts w:asciiTheme="majorBidi" w:hAnsiTheme="majorBidi" w:cstheme="majorBidi"/>
          <w:b w:val="0"/>
          <w:sz w:val="24"/>
          <w:szCs w:val="24"/>
        </w:rPr>
        <w:t>were</w:t>
      </w:r>
      <w:r w:rsidRPr="005F340F">
        <w:rPr>
          <w:rFonts w:asciiTheme="majorBidi" w:hAnsiTheme="majorBidi" w:cstheme="majorBidi"/>
          <w:b w:val="0"/>
          <w:sz w:val="24"/>
          <w:szCs w:val="24"/>
        </w:rPr>
        <w:t xml:space="preserve"> inspected, its binding </w:t>
      </w:r>
      <w:r w:rsidR="0088010B" w:rsidRPr="005F340F">
        <w:rPr>
          <w:rFonts w:asciiTheme="majorBidi" w:hAnsiTheme="majorBidi" w:cstheme="majorBidi"/>
          <w:b w:val="0"/>
          <w:sz w:val="24"/>
          <w:szCs w:val="24"/>
        </w:rPr>
        <w:t>was</w:t>
      </w:r>
      <w:r w:rsidRPr="005F340F">
        <w:rPr>
          <w:rFonts w:asciiTheme="majorBidi" w:hAnsiTheme="majorBidi" w:cstheme="majorBidi"/>
          <w:b w:val="0"/>
          <w:sz w:val="24"/>
          <w:szCs w:val="24"/>
        </w:rPr>
        <w:t xml:space="preserve"> identified</w:t>
      </w:r>
      <w:r w:rsidR="0088010B" w:rsidRPr="005F340F">
        <w:rPr>
          <w:rFonts w:asciiTheme="majorBidi" w:hAnsiTheme="majorBidi" w:cstheme="majorBidi"/>
          <w:b w:val="0"/>
          <w:sz w:val="24"/>
          <w:szCs w:val="24"/>
        </w:rPr>
        <w:t>,</w:t>
      </w:r>
      <w:r w:rsidRPr="005F340F">
        <w:rPr>
          <w:rFonts w:asciiTheme="majorBidi" w:hAnsiTheme="majorBidi" w:cstheme="majorBidi"/>
          <w:b w:val="0"/>
          <w:sz w:val="24"/>
          <w:szCs w:val="24"/>
        </w:rPr>
        <w:t xml:space="preserve"> and reorientation of particular fragments in the active site </w:t>
      </w:r>
      <w:r w:rsidR="0088010B" w:rsidRPr="005F340F">
        <w:rPr>
          <w:rFonts w:asciiTheme="majorBidi" w:hAnsiTheme="majorBidi" w:cstheme="majorBidi"/>
          <w:b w:val="0"/>
          <w:sz w:val="24"/>
          <w:szCs w:val="24"/>
        </w:rPr>
        <w:t>was</w:t>
      </w:r>
      <w:r w:rsidRPr="005F340F">
        <w:rPr>
          <w:rFonts w:asciiTheme="majorBidi" w:hAnsiTheme="majorBidi" w:cstheme="majorBidi"/>
          <w:b w:val="0"/>
          <w:sz w:val="24"/>
          <w:szCs w:val="24"/>
        </w:rPr>
        <w:t xml:space="preserve"> performed</w:t>
      </w:r>
      <w:r w:rsidR="0088010B" w:rsidRPr="005F340F">
        <w:rPr>
          <w:rFonts w:asciiTheme="majorBidi" w:hAnsiTheme="majorBidi" w:cstheme="majorBidi"/>
          <w:b w:val="0"/>
          <w:sz w:val="24"/>
          <w:szCs w:val="24"/>
        </w:rPr>
        <w:t>,</w:t>
      </w:r>
      <w:r w:rsidRPr="005F340F">
        <w:rPr>
          <w:rFonts w:asciiTheme="majorBidi" w:hAnsiTheme="majorBidi" w:cstheme="majorBidi"/>
          <w:b w:val="0"/>
          <w:sz w:val="24"/>
          <w:szCs w:val="24"/>
        </w:rPr>
        <w:t xml:space="preserve"> to afford the best binding. The </w:t>
      </w:r>
      <w:r w:rsidR="0088010B" w:rsidRPr="005F340F">
        <w:rPr>
          <w:rFonts w:asciiTheme="majorBidi" w:hAnsiTheme="majorBidi" w:cstheme="majorBidi"/>
          <w:b w:val="0"/>
          <w:sz w:val="24"/>
          <w:szCs w:val="24"/>
        </w:rPr>
        <w:t xml:space="preserve">removal of </w:t>
      </w:r>
      <w:r w:rsidRPr="005F340F">
        <w:rPr>
          <w:rFonts w:asciiTheme="majorBidi" w:hAnsiTheme="majorBidi" w:cstheme="majorBidi"/>
          <w:b w:val="0"/>
          <w:sz w:val="24"/>
          <w:szCs w:val="24"/>
        </w:rPr>
        <w:t>unnecessary fragments (e.g.</w:t>
      </w:r>
      <w:r w:rsidR="0088010B" w:rsidRPr="005F340F">
        <w:rPr>
          <w:rFonts w:asciiTheme="majorBidi" w:hAnsiTheme="majorBidi" w:cstheme="majorBidi"/>
          <w:b w:val="0"/>
          <w:sz w:val="24"/>
          <w:szCs w:val="24"/>
        </w:rPr>
        <w:t>,</w:t>
      </w:r>
      <w:r w:rsidRPr="005F340F">
        <w:rPr>
          <w:rFonts w:asciiTheme="majorBidi" w:hAnsiTheme="majorBidi" w:cstheme="majorBidi"/>
          <w:b w:val="0"/>
          <w:sz w:val="24"/>
          <w:szCs w:val="24"/>
        </w:rPr>
        <w:t xml:space="preserve"> cyclopropane sulfonamide) from already active drug/compounds </w:t>
      </w:r>
      <w:r w:rsidR="0088010B" w:rsidRPr="005F340F">
        <w:rPr>
          <w:rFonts w:asciiTheme="majorBidi" w:hAnsiTheme="majorBidi" w:cstheme="majorBidi"/>
          <w:b w:val="0"/>
          <w:sz w:val="24"/>
          <w:szCs w:val="24"/>
        </w:rPr>
        <w:t>is recommended, rather than</w:t>
      </w:r>
      <w:r w:rsidRPr="005F340F">
        <w:rPr>
          <w:rFonts w:asciiTheme="majorBidi" w:hAnsiTheme="majorBidi" w:cstheme="majorBidi"/>
          <w:b w:val="0"/>
          <w:sz w:val="24"/>
          <w:szCs w:val="24"/>
        </w:rPr>
        <w:t xml:space="preserve"> building up compounds from active fragments </w:t>
      </w:r>
      <w:r w:rsidR="0088010B" w:rsidRPr="005F340F">
        <w:rPr>
          <w:rFonts w:asciiTheme="majorBidi" w:hAnsiTheme="majorBidi" w:cstheme="majorBidi"/>
          <w:b w:val="0"/>
          <w:sz w:val="24"/>
          <w:szCs w:val="24"/>
        </w:rPr>
        <w:t xml:space="preserve">using the </w:t>
      </w:r>
      <w:r w:rsidRPr="005F340F">
        <w:rPr>
          <w:rFonts w:asciiTheme="majorBidi" w:hAnsiTheme="majorBidi" w:cstheme="majorBidi"/>
          <w:b w:val="0"/>
          <w:sz w:val="24"/>
          <w:szCs w:val="24"/>
        </w:rPr>
        <w:t>standard “</w:t>
      </w:r>
      <w:r w:rsidR="00614DBD" w:rsidRPr="005F340F">
        <w:rPr>
          <w:rFonts w:asciiTheme="majorBidi" w:hAnsiTheme="majorBidi" w:cstheme="majorBidi"/>
          <w:b w:val="0"/>
          <w:sz w:val="24"/>
          <w:szCs w:val="24"/>
        </w:rPr>
        <w:t>FBDD</w:t>
      </w:r>
      <w:r w:rsidRPr="005F340F">
        <w:rPr>
          <w:rFonts w:asciiTheme="majorBidi" w:hAnsiTheme="majorBidi" w:cstheme="majorBidi"/>
          <w:b w:val="0"/>
          <w:sz w:val="24"/>
          <w:szCs w:val="24"/>
        </w:rPr>
        <w:t>” approach.</w:t>
      </w:r>
    </w:p>
    <w:p w:rsidR="00A85861" w:rsidRPr="005F340F" w:rsidRDefault="00A85861" w:rsidP="00BA7A26">
      <w:pPr>
        <w:pStyle w:val="Heading1"/>
        <w:keepNext w:val="0"/>
        <w:numPr>
          <w:ilvl w:val="0"/>
          <w:numId w:val="16"/>
        </w:numPr>
        <w:spacing w:line="276" w:lineRule="auto"/>
        <w:rPr>
          <w:rFonts w:asciiTheme="majorBidi" w:hAnsiTheme="majorBidi" w:cstheme="majorBidi"/>
          <w:sz w:val="24"/>
          <w:szCs w:val="24"/>
        </w:rPr>
      </w:pPr>
      <w:r w:rsidRPr="005F340F">
        <w:rPr>
          <w:rFonts w:asciiTheme="majorBidi" w:hAnsiTheme="majorBidi" w:cstheme="majorBidi"/>
          <w:sz w:val="24"/>
          <w:szCs w:val="24"/>
        </w:rPr>
        <w:t>Experimental</w:t>
      </w:r>
    </w:p>
    <w:p w:rsidR="005D5BAD" w:rsidRPr="005F340F" w:rsidRDefault="005D5BAD" w:rsidP="00BA7A26">
      <w:pPr>
        <w:pStyle w:val="ListParagraph"/>
        <w:numPr>
          <w:ilvl w:val="1"/>
          <w:numId w:val="16"/>
        </w:numPr>
        <w:rPr>
          <w:rFonts w:asciiTheme="majorBidi" w:hAnsiTheme="majorBidi" w:cstheme="majorBidi"/>
          <w:b/>
          <w:sz w:val="24"/>
        </w:rPr>
      </w:pPr>
      <w:r w:rsidRPr="005F340F">
        <w:rPr>
          <w:rFonts w:asciiTheme="majorBidi" w:hAnsiTheme="majorBidi" w:cstheme="majorBidi"/>
          <w:b/>
          <w:sz w:val="24"/>
        </w:rPr>
        <w:t>Preparation of compounds 1</w:t>
      </w:r>
      <w:r w:rsidR="0088010B" w:rsidRPr="005F340F">
        <w:rPr>
          <w:rFonts w:asciiTheme="majorBidi" w:hAnsiTheme="majorBidi" w:cstheme="majorBidi"/>
          <w:b/>
          <w:bCs/>
          <w:iCs/>
          <w:sz w:val="24"/>
          <w:szCs w:val="24"/>
        </w:rPr>
        <w:t>–</w:t>
      </w:r>
      <w:r w:rsidRPr="005F340F">
        <w:rPr>
          <w:rFonts w:asciiTheme="majorBidi" w:hAnsiTheme="majorBidi" w:cstheme="majorBidi"/>
          <w:b/>
          <w:sz w:val="24"/>
        </w:rPr>
        <w:t>5</w:t>
      </w:r>
    </w:p>
    <w:p w:rsidR="005D5BAD" w:rsidRPr="005F340F" w:rsidRDefault="005D5BAD" w:rsidP="00BA7A26">
      <w:pPr>
        <w:spacing w:line="276" w:lineRule="auto"/>
        <w:rPr>
          <w:rFonts w:asciiTheme="majorBidi" w:hAnsiTheme="majorBidi" w:cstheme="majorBidi"/>
          <w:sz w:val="24"/>
        </w:rPr>
      </w:pPr>
      <w:r w:rsidRPr="005F340F">
        <w:rPr>
          <w:rFonts w:asciiTheme="majorBidi" w:hAnsiTheme="majorBidi" w:cstheme="majorBidi"/>
          <w:sz w:val="24"/>
        </w:rPr>
        <w:t xml:space="preserve">Compounds </w:t>
      </w:r>
      <w:r w:rsidRPr="005F340F">
        <w:rPr>
          <w:rFonts w:asciiTheme="majorBidi" w:hAnsiTheme="majorBidi" w:cstheme="majorBidi"/>
          <w:b/>
          <w:sz w:val="24"/>
        </w:rPr>
        <w:t>1</w:t>
      </w:r>
      <w:r w:rsidR="0088010B" w:rsidRPr="005F340F">
        <w:rPr>
          <w:rFonts w:asciiTheme="majorBidi" w:hAnsiTheme="majorBidi" w:cstheme="majorBidi"/>
          <w:b/>
          <w:bCs/>
          <w:iCs/>
          <w:sz w:val="24"/>
          <w:szCs w:val="24"/>
        </w:rPr>
        <w:t>–</w:t>
      </w:r>
      <w:r w:rsidRPr="005F340F">
        <w:rPr>
          <w:rFonts w:asciiTheme="majorBidi" w:hAnsiTheme="majorBidi" w:cstheme="majorBidi"/>
          <w:b/>
          <w:sz w:val="24"/>
        </w:rPr>
        <w:t>5</w:t>
      </w:r>
      <w:r w:rsidRPr="005F340F">
        <w:rPr>
          <w:rFonts w:asciiTheme="majorBidi" w:hAnsiTheme="majorBidi" w:cstheme="majorBidi"/>
          <w:sz w:val="24"/>
        </w:rPr>
        <w:t xml:space="preserve"> were prepared and purified as reported </w:t>
      </w:r>
      <w:r w:rsidR="0088010B" w:rsidRPr="005F340F">
        <w:rPr>
          <w:rFonts w:asciiTheme="majorBidi" w:hAnsiTheme="majorBidi" w:cstheme="majorBidi"/>
          <w:iCs/>
          <w:sz w:val="24"/>
          <w:szCs w:val="24"/>
        </w:rPr>
        <w:t>previously</w:t>
      </w:r>
      <w:hyperlink w:anchor="_ENREF_40" w:tooltip="Ahmed, 2020 #49" w:history="1">
        <w:r w:rsidR="0053462E" w:rsidRPr="0053462E">
          <w:rPr>
            <w:rFonts w:asciiTheme="majorBidi" w:hAnsiTheme="majorBidi" w:cstheme="majorBidi"/>
            <w:sz w:val="24"/>
          </w:rPr>
          <w:fldChar w:fldCharType="begin"/>
        </w:r>
        <w:r w:rsidR="0012746E">
          <w:rPr>
            <w:rFonts w:asciiTheme="majorBidi" w:hAnsiTheme="majorBidi" w:cstheme="majorBidi"/>
            <w:sz w:val="24"/>
          </w:rPr>
          <w:instrText xml:space="preserve"> ADDIN EN.CITE &lt;EndNote&gt;&lt;Cite&gt;&lt;Author&gt;Ahmed&lt;/Author&gt;&lt;Year&gt;2020&lt;/Year&gt;&lt;RecNum&gt;49&lt;/RecNum&gt;&lt;DisplayText&gt;&lt;style face="superscript"&gt;40&lt;/style&gt;&lt;/DisplayText&gt;&lt;record&gt;&lt;rec-number&gt;49&lt;/rec-number&gt;&lt;foreign-keys&gt;&lt;key app="EN" db-id="de05rdsatra50fexpeavrr9jwrz5vtfp5azt"&gt;49&lt;/key&gt;&lt;/foreign-keys&gt;&lt;ref-type name="Journal Article"&gt;17&lt;/ref-type&gt;&lt;contributors&gt;&lt;authors&gt;&lt;author&gt;Ahmed, Rasha M.&lt;/author&gt;&lt;author&gt;Fayed, Marwa A. A.&lt;/author&gt;&lt;author&gt;El-Behairy, Mohammed F.&lt;/author&gt;&lt;author&gt;Abdallah, Inas A.&lt;/author&gt;&lt;/authors&gt;&lt;/contributors&gt;&lt;titles&gt;&lt;title&gt;Identification, isolation, structural characterization, in silico toxicity prediction and in vitro cytotoxicity assay of simeprevir acidic and oxidative degradation products&lt;/title&gt;&lt;secondary-title&gt;RSC Advances&lt;/secondary-title&gt;&lt;/titles&gt;&lt;periodical&gt;&lt;full-title&gt;RSC Advances&lt;/full-title&gt;&lt;/periodical&gt;&lt;pages&gt;42816-42826&lt;/pages&gt;&lt;volume&gt;10&lt;/volume&gt;&lt;number&gt;70&lt;/number&gt;&lt;dates&gt;&lt;year&gt;2020&lt;/year&gt;&lt;/dates&gt;&lt;publisher&gt;The Royal Society of Chemistry&lt;/publisher&gt;&lt;work-type&gt;10.1039/D0RA09253C&lt;/work-type&gt;&lt;urls&gt;&lt;related-urls&gt;&lt;url&gt;http://dx.doi.org/10.1039/D0RA09253C&lt;/url&gt;&lt;/related-urls&gt;&lt;/urls&gt;&lt;electronic-resource-num&gt;10.1039/d0ra09253c&lt;/electronic-resource-num&gt;&lt;/record&gt;&lt;/Cite&gt;&lt;/EndNote&gt;</w:instrText>
        </w:r>
        <w:r w:rsidR="0053462E" w:rsidRPr="0053462E">
          <w:rPr>
            <w:rFonts w:asciiTheme="majorBidi" w:hAnsiTheme="majorBidi" w:cstheme="majorBidi"/>
            <w:sz w:val="24"/>
          </w:rPr>
          <w:fldChar w:fldCharType="separate"/>
        </w:r>
        <w:r w:rsidR="0012746E" w:rsidRPr="008E3957">
          <w:rPr>
            <w:rFonts w:asciiTheme="majorBidi" w:hAnsiTheme="majorBidi" w:cstheme="majorBidi"/>
            <w:noProof/>
            <w:sz w:val="24"/>
            <w:vertAlign w:val="superscript"/>
          </w:rPr>
          <w:t>40</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rPr>
        <w:t>.</w:t>
      </w:r>
    </w:p>
    <w:p w:rsidR="005D5BAD" w:rsidRPr="005F340F" w:rsidRDefault="005D5BAD" w:rsidP="00BA7A26">
      <w:pPr>
        <w:pStyle w:val="ListParagraph"/>
        <w:numPr>
          <w:ilvl w:val="1"/>
          <w:numId w:val="16"/>
        </w:numPr>
        <w:rPr>
          <w:rFonts w:asciiTheme="majorBidi" w:hAnsiTheme="majorBidi" w:cstheme="majorBidi"/>
          <w:b/>
          <w:bCs/>
          <w:sz w:val="24"/>
          <w:szCs w:val="24"/>
        </w:rPr>
      </w:pPr>
      <w:r w:rsidRPr="005F340F">
        <w:rPr>
          <w:rFonts w:asciiTheme="majorBidi" w:hAnsiTheme="majorBidi" w:cstheme="majorBidi"/>
          <w:b/>
          <w:bCs/>
          <w:i/>
          <w:iCs/>
          <w:sz w:val="24"/>
          <w:szCs w:val="24"/>
        </w:rPr>
        <w:t>In</w:t>
      </w:r>
      <w:r w:rsidR="00957C14" w:rsidRPr="005F340F">
        <w:rPr>
          <w:rFonts w:asciiTheme="majorBidi" w:hAnsiTheme="majorBidi" w:cstheme="majorBidi"/>
          <w:b/>
          <w:bCs/>
          <w:i/>
          <w:iCs/>
          <w:sz w:val="24"/>
          <w:szCs w:val="24"/>
        </w:rPr>
        <w:t>-</w:t>
      </w:r>
      <w:r w:rsidRPr="005F340F">
        <w:rPr>
          <w:rFonts w:asciiTheme="majorBidi" w:hAnsiTheme="majorBidi" w:cstheme="majorBidi"/>
          <w:b/>
          <w:bCs/>
          <w:i/>
          <w:iCs/>
          <w:sz w:val="24"/>
          <w:szCs w:val="24"/>
        </w:rPr>
        <w:t>silico</w:t>
      </w:r>
      <w:r w:rsidRPr="005F340F">
        <w:rPr>
          <w:rFonts w:asciiTheme="majorBidi" w:hAnsiTheme="majorBidi" w:cstheme="majorBidi"/>
          <w:b/>
          <w:bCs/>
          <w:sz w:val="24"/>
          <w:szCs w:val="24"/>
        </w:rPr>
        <w:t xml:space="preserve"> ADMET study</w:t>
      </w:r>
    </w:p>
    <w:p w:rsidR="005D5BAD" w:rsidRPr="005F340F" w:rsidRDefault="0088010B"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The </w:t>
      </w:r>
      <w:r w:rsidR="005D5BAD" w:rsidRPr="005F340F">
        <w:rPr>
          <w:rFonts w:asciiTheme="majorBidi" w:hAnsiTheme="majorBidi" w:cstheme="majorBidi"/>
          <w:sz w:val="24"/>
          <w:szCs w:val="24"/>
        </w:rPr>
        <w:t xml:space="preserve">ADMET </w:t>
      </w:r>
      <w:commentRangeStart w:id="35"/>
      <w:r w:rsidR="005D5BAD" w:rsidRPr="005F340F">
        <w:rPr>
          <w:rFonts w:asciiTheme="majorBidi" w:hAnsiTheme="majorBidi" w:cstheme="majorBidi"/>
          <w:sz w:val="24"/>
          <w:szCs w:val="24"/>
        </w:rPr>
        <w:t>descriptors protocol was implemented using Discovery studio 4.0</w:t>
      </w:r>
      <w:r w:rsidRPr="005F340F">
        <w:rPr>
          <w:rFonts w:asciiTheme="majorBidi" w:hAnsiTheme="majorBidi" w:cstheme="majorBidi"/>
          <w:sz w:val="24"/>
          <w:szCs w:val="24"/>
        </w:rPr>
        <w:t>,</w:t>
      </w:r>
      <w:r w:rsidR="005D5BAD" w:rsidRPr="005F340F">
        <w:rPr>
          <w:rFonts w:asciiTheme="majorBidi" w:hAnsiTheme="majorBidi" w:cstheme="majorBidi"/>
          <w:sz w:val="24"/>
          <w:szCs w:val="24"/>
        </w:rPr>
        <w:t xml:space="preserve"> to calculate </w:t>
      </w:r>
      <w:r w:rsidRPr="005F340F">
        <w:rPr>
          <w:rFonts w:asciiTheme="majorBidi" w:hAnsiTheme="majorBidi" w:cstheme="majorBidi"/>
          <w:sz w:val="24"/>
          <w:szCs w:val="24"/>
        </w:rPr>
        <w:t xml:space="preserve">the </w:t>
      </w:r>
      <w:r w:rsidR="005D5BAD" w:rsidRPr="005F340F">
        <w:rPr>
          <w:rFonts w:asciiTheme="majorBidi" w:hAnsiTheme="majorBidi" w:cstheme="majorBidi"/>
          <w:sz w:val="24"/>
          <w:szCs w:val="24"/>
        </w:rPr>
        <w:t xml:space="preserve">absorption, distribution, metabolism, excretion, and toxicity of compounds </w:t>
      </w:r>
      <w:r w:rsidR="005D5BAD" w:rsidRPr="005F340F">
        <w:rPr>
          <w:rFonts w:asciiTheme="majorBidi" w:hAnsiTheme="majorBidi" w:cstheme="majorBidi"/>
          <w:b/>
          <w:sz w:val="24"/>
        </w:rPr>
        <w:t>1</w:t>
      </w:r>
      <w:r w:rsidRPr="005F340F">
        <w:rPr>
          <w:rFonts w:asciiTheme="majorBidi" w:hAnsiTheme="majorBidi" w:cstheme="majorBidi"/>
          <w:b/>
          <w:bCs/>
          <w:sz w:val="24"/>
          <w:szCs w:val="24"/>
        </w:rPr>
        <w:t>–</w:t>
      </w:r>
      <w:r w:rsidR="005D5BAD" w:rsidRPr="005F340F">
        <w:rPr>
          <w:rFonts w:asciiTheme="majorBidi" w:hAnsiTheme="majorBidi" w:cstheme="majorBidi"/>
          <w:b/>
          <w:sz w:val="24"/>
        </w:rPr>
        <w:t>5</w:t>
      </w:r>
      <w:r w:rsidR="005D5BAD" w:rsidRPr="005F340F">
        <w:rPr>
          <w:rFonts w:asciiTheme="majorBidi" w:hAnsiTheme="majorBidi" w:cstheme="majorBidi"/>
          <w:sz w:val="24"/>
          <w:szCs w:val="24"/>
        </w:rPr>
        <w:t xml:space="preserve">. We implemented the CHARMM force field then </w:t>
      </w:r>
      <w:r w:rsidR="00096D65" w:rsidRPr="005F340F">
        <w:rPr>
          <w:rFonts w:asciiTheme="majorBidi" w:hAnsiTheme="majorBidi" w:cstheme="majorBidi"/>
          <w:sz w:val="24"/>
          <w:szCs w:val="24"/>
        </w:rPr>
        <w:t xml:space="preserve">a </w:t>
      </w:r>
      <w:r w:rsidR="005D5BAD" w:rsidRPr="005F340F">
        <w:rPr>
          <w:rFonts w:asciiTheme="majorBidi" w:hAnsiTheme="majorBidi" w:cstheme="majorBidi"/>
          <w:sz w:val="24"/>
          <w:szCs w:val="24"/>
        </w:rPr>
        <w:t xml:space="preserve">small molecule protocol was used to prepare and minimize the compounds </w:t>
      </w:r>
      <w:r w:rsidR="0053462E" w:rsidRPr="005F340F">
        <w:rPr>
          <w:rFonts w:asciiTheme="majorBidi" w:hAnsiTheme="majorBidi" w:cstheme="majorBidi"/>
          <w:sz w:val="24"/>
          <w:szCs w:val="24"/>
        </w:rPr>
        <w:fldChar w:fldCharType="begin"/>
      </w:r>
      <w:r w:rsidR="008E3957">
        <w:rPr>
          <w:rFonts w:asciiTheme="majorBidi" w:hAnsiTheme="majorBidi" w:cstheme="majorBidi"/>
          <w:sz w:val="24"/>
          <w:szCs w:val="24"/>
        </w:rPr>
        <w:instrText xml:space="preserve"> ADDIN EN.CITE &lt;EndNote&gt;&lt;Cite&gt;&lt;Author&gt;El-Zahabi&lt;/Author&gt;&lt;Year&gt;2019&lt;/Year&gt;&lt;RecNum&gt;40&lt;/RecNum&gt;&lt;DisplayText&gt;&lt;style face="superscript"&gt;41, 42&lt;/style&gt;&lt;/DisplayText&gt;&lt;record&gt;&lt;rec-number&gt;40&lt;/rec-number&gt;&lt;foreign-keys&gt;&lt;key app="EN" db-id="de05rdsatra50fexpeavrr9jwrz5vtfp5azt"&gt;40&lt;/key&gt;&lt;/foreign-keys&gt;&lt;ref-type name="Journal Article"&gt;17&lt;/ref-type&gt;&lt;contributors&gt;&lt;authors&gt;&lt;author&gt;El-Zahabi, Mohamed Ayman&lt;/author&gt;&lt;author&gt;Elbendary, Eman R&lt;/author&gt;&lt;author&gt;Bamanie, Faida H&lt;/author&gt;&lt;author&gt;Radwan, Mohamed F&lt;/author&gt;&lt;author&gt;Ghareib, Salah A&lt;/author&gt;&lt;author&gt;Eissa, Ibrahim H&lt;/author&gt;&lt;/authors&gt;&lt;/contributors&gt;&lt;titles&gt;&lt;title&gt;Design, synthesis, molecular modeling and anti-hyperglycemic evaluation of phthalimide-sulfonylurea hybrids as PPARγ and SUR agonists&lt;/title&gt;&lt;secondary-title&gt;Bioorganic chemistry&lt;/secondary-title&gt;&lt;/titles&gt;&lt;periodical&gt;&lt;full-title&gt;Bioorganic chemistry&lt;/full-title&gt;&lt;/periodical&gt;&lt;pages&gt;103115&lt;/pages&gt;&lt;volume&gt;91&lt;/volume&gt;&lt;dates&gt;&lt;year&gt;2019&lt;/year&gt;&lt;/dates&gt;&lt;isbn&gt;0045-2068&lt;/isbn&gt;&lt;urls&gt;&lt;/urls&gt;&lt;/record&gt;&lt;/Cite&gt;&lt;Cite&gt;&lt;Author&gt;Ibrahim&lt;/Author&gt;&lt;Year&gt;2017&lt;/Year&gt;&lt;RecNum&gt;41&lt;/RecNum&gt;&lt;record&gt;&lt;rec-number&gt;41&lt;/rec-number&gt;&lt;foreign-keys&gt;&lt;key app="EN" db-id="de05rdsatra50fexpeavrr9jwrz5vtfp5azt"&gt;41&lt;/key&gt;&lt;/foreign-keys&gt;&lt;ref-type name="Journal Article"&gt;17&lt;/ref-type&gt;&lt;contributors&gt;&lt;authors&gt;&lt;author&gt;Ibrahim, Mohamed K&lt;/author&gt;&lt;author&gt;Eissa, Ibrahim H&lt;/author&gt;&lt;author&gt;Alesawy, Mohamed S&lt;/author&gt;&lt;author&gt;Metwaly, Ahmed M&lt;/author&gt;&lt;author&gt;Radwan, Mohamed M&lt;/author&gt;&lt;author&gt;ElSohly, Mahmoud A&lt;/author&gt;&lt;/authors&gt;&lt;/contributors&gt;&lt;titles&gt;&lt;title&gt;Design, synthesis, molecular modeling and anti-hyperglycemic evaluation of quinazolin-4 (3H)-one derivatives as potential PPARγ and SUR agonists&lt;/title&gt;&lt;secondary-title&gt;Bioorganic &amp;amp; medicinal chemistry&lt;/secondary-title&gt;&lt;/titles&gt;&lt;periodical&gt;&lt;full-title&gt;Bioorganic &amp;amp; medicinal chemistry&lt;/full-title&gt;&lt;/periodical&gt;&lt;pages&gt;4723-4744&lt;/pages&gt;&lt;volume&gt;25&lt;/volume&gt;&lt;number&gt;17&lt;/number&gt;&lt;dates&gt;&lt;year&gt;2017&lt;/year&gt;&lt;/dates&gt;&lt;isbn&gt;0968-0896&lt;/isbn&gt;&lt;urls&gt;&lt;/urls&gt;&lt;/record&gt;&lt;/Cite&gt;&lt;/EndNote&gt;</w:instrText>
      </w:r>
      <w:r w:rsidR="0053462E" w:rsidRPr="005F340F">
        <w:rPr>
          <w:rFonts w:asciiTheme="majorBidi" w:hAnsiTheme="majorBidi" w:cstheme="majorBidi"/>
          <w:sz w:val="24"/>
          <w:szCs w:val="24"/>
        </w:rPr>
        <w:fldChar w:fldCharType="separate"/>
      </w:r>
      <w:hyperlink w:anchor="_ENREF_41" w:tooltip="El-Zahabi, 2019 #40" w:history="1">
        <w:r w:rsidR="0012746E" w:rsidRPr="008E3957">
          <w:rPr>
            <w:rFonts w:asciiTheme="majorBidi" w:hAnsiTheme="majorBidi" w:cstheme="majorBidi"/>
            <w:noProof/>
            <w:sz w:val="24"/>
            <w:szCs w:val="24"/>
            <w:vertAlign w:val="superscript"/>
          </w:rPr>
          <w:t>41</w:t>
        </w:r>
      </w:hyperlink>
      <w:r w:rsidR="008E3957" w:rsidRPr="008E3957">
        <w:rPr>
          <w:rFonts w:asciiTheme="majorBidi" w:hAnsiTheme="majorBidi" w:cstheme="majorBidi"/>
          <w:noProof/>
          <w:sz w:val="24"/>
          <w:szCs w:val="24"/>
          <w:vertAlign w:val="superscript"/>
        </w:rPr>
        <w:t xml:space="preserve">, </w:t>
      </w:r>
      <w:hyperlink w:anchor="_ENREF_42" w:tooltip="Ibrahim, 2017 #41" w:history="1">
        <w:r w:rsidR="0012746E" w:rsidRPr="008E3957">
          <w:rPr>
            <w:rFonts w:asciiTheme="majorBidi" w:hAnsiTheme="majorBidi" w:cstheme="majorBidi"/>
            <w:noProof/>
            <w:sz w:val="24"/>
            <w:szCs w:val="24"/>
            <w:vertAlign w:val="superscript"/>
          </w:rPr>
          <w:t>42</w:t>
        </w:r>
      </w:hyperlink>
      <w:r w:rsidR="0053462E" w:rsidRPr="005F340F">
        <w:rPr>
          <w:rFonts w:asciiTheme="majorBidi" w:hAnsiTheme="majorBidi" w:cstheme="majorBidi"/>
          <w:sz w:val="24"/>
          <w:szCs w:val="24"/>
        </w:rPr>
        <w:fldChar w:fldCharType="end"/>
      </w:r>
      <w:r w:rsidR="005D5BAD" w:rsidRPr="005F340F">
        <w:rPr>
          <w:rFonts w:asciiTheme="majorBidi" w:hAnsiTheme="majorBidi" w:cstheme="majorBidi"/>
          <w:sz w:val="24"/>
          <w:szCs w:val="24"/>
        </w:rPr>
        <w:t>.</w:t>
      </w:r>
    </w:p>
    <w:p w:rsidR="005D5BAD" w:rsidRPr="005F340F" w:rsidRDefault="005D5BAD" w:rsidP="00BA7A26">
      <w:pPr>
        <w:pStyle w:val="ListParagraph"/>
        <w:numPr>
          <w:ilvl w:val="1"/>
          <w:numId w:val="16"/>
        </w:numPr>
        <w:rPr>
          <w:rFonts w:asciiTheme="majorBidi" w:hAnsiTheme="majorBidi" w:cstheme="majorBidi"/>
          <w:sz w:val="24"/>
          <w:szCs w:val="24"/>
        </w:rPr>
      </w:pPr>
      <w:r w:rsidRPr="005F340F">
        <w:rPr>
          <w:rFonts w:asciiTheme="majorBidi" w:hAnsiTheme="majorBidi" w:cstheme="majorBidi"/>
          <w:b/>
          <w:bCs/>
          <w:sz w:val="24"/>
          <w:szCs w:val="24"/>
        </w:rPr>
        <w:t>Docking studies</w:t>
      </w:r>
    </w:p>
    <w:p w:rsidR="005D5BAD" w:rsidRPr="005F340F" w:rsidRDefault="005D5BAD"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w:t>
      </w:r>
      <w:r w:rsidR="00C33321" w:rsidRPr="005F340F">
        <w:rPr>
          <w:rFonts w:asciiTheme="majorBidi" w:hAnsiTheme="majorBidi" w:cstheme="majorBidi"/>
          <w:sz w:val="24"/>
          <w:szCs w:val="24"/>
        </w:rPr>
        <w:t>he crystal structure of the t</w:t>
      </w:r>
      <w:r w:rsidRPr="005F340F">
        <w:rPr>
          <w:rFonts w:asciiTheme="majorBidi" w:hAnsiTheme="majorBidi" w:cstheme="majorBidi"/>
          <w:sz w:val="24"/>
          <w:szCs w:val="24"/>
        </w:rPr>
        <w:t>arget enzyme (</w:t>
      </w:r>
      <w:r w:rsidR="00C33321" w:rsidRPr="005F340F">
        <w:rPr>
          <w:rFonts w:asciiTheme="majorBidi" w:hAnsiTheme="majorBidi" w:cstheme="majorBidi"/>
          <w:sz w:val="24"/>
          <w:szCs w:val="24"/>
        </w:rPr>
        <w:t xml:space="preserve">SARS-CoV-2 </w:t>
      </w:r>
      <w:r w:rsidRPr="005F340F">
        <w:rPr>
          <w:rFonts w:asciiTheme="majorBidi" w:hAnsiTheme="majorBidi" w:cstheme="majorBidi"/>
          <w:sz w:val="24"/>
          <w:szCs w:val="24"/>
        </w:rPr>
        <w:t>M</w:t>
      </w:r>
      <w:r w:rsidRPr="005F340F">
        <w:rPr>
          <w:rFonts w:asciiTheme="majorBidi" w:hAnsiTheme="majorBidi" w:cstheme="majorBidi"/>
          <w:sz w:val="24"/>
          <w:szCs w:val="24"/>
          <w:vertAlign w:val="superscript"/>
        </w:rPr>
        <w:t>pro</w:t>
      </w:r>
      <w:r w:rsidRPr="005F340F">
        <w:rPr>
          <w:rFonts w:asciiTheme="majorBidi" w:hAnsiTheme="majorBidi" w:cstheme="majorBidi"/>
          <w:sz w:val="24"/>
          <w:szCs w:val="24"/>
        </w:rPr>
        <w:t xml:space="preserve"> (PDB ID:</w:t>
      </w:r>
      <w:r w:rsidRPr="005F340F">
        <w:rPr>
          <w:rFonts w:asciiTheme="majorBidi" w:hAnsiTheme="majorBidi" w:cstheme="majorBidi"/>
          <w:sz w:val="24"/>
          <w:szCs w:val="24"/>
          <w:rtl/>
        </w:rPr>
        <w:t xml:space="preserve"> 6</w:t>
      </w:r>
      <w:r w:rsidRPr="005F340F">
        <w:rPr>
          <w:rFonts w:asciiTheme="majorBidi" w:hAnsiTheme="majorBidi" w:cstheme="majorBidi"/>
          <w:sz w:val="24"/>
          <w:szCs w:val="24"/>
        </w:rPr>
        <w:t xml:space="preserve">lu7, resolution: 2.16 Å)) was obtained from </w:t>
      </w:r>
      <w:r w:rsidR="00C33321" w:rsidRPr="005F340F">
        <w:rPr>
          <w:rFonts w:asciiTheme="majorBidi" w:hAnsiTheme="majorBidi" w:cstheme="majorBidi"/>
          <w:sz w:val="24"/>
          <w:szCs w:val="24"/>
        </w:rPr>
        <w:t xml:space="preserve">the </w:t>
      </w:r>
      <w:r w:rsidRPr="005F340F">
        <w:rPr>
          <w:rFonts w:asciiTheme="majorBidi" w:hAnsiTheme="majorBidi" w:cstheme="majorBidi"/>
          <w:sz w:val="24"/>
          <w:szCs w:val="24"/>
        </w:rPr>
        <w:t>Protein Data Bank (</w:t>
      </w:r>
      <w:hyperlink r:id="rId32" w:history="1">
        <w:r w:rsidRPr="005F340F">
          <w:rPr>
            <w:rStyle w:val="Hyperlink"/>
            <w:rFonts w:asciiTheme="majorBidi" w:hAnsiTheme="majorBidi" w:cstheme="majorBidi"/>
            <w:sz w:val="24"/>
            <w:szCs w:val="24"/>
          </w:rPr>
          <w:t>http://www.pdb.org</w:t>
        </w:r>
      </w:hyperlink>
      <w:r w:rsidRPr="005F340F">
        <w:rPr>
          <w:rFonts w:asciiTheme="majorBidi" w:hAnsiTheme="majorBidi" w:cstheme="majorBidi"/>
          <w:sz w:val="24"/>
          <w:szCs w:val="24"/>
        </w:rPr>
        <w:t xml:space="preserve">). The docking analysis </w:t>
      </w:r>
      <w:r w:rsidR="00C33321" w:rsidRPr="005F340F">
        <w:rPr>
          <w:rFonts w:asciiTheme="majorBidi" w:hAnsiTheme="majorBidi" w:cstheme="majorBidi"/>
          <w:sz w:val="24"/>
          <w:szCs w:val="24"/>
        </w:rPr>
        <w:t xml:space="preserve">was </w:t>
      </w:r>
      <w:r w:rsidRPr="005F340F">
        <w:rPr>
          <w:rFonts w:asciiTheme="majorBidi" w:hAnsiTheme="majorBidi" w:cstheme="majorBidi"/>
          <w:sz w:val="24"/>
          <w:szCs w:val="24"/>
        </w:rPr>
        <w:t xml:space="preserve">performed </w:t>
      </w:r>
      <w:r w:rsidR="00C33321" w:rsidRPr="005F340F">
        <w:rPr>
          <w:rFonts w:asciiTheme="majorBidi" w:hAnsiTheme="majorBidi" w:cstheme="majorBidi"/>
          <w:sz w:val="24"/>
          <w:szCs w:val="24"/>
        </w:rPr>
        <w:t xml:space="preserve">using the </w:t>
      </w:r>
      <w:r w:rsidRPr="005F340F">
        <w:rPr>
          <w:rFonts w:asciiTheme="majorBidi" w:hAnsiTheme="majorBidi" w:cstheme="majorBidi"/>
          <w:sz w:val="24"/>
          <w:szCs w:val="24"/>
        </w:rPr>
        <w:t xml:space="preserve">Molecular Operating Environment (MOE) </w:t>
      </w:r>
      <w:r w:rsidR="0053462E" w:rsidRPr="005F340F">
        <w:rPr>
          <w:rFonts w:asciiTheme="majorBidi" w:hAnsiTheme="majorBidi" w:cstheme="majorBidi"/>
          <w:sz w:val="24"/>
        </w:rPr>
        <w:fldChar w:fldCharType="begin"/>
      </w:r>
      <w:r w:rsidR="0012746E">
        <w:rPr>
          <w:rFonts w:asciiTheme="majorBidi" w:hAnsiTheme="majorBidi" w:cstheme="majorBidi"/>
          <w:sz w:val="24"/>
        </w:rPr>
        <w:instrText xml:space="preserve"> ADDIN EN.CITE &lt;EndNote&gt;&lt;Cite&gt;&lt;RecNum&gt;325&lt;/RecNum&gt;&lt;DisplayText&gt;&lt;style face="superscript"&gt;43&lt;/style&gt;&lt;/DisplayText&gt;&lt;record&gt;&lt;rec-number&gt;325&lt;/rec-number&gt;&lt;foreign-keys&gt;&lt;key app="EN" db-id="50wxdpzd9vd5r7e9t5b595djrfpttrxw9avp"&gt;325&lt;/key&gt;&lt;/foreign-keys&gt;&lt;ref-type name="Web Page"&gt;12&lt;/ref-type&gt;&lt;contributors&gt;&lt;/contributors&gt;&lt;titles&gt;&lt;title&gt;Chemical Computing Group, Molecular Operating Environment (MOE), http://www.chemcomp.com/ (Accessed in May 2017)&lt;/title&gt;&lt;/titles&gt;&lt;volume&gt;   May 2017&lt;/volume&gt;&lt;dates&gt;&lt;/dates&gt;&lt;urls&gt;&lt;related-urls&gt;&lt;url&gt;http://www.chemcomp.com/ &lt;/url&gt;&lt;/related-urls&gt;&lt;/urls&gt;&lt;/record&gt;&lt;/Cite&gt;&lt;Cite&gt;&lt;RecNum&gt;325&lt;/RecNum&gt;&lt;record&gt;&lt;rec-number&gt;325&lt;/rec-number&gt;&lt;foreign-keys&gt;&lt;key app="EN" db-id="50wxdpzd9vd5r7e9t5b595djrfpttrxw9avp"&gt;325&lt;/key&gt;&lt;/foreign-keys&gt;&lt;ref-type name="Web Page"&gt;12&lt;/ref-type&gt;&lt;contributors&gt;&lt;/contributors&gt;&lt;titles&gt;&lt;title&gt;Chemical Computing Group, Molecular Operating Environment (MOE), http://www.chemcomp.com/ (Accessed in May 2017)&lt;/title&gt;&lt;/titles&gt;&lt;volume&gt;   May 2017&lt;/volume&gt;&lt;dates&gt;&lt;/dates&gt;&lt;urls&gt;&lt;related-urls&gt;&lt;url&gt;http://www.chemcomp.com/ &lt;/url&gt;&lt;/related-urls&gt;&lt;/urls&gt;&lt;/record&gt;&lt;/Cite&gt;&lt;/EndNote&gt;</w:instrText>
      </w:r>
      <w:r w:rsidR="0053462E" w:rsidRPr="005F340F">
        <w:rPr>
          <w:rFonts w:asciiTheme="majorBidi" w:hAnsiTheme="majorBidi" w:cstheme="majorBidi"/>
          <w:sz w:val="24"/>
        </w:rPr>
        <w:fldChar w:fldCharType="end"/>
      </w:r>
      <w:hyperlink w:anchor="_ENREF_43" w:tooltip=",  #325" w:history="1">
        <w:r w:rsidR="0012746E" w:rsidRPr="0012746E">
          <w:rPr>
            <w:rFonts w:asciiTheme="majorBidi" w:hAnsiTheme="majorBidi" w:cstheme="majorBidi"/>
            <w:sz w:val="24"/>
            <w:vertAlign w:val="superscript"/>
          </w:rPr>
          <w:t>43</w:t>
        </w:r>
      </w:hyperlink>
      <w:r w:rsidR="008E3957" w:rsidRPr="008E3957">
        <w:rPr>
          <w:rFonts w:asciiTheme="majorBidi" w:hAnsiTheme="majorBidi" w:cstheme="majorBidi"/>
          <w:sz w:val="24"/>
          <w:vertAlign w:val="superscript"/>
        </w:rPr>
        <w:t>43</w:t>
      </w:r>
      <w:r w:rsidR="00752191" w:rsidRPr="005F340F">
        <w:rPr>
          <w:rFonts w:asciiTheme="majorBidi" w:hAnsiTheme="majorBidi" w:cstheme="majorBidi"/>
          <w:sz w:val="24"/>
        </w:rPr>
        <w:t>[</w:t>
      </w:r>
      <w:hyperlink w:anchor="_ENREF_43" w:tooltip=",  #325" w:history="1">
        <w:r w:rsidR="00752191" w:rsidRPr="005F340F">
          <w:rPr>
            <w:rFonts w:asciiTheme="majorBidi" w:hAnsiTheme="majorBidi" w:cstheme="majorBidi"/>
            <w:sz w:val="24"/>
          </w:rPr>
          <w:t>43</w:t>
        </w:r>
      </w:hyperlink>
      <w:r w:rsidR="00752191" w:rsidRPr="005F340F">
        <w:rPr>
          <w:rFonts w:asciiTheme="majorBidi" w:hAnsiTheme="majorBidi" w:cstheme="majorBidi"/>
          <w:sz w:val="24"/>
        </w:rPr>
        <w:t>][</w:t>
      </w:r>
      <w:hyperlink w:anchor="_ENREF_43" w:tooltip=",  #325" w:history="1">
        <w:r w:rsidR="00752191" w:rsidRPr="005F340F">
          <w:rPr>
            <w:rFonts w:asciiTheme="majorBidi" w:hAnsiTheme="majorBidi" w:cstheme="majorBidi"/>
            <w:sz w:val="24"/>
          </w:rPr>
          <w:t>43</w:t>
        </w:r>
      </w:hyperlink>
      <w:r w:rsidR="00752191" w:rsidRPr="005F340F">
        <w:rPr>
          <w:rFonts w:asciiTheme="majorBidi" w:hAnsiTheme="majorBidi" w:cstheme="majorBidi"/>
          <w:sz w:val="24"/>
        </w:rPr>
        <w:t>]</w:t>
      </w:r>
      <w:r w:rsidRPr="005F340F">
        <w:rPr>
          <w:rFonts w:asciiTheme="majorBidi" w:hAnsiTheme="majorBidi" w:cstheme="majorBidi"/>
          <w:sz w:val="24"/>
        </w:rPr>
        <w:t>[18][19][19][19][18][18</w:t>
      </w:r>
      <w:r w:rsidRPr="005F340F">
        <w:rPr>
          <w:rFonts w:asciiTheme="majorBidi" w:hAnsiTheme="majorBidi" w:cstheme="majorBidi"/>
          <w:sz w:val="24"/>
          <w:szCs w:val="24"/>
        </w:rPr>
        <w:t>][</w:t>
      </w:r>
      <w:r w:rsidRPr="005F340F">
        <w:rPr>
          <w:rFonts w:asciiTheme="majorBidi" w:hAnsiTheme="majorBidi" w:cstheme="majorBidi"/>
          <w:sz w:val="24"/>
        </w:rPr>
        <w:t>40]</w:t>
      </w:r>
      <w:r w:rsidRPr="005F340F">
        <w:rPr>
          <w:rFonts w:asciiTheme="majorBidi" w:hAnsiTheme="majorBidi" w:cstheme="majorBidi"/>
          <w:sz w:val="24"/>
          <w:vertAlign w:val="superscript"/>
        </w:rPr>
        <w:t>.</w:t>
      </w:r>
      <w:r w:rsidRPr="005F340F">
        <w:rPr>
          <w:rFonts w:asciiTheme="majorBidi" w:hAnsiTheme="majorBidi" w:cstheme="majorBidi"/>
          <w:sz w:val="24"/>
          <w:szCs w:val="24"/>
        </w:rPr>
        <w:t xml:space="preserve"> Compounds </w:t>
      </w:r>
      <w:r w:rsidRPr="005F340F">
        <w:rPr>
          <w:rFonts w:asciiTheme="majorBidi" w:hAnsiTheme="majorBidi" w:cstheme="majorBidi"/>
          <w:b/>
          <w:sz w:val="24"/>
        </w:rPr>
        <w:t>1</w:t>
      </w:r>
      <w:r w:rsidR="00C33321" w:rsidRPr="005F340F">
        <w:rPr>
          <w:rFonts w:asciiTheme="majorBidi" w:hAnsiTheme="majorBidi" w:cstheme="majorBidi"/>
          <w:b/>
          <w:bCs/>
          <w:sz w:val="24"/>
          <w:szCs w:val="24"/>
        </w:rPr>
        <w:t>–</w:t>
      </w:r>
      <w:r w:rsidRPr="005F340F">
        <w:rPr>
          <w:rFonts w:asciiTheme="majorBidi" w:hAnsiTheme="majorBidi" w:cstheme="majorBidi"/>
          <w:b/>
          <w:sz w:val="24"/>
        </w:rPr>
        <w:t>5</w:t>
      </w:r>
      <w:r w:rsidRPr="005F340F">
        <w:rPr>
          <w:rFonts w:asciiTheme="majorBidi" w:hAnsiTheme="majorBidi" w:cstheme="majorBidi"/>
          <w:sz w:val="24"/>
          <w:szCs w:val="24"/>
        </w:rPr>
        <w:t xml:space="preserve"> were tested against M</w:t>
      </w:r>
      <w:r w:rsidRPr="005F340F">
        <w:rPr>
          <w:rFonts w:asciiTheme="majorBidi" w:hAnsiTheme="majorBidi" w:cstheme="majorBidi"/>
          <w:sz w:val="24"/>
          <w:szCs w:val="24"/>
          <w:vertAlign w:val="superscript"/>
        </w:rPr>
        <w:t>pro</w:t>
      </w:r>
      <w:r w:rsidR="00C33321" w:rsidRPr="005F340F">
        <w:rPr>
          <w:rFonts w:asciiTheme="majorBidi" w:hAnsiTheme="majorBidi" w:cstheme="majorBidi"/>
          <w:sz w:val="24"/>
          <w:szCs w:val="24"/>
        </w:rPr>
        <w:t>,</w:t>
      </w:r>
      <w:r w:rsidRPr="005F340F">
        <w:rPr>
          <w:rFonts w:asciiTheme="majorBidi" w:hAnsiTheme="majorBidi" w:cstheme="majorBidi"/>
          <w:sz w:val="24"/>
          <w:szCs w:val="24"/>
        </w:rPr>
        <w:t>to estimate their free energies, and binding modes. At the inception, the crystal structure of M</w:t>
      </w:r>
      <w:r w:rsidRPr="005F340F">
        <w:rPr>
          <w:rFonts w:asciiTheme="majorBidi" w:hAnsiTheme="majorBidi" w:cstheme="majorBidi"/>
          <w:sz w:val="24"/>
          <w:szCs w:val="24"/>
          <w:vertAlign w:val="superscript"/>
        </w:rPr>
        <w:t>pro</w:t>
      </w:r>
      <w:r w:rsidRPr="005F340F">
        <w:rPr>
          <w:rFonts w:asciiTheme="majorBidi" w:hAnsiTheme="majorBidi" w:cstheme="majorBidi"/>
          <w:sz w:val="24"/>
          <w:szCs w:val="24"/>
        </w:rPr>
        <w:t xml:space="preserve">was deprived </w:t>
      </w:r>
      <w:r w:rsidR="00C33321" w:rsidRPr="005F340F">
        <w:rPr>
          <w:rFonts w:asciiTheme="majorBidi" w:hAnsiTheme="majorBidi" w:cstheme="majorBidi"/>
          <w:sz w:val="24"/>
          <w:szCs w:val="24"/>
        </w:rPr>
        <w:t xml:space="preserve">of </w:t>
      </w:r>
      <w:r w:rsidRPr="005F340F">
        <w:rPr>
          <w:rFonts w:asciiTheme="majorBidi" w:hAnsiTheme="majorBidi" w:cstheme="majorBidi"/>
          <w:sz w:val="24"/>
          <w:szCs w:val="24"/>
        </w:rPr>
        <w:t>water</w:t>
      </w:r>
      <w:r w:rsidR="00C33321" w:rsidRPr="005F340F">
        <w:rPr>
          <w:rFonts w:asciiTheme="majorBidi" w:hAnsiTheme="majorBidi" w:cstheme="majorBidi"/>
          <w:sz w:val="24"/>
          <w:szCs w:val="24"/>
        </w:rPr>
        <w:t>,</w:t>
      </w:r>
      <w:r w:rsidR="00C25A90" w:rsidRPr="005F340F">
        <w:rPr>
          <w:rFonts w:asciiTheme="majorBidi" w:hAnsiTheme="majorBidi" w:cstheme="majorBidi"/>
          <w:sz w:val="24"/>
          <w:szCs w:val="24"/>
        </w:rPr>
        <w:t>except for</w:t>
      </w:r>
      <w:r w:rsidRPr="005F340F">
        <w:rPr>
          <w:rFonts w:asciiTheme="majorBidi" w:hAnsiTheme="majorBidi" w:cstheme="majorBidi"/>
          <w:sz w:val="24"/>
          <w:szCs w:val="24"/>
        </w:rPr>
        <w:t xml:space="preserve"> one essential chain</w:t>
      </w:r>
      <w:r w:rsidR="00C33321" w:rsidRPr="005F340F">
        <w:rPr>
          <w:rFonts w:asciiTheme="majorBidi" w:hAnsiTheme="majorBidi" w:cstheme="majorBidi"/>
          <w:sz w:val="24"/>
          <w:szCs w:val="24"/>
        </w:rPr>
        <w:t>,</w:t>
      </w:r>
      <w:r w:rsidRPr="005F340F">
        <w:rPr>
          <w:rFonts w:asciiTheme="majorBidi" w:hAnsiTheme="majorBidi" w:cstheme="majorBidi"/>
          <w:sz w:val="24"/>
          <w:szCs w:val="24"/>
        </w:rPr>
        <w:t xml:space="preserve"> for binding. The binding pocket of the protein was defined using the </w:t>
      </w:r>
      <w:r w:rsidR="00C33321" w:rsidRPr="005F340F">
        <w:rPr>
          <w:rFonts w:asciiTheme="majorBidi" w:hAnsiTheme="majorBidi" w:cstheme="majorBidi"/>
          <w:sz w:val="24"/>
          <w:szCs w:val="24"/>
        </w:rPr>
        <w:t>co</w:t>
      </w:r>
      <w:r w:rsidRPr="005F340F">
        <w:rPr>
          <w:rFonts w:asciiTheme="majorBidi" w:hAnsiTheme="majorBidi" w:cstheme="majorBidi"/>
          <w:sz w:val="24"/>
          <w:szCs w:val="24"/>
        </w:rPr>
        <w:t>-crystallized ligand (</w:t>
      </w:r>
      <w:hyperlink r:id="rId33" w:history="1">
        <w:r w:rsidRPr="005F340F">
          <w:rPr>
            <w:rStyle w:val="Hyperlink"/>
            <w:rFonts w:asciiTheme="majorBidi" w:hAnsiTheme="majorBidi" w:cstheme="majorBidi"/>
            <w:sz w:val="24"/>
            <w:szCs w:val="24"/>
          </w:rPr>
          <w:t>PRD-002214</w:t>
        </w:r>
      </w:hyperlink>
      <w:r w:rsidRPr="005F340F">
        <w:rPr>
          <w:rFonts w:asciiTheme="majorBidi" w:hAnsiTheme="majorBidi" w:cstheme="majorBidi"/>
          <w:sz w:val="24"/>
          <w:szCs w:val="24"/>
          <w:u w:val="single"/>
        </w:rPr>
        <w:t>)</w:t>
      </w:r>
      <w:r w:rsidRPr="005F340F">
        <w:rPr>
          <w:rFonts w:asciiTheme="majorBidi" w:hAnsiTheme="majorBidi" w:cstheme="majorBidi"/>
          <w:sz w:val="24"/>
          <w:szCs w:val="24"/>
        </w:rPr>
        <w:t xml:space="preserve"> as a reference</w:t>
      </w:r>
      <w:r w:rsidR="00C33321" w:rsidRPr="005F340F">
        <w:rPr>
          <w:rFonts w:asciiTheme="majorBidi" w:hAnsiTheme="majorBidi" w:cstheme="majorBidi"/>
          <w:sz w:val="24"/>
          <w:szCs w:val="24"/>
        </w:rPr>
        <w:t>; subsequently,</w:t>
      </w:r>
      <w:r w:rsidRPr="005F340F">
        <w:rPr>
          <w:rFonts w:asciiTheme="majorBidi" w:hAnsiTheme="majorBidi" w:cstheme="majorBidi"/>
          <w:sz w:val="24"/>
          <w:szCs w:val="24"/>
        </w:rPr>
        <w:t xml:space="preserve"> the protein structure was protonated, the hydrogen atoms were hidden</w:t>
      </w:r>
      <w:r w:rsidR="00C33321" w:rsidRPr="005F340F">
        <w:rPr>
          <w:rFonts w:asciiTheme="majorBidi" w:hAnsiTheme="majorBidi" w:cstheme="majorBidi"/>
          <w:sz w:val="24"/>
          <w:szCs w:val="24"/>
        </w:rPr>
        <w:t>,</w:t>
      </w:r>
      <w:r w:rsidRPr="005F340F">
        <w:rPr>
          <w:rFonts w:asciiTheme="majorBidi" w:hAnsiTheme="majorBidi" w:cstheme="majorBidi"/>
          <w:sz w:val="24"/>
          <w:szCs w:val="24"/>
        </w:rPr>
        <w:t xml:space="preserve"> and the energy was minimized </w:t>
      </w:r>
      <w:hyperlink w:anchor="_ENREF_44" w:tooltip="El-Gamal, 2018 #43"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&lt;EndNote&gt;&lt;Cite&gt;&lt;Author&gt;El-Gamal&lt;/Author&gt;&lt;Year&gt;2018&lt;/Year&gt;&lt;RecNum&gt;43&lt;/RecNum&gt;&lt;DisplayText&gt;&lt;style face="superscript"&gt;44&lt;/style&gt;&lt;/DisplayText&gt;&lt;record&gt;&lt;rec-number&gt;43&lt;/rec-number&gt;&lt;foreign-keys&gt;&lt;key app="EN" db-id="de05rdsatra50fexpeavrr9jwrz5vtfp5azt"&gt;43&lt;/key&gt;&lt;/foreign-keys&gt;&lt;ref-type name="Journal Article"&gt;17&lt;/ref-type&gt;&lt;contributors&gt;&lt;authors&gt;&lt;author&gt;El-Gamal, Kamal M&lt;/author&gt;&lt;author&gt;El-Morsy, Ahmed M&lt;/author&gt;&lt;author&gt;Saad, Ahmad M&lt;/author&gt;&lt;author&gt;Eissa, Ibrahim H&lt;/author&gt;&lt;author&gt;Alswah, Mohamed&lt;/author&gt;&lt;/authors&gt;&lt;/contributors&gt;&lt;titles&gt;&lt;title&gt;Synthesis, docking, QSAR, ADMET and antimicrobial evaluation of new quinoline-3-carbonitrile derivatives as potential DNA-gyrase inhibitors&lt;/title&gt;&lt;secondary-title&gt;Journal of Molecular Structure&lt;/secondary-title&gt;&lt;/titles&gt;&lt;periodical&gt;&lt;full-title&gt;Journal of Molecular Structure&lt;/full-title&gt;&lt;/periodical&gt;&lt;pages&gt;15-33&lt;/pages&gt;&lt;volume&gt;1166&lt;/volume&gt;&lt;dates&gt;&lt;year&gt;2018&lt;/year&gt;&lt;/dates&gt;&lt;isbn&gt;0022-2860&lt;/isbn&gt;&lt;urls&gt;&lt;/urls&gt;&lt;/record&gt;&lt;/Cite&gt;&lt;/EndNote&gt;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44</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w:t>
      </w:r>
    </w:p>
    <w:p w:rsidR="005D5BAD" w:rsidRPr="005F340F" w:rsidRDefault="005D5BAD"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ChemBioDraw Ultra 14.0 was used to draw </w:t>
      </w:r>
      <w:r w:rsidR="00C33321" w:rsidRPr="005F340F">
        <w:rPr>
          <w:rFonts w:asciiTheme="majorBidi" w:hAnsiTheme="majorBidi" w:cstheme="majorBidi"/>
          <w:sz w:val="24"/>
          <w:szCs w:val="24"/>
        </w:rPr>
        <w:t xml:space="preserve">the </w:t>
      </w:r>
      <w:r w:rsidRPr="005F340F">
        <w:rPr>
          <w:rFonts w:asciiTheme="majorBidi" w:hAnsiTheme="majorBidi" w:cstheme="majorBidi"/>
          <w:sz w:val="24"/>
          <w:szCs w:val="24"/>
        </w:rPr>
        <w:t xml:space="preserve">structures of compounds </w:t>
      </w:r>
      <w:r w:rsidRPr="005F340F">
        <w:rPr>
          <w:rFonts w:asciiTheme="majorBidi" w:hAnsiTheme="majorBidi" w:cstheme="majorBidi"/>
          <w:b/>
          <w:sz w:val="24"/>
        </w:rPr>
        <w:t>(1</w:t>
      </w:r>
      <w:r w:rsidR="00C33321" w:rsidRPr="005F340F">
        <w:rPr>
          <w:rFonts w:asciiTheme="majorBidi" w:hAnsiTheme="majorBidi" w:cstheme="majorBidi"/>
          <w:b/>
          <w:bCs/>
          <w:sz w:val="24"/>
          <w:szCs w:val="24"/>
        </w:rPr>
        <w:t>–</w:t>
      </w:r>
      <w:r w:rsidRPr="005F340F">
        <w:rPr>
          <w:rFonts w:asciiTheme="majorBidi" w:hAnsiTheme="majorBidi" w:cstheme="majorBidi"/>
          <w:b/>
          <w:sz w:val="24"/>
        </w:rPr>
        <w:t>5)</w:t>
      </w:r>
      <w:r w:rsidRPr="005F340F">
        <w:rPr>
          <w:rFonts w:asciiTheme="majorBidi" w:hAnsiTheme="majorBidi" w:cstheme="majorBidi"/>
          <w:sz w:val="24"/>
          <w:szCs w:val="24"/>
        </w:rPr>
        <w:t xml:space="preserve"> and the </w:t>
      </w:r>
      <w:r w:rsidR="00C33321" w:rsidRPr="005F340F">
        <w:rPr>
          <w:rFonts w:asciiTheme="majorBidi" w:hAnsiTheme="majorBidi" w:cstheme="majorBidi"/>
          <w:sz w:val="24"/>
          <w:szCs w:val="24"/>
        </w:rPr>
        <w:t>co</w:t>
      </w:r>
      <w:r w:rsidRPr="005F340F">
        <w:rPr>
          <w:rFonts w:asciiTheme="majorBidi" w:hAnsiTheme="majorBidi" w:cstheme="majorBidi"/>
          <w:sz w:val="24"/>
          <w:szCs w:val="24"/>
        </w:rPr>
        <w:t xml:space="preserve">-crystallized ligand and saved </w:t>
      </w:r>
      <w:commentRangeEnd w:id="35"/>
      <w:r w:rsidR="00A3346B">
        <w:rPr>
          <w:rStyle w:val="CommentReference"/>
          <w:rFonts w:ascii="Calibri" w:eastAsia="Calibri" w:hAnsi="Calibri" w:cs="Arial"/>
          <w:lang w:eastAsia="en-US"/>
        </w:rPr>
        <w:commentReference w:id="35"/>
      </w:r>
      <w:r w:rsidR="00C33321" w:rsidRPr="005F340F">
        <w:rPr>
          <w:rFonts w:asciiTheme="majorBidi" w:hAnsiTheme="majorBidi" w:cstheme="majorBidi"/>
          <w:sz w:val="24"/>
          <w:szCs w:val="24"/>
        </w:rPr>
        <w:t xml:space="preserve">in the </w:t>
      </w:r>
      <w:r w:rsidRPr="005F340F">
        <w:rPr>
          <w:rFonts w:asciiTheme="majorBidi" w:hAnsiTheme="majorBidi" w:cstheme="majorBidi"/>
          <w:sz w:val="24"/>
          <w:szCs w:val="24"/>
        </w:rPr>
        <w:t xml:space="preserve">SDF format. </w:t>
      </w:r>
      <w:r w:rsidR="00C33321" w:rsidRPr="005F340F">
        <w:rPr>
          <w:rFonts w:asciiTheme="majorBidi" w:hAnsiTheme="majorBidi" w:cstheme="majorBidi"/>
          <w:sz w:val="24"/>
          <w:szCs w:val="24"/>
        </w:rPr>
        <w:t>Next</w:t>
      </w:r>
      <w:r w:rsidRPr="005F340F">
        <w:rPr>
          <w:rFonts w:asciiTheme="majorBidi" w:hAnsiTheme="majorBidi" w:cstheme="majorBidi"/>
          <w:sz w:val="24"/>
          <w:szCs w:val="24"/>
        </w:rPr>
        <w:t xml:space="preserve">, </w:t>
      </w:r>
      <w:r w:rsidR="00C33321" w:rsidRPr="005F340F">
        <w:rPr>
          <w:rFonts w:asciiTheme="majorBidi" w:hAnsiTheme="majorBidi" w:cstheme="majorBidi"/>
          <w:sz w:val="24"/>
          <w:szCs w:val="24"/>
        </w:rPr>
        <w:t xml:space="preserve">the </w:t>
      </w:r>
      <w:r w:rsidRPr="005F340F">
        <w:rPr>
          <w:rFonts w:asciiTheme="majorBidi" w:hAnsiTheme="majorBidi" w:cstheme="majorBidi"/>
          <w:sz w:val="24"/>
          <w:szCs w:val="24"/>
        </w:rPr>
        <w:t xml:space="preserve">MOE software was used to open </w:t>
      </w:r>
      <w:r w:rsidR="00C33321" w:rsidRPr="005F340F">
        <w:rPr>
          <w:rFonts w:asciiTheme="majorBidi" w:hAnsiTheme="majorBidi" w:cstheme="majorBidi"/>
          <w:sz w:val="24"/>
          <w:szCs w:val="24"/>
        </w:rPr>
        <w:t xml:space="preserve">the </w:t>
      </w:r>
      <w:r w:rsidRPr="005F340F">
        <w:rPr>
          <w:rFonts w:asciiTheme="majorBidi" w:hAnsiTheme="majorBidi" w:cstheme="majorBidi"/>
          <w:sz w:val="24"/>
          <w:szCs w:val="24"/>
        </w:rPr>
        <w:t xml:space="preserve">SDF files, protonate 3D structures, and minimize the energy of the molecules. Low RMSD </w:t>
      </w:r>
      <w:r w:rsidRPr="005F340F">
        <w:rPr>
          <w:rFonts w:asciiTheme="majorBidi" w:hAnsiTheme="majorBidi" w:cstheme="majorBidi"/>
          <w:sz w:val="24"/>
          <w:szCs w:val="24"/>
        </w:rPr>
        <w:lastRenderedPageBreak/>
        <w:t xml:space="preserve">values were accomplished during the validation process via docking </w:t>
      </w:r>
      <w:r w:rsidR="0012329E" w:rsidRPr="005F340F">
        <w:rPr>
          <w:rFonts w:asciiTheme="majorBidi" w:hAnsiTheme="majorBidi" w:cstheme="majorBidi"/>
          <w:sz w:val="24"/>
          <w:szCs w:val="24"/>
        </w:rPr>
        <w:t>of the</w:t>
      </w:r>
      <w:r w:rsidRPr="005F340F">
        <w:rPr>
          <w:rFonts w:asciiTheme="majorBidi" w:hAnsiTheme="majorBidi" w:cstheme="majorBidi"/>
          <w:sz w:val="24"/>
          <w:szCs w:val="24"/>
        </w:rPr>
        <w:t xml:space="preserve"> co-crystallized ligand solely in the target receptor </w:t>
      </w:r>
      <w:r w:rsidR="0053462E" w:rsidRPr="005F340F">
        <w:rPr>
          <w:rFonts w:asciiTheme="majorBidi" w:hAnsiTheme="majorBidi" w:cstheme="majorBidi"/>
          <w:sz w:val="24"/>
          <w:szCs w:val="24"/>
        </w:rPr>
        <w:fldChar w:fldCharType="begin"/>
      </w:r>
      <w:r w:rsidR="008E3957">
        <w:rPr>
          <w:rFonts w:asciiTheme="majorBidi" w:hAnsiTheme="majorBidi" w:cstheme="majorBidi"/>
          <w:sz w:val="24"/>
          <w:szCs w:val="24"/>
        </w:rPr>
        <w:instrText xml:space="preserve"> ADDIN EN.CITE &lt;EndNote&gt;&lt;Cite&gt;&lt;Author&gt;Ibrahim&lt;/Author&gt;&lt;Year&gt;2017&lt;/Year&gt;&lt;RecNum&gt;41&lt;/RecNum&gt;&lt;DisplayText&gt;&lt;style face="superscript"&gt;42, 45&lt;/style&gt;&lt;/DisplayText&gt;&lt;record&gt;&lt;rec-number&gt;41&lt;/rec-number&gt;&lt;foreign-keys&gt;&lt;key app="EN" db-id="de05rdsatra50fexpeavrr9jwrz5vtfp5azt"&gt;41&lt;/key&gt;&lt;/foreign-keys&gt;&lt;ref-type name="Journal Article"&gt;17&lt;/ref-type&gt;&lt;contributors&gt;&lt;authors&gt;&lt;author&gt;Ibrahim, Mohamed K&lt;/author&gt;&lt;author&gt;Eissa, Ibrahim H&lt;/author&gt;&lt;author&gt;Alesawy, Mohamed S&lt;/author&gt;&lt;author&gt;Metwaly, Ahmed M&lt;/author&gt;&lt;author&gt;Radwan, Mohamed M&lt;/author&gt;&lt;author&gt;ElSohly, Mahmoud A&lt;/author&gt;&lt;/authors&gt;&lt;/contributors&gt;&lt;titles&gt;&lt;title&gt;Design, synthesis, molecular modeling and anti-hyperglycemic evaluation of quinazolin-4 (3H)-one derivatives as potential PPARγ and SUR agonists&lt;/title&gt;&lt;secondary-title&gt;Bioorganic &amp;amp; medicinal chemistry&lt;/secondary-title&gt;&lt;/titles&gt;&lt;periodical&gt;&lt;full-title&gt;Bioorganic &amp;amp; medicinal chemistry&lt;/full-title&gt;&lt;/periodical&gt;&lt;pages&gt;4723-4744&lt;/pages&gt;&lt;volume&gt;25&lt;/volume&gt;&lt;number&gt;17&lt;/number&gt;&lt;dates&gt;&lt;year&gt;2017&lt;/year&gt;&lt;/dates&gt;&lt;isbn&gt;0968-0896&lt;/isbn&gt;&lt;urls&gt;&lt;/urls&gt;&lt;/record&gt;&lt;/Cite&gt;&lt;Cite&gt;&lt;Author&gt;Elmetwally&lt;/Author&gt;&lt;Year&gt;2019&lt;/Year&gt;&lt;RecNum&gt;44&lt;/RecNum&gt;&lt;record&gt;&lt;rec-number&gt;44&lt;/rec-number&gt;&lt;foreign-keys&gt;&lt;key app="EN" db-id="de05rdsatra50fexpeavrr9jwrz5vtfp5azt"&gt;44&lt;/key&gt;&lt;/foreign-keys&gt;&lt;ref-type name="Journal Article"&gt;17&lt;/ref-type&gt;&lt;contributors&gt;&lt;authors&gt;&lt;author&gt;Elmetwally, Souad A&lt;/author&gt;&lt;author&gt;Saied, Khaled F&lt;/author&gt;&lt;author&gt;Eissa, Ibrahim H&lt;/author&gt;&lt;author&gt;Elkaeed, Eslam B&lt;/author&gt;&lt;/authors&gt;&lt;/contributors&gt;&lt;titles&gt;&lt;title&gt;Design, synthesis and anticancer evaluation of thieno [2, 3-d] pyrimidine derivatives as dual EGFR/HER2 inhibitors and apoptosis inducers&lt;/title&gt;&lt;secondary-title&gt;Bioorganic chemistry&lt;/secondary-title&gt;&lt;/titles&gt;&lt;periodical&gt;&lt;full-title&gt;Bioorganic chemistry&lt;/full-title&gt;&lt;/periodical&gt;&lt;pages&gt;102944&lt;/pages&gt;&lt;volume&gt;88&lt;/volume&gt;&lt;dates&gt;&lt;year&gt;2019&lt;/year&gt;&lt;/dates&gt;&lt;isbn&gt;0045-2068&lt;/isbn&gt;&lt;urls&gt;&lt;/urls&gt;&lt;/record&gt;&lt;/Cite&gt;&lt;/EndNote&gt;</w:instrText>
      </w:r>
      <w:r w:rsidR="0053462E" w:rsidRPr="005F340F">
        <w:rPr>
          <w:rFonts w:asciiTheme="majorBidi" w:hAnsiTheme="majorBidi" w:cstheme="majorBidi"/>
          <w:sz w:val="24"/>
          <w:szCs w:val="24"/>
        </w:rPr>
        <w:fldChar w:fldCharType="separate"/>
      </w:r>
      <w:hyperlink w:anchor="_ENREF_42" w:tooltip="Ibrahim, 2017 #41" w:history="1">
        <w:r w:rsidR="0012746E" w:rsidRPr="008E3957">
          <w:rPr>
            <w:rFonts w:asciiTheme="majorBidi" w:hAnsiTheme="majorBidi" w:cstheme="majorBidi"/>
            <w:noProof/>
            <w:sz w:val="24"/>
            <w:szCs w:val="24"/>
            <w:vertAlign w:val="superscript"/>
          </w:rPr>
          <w:t>42</w:t>
        </w:r>
      </w:hyperlink>
      <w:r w:rsidR="008E3957" w:rsidRPr="008E3957">
        <w:rPr>
          <w:rFonts w:asciiTheme="majorBidi" w:hAnsiTheme="majorBidi" w:cstheme="majorBidi"/>
          <w:noProof/>
          <w:sz w:val="24"/>
          <w:szCs w:val="24"/>
          <w:vertAlign w:val="superscript"/>
        </w:rPr>
        <w:t xml:space="preserve">, </w:t>
      </w:r>
      <w:hyperlink w:anchor="_ENREF_45" w:tooltip="Elmetwally, 2019 #44" w:history="1">
        <w:r w:rsidR="0012746E" w:rsidRPr="008E3957">
          <w:rPr>
            <w:rFonts w:asciiTheme="majorBidi" w:hAnsiTheme="majorBidi" w:cstheme="majorBidi"/>
            <w:noProof/>
            <w:sz w:val="24"/>
            <w:szCs w:val="24"/>
            <w:vertAlign w:val="superscript"/>
          </w:rPr>
          <w:t>45</w:t>
        </w:r>
      </w:hyperlink>
      <w:r w:rsidR="0053462E" w:rsidRPr="005F340F">
        <w:rPr>
          <w:rFonts w:asciiTheme="majorBidi" w:hAnsiTheme="majorBidi" w:cstheme="majorBidi"/>
          <w:sz w:val="24"/>
          <w:szCs w:val="24"/>
        </w:rPr>
        <w:fldChar w:fldCharType="end"/>
      </w:r>
      <w:r w:rsidRPr="005F340F">
        <w:rPr>
          <w:rFonts w:asciiTheme="majorBidi" w:hAnsiTheme="majorBidi" w:cstheme="majorBidi"/>
          <w:sz w:val="24"/>
          <w:szCs w:val="24"/>
        </w:rPr>
        <w:t>. The default protocol was followed</w:t>
      </w:r>
      <w:r w:rsidR="0012329E" w:rsidRPr="005F340F">
        <w:rPr>
          <w:rFonts w:asciiTheme="majorBidi" w:hAnsiTheme="majorBidi" w:cstheme="majorBidi"/>
          <w:sz w:val="24"/>
          <w:szCs w:val="24"/>
        </w:rPr>
        <w:t xml:space="preserve">;in </w:t>
      </w:r>
      <w:r w:rsidRPr="005F340F">
        <w:rPr>
          <w:rFonts w:asciiTheme="majorBidi" w:hAnsiTheme="majorBidi" w:cstheme="majorBidi"/>
          <w:sz w:val="24"/>
          <w:szCs w:val="24"/>
        </w:rPr>
        <w:t>each case, we generated 30 docked structures using genetic algorithm searches</w:t>
      </w:r>
      <w:r w:rsidR="0012329E" w:rsidRPr="005F340F">
        <w:rPr>
          <w:rFonts w:asciiTheme="majorBidi" w:hAnsiTheme="majorBidi" w:cstheme="majorBidi"/>
          <w:sz w:val="24"/>
          <w:szCs w:val="24"/>
        </w:rPr>
        <w:t>, followed by the visualization of</w:t>
      </w:r>
      <w:r w:rsidRPr="005F340F">
        <w:rPr>
          <w:rFonts w:asciiTheme="majorBidi" w:hAnsiTheme="majorBidi" w:cstheme="majorBidi"/>
          <w:sz w:val="24"/>
          <w:szCs w:val="24"/>
        </w:rPr>
        <w:t xml:space="preserve"> the output from </w:t>
      </w:r>
      <w:r w:rsidR="0012329E" w:rsidRPr="005F340F">
        <w:rPr>
          <w:rFonts w:asciiTheme="majorBidi" w:hAnsiTheme="majorBidi" w:cstheme="majorBidi"/>
          <w:sz w:val="24"/>
          <w:szCs w:val="24"/>
        </w:rPr>
        <w:t xml:space="preserve">the </w:t>
      </w:r>
      <w:r w:rsidRPr="005F340F">
        <w:rPr>
          <w:rFonts w:asciiTheme="majorBidi" w:hAnsiTheme="majorBidi" w:cstheme="majorBidi"/>
          <w:sz w:val="24"/>
          <w:szCs w:val="24"/>
        </w:rPr>
        <w:t>MOE software</w:t>
      </w:r>
      <w:r w:rsidR="0012329E" w:rsidRPr="005F340F">
        <w:rPr>
          <w:rFonts w:asciiTheme="majorBidi" w:hAnsiTheme="majorBidi" w:cstheme="majorBidi"/>
          <w:sz w:val="24"/>
          <w:szCs w:val="24"/>
        </w:rPr>
        <w:t>,</w:t>
      </w:r>
      <w:r w:rsidRPr="005F340F">
        <w:rPr>
          <w:rFonts w:asciiTheme="majorBidi" w:hAnsiTheme="majorBidi" w:cstheme="majorBidi"/>
          <w:sz w:val="24"/>
          <w:szCs w:val="24"/>
        </w:rPr>
        <w:t xml:space="preserve"> as visualized </w:t>
      </w:r>
      <w:r w:rsidR="0012329E" w:rsidRPr="005F340F">
        <w:rPr>
          <w:rFonts w:asciiTheme="majorBidi" w:hAnsiTheme="majorBidi" w:cstheme="majorBidi"/>
          <w:sz w:val="24"/>
          <w:szCs w:val="24"/>
        </w:rPr>
        <w:t xml:space="preserve">using the </w:t>
      </w:r>
      <w:r w:rsidRPr="005F340F">
        <w:rPr>
          <w:rFonts w:asciiTheme="majorBidi" w:hAnsiTheme="majorBidi" w:cstheme="majorBidi"/>
          <w:sz w:val="24"/>
          <w:szCs w:val="24"/>
        </w:rPr>
        <w:t xml:space="preserve">Discovery </w:t>
      </w:r>
      <w:r w:rsidR="00614DBD" w:rsidRPr="005F340F">
        <w:rPr>
          <w:rFonts w:asciiTheme="majorBidi" w:hAnsiTheme="majorBidi" w:cstheme="majorBidi"/>
          <w:sz w:val="24"/>
          <w:szCs w:val="24"/>
        </w:rPr>
        <w:t>s</w:t>
      </w:r>
      <w:r w:rsidRPr="005F340F">
        <w:rPr>
          <w:rFonts w:asciiTheme="majorBidi" w:hAnsiTheme="majorBidi" w:cstheme="majorBidi"/>
          <w:sz w:val="24"/>
          <w:szCs w:val="24"/>
        </w:rPr>
        <w:t xml:space="preserve">tudio 4.0 software </w:t>
      </w:r>
      <w:r w:rsidR="0053462E" w:rsidRPr="005F340F">
        <w:rPr>
          <w:rFonts w:asciiTheme="majorBidi" w:hAnsiTheme="majorBidi" w:cstheme="majorBidi"/>
          <w:sz w:val="24"/>
          <w:szCs w:val="24"/>
        </w:rPr>
        <w:fldChar w:fldCharType="begin">
          <w:fldData xml:space="preserve">PEVuZE5vdGU+PENpdGU+PEF1dGhvcj5NYWhkeTwvQXV0aG9yPjxZZWFyPjIwMjA8L1llYXI+PFJl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</w:fldData>
        </w:fldChar>
      </w:r>
      <w:r w:rsidR="008E3957">
        <w:rPr>
          <w:rFonts w:asciiTheme="majorBidi" w:hAnsiTheme="majorBidi" w:cstheme="majorBidi"/>
          <w:sz w:val="24"/>
          <w:szCs w:val="24"/>
        </w:rPr>
        <w:instrText xml:space="preserve"> ADDIN EN.CITE </w:instrText>
      </w:r>
      <w:r w:rsidR="0053462E">
        <w:rPr>
          <w:rFonts w:asciiTheme="majorBidi" w:hAnsiTheme="majorBidi" w:cstheme="majorBidi"/>
          <w:sz w:val="24"/>
          <w:szCs w:val="24"/>
        </w:rPr>
        <w:fldChar w:fldCharType="begin">
          <w:fldData xml:space="preserve">PEVuZE5vdGU+PENpdGU+PEF1dGhvcj5NYWhkeTwvQXV0aG9yPjxZZWFyPjIwMjA8L1llYXI+PFJl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</w:fldData>
        </w:fldChar>
      </w:r>
      <w:r w:rsidR="008E3957">
        <w:rPr>
          <w:rFonts w:asciiTheme="majorBidi" w:hAnsiTheme="majorBidi" w:cstheme="majorBidi"/>
          <w:sz w:val="24"/>
          <w:szCs w:val="24"/>
        </w:rPr>
        <w:instrText xml:space="preserve"> ADDIN EN.CITE.DATA </w:instrText>
      </w:r>
      <w:r w:rsidR="0053462E">
        <w:rPr>
          <w:rFonts w:asciiTheme="majorBidi" w:hAnsiTheme="majorBidi" w:cstheme="majorBidi"/>
          <w:sz w:val="24"/>
          <w:szCs w:val="24"/>
        </w:rPr>
      </w:r>
      <w:r w:rsidR="0053462E">
        <w:rPr>
          <w:rFonts w:asciiTheme="majorBidi" w:hAnsiTheme="majorBidi" w:cstheme="majorBidi"/>
          <w:sz w:val="24"/>
          <w:szCs w:val="24"/>
        </w:rPr>
        <w:fldChar w:fldCharType="end"/>
      </w:r>
      <w:r w:rsidR="0053462E" w:rsidRPr="005F340F">
        <w:rPr>
          <w:rFonts w:asciiTheme="majorBidi" w:hAnsiTheme="majorBidi" w:cstheme="majorBidi"/>
          <w:sz w:val="24"/>
          <w:szCs w:val="24"/>
        </w:rPr>
      </w:r>
      <w:r w:rsidR="0053462E" w:rsidRPr="005F340F">
        <w:rPr>
          <w:rFonts w:asciiTheme="majorBidi" w:hAnsiTheme="majorBidi" w:cstheme="majorBidi"/>
          <w:sz w:val="24"/>
          <w:szCs w:val="24"/>
        </w:rPr>
        <w:fldChar w:fldCharType="separate"/>
      </w:r>
      <w:hyperlink w:anchor="_ENREF_41" w:tooltip="El-Zahabi, 2019 #40" w:history="1">
        <w:r w:rsidR="0012746E" w:rsidRPr="008E3957">
          <w:rPr>
            <w:rFonts w:asciiTheme="majorBidi" w:hAnsiTheme="majorBidi" w:cstheme="majorBidi"/>
            <w:noProof/>
            <w:sz w:val="24"/>
            <w:szCs w:val="24"/>
            <w:vertAlign w:val="superscript"/>
          </w:rPr>
          <w:t>41</w:t>
        </w:r>
      </w:hyperlink>
      <w:r w:rsidR="008E3957" w:rsidRPr="008E3957">
        <w:rPr>
          <w:rFonts w:asciiTheme="majorBidi" w:hAnsiTheme="majorBidi" w:cstheme="majorBidi"/>
          <w:noProof/>
          <w:sz w:val="24"/>
          <w:szCs w:val="24"/>
          <w:vertAlign w:val="superscript"/>
        </w:rPr>
        <w:t xml:space="preserve">, </w:t>
      </w:r>
      <w:hyperlink w:anchor="_ENREF_46" w:tooltip="Mahdy, 2020 #45" w:history="1">
        <w:r w:rsidR="0012746E" w:rsidRPr="008E3957">
          <w:rPr>
            <w:rFonts w:asciiTheme="majorBidi" w:hAnsiTheme="majorBidi" w:cstheme="majorBidi"/>
            <w:noProof/>
            <w:sz w:val="24"/>
            <w:szCs w:val="24"/>
            <w:vertAlign w:val="superscript"/>
          </w:rPr>
          <w:t>46</w:t>
        </w:r>
      </w:hyperlink>
      <w:r w:rsidR="0053462E" w:rsidRPr="005F340F">
        <w:rPr>
          <w:rFonts w:asciiTheme="majorBidi" w:hAnsiTheme="majorBidi" w:cstheme="majorBidi"/>
          <w:sz w:val="24"/>
          <w:szCs w:val="24"/>
        </w:rPr>
        <w:fldChar w:fldCharType="end"/>
      </w:r>
      <w:r w:rsidRPr="005F340F">
        <w:rPr>
          <w:rFonts w:asciiTheme="majorBidi" w:hAnsiTheme="majorBidi" w:cstheme="majorBidi"/>
          <w:sz w:val="24"/>
          <w:szCs w:val="24"/>
        </w:rPr>
        <w:t>.</w:t>
      </w:r>
    </w:p>
    <w:p w:rsidR="005D5BAD" w:rsidRPr="005F340F" w:rsidRDefault="0012329E" w:rsidP="00BA7A26">
      <w:pPr>
        <w:numPr>
          <w:ilvl w:val="1"/>
          <w:numId w:val="16"/>
        </w:numPr>
        <w:spacing w:line="276" w:lineRule="auto"/>
        <w:ind w:left="0" w:firstLine="0"/>
        <w:rPr>
          <w:rFonts w:asciiTheme="majorBidi" w:hAnsiTheme="majorBidi" w:cstheme="majorBidi"/>
          <w:b/>
          <w:bCs/>
          <w:sz w:val="24"/>
          <w:szCs w:val="24"/>
        </w:rPr>
      </w:pPr>
      <w:commentRangeStart w:id="36"/>
      <w:r w:rsidRPr="005F340F">
        <w:rPr>
          <w:rFonts w:asciiTheme="majorBidi" w:hAnsiTheme="majorBidi" w:cstheme="majorBidi"/>
          <w:b/>
          <w:bCs/>
          <w:sz w:val="24"/>
          <w:szCs w:val="24"/>
        </w:rPr>
        <w:t>Physico</w:t>
      </w:r>
      <w:r w:rsidR="005D5BAD" w:rsidRPr="005F340F">
        <w:rPr>
          <w:rFonts w:asciiTheme="majorBidi" w:hAnsiTheme="majorBidi" w:cstheme="majorBidi"/>
          <w:b/>
          <w:bCs/>
          <w:sz w:val="24"/>
          <w:szCs w:val="24"/>
        </w:rPr>
        <w:t>chemical properties</w:t>
      </w:r>
    </w:p>
    <w:p w:rsidR="005D5BAD" w:rsidRPr="005F340F" w:rsidRDefault="005D5BAD"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Discovery studio 4.0 was used to determine the </w:t>
      </w:r>
      <w:r w:rsidR="0012329E" w:rsidRPr="005F340F">
        <w:rPr>
          <w:rFonts w:asciiTheme="majorBidi" w:hAnsiTheme="majorBidi" w:cstheme="majorBidi"/>
          <w:sz w:val="24"/>
          <w:szCs w:val="24"/>
        </w:rPr>
        <w:t>physico</w:t>
      </w:r>
      <w:r w:rsidRPr="005F340F">
        <w:rPr>
          <w:rFonts w:asciiTheme="majorBidi" w:hAnsiTheme="majorBidi" w:cstheme="majorBidi"/>
          <w:sz w:val="24"/>
          <w:szCs w:val="24"/>
        </w:rPr>
        <w:t xml:space="preserve">chemical properties of compounds </w:t>
      </w:r>
      <w:r w:rsidRPr="005F340F">
        <w:rPr>
          <w:rFonts w:asciiTheme="majorBidi" w:hAnsiTheme="majorBidi" w:cstheme="majorBidi"/>
          <w:b/>
          <w:sz w:val="24"/>
        </w:rPr>
        <w:t>(</w:t>
      </w:r>
      <w:r w:rsidRPr="005F340F">
        <w:rPr>
          <w:rFonts w:asciiTheme="majorBidi" w:hAnsiTheme="majorBidi" w:cstheme="majorBidi"/>
          <w:b/>
          <w:bCs/>
          <w:sz w:val="24"/>
          <w:szCs w:val="24"/>
        </w:rPr>
        <w:t>1</w:t>
      </w:r>
      <w:r w:rsidR="0012329E" w:rsidRPr="005F340F">
        <w:rPr>
          <w:rFonts w:asciiTheme="majorBidi" w:hAnsiTheme="majorBidi" w:cstheme="majorBidi"/>
          <w:b/>
          <w:bCs/>
          <w:sz w:val="24"/>
          <w:szCs w:val="24"/>
        </w:rPr>
        <w:t>–</w:t>
      </w:r>
      <w:r w:rsidRPr="005F340F">
        <w:rPr>
          <w:rFonts w:asciiTheme="majorBidi" w:hAnsiTheme="majorBidi" w:cstheme="majorBidi"/>
          <w:b/>
          <w:bCs/>
          <w:sz w:val="24"/>
          <w:szCs w:val="24"/>
        </w:rPr>
        <w:t>5</w:t>
      </w:r>
      <w:r w:rsidRPr="005F340F">
        <w:rPr>
          <w:rFonts w:asciiTheme="majorBidi" w:hAnsiTheme="majorBidi" w:cstheme="majorBidi"/>
          <w:b/>
          <w:sz w:val="24"/>
        </w:rPr>
        <w:t>)</w:t>
      </w:r>
      <w:r w:rsidRPr="005F340F">
        <w:rPr>
          <w:rFonts w:asciiTheme="majorBidi" w:hAnsiTheme="majorBidi" w:cstheme="majorBidi"/>
          <w:sz w:val="24"/>
          <w:szCs w:val="24"/>
        </w:rPr>
        <w:t>. At</w:t>
      </w:r>
      <w:r w:rsidR="0012329E" w:rsidRPr="005F340F">
        <w:rPr>
          <w:rFonts w:asciiTheme="majorBidi" w:hAnsiTheme="majorBidi" w:cstheme="majorBidi"/>
          <w:sz w:val="24"/>
          <w:szCs w:val="24"/>
        </w:rPr>
        <w:t xml:space="preserve"> the</w:t>
      </w:r>
      <w:r w:rsidRPr="005F340F">
        <w:rPr>
          <w:rFonts w:asciiTheme="majorBidi" w:hAnsiTheme="majorBidi" w:cstheme="majorBidi"/>
          <w:sz w:val="24"/>
          <w:szCs w:val="24"/>
        </w:rPr>
        <w:t xml:space="preserve"> start, we implemented the CHARMM force field</w:t>
      </w:r>
      <w:r w:rsidR="0012329E" w:rsidRPr="005F340F">
        <w:rPr>
          <w:rFonts w:asciiTheme="majorBidi" w:hAnsiTheme="majorBidi" w:cstheme="majorBidi"/>
          <w:sz w:val="24"/>
          <w:szCs w:val="24"/>
        </w:rPr>
        <w:t>,</w:t>
      </w:r>
      <w:r w:rsidR="00D763C1" w:rsidRPr="005F340F">
        <w:rPr>
          <w:rFonts w:asciiTheme="majorBidi" w:hAnsiTheme="majorBidi" w:cstheme="majorBidi"/>
          <w:sz w:val="24"/>
          <w:szCs w:val="24"/>
        </w:rPr>
        <w:t>and then</w:t>
      </w:r>
      <w:r w:rsidR="0012329E" w:rsidRPr="005F340F">
        <w:rPr>
          <w:rFonts w:asciiTheme="majorBidi" w:hAnsiTheme="majorBidi" w:cstheme="majorBidi"/>
          <w:sz w:val="24"/>
          <w:szCs w:val="24"/>
        </w:rPr>
        <w:t>a small</w:t>
      </w:r>
      <w:r w:rsidR="00957C14" w:rsidRPr="005F340F">
        <w:rPr>
          <w:rFonts w:asciiTheme="majorBidi" w:hAnsiTheme="majorBidi" w:cstheme="majorBidi"/>
          <w:sz w:val="24"/>
          <w:szCs w:val="24"/>
        </w:rPr>
        <w:t xml:space="preserve"> molecule</w:t>
      </w:r>
      <w:r w:rsidRPr="005F340F">
        <w:rPr>
          <w:rFonts w:asciiTheme="majorBidi" w:hAnsiTheme="majorBidi" w:cstheme="majorBidi"/>
          <w:sz w:val="24"/>
          <w:szCs w:val="24"/>
        </w:rPr>
        <w:t xml:space="preserve"> protocol was used to prepare and minimize the compounds. The different parameters </w:t>
      </w:r>
      <w:r w:rsidR="0012329E" w:rsidRPr="005F340F">
        <w:rPr>
          <w:rFonts w:asciiTheme="majorBidi" w:hAnsiTheme="majorBidi" w:cstheme="majorBidi"/>
          <w:sz w:val="24"/>
          <w:szCs w:val="24"/>
        </w:rPr>
        <w:t xml:space="preserve">used here </w:t>
      </w:r>
      <w:r w:rsidRPr="005F340F">
        <w:rPr>
          <w:rFonts w:asciiTheme="majorBidi" w:hAnsiTheme="majorBidi" w:cstheme="majorBidi"/>
          <w:sz w:val="24"/>
          <w:szCs w:val="24"/>
        </w:rPr>
        <w:t xml:space="preserve">were calculated from </w:t>
      </w:r>
      <w:r w:rsidR="0012329E" w:rsidRPr="005F340F">
        <w:rPr>
          <w:rFonts w:asciiTheme="majorBidi" w:hAnsiTheme="majorBidi" w:cstheme="majorBidi"/>
          <w:sz w:val="24"/>
          <w:szCs w:val="24"/>
        </w:rPr>
        <w:t>the</w:t>
      </w:r>
      <w:r w:rsidRPr="005F340F">
        <w:rPr>
          <w:rFonts w:asciiTheme="majorBidi" w:hAnsiTheme="majorBidi" w:cstheme="majorBidi"/>
          <w:sz w:val="24"/>
          <w:szCs w:val="24"/>
        </w:rPr>
        <w:t xml:space="preserve"> molecular properties </w:t>
      </w:r>
      <w:r w:rsidR="00D763C1" w:rsidRPr="005F340F">
        <w:rPr>
          <w:rFonts w:asciiTheme="majorBidi" w:hAnsiTheme="majorBidi" w:cstheme="majorBidi"/>
          <w:sz w:val="24"/>
          <w:szCs w:val="24"/>
        </w:rPr>
        <w:t>of</w:t>
      </w:r>
      <w:r w:rsidR="00C25A90" w:rsidRPr="005F340F">
        <w:rPr>
          <w:rFonts w:asciiTheme="majorBidi" w:hAnsiTheme="majorBidi" w:cstheme="majorBidi"/>
          <w:sz w:val="24"/>
          <w:szCs w:val="24"/>
        </w:rPr>
        <w:t xml:space="preserve">the </w:t>
      </w:r>
      <w:r w:rsidRPr="005F340F">
        <w:rPr>
          <w:rFonts w:asciiTheme="majorBidi" w:hAnsiTheme="majorBidi" w:cstheme="majorBidi"/>
          <w:sz w:val="24"/>
          <w:szCs w:val="24"/>
        </w:rPr>
        <w:t xml:space="preserve">small molecule protocol </w:t>
      </w:r>
      <w:hyperlink w:anchor="_ENREF_44" w:tooltip="El-Gamal, 2018 #43"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&lt;EndNote&gt;&lt;Cite&gt;&lt;Author&gt;El-Gamal&lt;/Author&gt;&lt;Year&gt;2018&lt;/Year&gt;&lt;RecNum&gt;43&lt;/RecNum&gt;&lt;DisplayText&gt;&lt;style face="superscript"&gt;44&lt;/style&gt;&lt;/DisplayText&gt;&lt;record&gt;&lt;rec-number&gt;43&lt;/rec-number&gt;&lt;foreign-keys&gt;&lt;key app="EN" db-id="de05rdsatra50fexpeavrr9jwrz5vtfp5azt"&gt;43&lt;/key&gt;&lt;/foreign-keys&gt;&lt;ref-type name="Journal Article"&gt;17&lt;/ref-type&gt;&lt;contributors&gt;&lt;authors&gt;&lt;author&gt;El-Gamal, Kamal M&lt;/author&gt;&lt;author&gt;El-Morsy, Ahmed M&lt;/author&gt;&lt;author&gt;Saad, Ahmad M&lt;/author&gt;&lt;author&gt;Eissa, Ibrahim H&lt;/author&gt;&lt;author&gt;Alswah, Mohamed&lt;/author&gt;&lt;/authors&gt;&lt;/contributors&gt;&lt;titles&gt;&lt;title&gt;Synthesis, docking, QSAR, ADMET and antimicrobial evaluation of new quinoline-3-carbonitrile derivatives as potential DNA-gyrase inhibitors&lt;/title&gt;&lt;secondary-title&gt;Journal of Molecular Structure&lt;/secondary-title&gt;&lt;/titles&gt;&lt;periodical&gt;&lt;full-title&gt;Journal of Molecular Structure&lt;/full-title&gt;&lt;/periodical&gt;&lt;pages&gt;15-33&lt;/pages&gt;&lt;volume&gt;1166&lt;/volume&gt;&lt;dates&gt;&lt;year&gt;2018&lt;/year&gt;&lt;/dates&gt;&lt;isbn&gt;0022-2860&lt;/isbn&gt;&lt;urls&gt;&lt;/urls&gt;&lt;/record&gt;&lt;/Cite&gt;&lt;/EndNote&gt;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44</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w:t>
      </w:r>
    </w:p>
    <w:p w:rsidR="005D5BAD" w:rsidRPr="005F340F" w:rsidRDefault="005D5BAD" w:rsidP="00BA7A26">
      <w:pPr>
        <w:pStyle w:val="ListParagraph"/>
        <w:numPr>
          <w:ilvl w:val="1"/>
          <w:numId w:val="16"/>
        </w:numPr>
        <w:rPr>
          <w:rFonts w:asciiTheme="majorBidi" w:hAnsiTheme="majorBidi" w:cstheme="majorBidi"/>
          <w:b/>
          <w:bCs/>
          <w:sz w:val="24"/>
          <w:szCs w:val="24"/>
        </w:rPr>
      </w:pPr>
      <w:r w:rsidRPr="005F340F">
        <w:rPr>
          <w:rFonts w:asciiTheme="majorBidi" w:hAnsiTheme="majorBidi" w:cstheme="majorBidi"/>
          <w:b/>
          <w:bCs/>
          <w:sz w:val="24"/>
          <w:szCs w:val="24"/>
        </w:rPr>
        <w:t>Cell Culture</w:t>
      </w:r>
    </w:p>
    <w:p w:rsidR="00A85861" w:rsidRPr="005F340F" w:rsidRDefault="005D5BAD"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Nawah Scientific Inc. (Mokatam, Cairo, Egypt) supplied the H</w:t>
      </w:r>
      <w:r w:rsidR="00614DBD" w:rsidRPr="005F340F">
        <w:rPr>
          <w:rFonts w:asciiTheme="majorBidi" w:hAnsiTheme="majorBidi" w:cstheme="majorBidi"/>
          <w:sz w:val="24"/>
          <w:szCs w:val="24"/>
        </w:rPr>
        <w:t>SF</w:t>
      </w:r>
      <w:r w:rsidRPr="005F340F">
        <w:rPr>
          <w:rFonts w:asciiTheme="majorBidi" w:hAnsiTheme="majorBidi" w:cstheme="majorBidi"/>
          <w:sz w:val="24"/>
          <w:szCs w:val="24"/>
        </w:rPr>
        <w:t xml:space="preserve"> cell line. Cells were maintained in DMEM </w:t>
      </w:r>
      <w:r w:rsidR="0012329E" w:rsidRPr="005F340F">
        <w:rPr>
          <w:rFonts w:asciiTheme="majorBidi" w:hAnsiTheme="majorBidi" w:cstheme="majorBidi"/>
          <w:sz w:val="24"/>
          <w:szCs w:val="24"/>
        </w:rPr>
        <w:t xml:space="preserve">medium </w:t>
      </w:r>
      <w:r w:rsidRPr="005F340F">
        <w:rPr>
          <w:rFonts w:asciiTheme="majorBidi" w:hAnsiTheme="majorBidi" w:cstheme="majorBidi"/>
          <w:sz w:val="24"/>
          <w:szCs w:val="24"/>
        </w:rPr>
        <w:t xml:space="preserve">supplemented with 100 mg/mL of streptomycin, 100 </w:t>
      </w:r>
      <w:r w:rsidR="0012329E" w:rsidRPr="005F340F">
        <w:rPr>
          <w:rFonts w:asciiTheme="majorBidi" w:hAnsiTheme="majorBidi" w:cstheme="majorBidi"/>
          <w:sz w:val="24"/>
          <w:szCs w:val="24"/>
        </w:rPr>
        <w:t>U</w:t>
      </w:r>
      <w:r w:rsidRPr="005F340F">
        <w:rPr>
          <w:rFonts w:asciiTheme="majorBidi" w:hAnsiTheme="majorBidi" w:cstheme="majorBidi"/>
          <w:sz w:val="24"/>
          <w:szCs w:val="24"/>
        </w:rPr>
        <w:t>/mL of penicillin</w:t>
      </w:r>
      <w:r w:rsidR="0012329E" w:rsidRPr="005F340F">
        <w:rPr>
          <w:rFonts w:asciiTheme="majorBidi" w:hAnsiTheme="majorBidi" w:cstheme="majorBidi"/>
          <w:sz w:val="24"/>
          <w:szCs w:val="24"/>
        </w:rPr>
        <w:t>,</w:t>
      </w:r>
      <w:r w:rsidRPr="005F340F">
        <w:rPr>
          <w:rFonts w:asciiTheme="majorBidi" w:hAnsiTheme="majorBidi" w:cstheme="majorBidi"/>
          <w:sz w:val="24"/>
          <w:szCs w:val="24"/>
        </w:rPr>
        <w:t xml:space="preserve"> and </w:t>
      </w:r>
      <w:commentRangeEnd w:id="36"/>
      <w:r w:rsidR="00A3346B">
        <w:rPr>
          <w:rStyle w:val="CommentReference"/>
          <w:rFonts w:ascii="Calibri" w:eastAsia="Calibri" w:hAnsi="Calibri" w:cs="Arial"/>
          <w:lang w:eastAsia="en-US"/>
        </w:rPr>
        <w:commentReference w:id="36"/>
      </w:r>
      <w:r w:rsidRPr="005F340F">
        <w:rPr>
          <w:rFonts w:asciiTheme="majorBidi" w:hAnsiTheme="majorBidi" w:cstheme="majorBidi"/>
          <w:sz w:val="24"/>
          <w:szCs w:val="24"/>
        </w:rPr>
        <w:t xml:space="preserve">10% heat-inactivated fetal bovine serum in </w:t>
      </w:r>
      <w:r w:rsidR="0012329E" w:rsidRPr="005F340F">
        <w:rPr>
          <w:rFonts w:asciiTheme="majorBidi" w:hAnsiTheme="majorBidi" w:cstheme="majorBidi"/>
          <w:sz w:val="24"/>
          <w:szCs w:val="24"/>
        </w:rPr>
        <w:t xml:space="preserve">a </w:t>
      </w:r>
      <w:r w:rsidRPr="005F340F">
        <w:rPr>
          <w:rFonts w:asciiTheme="majorBidi" w:hAnsiTheme="majorBidi" w:cstheme="majorBidi"/>
          <w:sz w:val="24"/>
          <w:szCs w:val="24"/>
        </w:rPr>
        <w:t>humidified, 5% (v/v) CO</w:t>
      </w:r>
      <w:r w:rsidRPr="005F340F">
        <w:rPr>
          <w:rFonts w:asciiTheme="majorBidi" w:hAnsiTheme="majorBidi" w:cstheme="majorBidi"/>
          <w:sz w:val="24"/>
          <w:szCs w:val="24"/>
          <w:vertAlign w:val="subscript"/>
        </w:rPr>
        <w:t>2</w:t>
      </w:r>
      <w:r w:rsidRPr="005F340F">
        <w:rPr>
          <w:rFonts w:asciiTheme="majorBidi" w:hAnsiTheme="majorBidi" w:cstheme="majorBidi"/>
          <w:sz w:val="24"/>
          <w:szCs w:val="24"/>
        </w:rPr>
        <w:t xml:space="preserve"> atmosphere at 37°C </w:t>
      </w:r>
      <w:hyperlink w:anchor="_ENREF_40" w:tooltip="Ahmed, 2020 #49" w:history="1">
        <w:r w:rsidR="0053462E"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&lt;EndNote&gt;&lt;Cite&gt;&lt;Author&gt;Ahmed&lt;/Author&gt;&lt;Year&gt;2020&lt;/Year&gt;&lt;RecNum&gt;49&lt;/RecNum&gt;&lt;DisplayText&gt;&lt;style face="superscript"&gt;40&lt;/style&gt;&lt;/DisplayText&gt;&lt;record&gt;&lt;rec-number&gt;49&lt;/rec-number&gt;&lt;foreign-keys&gt;&lt;key app="EN" db-id="de05rdsatra50fexpeavrr9jwrz5vtfp5azt"&gt;49&lt;/key&gt;&lt;/foreign-keys&gt;&lt;ref-type name="Journal Article"&gt;17&lt;/ref-type&gt;&lt;contributors&gt;&lt;authors&gt;&lt;author&gt;Ahmed, Rasha M.&lt;/author&gt;&lt;author&gt;Fayed, Marwa A. A.&lt;/author&gt;&lt;author&gt;El-Behairy, Mohammed F.&lt;/author&gt;&lt;author&gt;Abdallah, Inas A.&lt;/author&gt;&lt;/authors&gt;&lt;/contributors&gt;&lt;titles&gt;&lt;title&gt;Identification, isolation, structural characterization, in silico toxicity prediction and in vitro cytotoxicity assay of simeprevir acidic and oxidative degradation products&lt;/title&gt;&lt;secondary-title&gt;RSC Advances&lt;/secondary-title&gt;&lt;/titles&gt;&lt;periodical&gt;&lt;full-title&gt;RSC Advances&lt;/full-title&gt;&lt;/periodical&gt;&lt;pages&gt;42816-42826&lt;/pages&gt;&lt;volume&gt;10&lt;/volume&gt;&lt;number&gt;70&lt;/number&gt;&lt;dates&gt;&lt;year&gt;2020&lt;/year&gt;&lt;/dates&gt;&lt;publisher&gt;The Royal Society of Chemistry&lt;/publisher&gt;&lt;work-type&gt;10.1039/D0RA09253C&lt;/work-type&gt;&lt;urls&gt;&lt;related-urls&gt;&lt;url&gt;http://dx.doi.org/10.1039/D0RA09253C&lt;/url&gt;&lt;/related-urls&gt;&lt;/urls&gt;&lt;electronic-resource-num&gt;10.1039/d0ra09253c&lt;/electronic-resource-num&gt;&lt;/record&gt;&lt;/Cite&gt;&lt;/EndNote&gt;</w:instrText>
        </w:r>
        <w:r w:rsidR="0053462E"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40</w:t>
        </w:r>
        <w:r w:rsidR="0053462E"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w:t>
      </w:r>
    </w:p>
    <w:p w:rsidR="005A6DBF" w:rsidRPr="005F340F" w:rsidRDefault="005A6DBF" w:rsidP="00BA7A26">
      <w:pPr>
        <w:spacing w:line="276" w:lineRule="auto"/>
        <w:rPr>
          <w:rFonts w:asciiTheme="majorBidi" w:hAnsiTheme="majorBidi" w:cstheme="majorBidi"/>
          <w:bCs/>
          <w:sz w:val="24"/>
          <w:szCs w:val="24"/>
        </w:rPr>
      </w:pPr>
      <w:r w:rsidRPr="005F340F">
        <w:rPr>
          <w:rFonts w:asciiTheme="majorBidi" w:hAnsiTheme="majorBidi" w:cstheme="majorBidi"/>
          <w:bCs/>
          <w:sz w:val="24"/>
          <w:szCs w:val="24"/>
        </w:rPr>
        <w:t>*</w:t>
      </w:r>
      <w:r w:rsidRPr="005F340F">
        <w:rPr>
          <w:rFonts w:asciiTheme="majorBidi" w:hAnsiTheme="majorBidi" w:cstheme="majorBidi"/>
          <w:b/>
          <w:sz w:val="24"/>
        </w:rPr>
        <w:t>Declarations</w:t>
      </w:r>
    </w:p>
    <w:p w:rsidR="005A6DBF" w:rsidRPr="005F340F" w:rsidRDefault="005A6DBF" w:rsidP="00BA7A26">
      <w:pPr>
        <w:spacing w:line="276" w:lineRule="auto"/>
        <w:rPr>
          <w:rFonts w:asciiTheme="majorBidi" w:hAnsiTheme="majorBidi" w:cstheme="majorBidi"/>
          <w:bCs/>
          <w:sz w:val="24"/>
          <w:szCs w:val="24"/>
        </w:rPr>
      </w:pPr>
      <w:r w:rsidRPr="0052459B">
        <w:rPr>
          <w:rFonts w:asciiTheme="majorBidi" w:hAnsiTheme="majorBidi" w:cstheme="majorBidi"/>
          <w:b/>
          <w:sz w:val="24"/>
          <w:szCs w:val="24"/>
        </w:rPr>
        <w:t>Funding:</w:t>
      </w:r>
      <w:r w:rsidRPr="005F340F">
        <w:rPr>
          <w:rFonts w:asciiTheme="majorBidi" w:hAnsiTheme="majorBidi" w:cstheme="majorBidi"/>
          <w:bCs/>
          <w:sz w:val="24"/>
          <w:szCs w:val="24"/>
        </w:rPr>
        <w:t>Not applicable</w:t>
      </w:r>
    </w:p>
    <w:p w:rsidR="005A6DBF" w:rsidRPr="005F340F" w:rsidRDefault="005A6DBF" w:rsidP="00BA7A26">
      <w:pPr>
        <w:spacing w:line="276" w:lineRule="auto"/>
        <w:rPr>
          <w:rFonts w:asciiTheme="majorBidi" w:hAnsiTheme="majorBidi" w:cstheme="majorBidi"/>
          <w:bCs/>
          <w:sz w:val="24"/>
          <w:szCs w:val="24"/>
        </w:rPr>
      </w:pPr>
      <w:r w:rsidRPr="0052459B">
        <w:rPr>
          <w:rFonts w:asciiTheme="majorBidi" w:hAnsiTheme="majorBidi" w:cstheme="majorBidi"/>
          <w:b/>
          <w:sz w:val="24"/>
          <w:szCs w:val="24"/>
        </w:rPr>
        <w:t xml:space="preserve">Conflicts of interest/Competing interests: </w:t>
      </w:r>
      <w:r w:rsidR="005E2BD5" w:rsidRPr="005F340F">
        <w:rPr>
          <w:rFonts w:asciiTheme="majorBidi" w:hAnsiTheme="majorBidi" w:cstheme="majorBidi"/>
          <w:bCs/>
          <w:sz w:val="24"/>
          <w:szCs w:val="24"/>
        </w:rPr>
        <w:t>No conflict.</w:t>
      </w:r>
    </w:p>
    <w:p w:rsidR="005A6DBF" w:rsidRPr="005F340F" w:rsidRDefault="005A6DBF" w:rsidP="00BA7A26">
      <w:pPr>
        <w:spacing w:line="276" w:lineRule="auto"/>
        <w:rPr>
          <w:rFonts w:asciiTheme="majorBidi" w:hAnsiTheme="majorBidi" w:cstheme="majorBidi"/>
          <w:bCs/>
          <w:sz w:val="24"/>
          <w:szCs w:val="24"/>
        </w:rPr>
      </w:pPr>
      <w:r w:rsidRPr="0052459B">
        <w:rPr>
          <w:rFonts w:asciiTheme="majorBidi" w:hAnsiTheme="majorBidi" w:cstheme="majorBidi"/>
          <w:b/>
          <w:sz w:val="24"/>
          <w:szCs w:val="24"/>
        </w:rPr>
        <w:t xml:space="preserve">Availability of data and material: </w:t>
      </w:r>
      <w:r w:rsidRPr="005F340F">
        <w:rPr>
          <w:rFonts w:asciiTheme="majorBidi" w:hAnsiTheme="majorBidi" w:cstheme="majorBidi"/>
          <w:bCs/>
          <w:sz w:val="24"/>
          <w:szCs w:val="24"/>
        </w:rPr>
        <w:t xml:space="preserve">Attached supplemental information </w:t>
      </w:r>
    </w:p>
    <w:p w:rsidR="005A6DBF" w:rsidRPr="005F340F" w:rsidRDefault="005A6DBF" w:rsidP="00BA7A26">
      <w:pPr>
        <w:spacing w:line="276" w:lineRule="auto"/>
        <w:rPr>
          <w:rFonts w:asciiTheme="majorBidi" w:hAnsiTheme="majorBidi" w:cstheme="majorBidi"/>
          <w:bCs/>
          <w:sz w:val="24"/>
          <w:szCs w:val="24"/>
        </w:rPr>
      </w:pPr>
      <w:r w:rsidRPr="0052459B">
        <w:rPr>
          <w:rFonts w:asciiTheme="majorBidi" w:hAnsiTheme="majorBidi" w:cstheme="majorBidi"/>
          <w:b/>
          <w:sz w:val="24"/>
          <w:szCs w:val="24"/>
        </w:rPr>
        <w:t>Code availability:</w:t>
      </w:r>
      <w:r w:rsidRPr="005F340F">
        <w:rPr>
          <w:rFonts w:asciiTheme="majorBidi" w:hAnsiTheme="majorBidi" w:cstheme="majorBidi"/>
          <w:bCs/>
          <w:sz w:val="24"/>
          <w:szCs w:val="24"/>
        </w:rPr>
        <w:t>Not applicable</w:t>
      </w:r>
    </w:p>
    <w:p w:rsidR="005A6DBF" w:rsidRDefault="005A6DBF" w:rsidP="00BA7A26">
      <w:pPr>
        <w:spacing w:line="276" w:lineRule="auto"/>
        <w:rPr>
          <w:rFonts w:asciiTheme="majorBidi" w:hAnsiTheme="majorBidi" w:cstheme="majorBidi"/>
          <w:bCs/>
          <w:sz w:val="24"/>
          <w:szCs w:val="24"/>
        </w:rPr>
      </w:pPr>
      <w:r w:rsidRPr="0052459B">
        <w:rPr>
          <w:rFonts w:asciiTheme="majorBidi" w:hAnsiTheme="majorBidi" w:cstheme="majorBidi"/>
          <w:b/>
          <w:sz w:val="24"/>
          <w:szCs w:val="24"/>
        </w:rPr>
        <w:t>Authors' contributions:</w:t>
      </w:r>
      <w:r w:rsidRPr="005F340F">
        <w:rPr>
          <w:rFonts w:asciiTheme="majorBidi" w:hAnsiTheme="majorBidi" w:cstheme="majorBidi"/>
          <w:bCs/>
          <w:sz w:val="24"/>
          <w:szCs w:val="24"/>
        </w:rPr>
        <w:t xml:space="preserve"> M.F.E-B: </w:t>
      </w:r>
      <w:r w:rsidR="005E2BD5" w:rsidRPr="005F340F">
        <w:rPr>
          <w:rFonts w:asciiTheme="majorBidi" w:hAnsiTheme="majorBidi" w:cstheme="majorBidi"/>
          <w:bCs/>
          <w:sz w:val="24"/>
          <w:szCs w:val="24"/>
        </w:rPr>
        <w:t>C</w:t>
      </w:r>
      <w:r w:rsidRPr="005F340F">
        <w:rPr>
          <w:rFonts w:asciiTheme="majorBidi" w:hAnsiTheme="majorBidi" w:cstheme="majorBidi"/>
          <w:bCs/>
          <w:sz w:val="24"/>
          <w:szCs w:val="24"/>
        </w:rPr>
        <w:t xml:space="preserve">onceptualization, Methodology, </w:t>
      </w:r>
      <w:r w:rsidR="005E2BD5" w:rsidRPr="005F340F">
        <w:rPr>
          <w:rFonts w:asciiTheme="majorBidi" w:hAnsiTheme="majorBidi" w:cstheme="majorBidi"/>
          <w:bCs/>
          <w:sz w:val="24"/>
          <w:szCs w:val="24"/>
        </w:rPr>
        <w:t>C</w:t>
      </w:r>
      <w:r w:rsidRPr="005F340F">
        <w:rPr>
          <w:rFonts w:asciiTheme="majorBidi" w:hAnsiTheme="majorBidi" w:cstheme="majorBidi"/>
          <w:bCs/>
          <w:sz w:val="24"/>
          <w:szCs w:val="24"/>
        </w:rPr>
        <w:t xml:space="preserve">orrespondence, M.A.F: conceptualization, writing—original draft preparation, R, M: </w:t>
      </w:r>
      <w:r w:rsidR="00113CE4" w:rsidRPr="005F340F">
        <w:rPr>
          <w:rFonts w:asciiTheme="majorBidi" w:hAnsiTheme="majorBidi" w:cstheme="majorBidi"/>
          <w:bCs/>
          <w:sz w:val="24"/>
          <w:szCs w:val="24"/>
        </w:rPr>
        <w:t xml:space="preserve">data curation, </w:t>
      </w:r>
      <w:r w:rsidRPr="005F340F">
        <w:rPr>
          <w:rFonts w:asciiTheme="majorBidi" w:hAnsiTheme="majorBidi" w:cstheme="majorBidi"/>
          <w:bCs/>
          <w:sz w:val="24"/>
          <w:szCs w:val="24"/>
        </w:rPr>
        <w:t>writing</w:t>
      </w:r>
      <w:r w:rsidR="00113CE4" w:rsidRPr="005F340F">
        <w:rPr>
          <w:rFonts w:asciiTheme="majorBidi" w:hAnsiTheme="majorBidi" w:cstheme="majorBidi"/>
          <w:bCs/>
          <w:sz w:val="24"/>
          <w:szCs w:val="24"/>
        </w:rPr>
        <w:t>-</w:t>
      </w:r>
      <w:r w:rsidRPr="005F340F">
        <w:rPr>
          <w:rFonts w:asciiTheme="majorBidi" w:hAnsiTheme="majorBidi" w:cstheme="majorBidi"/>
          <w:bCs/>
          <w:sz w:val="24"/>
          <w:szCs w:val="24"/>
        </w:rPr>
        <w:t>original draft preparation I, A; Methodology, writing</w:t>
      </w:r>
      <w:r w:rsidR="00113CE4" w:rsidRPr="005F340F">
        <w:rPr>
          <w:rFonts w:asciiTheme="majorBidi" w:hAnsiTheme="majorBidi" w:cstheme="majorBidi"/>
          <w:bCs/>
          <w:sz w:val="24"/>
          <w:szCs w:val="24"/>
        </w:rPr>
        <w:t>-</w:t>
      </w:r>
      <w:r w:rsidRPr="005F340F">
        <w:rPr>
          <w:rFonts w:asciiTheme="majorBidi" w:hAnsiTheme="majorBidi" w:cstheme="majorBidi"/>
          <w:bCs/>
          <w:sz w:val="24"/>
          <w:szCs w:val="24"/>
        </w:rPr>
        <w:t>review and editing.</w:t>
      </w:r>
    </w:p>
    <w:p w:rsidR="00C26602" w:rsidRPr="00E75CD8" w:rsidRDefault="00C26602" w:rsidP="00C26602">
      <w:pPr>
        <w:rPr>
          <w:rFonts w:ascii="Bookman Old Style" w:hAnsi="Bookman Old Style"/>
          <w:b/>
          <w:highlight w:val="yellow"/>
        </w:rPr>
      </w:pPr>
      <w:commentRangeStart w:id="37"/>
      <w:r>
        <w:rPr>
          <w:rFonts w:ascii="Bookman Old Style" w:hAnsi="Bookman Old Style"/>
          <w:b/>
          <w:highlight w:val="yellow"/>
        </w:rPr>
        <w:t>Acknowledgements</w:t>
      </w:r>
      <w:commentRangeEnd w:id="37"/>
      <w:r>
        <w:rPr>
          <w:rStyle w:val="CommentReference"/>
          <w:rFonts w:ascii="Courier" w:hAnsi="Courier" w:cs="Courier"/>
          <w:snapToGrid w:val="0"/>
        </w:rPr>
        <w:commentReference w:id="37"/>
      </w:r>
    </w:p>
    <w:p w:rsidR="00BA7A26" w:rsidRDefault="00BA7A26" w:rsidP="00BA7A26">
      <w:pPr>
        <w:spacing w:line="276" w:lineRule="auto"/>
        <w:rPr>
          <w:rFonts w:asciiTheme="majorBidi" w:hAnsiTheme="majorBidi" w:cstheme="majorBidi"/>
          <w:bCs/>
          <w:sz w:val="24"/>
          <w:szCs w:val="24"/>
        </w:rPr>
      </w:pPr>
    </w:p>
    <w:p w:rsidR="00BA7A26" w:rsidRPr="005F340F" w:rsidRDefault="00BA7A26" w:rsidP="00BA7A26">
      <w:pPr>
        <w:pStyle w:val="Heading1"/>
        <w:numPr>
          <w:ilvl w:val="0"/>
          <w:numId w:val="17"/>
        </w:numPr>
        <w:spacing w:line="276" w:lineRule="auto"/>
        <w:rPr>
          <w:rFonts w:asciiTheme="majorBidi" w:hAnsiTheme="majorBidi" w:cstheme="majorBidi"/>
          <w:sz w:val="24"/>
          <w:szCs w:val="24"/>
        </w:rPr>
      </w:pPr>
      <w:commentRangeStart w:id="38"/>
      <w:r w:rsidRPr="005F340F">
        <w:rPr>
          <w:rFonts w:asciiTheme="majorBidi" w:hAnsiTheme="majorBidi" w:cstheme="majorBidi"/>
          <w:sz w:val="24"/>
          <w:szCs w:val="24"/>
        </w:rPr>
        <w:t>References</w:t>
      </w:r>
      <w:commentRangeEnd w:id="38"/>
      <w:r w:rsidR="006A5391">
        <w:rPr>
          <w:rStyle w:val="CommentReference"/>
          <w:rFonts w:ascii="Calibri" w:eastAsia="Calibri" w:hAnsi="Calibri" w:cs="Arial"/>
          <w:b w:val="0"/>
          <w:lang w:eastAsia="en-US"/>
        </w:rPr>
        <w:commentReference w:id="38"/>
      </w:r>
    </w:p>
    <w:p w:rsidR="00BA7A26" w:rsidRDefault="00BA7A26" w:rsidP="00BA7A26">
      <w:pPr>
        <w:spacing w:line="276" w:lineRule="auto"/>
        <w:rPr>
          <w:rFonts w:asciiTheme="majorBidi" w:hAnsiTheme="majorBidi" w:cstheme="majorBidi"/>
          <w:bCs/>
          <w:sz w:val="24"/>
          <w:szCs w:val="24"/>
        </w:rPr>
      </w:pP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w:t>
      </w:r>
      <w:r w:rsidRPr="00BA7A26">
        <w:rPr>
          <w:rFonts w:asciiTheme="majorBidi" w:hAnsiTheme="majorBidi" w:cstheme="majorBidi"/>
          <w:bCs/>
          <w:sz w:val="24"/>
          <w:szCs w:val="24"/>
        </w:rPr>
        <w:tab/>
        <w:t>Di Gennaro, F.;  Pizzol, D.;  Marotta, C.;  Antunes, M.;  Racalbuto, V.;  Veronese, N.; Smith, L., Coronavirus Diseases (COVID-19) Current Status and Future Perspectives: A Narrative Review. International Journal of Environmental Research and Public Health 2020,17 (8), 2690.</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w:t>
      </w:r>
      <w:r w:rsidRPr="00BA7A26">
        <w:rPr>
          <w:rFonts w:asciiTheme="majorBidi" w:hAnsiTheme="majorBidi" w:cstheme="majorBidi"/>
          <w:bCs/>
          <w:sz w:val="24"/>
          <w:szCs w:val="24"/>
        </w:rPr>
        <w:tab/>
        <w:t>Scannell, J. W.;  Blanckley, A.;  Boldon, H.; Warrington, B., Diagnosing the decline in pharmaceutical R&amp;D efficiency. Nature reviews. Drug discovery 2012,11 (3), 191-200.</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w:t>
      </w:r>
      <w:r w:rsidRPr="00BA7A26">
        <w:rPr>
          <w:rFonts w:asciiTheme="majorBidi" w:hAnsiTheme="majorBidi" w:cstheme="majorBidi"/>
          <w:bCs/>
          <w:sz w:val="24"/>
          <w:szCs w:val="24"/>
        </w:rPr>
        <w:tab/>
        <w:t>Drews, J., Drug discovery: a historical perspective. Science 2000,287 (5460), 1960-1964.</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4.</w:t>
      </w:r>
      <w:r w:rsidRPr="00BA7A26">
        <w:rPr>
          <w:rFonts w:asciiTheme="majorBidi" w:hAnsiTheme="majorBidi" w:cstheme="majorBidi"/>
          <w:bCs/>
          <w:sz w:val="24"/>
          <w:szCs w:val="24"/>
        </w:rPr>
        <w:tab/>
        <w:t>Phatak, S. S.;  Stephan, C. C.; Cavasotto, C. N., High-throughput and in silico screenings in drug discovery. Expert opinion on drug discovery 2009,4 (9), 947-959.</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5.</w:t>
      </w:r>
      <w:r w:rsidRPr="00BA7A26">
        <w:rPr>
          <w:rFonts w:asciiTheme="majorBidi" w:hAnsiTheme="majorBidi" w:cstheme="majorBidi"/>
          <w:bCs/>
          <w:sz w:val="24"/>
          <w:szCs w:val="24"/>
        </w:rPr>
        <w:tab/>
        <w:t>Congreve, M.;  Murray, C. W.; Blundell, T. L., Keynote review: Structural biology and drug discovery. Drug discovery today 2005,10 (13), 895-907.</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6.</w:t>
      </w:r>
      <w:r w:rsidRPr="00BA7A26">
        <w:rPr>
          <w:rFonts w:asciiTheme="majorBidi" w:hAnsiTheme="majorBidi" w:cstheme="majorBidi"/>
          <w:bCs/>
          <w:sz w:val="24"/>
          <w:szCs w:val="24"/>
        </w:rPr>
        <w:tab/>
        <w:t>Cavasotto, C. N.;  Aucar, M. G.; Adler, N. S., Computational chemistry in drug lead discovery and design. International Journal of Quantum Chemistry 2019,119 (2), e25678.</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7.</w:t>
      </w:r>
      <w:r w:rsidRPr="00BA7A26">
        <w:rPr>
          <w:rFonts w:asciiTheme="majorBidi" w:hAnsiTheme="majorBidi" w:cstheme="majorBidi"/>
          <w:bCs/>
          <w:sz w:val="24"/>
          <w:szCs w:val="24"/>
        </w:rPr>
        <w:tab/>
        <w:t>Serafin, M. B.;  Bottega, A.;  Foletto, V. S.;  da Rosa, T. F.;  Hörner, A.; Hörner, R., Drug repositioning is an alternative for the treatment of coronavirus COVID-19. International Journal of Antimicrobial Agents 2020, 105969.</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8.</w:t>
      </w:r>
      <w:r w:rsidRPr="00BA7A26">
        <w:rPr>
          <w:rFonts w:asciiTheme="majorBidi" w:hAnsiTheme="majorBidi" w:cstheme="majorBidi"/>
          <w:bCs/>
          <w:sz w:val="24"/>
          <w:szCs w:val="24"/>
        </w:rPr>
        <w:tab/>
        <w:t>Dhir, N.;  Jain, A.;  Mahendru, D.;  Prakash, A.; Medhi, B., Drug Repurposing and Orphan Disease Therapeutics. 2020.</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9.</w:t>
      </w:r>
      <w:r w:rsidRPr="00BA7A26">
        <w:rPr>
          <w:rFonts w:asciiTheme="majorBidi" w:hAnsiTheme="majorBidi" w:cstheme="majorBidi"/>
          <w:bCs/>
          <w:sz w:val="24"/>
          <w:szCs w:val="24"/>
        </w:rPr>
        <w:tab/>
        <w:t>Talevi, A.; Bellera, C. L., Challenges and opportunities with drug repurposing: finding strategies to find alternative uses of therapeutics. Expert Opinion on Drug Discovery 2019,15 (4), 397-401.</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10.</w:t>
      </w:r>
      <w:r w:rsidRPr="00BA7A26">
        <w:rPr>
          <w:rFonts w:asciiTheme="majorBidi" w:hAnsiTheme="majorBidi" w:cstheme="majorBidi"/>
          <w:bCs/>
          <w:sz w:val="24"/>
          <w:szCs w:val="24"/>
        </w:rPr>
        <w:tab/>
        <w:t>Sohraby, F.;  Bagheri, M.; Aryapour, H., Performing an In Silico Repurposing of Existing Drugs by Combining Virtual Screening and Molecular Dynamics Simulation. Methods in molecular biology (Clifton, N.J.) 2019,1903, 23-43.</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11.</w:t>
      </w:r>
      <w:r w:rsidRPr="00BA7A26">
        <w:rPr>
          <w:rFonts w:asciiTheme="majorBidi" w:hAnsiTheme="majorBidi" w:cstheme="majorBidi"/>
          <w:bCs/>
          <w:sz w:val="24"/>
          <w:szCs w:val="24"/>
        </w:rPr>
        <w:tab/>
        <w:t>Senanayake, S. L., Drug repurposing strategies for COVID-19. Future Drug Discovery 2020,2 (2).</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lastRenderedPageBreak/>
        <w:t>12.</w:t>
      </w:r>
      <w:r w:rsidRPr="00BA7A26">
        <w:rPr>
          <w:rFonts w:asciiTheme="majorBidi" w:hAnsiTheme="majorBidi" w:cstheme="majorBidi"/>
          <w:bCs/>
          <w:sz w:val="24"/>
          <w:szCs w:val="24"/>
        </w:rPr>
        <w:tab/>
        <w:t>You, D. M.; Pockros, P. J., Simeprevir for the treatment of chronic hepatitis C. Expert opinion on pharmacotherapy 2013,14 (18), 2581-9.</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13.</w:t>
      </w:r>
      <w:r w:rsidRPr="00BA7A26">
        <w:rPr>
          <w:rFonts w:asciiTheme="majorBidi" w:hAnsiTheme="majorBidi" w:cstheme="majorBidi"/>
          <w:bCs/>
          <w:sz w:val="24"/>
          <w:szCs w:val="24"/>
        </w:rPr>
        <w:tab/>
        <w:t>Shereen, M. A.;  Khan, S.;  Kazmi, A.;  Bashir, N.; Siddique, R., COVID-19 infection: Origin, transmission, and characteristics of human coronaviruses. Journal of Advanced Research 2020,24, 91-98.</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14.</w:t>
      </w:r>
      <w:r w:rsidRPr="00BA7A26">
        <w:rPr>
          <w:rFonts w:asciiTheme="majorBidi" w:hAnsiTheme="majorBidi" w:cstheme="majorBidi"/>
          <w:bCs/>
          <w:sz w:val="24"/>
          <w:szCs w:val="24"/>
        </w:rPr>
        <w:tab/>
        <w:t>Dai, W.;  Zhang, B.;  Su, H.;  Li, J.;  Zhao, Y.;  Xie, X.;  Jin, Z.;  Liu, F.;  Li, C.;  Li, Y.;  Bai, F.;  Wang, H.;  Cheng, X.;  Cen, X.;  Hu, S.;  Yang, X.;  Wang, J.;  Liu, X.;  Xiao, G.;  Jiang, H.;  Rao, Z.;  Zhang, L.-K.;  Xu, Y.;  Yang, H.; Liu, H., Structure-based design of antiviral drug candidates targeting the SARS-CoV-2 main protease. Science 2020, eabb4489.</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15.</w:t>
      </w:r>
      <w:r w:rsidRPr="00BA7A26">
        <w:rPr>
          <w:rFonts w:asciiTheme="majorBidi" w:hAnsiTheme="majorBidi" w:cstheme="majorBidi"/>
          <w:bCs/>
          <w:sz w:val="24"/>
          <w:szCs w:val="24"/>
        </w:rPr>
        <w:tab/>
        <w:t>Flanagan, S.;  Crawford-Jones, A.; Orkin, C., Simeprevir for the treatment of hepatitis C and HIV/hepatitis C co-infection. Expert review of clinical pharmacology 2014,7 (6), 691-704.</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16.</w:t>
      </w:r>
      <w:r w:rsidRPr="00BA7A26">
        <w:rPr>
          <w:rFonts w:asciiTheme="majorBidi" w:hAnsiTheme="majorBidi" w:cstheme="majorBidi"/>
          <w:bCs/>
          <w:sz w:val="24"/>
          <w:szCs w:val="24"/>
        </w:rPr>
        <w:tab/>
        <w:t>Van De Waterbeemd, H.; Gifford, E., ADMET in silico modelling: towards prediction paradise? Nature reviews Drug discovery 2003,2 (3), 192-204.</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17.</w:t>
      </w:r>
      <w:r w:rsidRPr="00BA7A26">
        <w:rPr>
          <w:rFonts w:asciiTheme="majorBidi" w:hAnsiTheme="majorBidi" w:cstheme="majorBidi"/>
          <w:bCs/>
          <w:sz w:val="24"/>
          <w:szCs w:val="24"/>
        </w:rPr>
        <w:tab/>
        <w:t>Mannhold, R.;  Kubinyi, H.; Folkers, G., Pharmacokinetics and metabolism in drug design. John Wiley &amp; Sons: 2012; Vol. 51.</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18.</w:t>
      </w:r>
      <w:r w:rsidRPr="00BA7A26">
        <w:rPr>
          <w:rFonts w:asciiTheme="majorBidi" w:hAnsiTheme="majorBidi" w:cstheme="majorBidi"/>
          <w:bCs/>
          <w:sz w:val="24"/>
          <w:szCs w:val="24"/>
        </w:rPr>
        <w:tab/>
        <w:t>Klopman, G.;  Stefan, L. R.; Saiakhov, R. D., ADME evaluation: 2. A computer model for the prediction of intestinal absorption in humans. European journal of pharmaceutical sciences 2002,17 (4-5), 253-263.</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19.</w:t>
      </w:r>
      <w:r w:rsidRPr="00BA7A26">
        <w:rPr>
          <w:rFonts w:asciiTheme="majorBidi" w:hAnsiTheme="majorBidi" w:cstheme="majorBidi"/>
          <w:bCs/>
          <w:sz w:val="24"/>
          <w:szCs w:val="24"/>
        </w:rPr>
        <w:tab/>
        <w:t>Patel, H.;  Dhangar, K.;  Sonawane, Y.;  Surana, S.;  Karpoormath, R.;  Thapliyal, N.;  Shaikh, M.;  Noolvi, M.; Jagtap, R., In search of selective 11β-HSD type 1 inhibitors without nephrotoxicity: An approach to resolve the metabolic syndrome by virtual based screening. Arabian Journal of Chemistry 2015.</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20.</w:t>
      </w:r>
      <w:r w:rsidRPr="00BA7A26">
        <w:rPr>
          <w:rFonts w:asciiTheme="majorBidi" w:hAnsiTheme="majorBidi" w:cstheme="majorBidi"/>
          <w:bCs/>
          <w:sz w:val="24"/>
          <w:szCs w:val="24"/>
        </w:rPr>
        <w:tab/>
        <w:t>Hewitt, M.; Przybylak, K., In silico models for hepatotoxicity. In In Silico Methods for Predicting Drug Toxicity, Springer: 2016; pp 201-236.</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21.</w:t>
      </w:r>
      <w:r w:rsidRPr="00BA7A26">
        <w:rPr>
          <w:rFonts w:asciiTheme="majorBidi" w:hAnsiTheme="majorBidi" w:cstheme="majorBidi"/>
          <w:bCs/>
          <w:sz w:val="24"/>
          <w:szCs w:val="24"/>
        </w:rPr>
        <w:tab/>
        <w:t>Roy, P. P.; Roy, K., QSAR studies of CYP2D6 inhibitor aryloxypropanolamines using 2D and 3D descriptors. Chemical biology &amp; drug design 2009,73 (4), 442-455.</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22.</w:t>
      </w:r>
      <w:r w:rsidRPr="00BA7A26">
        <w:rPr>
          <w:rFonts w:asciiTheme="majorBidi" w:hAnsiTheme="majorBidi" w:cstheme="majorBidi"/>
          <w:bCs/>
          <w:sz w:val="24"/>
          <w:szCs w:val="24"/>
        </w:rPr>
        <w:tab/>
        <w:t>Ghafourian, T.; Amin, Z., QSAR models for the prediction of plasma protein binding. BioImpacts: BI 2013,3 (1), 21.</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23.</w:t>
      </w:r>
      <w:r w:rsidRPr="00BA7A26">
        <w:rPr>
          <w:rFonts w:asciiTheme="majorBidi" w:hAnsiTheme="majorBidi" w:cstheme="majorBidi"/>
          <w:bCs/>
          <w:sz w:val="24"/>
          <w:szCs w:val="24"/>
        </w:rPr>
        <w:tab/>
        <w:t xml:space="preserve">Smith, D. A.;  Di, L.; Kerns, E. H., The effect of plasma protein binding on </w:t>
      </w:r>
      <w:commentRangeStart w:id="39"/>
      <w:r w:rsidRPr="00BA7A26">
        <w:rPr>
          <w:rFonts w:asciiTheme="majorBidi" w:hAnsiTheme="majorBidi" w:cstheme="majorBidi"/>
          <w:bCs/>
          <w:sz w:val="24"/>
          <w:szCs w:val="24"/>
        </w:rPr>
        <w:t xml:space="preserve">in vivo </w:t>
      </w:r>
      <w:commentRangeEnd w:id="39"/>
      <w:r w:rsidR="00A837F9">
        <w:rPr>
          <w:rStyle w:val="CommentReference"/>
          <w:rFonts w:ascii="Calibri" w:eastAsia="Calibri" w:hAnsi="Calibri" w:cs="Arial"/>
          <w:lang w:eastAsia="en-US"/>
        </w:rPr>
        <w:commentReference w:id="39"/>
      </w:r>
      <w:r w:rsidRPr="00BA7A26">
        <w:rPr>
          <w:rFonts w:asciiTheme="majorBidi" w:hAnsiTheme="majorBidi" w:cstheme="majorBidi"/>
          <w:bCs/>
          <w:sz w:val="24"/>
          <w:szCs w:val="24"/>
        </w:rPr>
        <w:t>efficacy: misconceptions in drug discovery. Nature reviews Drug discovery 2010,9 (12), 929-939.</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24.</w:t>
      </w:r>
      <w:r w:rsidRPr="00BA7A26">
        <w:rPr>
          <w:rFonts w:asciiTheme="majorBidi" w:hAnsiTheme="majorBidi" w:cstheme="majorBidi"/>
          <w:bCs/>
          <w:sz w:val="24"/>
          <w:szCs w:val="24"/>
        </w:rPr>
        <w:tab/>
        <w:t>Eissa, I. H.;  El-Naggar, A. M.;  El-Sattar, N. E.; Youssef, A. S., Design and discovery of novel quinoxaline derivatives as dual DNA intercalators and topoisomerase II inhibitors. Anti-Cancer Agents in Medicinal Chemistry (Formerly Current Medicinal Chemistry-Anti-Cancer Agents) 2018,18 (2), 195-209.</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25.</w:t>
      </w:r>
      <w:r w:rsidRPr="00BA7A26">
        <w:rPr>
          <w:rFonts w:asciiTheme="majorBidi" w:hAnsiTheme="majorBidi" w:cstheme="majorBidi"/>
          <w:bCs/>
          <w:sz w:val="24"/>
          <w:szCs w:val="24"/>
        </w:rPr>
        <w:tab/>
        <w:t>Utilizing, M. A. H. F. F., OF THE AMERICAN CHEMICAL SOCIETY. J. Am. Chem. Soc 1977,99 (25), 8127-8134.</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26.</w:t>
      </w:r>
      <w:r w:rsidRPr="00BA7A26">
        <w:rPr>
          <w:rFonts w:asciiTheme="majorBidi" w:hAnsiTheme="majorBidi" w:cstheme="majorBidi"/>
          <w:bCs/>
          <w:sz w:val="24"/>
          <w:szCs w:val="24"/>
        </w:rPr>
        <w:tab/>
        <w:t>Liang, Y.;  Xu, Q.-S.;  Li, H.-D.; Cao, D.-S., Support vector machines and their application in chemistry and biotechnology. CRC Press: 2016.</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27.</w:t>
      </w:r>
      <w:r w:rsidRPr="00BA7A26">
        <w:rPr>
          <w:rFonts w:asciiTheme="majorBidi" w:hAnsiTheme="majorBidi" w:cstheme="majorBidi"/>
          <w:bCs/>
          <w:sz w:val="24"/>
          <w:szCs w:val="24"/>
        </w:rPr>
        <w:tab/>
        <w:t>Ansel, H. C.;  Popovich, N. G.; Allen, L. V., Pharmaceutical dosage forms and drug delivery systems. Williams &amp; Wilkins Baltimore: 1995; Vol. 6.</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28.</w:t>
      </w:r>
      <w:r w:rsidRPr="00BA7A26">
        <w:rPr>
          <w:rFonts w:asciiTheme="majorBidi" w:hAnsiTheme="majorBidi" w:cstheme="majorBidi"/>
          <w:bCs/>
          <w:sz w:val="24"/>
          <w:szCs w:val="24"/>
        </w:rPr>
        <w:tab/>
        <w:t>Lien, E. J.;  Guo, Z. R.;  Li, R. L.; Su, C. T., Use of dipole moment as a parameter in drug</w:t>
      </w:r>
      <w:r w:rsidRPr="00BA7A26">
        <w:rPr>
          <w:rFonts w:ascii="Cambria Math" w:hAnsi="Cambria Math" w:cs="Cambria Math"/>
          <w:bCs/>
          <w:sz w:val="24"/>
          <w:szCs w:val="24"/>
        </w:rPr>
        <w:t>‐</w:t>
      </w:r>
      <w:r w:rsidRPr="00BA7A26">
        <w:rPr>
          <w:bCs/>
          <w:sz w:val="24"/>
          <w:szCs w:val="24"/>
        </w:rPr>
        <w:t>receptor interaction and quantitative structure</w:t>
      </w:r>
      <w:r w:rsidRPr="00BA7A26">
        <w:rPr>
          <w:rFonts w:ascii="Cambria Math" w:hAnsi="Cambria Math" w:cs="Cambria Math"/>
          <w:bCs/>
          <w:sz w:val="24"/>
          <w:szCs w:val="24"/>
        </w:rPr>
        <w:t>‐</w:t>
      </w:r>
      <w:r w:rsidRPr="00BA7A26">
        <w:rPr>
          <w:bCs/>
          <w:sz w:val="24"/>
          <w:szCs w:val="24"/>
        </w:rPr>
        <w:t>activity relationship s</w:t>
      </w:r>
      <w:r w:rsidRPr="00BA7A26">
        <w:rPr>
          <w:rFonts w:asciiTheme="majorBidi" w:hAnsiTheme="majorBidi" w:cstheme="majorBidi"/>
          <w:bCs/>
          <w:sz w:val="24"/>
          <w:szCs w:val="24"/>
        </w:rPr>
        <w:t>tudies. Journal of Pharmaceutical Sciences 1982,71 (6), 641-655.</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29.</w:t>
      </w:r>
      <w:r w:rsidRPr="00BA7A26">
        <w:rPr>
          <w:rFonts w:asciiTheme="majorBidi" w:hAnsiTheme="majorBidi" w:cstheme="majorBidi"/>
          <w:bCs/>
          <w:sz w:val="24"/>
          <w:szCs w:val="24"/>
        </w:rPr>
        <w:tab/>
        <w:t>Xia, X.;  Maliski, E. G.;  Gallant, P.; Rogers, D., Classification of kinase inhibitors using a Bayesian model. Journal of medicinal chemistry 2004,47 (18), 4463-4470.</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30.</w:t>
      </w:r>
      <w:r w:rsidRPr="00BA7A26">
        <w:rPr>
          <w:rFonts w:asciiTheme="majorBidi" w:hAnsiTheme="majorBidi" w:cstheme="majorBidi"/>
          <w:bCs/>
          <w:sz w:val="24"/>
          <w:szCs w:val="24"/>
        </w:rPr>
        <w:tab/>
        <w:t>BIOVIA QSAR, ADMET and Predictive Toxicology. https://www.3dsbiovia.com/products/collaborative-science/biovia-discovery-studio/qsar-admet-and-predictive-toxicology.html (accessed May 2020).</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31.</w:t>
      </w:r>
      <w:r w:rsidRPr="00BA7A26">
        <w:rPr>
          <w:rFonts w:asciiTheme="majorBidi" w:hAnsiTheme="majorBidi" w:cstheme="majorBidi"/>
          <w:bCs/>
          <w:sz w:val="24"/>
          <w:szCs w:val="24"/>
        </w:rPr>
        <w:tab/>
        <w:t>Heidelberger, C., Chemical carcinogenesis. Annual review of biochemistry 1975,44 (1), 79-121.</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32.</w:t>
      </w:r>
      <w:r w:rsidRPr="00BA7A26">
        <w:rPr>
          <w:rFonts w:asciiTheme="majorBidi" w:hAnsiTheme="majorBidi" w:cstheme="majorBidi"/>
          <w:bCs/>
          <w:sz w:val="24"/>
          <w:szCs w:val="24"/>
        </w:rPr>
        <w:tab/>
        <w:t>Venkatapathy, R.;  Wang, N. C. Y.;  Martin, T. M.;  Harten, P. F.; Young, D., Structure–Activity Relationships for Carcinogenic Potential. General, Applied and Systems Toxicology 2009.</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33.</w:t>
      </w:r>
      <w:r w:rsidRPr="00BA7A26">
        <w:rPr>
          <w:rFonts w:asciiTheme="majorBidi" w:hAnsiTheme="majorBidi" w:cstheme="majorBidi"/>
          <w:bCs/>
          <w:sz w:val="24"/>
          <w:szCs w:val="24"/>
        </w:rPr>
        <w:tab/>
        <w:t>Thresher, A.;  Gosling, J. P.; Williams, R., Generation of TD 50 values for carcinogenicity study data. Toxicology research 2019,8 (5), 696-703.</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lastRenderedPageBreak/>
        <w:t>34.</w:t>
      </w:r>
      <w:r w:rsidRPr="00BA7A26">
        <w:rPr>
          <w:rFonts w:asciiTheme="majorBidi" w:hAnsiTheme="majorBidi" w:cstheme="majorBidi"/>
          <w:bCs/>
          <w:sz w:val="24"/>
          <w:szCs w:val="24"/>
        </w:rPr>
        <w:tab/>
        <w:t xml:space="preserve">Louisse, J.;  Bosgra, S.;  Blaauboer, B. J.;  Rietjens, I. M.; Verwei, M., Prediction of </w:t>
      </w:r>
      <w:commentRangeStart w:id="40"/>
      <w:r w:rsidRPr="00BA7A26">
        <w:rPr>
          <w:rFonts w:asciiTheme="majorBidi" w:hAnsiTheme="majorBidi" w:cstheme="majorBidi"/>
          <w:bCs/>
          <w:sz w:val="24"/>
          <w:szCs w:val="24"/>
        </w:rPr>
        <w:t>in vivo</w:t>
      </w:r>
      <w:commentRangeEnd w:id="40"/>
      <w:r w:rsidR="00A837F9">
        <w:rPr>
          <w:rStyle w:val="CommentReference"/>
          <w:rFonts w:ascii="Calibri" w:eastAsia="Calibri" w:hAnsi="Calibri" w:cs="Arial"/>
          <w:lang w:eastAsia="en-US"/>
        </w:rPr>
        <w:commentReference w:id="40"/>
      </w:r>
      <w:r w:rsidRPr="00BA7A26">
        <w:rPr>
          <w:rFonts w:asciiTheme="majorBidi" w:hAnsiTheme="majorBidi" w:cstheme="majorBidi"/>
          <w:bCs/>
          <w:sz w:val="24"/>
          <w:szCs w:val="24"/>
        </w:rPr>
        <w:t xml:space="preserve"> developmental toxicity of all-trans-retinoic acid based on </w:t>
      </w:r>
      <w:commentRangeStart w:id="41"/>
      <w:r w:rsidRPr="00BA7A26">
        <w:rPr>
          <w:rFonts w:asciiTheme="majorBidi" w:hAnsiTheme="majorBidi" w:cstheme="majorBidi"/>
          <w:bCs/>
          <w:sz w:val="24"/>
          <w:szCs w:val="24"/>
        </w:rPr>
        <w:t xml:space="preserve">in vitro </w:t>
      </w:r>
      <w:commentRangeEnd w:id="41"/>
      <w:r w:rsidR="00A837F9">
        <w:rPr>
          <w:rStyle w:val="CommentReference"/>
          <w:rFonts w:ascii="Calibri" w:eastAsia="Calibri" w:hAnsi="Calibri" w:cs="Arial"/>
          <w:lang w:eastAsia="en-US"/>
        </w:rPr>
        <w:commentReference w:id="41"/>
      </w:r>
      <w:r w:rsidRPr="00BA7A26">
        <w:rPr>
          <w:rFonts w:asciiTheme="majorBidi" w:hAnsiTheme="majorBidi" w:cstheme="majorBidi"/>
          <w:bCs/>
          <w:sz w:val="24"/>
          <w:szCs w:val="24"/>
        </w:rPr>
        <w:t>toxicity data and in silico physiologically based kinetic modeling. Archives of toxicology 2015,89 (7), 1135-1148.</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35.</w:t>
      </w:r>
      <w:r w:rsidRPr="00BA7A26">
        <w:rPr>
          <w:rFonts w:asciiTheme="majorBidi" w:hAnsiTheme="majorBidi" w:cstheme="majorBidi"/>
          <w:bCs/>
          <w:sz w:val="24"/>
          <w:szCs w:val="24"/>
        </w:rPr>
        <w:tab/>
        <w:t>EPA Guidelines for Developmental Toxicity Risk Assessment. https://www.epa.gov/sites/production/files/2014-11/documents/dev_tox.pdf (accessed May 2020).</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36.</w:t>
      </w:r>
      <w:r w:rsidRPr="00BA7A26">
        <w:rPr>
          <w:rFonts w:asciiTheme="majorBidi" w:hAnsiTheme="majorBidi" w:cstheme="majorBidi"/>
          <w:bCs/>
          <w:sz w:val="24"/>
          <w:szCs w:val="24"/>
        </w:rPr>
        <w:tab/>
        <w:t>Goodrnan, G.; Wilson, R., Comparison of the dependence of the TD50 on maximum tolerated dose for mutagens and nonmutagens. Risk Analysis 1992,12 (4), 525-533.</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37.</w:t>
      </w:r>
      <w:r w:rsidRPr="00BA7A26">
        <w:rPr>
          <w:rFonts w:asciiTheme="majorBidi" w:hAnsiTheme="majorBidi" w:cstheme="majorBidi"/>
          <w:bCs/>
          <w:sz w:val="24"/>
          <w:szCs w:val="24"/>
        </w:rPr>
        <w:tab/>
        <w:t>Council, N. R., Correlation Between Carcinogenic Potency and the Maximum Tolerated Dose: Implications for Risk Assessment. In Issues in Risk Assessment, National Academies Press (US): 1993.</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38.</w:t>
      </w:r>
      <w:r w:rsidRPr="00BA7A26">
        <w:rPr>
          <w:rFonts w:asciiTheme="majorBidi" w:hAnsiTheme="majorBidi" w:cstheme="majorBidi"/>
          <w:bCs/>
          <w:sz w:val="24"/>
          <w:szCs w:val="24"/>
        </w:rPr>
        <w:tab/>
        <w:t>Gonella Diaza, R.;  Manganelli, S.;  Esposito, A.;  Roncaglioni, A.;  Manganaro, A.; Benfenati, E., Comparison of in silico tools for evaluating rat oral acute toxicity. SAR and QSAR in Environmental Research 2015,26 (1), 1-27.</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39.</w:t>
      </w:r>
      <w:r w:rsidRPr="00BA7A26">
        <w:rPr>
          <w:rFonts w:asciiTheme="majorBidi" w:hAnsiTheme="majorBidi" w:cstheme="majorBidi"/>
          <w:bCs/>
          <w:sz w:val="24"/>
          <w:szCs w:val="24"/>
        </w:rPr>
        <w:tab/>
        <w:t>Venkatapathy, R.;  Moudgal, C. J.; Bruce, R. M., Assessment of the oral rat chronic lowest observed adverse effect level model in TOPKAT, a QSAR software package for toxicity prediction. Journal of chemical information and computer sciences 2004,44 (5), 1623-1629.</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40.</w:t>
      </w:r>
      <w:r w:rsidRPr="00BA7A26">
        <w:rPr>
          <w:rFonts w:asciiTheme="majorBidi" w:hAnsiTheme="majorBidi" w:cstheme="majorBidi"/>
          <w:bCs/>
          <w:sz w:val="24"/>
          <w:szCs w:val="24"/>
        </w:rPr>
        <w:tab/>
        <w:t xml:space="preserve">Ahmed, R. M.;  Fayed, M. A. A.;  El-Behairy, M. F.; Abdallah, I. A., Identification, isolation, structural characterization, in silico toxicity prediction and </w:t>
      </w:r>
      <w:commentRangeStart w:id="42"/>
      <w:r w:rsidRPr="00BA7A26">
        <w:rPr>
          <w:rFonts w:asciiTheme="majorBidi" w:hAnsiTheme="majorBidi" w:cstheme="majorBidi"/>
          <w:bCs/>
          <w:sz w:val="24"/>
          <w:szCs w:val="24"/>
        </w:rPr>
        <w:t>in vitro</w:t>
      </w:r>
      <w:commentRangeEnd w:id="42"/>
      <w:r w:rsidR="00A837F9">
        <w:rPr>
          <w:rStyle w:val="CommentReference"/>
          <w:rFonts w:ascii="Calibri" w:eastAsia="Calibri" w:hAnsi="Calibri" w:cs="Arial"/>
          <w:lang w:eastAsia="en-US"/>
        </w:rPr>
        <w:commentReference w:id="42"/>
      </w:r>
      <w:r w:rsidRPr="00BA7A26">
        <w:rPr>
          <w:rFonts w:asciiTheme="majorBidi" w:hAnsiTheme="majorBidi" w:cstheme="majorBidi"/>
          <w:bCs/>
          <w:sz w:val="24"/>
          <w:szCs w:val="24"/>
        </w:rPr>
        <w:t xml:space="preserve"> cytotoxicity assay of simeprevir acidic and oxidative degradation products. RSC Advances 2020,10 (70), 42816-42826.</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41.</w:t>
      </w:r>
      <w:r w:rsidRPr="00BA7A26">
        <w:rPr>
          <w:rFonts w:asciiTheme="majorBidi" w:hAnsiTheme="majorBidi" w:cstheme="majorBidi"/>
          <w:bCs/>
          <w:sz w:val="24"/>
          <w:szCs w:val="24"/>
        </w:rPr>
        <w:tab/>
        <w:t>El-Zahabi, M. A.;  Elbendary, E. R.;  Bamanie, F. H.;  Radwan, M. F.;  Ghareib, S. A.; Eissa, I. H., Design, synthesis, molecular modeling and anti-hyperglycemic evaluation of phthalimide-sulfonylurea hybrids as PPARγ and SUR agonists. Bioorganic chemistry 2019,91, 103115.</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42.</w:t>
      </w:r>
      <w:r w:rsidRPr="00BA7A26">
        <w:rPr>
          <w:rFonts w:asciiTheme="majorBidi" w:hAnsiTheme="majorBidi" w:cstheme="majorBidi"/>
          <w:bCs/>
          <w:sz w:val="24"/>
          <w:szCs w:val="24"/>
        </w:rPr>
        <w:tab/>
        <w:t>Ibrahim, M. K.;  Eissa, I. H.;  Alesawy, M. S.;  Metwaly, A. M.;  Radwan, M. M.; ElSohly, M. A., Design, synthesis, molecular modeling and anti-hyperglycemic evaluation of quinazolin-4 (3H)-one derivatives as potential PPARγ and SUR agonists. Bioorganic &amp; medicinal chemistry 2017,25 (17), 4723-4744.</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43.</w:t>
      </w:r>
      <w:r w:rsidRPr="00BA7A26">
        <w:rPr>
          <w:rFonts w:asciiTheme="majorBidi" w:hAnsiTheme="majorBidi" w:cstheme="majorBidi"/>
          <w:bCs/>
          <w:sz w:val="24"/>
          <w:szCs w:val="24"/>
        </w:rPr>
        <w:tab/>
        <w:t>Chemical Computing Group, Molecular Operating Environment (MOE), http://www.chemcomp.com/ (Accessed in May 2017). http://www.chemcomp.com/</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44.</w:t>
      </w:r>
      <w:r w:rsidRPr="00BA7A26">
        <w:rPr>
          <w:rFonts w:asciiTheme="majorBidi" w:hAnsiTheme="majorBidi" w:cstheme="majorBidi"/>
          <w:bCs/>
          <w:sz w:val="24"/>
          <w:szCs w:val="24"/>
        </w:rPr>
        <w:tab/>
        <w:t>El-Gamal, K. M.;  El-Morsy, A. M.;  Saad, A. M.;  Eissa, I. H.; Alswah, M., Synthesis, docking, QSAR, ADMET and antimicrobial evaluation of new quinoline-3-carbonitrile derivatives as potential DNA-gyrase inhibitors. Journal of Molecular Structure 2018,1166, 15-33.</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45.</w:t>
      </w:r>
      <w:r w:rsidRPr="00BA7A26">
        <w:rPr>
          <w:rFonts w:asciiTheme="majorBidi" w:hAnsiTheme="majorBidi" w:cstheme="majorBidi"/>
          <w:bCs/>
          <w:sz w:val="24"/>
          <w:szCs w:val="24"/>
        </w:rPr>
        <w:tab/>
        <w:t>Elmetwally, S. A.;  Saied, K. F.;  Eissa, I. H.; Elkaeed, E. B., Design, synthesis and anticancer evaluation of thieno [2, 3-d] pyrimidine derivatives as dual EGFR/HER2 inhibitors and apoptosis inducers. Bioorganic chemistry 2019,88, 102944.</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46.</w:t>
      </w:r>
      <w:r w:rsidRPr="00BA7A26">
        <w:rPr>
          <w:rFonts w:asciiTheme="majorBidi" w:hAnsiTheme="majorBidi" w:cstheme="majorBidi"/>
          <w:bCs/>
          <w:sz w:val="24"/>
          <w:szCs w:val="24"/>
        </w:rPr>
        <w:tab/>
        <w:t xml:space="preserve">Mahdy, H. A.;  Ibrahim, M. K.;  Metwaly, A. M.;  Belal, A.;  Mehany, A. B.;  El-Gamal, K. M.;  El-Sharkawy, A.;  Elhendawy, M. A.;  Radwan, M. M.; Elsohly, M. A., Design, synthesis, molecular modeling, </w:t>
      </w:r>
      <w:commentRangeStart w:id="43"/>
      <w:r w:rsidRPr="00BA7A26">
        <w:rPr>
          <w:rFonts w:asciiTheme="majorBidi" w:hAnsiTheme="majorBidi" w:cstheme="majorBidi"/>
          <w:bCs/>
          <w:sz w:val="24"/>
          <w:szCs w:val="24"/>
        </w:rPr>
        <w:t xml:space="preserve">in vivo </w:t>
      </w:r>
      <w:commentRangeEnd w:id="43"/>
      <w:r w:rsidR="00A837F9">
        <w:rPr>
          <w:rStyle w:val="CommentReference"/>
          <w:rFonts w:ascii="Calibri" w:eastAsia="Calibri" w:hAnsi="Calibri" w:cs="Arial"/>
          <w:lang w:eastAsia="en-US"/>
        </w:rPr>
        <w:commentReference w:id="43"/>
      </w:r>
      <w:r w:rsidRPr="00BA7A26">
        <w:rPr>
          <w:rFonts w:asciiTheme="majorBidi" w:hAnsiTheme="majorBidi" w:cstheme="majorBidi"/>
          <w:bCs/>
          <w:sz w:val="24"/>
          <w:szCs w:val="24"/>
        </w:rPr>
        <w:t>studies and anticancer evaluation of quinazolin-4 (3H)-one derivatives as potential VEGFR-2 inhibitors and apoptosis inducers. Bioorganic Chemistry 2020,94, 103422.</w:t>
      </w:r>
    </w:p>
    <w:p w:rsidR="00BA7A26" w:rsidRPr="005F340F" w:rsidRDefault="00BA7A26" w:rsidP="00BA7A26">
      <w:pPr>
        <w:spacing w:line="276" w:lineRule="auto"/>
        <w:rPr>
          <w:rFonts w:asciiTheme="majorBidi" w:hAnsiTheme="majorBidi" w:cstheme="majorBidi"/>
          <w:bCs/>
          <w:sz w:val="24"/>
          <w:szCs w:val="24"/>
        </w:rPr>
      </w:pPr>
    </w:p>
    <w:p w:rsidR="00192088" w:rsidRPr="005F340F" w:rsidRDefault="00192088" w:rsidP="00BA7A26">
      <w:pPr>
        <w:spacing w:line="276" w:lineRule="auto"/>
        <w:jc w:val="left"/>
        <w:rPr>
          <w:rFonts w:asciiTheme="majorBidi" w:hAnsiTheme="majorBidi" w:cstheme="majorBidi"/>
          <w:sz w:val="24"/>
          <w:szCs w:val="24"/>
        </w:rPr>
      </w:pPr>
    </w:p>
    <w:sectPr w:rsidR="00192088" w:rsidRPr="005F340F" w:rsidSect="00BA7A26">
      <w:headerReference w:type="even" r:id="rId34"/>
      <w:headerReference w:type="default" r:id="rId35"/>
      <w:footerReference w:type="even" r:id="rId36"/>
      <w:footerReference w:type="default" r:id="rId37"/>
      <w:headerReference w:type="first" r:id="rId38"/>
      <w:footerReference w:type="first" r:id="rId39"/>
      <w:pgSz w:w="11899" w:h="16838"/>
      <w:pgMar w:top="638" w:right="1369" w:bottom="360" w:left="1170" w:header="360" w:footer="90" w:gutter="0"/>
      <w:cols w:space="720"/>
      <w:docGrid w:linePitch="38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Kapil" w:date="2022-10-09T16:58:00Z" w:initials="K">
    <w:p w:rsidR="003B355D" w:rsidRDefault="003B355D" w:rsidP="00C26602">
      <w:pPr>
        <w:rPr>
          <w:rFonts w:ascii="Bookman Old Style" w:hAnsi="Bookman Old Style"/>
        </w:rPr>
      </w:pPr>
      <w:r>
        <w:rPr>
          <w:rStyle w:val="CommentReference"/>
        </w:rPr>
        <w:annotationRef/>
      </w:r>
      <w:r>
        <w:rPr>
          <w:rFonts w:ascii="Bookman Old Style" w:hAnsi="Bookman Old Style"/>
          <w:noProof/>
          <w:lang w:eastAsia="en-US"/>
        </w:rPr>
        <w:drawing>
          <wp:inline distT="0" distB="0" distL="0" distR="0">
            <wp:extent cx="895350" cy="28753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7931" cy="288364"/>
                    </a:xfrm>
                    <a:prstGeom prst="rect">
                      <a:avLst/>
                    </a:prstGeom>
                    <a:noFill/>
                    <a:ln w="9525">
                      <a:noFill/>
                      <a:miter lim="800000"/>
                      <a:headEnd/>
                      <a:tailEnd/>
                    </a:ln>
                  </pic:spPr>
                </pic:pic>
              </a:graphicData>
            </a:graphic>
          </wp:inline>
        </w:drawing>
      </w:r>
    </w:p>
    <w:p w:rsidR="003B355D" w:rsidRPr="00B07E1A" w:rsidRDefault="003B355D" w:rsidP="00C26602">
      <w:pPr>
        <w:rPr>
          <w:rFonts w:ascii="Bookman Old Style" w:hAnsi="Bookman Old Style"/>
        </w:rPr>
      </w:pPr>
      <w:r w:rsidRPr="00B07E1A">
        <w:rPr>
          <w:rFonts w:ascii="Bookman Old Style" w:hAnsi="Bookman Old Style"/>
        </w:rPr>
        <w:t xml:space="preserve">Similarity Index detected by </w:t>
      </w:r>
      <w:hyperlink r:id="rId2" w:history="1">
        <w:r w:rsidRPr="00502FAD">
          <w:rPr>
            <w:rStyle w:val="Hyperlink"/>
            <w:rFonts w:ascii="Bookman Old Style" w:hAnsi="Bookman Old Style"/>
            <w:color w:val="auto"/>
          </w:rPr>
          <w:t>Turnitin</w:t>
        </w:r>
      </w:hyperlink>
      <w:r w:rsidRPr="00502FAD">
        <w:rPr>
          <w:rFonts w:ascii="Bookman Old Style" w:hAnsi="Bookman Old Style"/>
          <w:highlight w:val="green"/>
        </w:rPr>
        <w:t>=</w:t>
      </w:r>
      <w:r w:rsidRPr="00B07E1A">
        <w:rPr>
          <w:rFonts w:ascii="Bookman Old Style" w:hAnsi="Bookman Old Style"/>
        </w:rPr>
        <w:t xml:space="preserve">  </w:t>
      </w:r>
      <w:r w:rsidRPr="00502FAD">
        <w:rPr>
          <w:rFonts w:ascii="Bookman Old Style" w:hAnsi="Bookman Old Style"/>
          <w:highlight w:val="green"/>
        </w:rPr>
        <w:t>50%</w:t>
      </w:r>
      <w:r w:rsidRPr="00B07E1A">
        <w:rPr>
          <w:rFonts w:ascii="Bookman Old Style" w:hAnsi="Bookman Old Style"/>
        </w:rPr>
        <w:t xml:space="preserve"> </w:t>
      </w:r>
    </w:p>
    <w:p w:rsidR="003B355D" w:rsidRPr="00E41274" w:rsidRDefault="003B355D" w:rsidP="00C26602">
      <w:pPr>
        <w:rPr>
          <w:rFonts w:ascii="Bookman Old Style" w:hAnsi="Bookman Old Style"/>
        </w:rPr>
      </w:pPr>
      <w:r w:rsidRPr="00E41274">
        <w:rPr>
          <w:rFonts w:ascii="Bookman Old Style" w:hAnsi="Bookman Old Style"/>
        </w:rPr>
        <w:t xml:space="preserve">Please revise your article according to the </w:t>
      </w:r>
      <w:r w:rsidRPr="00E41274">
        <w:rPr>
          <w:rFonts w:ascii="Bookman Old Style" w:hAnsi="Bookman Old Style"/>
          <w:highlight w:val="green"/>
        </w:rPr>
        <w:t>Turnitin</w:t>
      </w:r>
      <w:r w:rsidRPr="00E41274">
        <w:rPr>
          <w:rFonts w:ascii="Bookman Old Style" w:hAnsi="Bookman Old Style"/>
        </w:rPr>
        <w:t xml:space="preserve"> report</w:t>
      </w:r>
    </w:p>
    <w:p w:rsidR="003B355D" w:rsidRDefault="003B355D">
      <w:pPr>
        <w:pStyle w:val="CommentText"/>
      </w:pPr>
    </w:p>
  </w:comment>
  <w:comment w:id="3" w:author="Kapil" w:date="2022-10-29T22:14:00Z" w:initials="K">
    <w:p w:rsidR="003B355D" w:rsidRPr="00755678" w:rsidRDefault="003B355D" w:rsidP="00BC7703">
      <w:pPr>
        <w:spacing w:before="100" w:beforeAutospacing="1" w:after="100" w:afterAutospacing="1"/>
        <w:rPr>
          <w:sz w:val="24"/>
          <w:szCs w:val="24"/>
        </w:rPr>
      </w:pPr>
      <w:r>
        <w:rPr>
          <w:rStyle w:val="CommentReference"/>
        </w:rPr>
        <w:annotationRef/>
      </w:r>
      <w:r w:rsidRPr="00755678">
        <w:rPr>
          <w:bCs/>
          <w:sz w:val="24"/>
          <w:szCs w:val="24"/>
        </w:rPr>
        <w:t>The article in well-organized in each section and highlight the importance of the molecular simplification in drug discovery (fundamental in terms of costs and time consuming). Moreover, it deals with a hot topic. i.e. SARS-CoV-2 Mpro as a target for fighting COVID-19. Results are promising and exhaustively discussed.</w:t>
      </w:r>
    </w:p>
    <w:p w:rsidR="003B355D" w:rsidRDefault="003B355D">
      <w:pPr>
        <w:pStyle w:val="CommentText"/>
      </w:pPr>
    </w:p>
  </w:comment>
  <w:comment w:id="2" w:author="Kapil" w:date="2022-10-09T16:59:00Z" w:initials="K">
    <w:p w:rsidR="003B355D" w:rsidRPr="00C26602" w:rsidRDefault="003B355D" w:rsidP="00C26602">
      <w:pPr>
        <w:spacing w:line="276" w:lineRule="auto"/>
        <w:rPr>
          <w:rFonts w:asciiTheme="majorBidi" w:hAnsiTheme="majorBidi" w:cstheme="majorBidi"/>
          <w:sz w:val="24"/>
          <w:szCs w:val="24"/>
        </w:rPr>
      </w:pPr>
      <w:r>
        <w:rPr>
          <w:rStyle w:val="CommentReference"/>
        </w:rPr>
        <w:annotationRef/>
      </w:r>
      <w:r w:rsidRPr="00C26602">
        <w:rPr>
          <w:rFonts w:asciiTheme="majorBidi" w:hAnsiTheme="majorBidi" w:cstheme="majorBidi"/>
          <w:sz w:val="24"/>
          <w:szCs w:val="24"/>
        </w:rPr>
        <w:t>Author should update the title to reflect the work in more effective way</w:t>
      </w:r>
    </w:p>
    <w:p w:rsidR="003B355D" w:rsidRDefault="003B355D">
      <w:pPr>
        <w:pStyle w:val="CommentText"/>
      </w:pPr>
    </w:p>
  </w:comment>
  <w:comment w:id="7" w:author="Kapil" w:date="2022-10-29T22:13:00Z" w:initials="K">
    <w:p w:rsidR="003B355D" w:rsidRDefault="003B355D" w:rsidP="00BC7703">
      <w:pPr>
        <w:pStyle w:val="CommentText"/>
        <w:jc w:val="right"/>
        <w:rPr>
          <w:rFonts w:ascii="Arial" w:hAnsi="Arial"/>
          <w:color w:val="212121"/>
          <w:sz w:val="23"/>
          <w:szCs w:val="23"/>
        </w:rPr>
      </w:pPr>
      <w:r>
        <w:rPr>
          <w:rStyle w:val="CommentReference"/>
        </w:rPr>
        <w:annotationRef/>
      </w:r>
      <w:r>
        <w:rPr>
          <w:rFonts w:ascii="Arial" w:hAnsi="Arial"/>
          <w:color w:val="212121"/>
          <w:sz w:val="23"/>
          <w:szCs w:val="23"/>
        </w:rPr>
        <w:t>All abbreviations should be presented in full and the abbreviation in parenthesis when appear for the first time</w:t>
      </w:r>
    </w:p>
    <w:p w:rsidR="003B355D" w:rsidRDefault="003B355D" w:rsidP="00BC7703">
      <w:pPr>
        <w:pStyle w:val="CommentText"/>
        <w:jc w:val="right"/>
        <w:rPr>
          <w:rFonts w:ascii="Arial" w:hAnsi="Arial"/>
          <w:color w:val="212121"/>
          <w:sz w:val="23"/>
          <w:szCs w:val="23"/>
        </w:rPr>
      </w:pPr>
      <w:r>
        <w:rPr>
          <w:rFonts w:ascii="Arial" w:hAnsi="Arial"/>
          <w:color w:val="212121"/>
          <w:sz w:val="23"/>
          <w:szCs w:val="23"/>
        </w:rPr>
        <w:t>Protein Data bank(PDB)</w:t>
      </w:r>
    </w:p>
    <w:p w:rsidR="003B355D" w:rsidRDefault="003B355D" w:rsidP="00BC7703">
      <w:pPr>
        <w:pStyle w:val="CommentText"/>
        <w:jc w:val="right"/>
        <w:rPr>
          <w:rFonts w:ascii="Arial" w:hAnsi="Arial"/>
          <w:color w:val="212121"/>
          <w:sz w:val="23"/>
          <w:szCs w:val="23"/>
        </w:rPr>
      </w:pPr>
      <w:r>
        <w:rPr>
          <w:rFonts w:ascii="Arial" w:hAnsi="Arial"/>
          <w:color w:val="212121"/>
          <w:sz w:val="23"/>
          <w:szCs w:val="23"/>
        </w:rPr>
        <w:t>Plz, follow in all manuscript</w:t>
      </w:r>
    </w:p>
    <w:p w:rsidR="003B355D" w:rsidRDefault="003B355D">
      <w:pPr>
        <w:pStyle w:val="CommentText"/>
      </w:pPr>
    </w:p>
  </w:comment>
  <w:comment w:id="8" w:author="Kapil" w:date="2022-10-29T22:15:00Z" w:initials="K">
    <w:p w:rsidR="003B355D" w:rsidRPr="00755678" w:rsidRDefault="003B355D" w:rsidP="00BC7703">
      <w:pPr>
        <w:spacing w:before="100" w:beforeAutospacing="1" w:after="100" w:afterAutospacing="1"/>
        <w:rPr>
          <w:sz w:val="24"/>
          <w:szCs w:val="24"/>
        </w:rPr>
      </w:pPr>
      <w:r>
        <w:rPr>
          <w:rStyle w:val="CommentReference"/>
        </w:rPr>
        <w:annotationRef/>
      </w:r>
      <w:r w:rsidRPr="00755678">
        <w:rPr>
          <w:bCs/>
          <w:sz w:val="24"/>
          <w:szCs w:val="24"/>
        </w:rPr>
        <w:t>Since you are dealing with a specific target, namely SARS-CoV-2 Mpro, a comprehensive review related to this target must be added. I would suggest “Biomolecules 2021, 11, 607”, as it includes different types of organic compounds.</w:t>
      </w:r>
    </w:p>
    <w:p w:rsidR="003B355D" w:rsidRDefault="003B355D">
      <w:pPr>
        <w:pStyle w:val="CommentText"/>
      </w:pPr>
    </w:p>
  </w:comment>
  <w:comment w:id="4" w:author="Kapil" w:date="2022-10-09T17:00:00Z" w:initials="K">
    <w:p w:rsidR="003B355D" w:rsidRPr="00EE2A57" w:rsidRDefault="003B355D" w:rsidP="00C26602">
      <w:pPr>
        <w:pStyle w:val="CommentText"/>
        <w:rPr>
          <w:rFonts w:ascii="Bookman Old Style" w:hAnsi="Bookman Old Style" w:cs="Times New Roman"/>
        </w:rPr>
      </w:pPr>
      <w:r>
        <w:rPr>
          <w:rStyle w:val="CommentReference"/>
        </w:rPr>
        <w:annotationRef/>
      </w:r>
      <w:r w:rsidRPr="00EE2A57">
        <w:rPr>
          <w:rFonts w:ascii="Bookman Old Style" w:hAnsi="Bookman Old Style" w:cs="Times New Roman"/>
        </w:rPr>
        <w:t>Please divide the abstract in below</w:t>
      </w:r>
      <w:r>
        <w:rPr>
          <w:rFonts w:ascii="Bookman Old Style" w:hAnsi="Bookman Old Style" w:cs="Times New Roman"/>
        </w:rPr>
        <w:t xml:space="preserve"> sections</w:t>
      </w:r>
      <w:r w:rsidRPr="00EE2A57">
        <w:rPr>
          <w:rFonts w:ascii="Bookman Old Style" w:hAnsi="Bookman Old Style" w:cs="Times New Roman"/>
        </w:rPr>
        <w:t xml:space="preserve"> </w:t>
      </w:r>
    </w:p>
    <w:p w:rsidR="003B355D" w:rsidRPr="00FF2ACD" w:rsidRDefault="003B355D" w:rsidP="00C26602">
      <w:pPr>
        <w:pStyle w:val="CommentText"/>
        <w:rPr>
          <w:rFonts w:ascii="Bookman Old Style" w:hAnsi="Bookman Old Style" w:cs="Times New Roman"/>
          <w:b/>
          <w:highlight w:val="yellow"/>
        </w:rPr>
      </w:pPr>
      <w:r w:rsidRPr="00FF2ACD">
        <w:rPr>
          <w:rFonts w:ascii="Bookman Old Style" w:hAnsi="Bookman Old Style" w:cs="Times New Roman"/>
          <w:b/>
          <w:highlight w:val="yellow"/>
        </w:rPr>
        <w:t>Aim and objective</w:t>
      </w:r>
    </w:p>
    <w:p w:rsidR="003B355D" w:rsidRPr="00FF2ACD" w:rsidRDefault="003B355D" w:rsidP="00C26602">
      <w:pPr>
        <w:pStyle w:val="CommentText"/>
        <w:rPr>
          <w:rFonts w:ascii="Bookman Old Style" w:hAnsi="Bookman Old Style" w:cs="Times New Roman"/>
          <w:b/>
          <w:highlight w:val="yellow"/>
        </w:rPr>
      </w:pPr>
      <w:r w:rsidRPr="00FF2ACD">
        <w:rPr>
          <w:rFonts w:ascii="Bookman Old Style" w:hAnsi="Bookman Old Style" w:cs="Times New Roman"/>
          <w:b/>
          <w:highlight w:val="yellow"/>
        </w:rPr>
        <w:t>Methods</w:t>
      </w:r>
    </w:p>
    <w:p w:rsidR="003B355D" w:rsidRPr="00FF2ACD" w:rsidRDefault="003B355D" w:rsidP="00C26602">
      <w:pPr>
        <w:pStyle w:val="CommentText"/>
        <w:rPr>
          <w:rFonts w:ascii="Bookman Old Style" w:hAnsi="Bookman Old Style" w:cs="Times New Roman"/>
          <w:b/>
          <w:highlight w:val="yellow"/>
        </w:rPr>
      </w:pPr>
      <w:r w:rsidRPr="00FF2ACD">
        <w:rPr>
          <w:rFonts w:ascii="Bookman Old Style" w:hAnsi="Bookman Old Style" w:cs="Times New Roman"/>
          <w:b/>
          <w:highlight w:val="yellow"/>
        </w:rPr>
        <w:t>Results</w:t>
      </w:r>
    </w:p>
    <w:p w:rsidR="003B355D" w:rsidRPr="00FF2ACD" w:rsidRDefault="003B355D" w:rsidP="00C26602">
      <w:pPr>
        <w:pStyle w:val="CommentText"/>
        <w:rPr>
          <w:rFonts w:ascii="Bookman Old Style" w:hAnsi="Bookman Old Style" w:cs="Times New Roman"/>
          <w:b/>
          <w:highlight w:val="yellow"/>
        </w:rPr>
      </w:pPr>
      <w:r w:rsidRPr="00FF2ACD">
        <w:rPr>
          <w:rFonts w:ascii="Bookman Old Style" w:hAnsi="Bookman Old Style" w:cs="Times New Roman"/>
          <w:b/>
          <w:highlight w:val="yellow"/>
        </w:rPr>
        <w:t>Conclusion</w:t>
      </w:r>
    </w:p>
    <w:p w:rsidR="003B355D" w:rsidRPr="00EE2A57" w:rsidRDefault="003B355D" w:rsidP="00C26602">
      <w:pPr>
        <w:pStyle w:val="CommentText"/>
        <w:rPr>
          <w:rFonts w:ascii="Bookman Old Style" w:hAnsi="Bookman Old Style" w:cs="Times New Roman"/>
        </w:rPr>
      </w:pPr>
      <w:r w:rsidRPr="00FF2ACD">
        <w:rPr>
          <w:rFonts w:ascii="Bookman Old Style" w:hAnsi="Bookman Old Style" w:cs="Times New Roman"/>
          <w:b/>
          <w:highlight w:val="yellow"/>
        </w:rPr>
        <w:t>Keywords</w:t>
      </w:r>
    </w:p>
    <w:p w:rsidR="003B355D" w:rsidRDefault="003B355D">
      <w:pPr>
        <w:pStyle w:val="CommentText"/>
      </w:pPr>
    </w:p>
  </w:comment>
  <w:comment w:id="9" w:author="Kapil" w:date="2022-10-09T17:00:00Z" w:initials="K">
    <w:p w:rsidR="003B355D" w:rsidRPr="00C26602" w:rsidRDefault="003B355D" w:rsidP="00C26602">
      <w:pPr>
        <w:pStyle w:val="Heading1"/>
        <w:numPr>
          <w:ilvl w:val="0"/>
          <w:numId w:val="0"/>
        </w:numPr>
        <w:spacing w:line="276" w:lineRule="auto"/>
        <w:rPr>
          <w:rFonts w:asciiTheme="majorBidi" w:hAnsiTheme="majorBidi" w:cstheme="majorBidi"/>
          <w:b w:val="0"/>
        </w:rPr>
      </w:pPr>
      <w:r>
        <w:rPr>
          <w:rStyle w:val="CommentReference"/>
        </w:rPr>
        <w:annotationRef/>
      </w:r>
      <w:r w:rsidRPr="00C26602">
        <w:rPr>
          <w:rFonts w:asciiTheme="majorBidi" w:hAnsiTheme="majorBidi" w:cstheme="majorBidi"/>
          <w:b w:val="0"/>
        </w:rPr>
        <w:t>Arrange alphabetically</w:t>
      </w:r>
    </w:p>
    <w:p w:rsidR="003B355D" w:rsidRDefault="003B355D">
      <w:pPr>
        <w:pStyle w:val="CommentText"/>
      </w:pPr>
    </w:p>
  </w:comment>
  <w:comment w:id="10" w:author="Kapil" w:date="2022-10-29T22:20:00Z" w:initials="K">
    <w:p w:rsidR="003B355D" w:rsidRDefault="003B355D" w:rsidP="0013514C">
      <w:pPr>
        <w:pStyle w:val="NormalWeb"/>
      </w:pPr>
      <w:r>
        <w:rPr>
          <w:rStyle w:val="CommentReference"/>
        </w:rPr>
        <w:annotationRef/>
      </w:r>
      <w:r>
        <w:t>The literature is replete with studies showing that Simeprevir suppresses SARS-CoV-2 replication by inhibiting two viral proteins. This should be reflected in the Introduction.</w:t>
      </w:r>
    </w:p>
    <w:p w:rsidR="003B355D" w:rsidRDefault="003B355D" w:rsidP="0013514C">
      <w:pPr>
        <w:pStyle w:val="NormalWeb"/>
      </w:pPr>
      <w:r>
        <w:t>The purpose of the study should include elucidation of whether fragments of simeprevir are more potent than the parent drug.</w:t>
      </w:r>
    </w:p>
    <w:p w:rsidR="003B355D" w:rsidRDefault="003B355D" w:rsidP="0013514C">
      <w:pPr>
        <w:pStyle w:val="NormalWeb"/>
      </w:pPr>
      <w:r>
        <w:t> Give a few pertinent examples, with references, of similar studies on in silico “reverse fragment-based drug discovery approach”</w:t>
      </w:r>
    </w:p>
    <w:p w:rsidR="003B355D" w:rsidRDefault="003B355D">
      <w:pPr>
        <w:pStyle w:val="CommentText"/>
      </w:pPr>
    </w:p>
  </w:comment>
  <w:comment w:id="11" w:author="Kapil" w:date="2022-10-29T23:14:00Z" w:initials="K">
    <w:p w:rsidR="003B355D" w:rsidRPr="00AB42B9" w:rsidRDefault="003B355D" w:rsidP="003B355D">
      <w:pPr>
        <w:rPr>
          <w:rFonts w:ascii="Bookman Old Style" w:hAnsi="Bookman Old Style"/>
        </w:rPr>
      </w:pPr>
      <w:r>
        <w:rPr>
          <w:rStyle w:val="CommentReference"/>
        </w:rPr>
        <w:annotationRef/>
      </w:r>
      <w:r w:rsidRPr="000915F5">
        <w:rPr>
          <w:rFonts w:ascii="Bookman Old Style" w:hAnsi="Bookman Old Style"/>
        </w:rPr>
        <w:t>Good work. Need more elaboration and supporting evidences from the previous related study.</w:t>
      </w:r>
    </w:p>
    <w:p w:rsidR="003B355D" w:rsidRDefault="003B355D">
      <w:pPr>
        <w:pStyle w:val="CommentText"/>
      </w:pPr>
    </w:p>
  </w:comment>
  <w:comment w:id="12" w:author="Kapil" w:date="2022-10-09T17:01:00Z" w:initials="K">
    <w:p w:rsidR="003B355D" w:rsidRDefault="003B355D">
      <w:pPr>
        <w:pStyle w:val="CommentText"/>
      </w:pPr>
      <w:r>
        <w:rPr>
          <w:rStyle w:val="CommentReference"/>
        </w:rPr>
        <w:annotationRef/>
      </w:r>
      <w:r>
        <w:rPr>
          <w:rFonts w:asciiTheme="majorBidi" w:hAnsiTheme="majorBidi" w:cstheme="majorBidi"/>
          <w:sz w:val="24"/>
          <w:szCs w:val="24"/>
        </w:rPr>
        <w:t>Author may remove this figure, simpy mention its content in the text.</w:t>
      </w:r>
    </w:p>
  </w:comment>
  <w:comment w:id="13" w:author="Kapil" w:date="2022-10-29T23:16:00Z" w:initials="K">
    <w:p w:rsidR="003B355D" w:rsidRPr="000253CE" w:rsidRDefault="003B355D" w:rsidP="003B355D">
      <w:pPr>
        <w:rPr>
          <w:sz w:val="24"/>
          <w:szCs w:val="24"/>
        </w:rPr>
      </w:pPr>
      <w:r>
        <w:rPr>
          <w:rStyle w:val="CommentReference"/>
        </w:rPr>
        <w:annotationRef/>
      </w:r>
      <w:r w:rsidRPr="000253CE">
        <w:rPr>
          <w:sz w:val="24"/>
          <w:szCs w:val="24"/>
        </w:rPr>
        <w:t>This study has definitely contributed to knowledge, as most of the information provided are new.</w:t>
      </w:r>
    </w:p>
    <w:p w:rsidR="003B355D" w:rsidRDefault="003B355D">
      <w:pPr>
        <w:pStyle w:val="CommentText"/>
      </w:pPr>
    </w:p>
  </w:comment>
  <w:comment w:id="14" w:author="Kapil" w:date="2022-10-09T17:03:00Z" w:initials="K">
    <w:p w:rsidR="003B355D" w:rsidRDefault="003B355D">
      <w:pPr>
        <w:pStyle w:val="CommentText"/>
      </w:pPr>
      <w:r>
        <w:rPr>
          <w:rStyle w:val="CommentReference"/>
        </w:rPr>
        <w:annotationRef/>
      </w:r>
      <w:r>
        <w:rPr>
          <w:rtl/>
        </w:rPr>
        <w:t>Figure</w:t>
      </w:r>
    </w:p>
  </w:comment>
  <w:comment w:id="15" w:author="Kapil" w:date="2022-10-09T17:05:00Z" w:initials="K">
    <w:p w:rsidR="003B355D" w:rsidRDefault="003B355D" w:rsidP="00C26602">
      <w:pPr>
        <w:pStyle w:val="Heading2"/>
        <w:numPr>
          <w:ilvl w:val="0"/>
          <w:numId w:val="0"/>
        </w:numPr>
        <w:spacing w:line="276" w:lineRule="auto"/>
        <w:ind w:left="450"/>
        <w:rPr>
          <w:rFonts w:asciiTheme="majorBidi" w:hAnsiTheme="majorBidi" w:cstheme="majorBidi"/>
          <w:sz w:val="24"/>
          <w:szCs w:val="24"/>
        </w:rPr>
      </w:pPr>
      <w:r>
        <w:rPr>
          <w:rStyle w:val="CommentReference"/>
        </w:rPr>
        <w:annotationRef/>
      </w:r>
      <w:r>
        <w:rPr>
          <w:rFonts w:asciiTheme="majorBidi" w:hAnsiTheme="majorBidi" w:cstheme="majorBidi"/>
          <w:sz w:val="24"/>
          <w:szCs w:val="24"/>
        </w:rPr>
        <w:t>Please add this section</w:t>
      </w:r>
    </w:p>
    <w:p w:rsidR="003B355D" w:rsidRDefault="003B355D">
      <w:pPr>
        <w:pStyle w:val="CommentText"/>
      </w:pPr>
    </w:p>
  </w:comment>
  <w:comment w:id="16" w:author="Kapil" w:date="2022-10-09T17:06:00Z" w:initials="K">
    <w:p w:rsidR="003B355D" w:rsidRDefault="003B355D" w:rsidP="00C26602">
      <w:pPr>
        <w:pStyle w:val="CommentText"/>
      </w:pPr>
      <w:r>
        <w:rPr>
          <w:rStyle w:val="CommentReference"/>
        </w:rPr>
        <w:annotationRef/>
      </w:r>
      <w:r>
        <w:t>Please add this section</w:t>
      </w:r>
    </w:p>
  </w:comment>
  <w:comment w:id="17" w:author="Kapil" w:date="2022-10-29T23:26:00Z" w:initials="K">
    <w:p w:rsidR="00AF0A3B" w:rsidRDefault="00AF0A3B" w:rsidP="00AF0A3B">
      <w:pPr>
        <w:rPr>
          <w:rFonts w:ascii="Bookman Old Style" w:hAnsi="Bookman Old Style"/>
        </w:rPr>
      </w:pPr>
      <w:r>
        <w:rPr>
          <w:rStyle w:val="CommentReference"/>
        </w:rPr>
        <w:annotationRef/>
      </w:r>
      <w:r w:rsidRPr="00C25E81">
        <w:rPr>
          <w:rFonts w:ascii="Bookman Old Style" w:hAnsi="Bookman Old Style"/>
        </w:rPr>
        <w:t>Results are presented on right way. Tables and graphs are simple, and it is easy to follow the results on all tests.</w:t>
      </w:r>
    </w:p>
    <w:p w:rsidR="00AF0A3B" w:rsidRDefault="00AF0A3B">
      <w:pPr>
        <w:pStyle w:val="CommentText"/>
      </w:pPr>
    </w:p>
  </w:comment>
  <w:comment w:id="18" w:author="Kapil" w:date="2022-10-29T22:13:00Z" w:initials="K">
    <w:p w:rsidR="003B355D" w:rsidRDefault="003B355D">
      <w:pPr>
        <w:pStyle w:val="CommentText"/>
      </w:pPr>
      <w:r>
        <w:rPr>
          <w:rStyle w:val="CommentReference"/>
        </w:rPr>
        <w:annotationRef/>
      </w:r>
      <w:r>
        <w:t>-6.94, correct</w:t>
      </w:r>
    </w:p>
  </w:comment>
  <w:comment w:id="19" w:author="Kapil" w:date="2022-10-29T23:26:00Z" w:initials="K">
    <w:p w:rsidR="00AF0A3B" w:rsidRPr="00262C0D" w:rsidRDefault="00AF0A3B" w:rsidP="00AF0A3B">
      <w:pPr>
        <w:rPr>
          <w:rFonts w:ascii="Bookman Old Style" w:hAnsi="Bookman Old Style"/>
        </w:rPr>
      </w:pPr>
      <w:r>
        <w:rPr>
          <w:rStyle w:val="CommentReference"/>
        </w:rPr>
        <w:annotationRef/>
      </w:r>
      <w:r w:rsidRPr="002557E3">
        <w:rPr>
          <w:rFonts w:ascii="Bookman Old Style" w:hAnsi="Bookman Old Style"/>
        </w:rPr>
        <w:t>It was presented in a good manner.</w:t>
      </w:r>
      <w:r w:rsidRPr="00262C0D">
        <w:rPr>
          <w:rFonts w:ascii="Bookman Old Style" w:hAnsi="Bookman Old Style"/>
        </w:rPr>
        <w:t>Result is comprehensive and well tabulated</w:t>
      </w:r>
      <w:r>
        <w:rPr>
          <w:rFonts w:ascii="Bookman Old Style" w:hAnsi="Bookman Old Style"/>
        </w:rPr>
        <w:t>.</w:t>
      </w:r>
    </w:p>
    <w:p w:rsidR="00AF0A3B" w:rsidRDefault="00AF0A3B" w:rsidP="00AF0A3B">
      <w:pPr>
        <w:rPr>
          <w:rFonts w:ascii="Bookman Old Style" w:hAnsi="Bookman Old Style"/>
        </w:rPr>
      </w:pPr>
      <w:r w:rsidRPr="006B3A13">
        <w:rPr>
          <w:rFonts w:ascii="Bookman Old Style" w:hAnsi="Bookman Old Style"/>
        </w:rPr>
        <w:t>Well designed and adequate</w:t>
      </w:r>
      <w:r>
        <w:rPr>
          <w:rFonts w:ascii="Bookman Old Style" w:hAnsi="Bookman Old Style"/>
        </w:rPr>
        <w:t>.</w:t>
      </w:r>
    </w:p>
    <w:p w:rsidR="00AF0A3B" w:rsidRDefault="00AF0A3B">
      <w:pPr>
        <w:pStyle w:val="CommentText"/>
      </w:pPr>
    </w:p>
  </w:comment>
  <w:comment w:id="20" w:author="Kapil" w:date="2022-10-29T22:21:00Z" w:initials="K">
    <w:p w:rsidR="003B355D" w:rsidRDefault="003B355D" w:rsidP="0013514C">
      <w:pPr>
        <w:pStyle w:val="NormalWeb"/>
      </w:pPr>
      <w:r>
        <w:rPr>
          <w:rStyle w:val="CommentReference"/>
        </w:rPr>
        <w:annotationRef/>
      </w:r>
      <w:r>
        <w:t>From these studies, the authors should identify the pharmacophore in the parent drug, and then discuss the effects of the various ligands on drug activity, toxicity and ADMET</w:t>
      </w:r>
    </w:p>
    <w:p w:rsidR="003B355D" w:rsidRDefault="003B355D">
      <w:pPr>
        <w:pStyle w:val="CommentText"/>
      </w:pPr>
    </w:p>
  </w:comment>
  <w:comment w:id="21" w:author="Kapil" w:date="2022-10-29T23:26:00Z" w:initials="K">
    <w:p w:rsidR="00AF0A3B" w:rsidRDefault="00AF0A3B" w:rsidP="00AF0A3B">
      <w:pPr>
        <w:rPr>
          <w:rFonts w:ascii="Bookman Old Style" w:hAnsi="Bookman Old Style"/>
        </w:rPr>
      </w:pPr>
      <w:r>
        <w:rPr>
          <w:rStyle w:val="CommentReference"/>
        </w:rPr>
        <w:annotationRef/>
      </w:r>
      <w:r w:rsidRPr="0064524F">
        <w:rPr>
          <w:rFonts w:ascii="Bookman Old Style" w:hAnsi="Bookman Old Style"/>
        </w:rPr>
        <w:t>All findings are well supported by the literature and the objectives of the research are carried out with proper and</w:t>
      </w:r>
      <w:r>
        <w:rPr>
          <w:rFonts w:ascii="Bookman Old Style" w:hAnsi="Bookman Old Style"/>
        </w:rPr>
        <w:t xml:space="preserve"> </w:t>
      </w:r>
      <w:r w:rsidRPr="0064524F">
        <w:rPr>
          <w:rFonts w:ascii="Bookman Old Style" w:hAnsi="Bookman Old Style"/>
        </w:rPr>
        <w:t>logical justifications.</w:t>
      </w:r>
    </w:p>
    <w:p w:rsidR="00AF0A3B" w:rsidRDefault="00AF0A3B">
      <w:pPr>
        <w:pStyle w:val="CommentText"/>
      </w:pPr>
    </w:p>
  </w:comment>
  <w:comment w:id="22" w:author="Kapil" w:date="2022-10-29T23:26:00Z" w:initials="K">
    <w:p w:rsidR="00AF0A3B" w:rsidRDefault="00AF0A3B" w:rsidP="00AF0A3B">
      <w:pPr>
        <w:rPr>
          <w:rFonts w:ascii="Bookman Old Style" w:hAnsi="Bookman Old Style"/>
        </w:rPr>
      </w:pPr>
      <w:r>
        <w:rPr>
          <w:rStyle w:val="CommentReference"/>
        </w:rPr>
        <w:annotationRef/>
      </w:r>
      <w:r w:rsidRPr="00AB42B9">
        <w:rPr>
          <w:rFonts w:ascii="Bookman Old Style" w:hAnsi="Bookman Old Style"/>
        </w:rPr>
        <w:t xml:space="preserve">The research </w:t>
      </w:r>
      <w:r>
        <w:rPr>
          <w:rFonts w:ascii="Bookman Old Style" w:hAnsi="Bookman Old Style"/>
        </w:rPr>
        <w:t>findings are</w:t>
      </w:r>
      <w:r w:rsidRPr="00AB42B9">
        <w:rPr>
          <w:rFonts w:ascii="Bookman Old Style" w:hAnsi="Bookman Old Style"/>
        </w:rPr>
        <w:t xml:space="preserve"> clearly described to address the problem s</w:t>
      </w:r>
      <w:r>
        <w:rPr>
          <w:rFonts w:ascii="Bookman Old Style" w:hAnsi="Bookman Old Style"/>
        </w:rPr>
        <w:t xml:space="preserve">tatement and to achieve current </w:t>
      </w:r>
      <w:r w:rsidRPr="00AB42B9">
        <w:rPr>
          <w:rFonts w:ascii="Bookman Old Style" w:hAnsi="Bookman Old Style"/>
        </w:rPr>
        <w:t xml:space="preserve">research objectives. </w:t>
      </w:r>
    </w:p>
    <w:p w:rsidR="00AF0A3B" w:rsidRDefault="00AF0A3B">
      <w:pPr>
        <w:pStyle w:val="CommentText"/>
      </w:pPr>
    </w:p>
  </w:comment>
  <w:comment w:id="23" w:author="Kapil" w:date="2022-10-29T23:27:00Z" w:initials="K">
    <w:p w:rsidR="00AF0A3B" w:rsidRPr="00BB0FA3" w:rsidRDefault="00AF0A3B" w:rsidP="00AF0A3B">
      <w:pPr>
        <w:rPr>
          <w:rFonts w:ascii="Bookman Old Style" w:hAnsi="Bookman Old Style"/>
        </w:rPr>
      </w:pPr>
      <w:r>
        <w:rPr>
          <w:rStyle w:val="CommentReference"/>
        </w:rPr>
        <w:annotationRef/>
      </w:r>
      <w:r>
        <w:rPr>
          <w:rFonts w:ascii="Bookman Old Style" w:hAnsi="Bookman Old Style"/>
        </w:rPr>
        <w:t>The author</w:t>
      </w:r>
      <w:r w:rsidRPr="00BB0FA3">
        <w:rPr>
          <w:rFonts w:ascii="Bookman Old Style" w:hAnsi="Bookman Old Style"/>
        </w:rPr>
        <w:t xml:space="preserve"> has clearly given all the data, critically analysed and explained the results</w:t>
      </w:r>
      <w:r>
        <w:rPr>
          <w:rFonts w:ascii="Bookman Old Style" w:hAnsi="Bookman Old Style"/>
        </w:rPr>
        <w:t xml:space="preserve"> </w:t>
      </w:r>
      <w:r w:rsidRPr="00BB0FA3">
        <w:rPr>
          <w:rFonts w:ascii="Bookman Old Style" w:hAnsi="Bookman Old Style"/>
        </w:rPr>
        <w:t>with evidences.</w:t>
      </w:r>
    </w:p>
    <w:p w:rsidR="00AF0A3B" w:rsidRDefault="00AF0A3B">
      <w:pPr>
        <w:pStyle w:val="CommentText"/>
      </w:pPr>
    </w:p>
  </w:comment>
  <w:comment w:id="24" w:author="Kapil" w:date="2022-10-29T23:27:00Z" w:initials="K">
    <w:p w:rsidR="00AF0A3B" w:rsidRPr="00BB0FA3" w:rsidRDefault="00AF0A3B" w:rsidP="00AF0A3B">
      <w:pPr>
        <w:rPr>
          <w:rFonts w:ascii="Bookman Old Style" w:hAnsi="Bookman Old Style"/>
        </w:rPr>
      </w:pPr>
      <w:r>
        <w:rPr>
          <w:rStyle w:val="CommentReference"/>
        </w:rPr>
        <w:annotationRef/>
      </w:r>
      <w:r>
        <w:rPr>
          <w:rFonts w:ascii="Bookman Old Style" w:hAnsi="Bookman Old Style"/>
        </w:rPr>
        <w:t>The author</w:t>
      </w:r>
      <w:r w:rsidRPr="00BB0FA3">
        <w:rPr>
          <w:rFonts w:ascii="Bookman Old Style" w:hAnsi="Bookman Old Style"/>
        </w:rPr>
        <w:t xml:space="preserve"> has clearly given all the data in Table form, critically analysed and explained the results</w:t>
      </w:r>
      <w:r>
        <w:rPr>
          <w:rFonts w:ascii="Bookman Old Style" w:hAnsi="Bookman Old Style"/>
        </w:rPr>
        <w:t xml:space="preserve"> </w:t>
      </w:r>
      <w:r w:rsidRPr="00BB0FA3">
        <w:rPr>
          <w:rFonts w:ascii="Bookman Old Style" w:hAnsi="Bookman Old Style"/>
        </w:rPr>
        <w:t>with evidences.</w:t>
      </w:r>
    </w:p>
    <w:p w:rsidR="00AF0A3B" w:rsidRDefault="00AF0A3B">
      <w:pPr>
        <w:pStyle w:val="CommentText"/>
      </w:pPr>
    </w:p>
  </w:comment>
  <w:comment w:id="25" w:author="Kapil" w:date="2022-10-29T23:27:00Z" w:initials="K">
    <w:p w:rsidR="00AF0A3B" w:rsidRDefault="00AF0A3B" w:rsidP="00AF0A3B">
      <w:pPr>
        <w:rPr>
          <w:rFonts w:ascii="Bookman Old Style" w:hAnsi="Bookman Old Style"/>
        </w:rPr>
      </w:pPr>
      <w:r>
        <w:rPr>
          <w:rStyle w:val="CommentReference"/>
        </w:rPr>
        <w:annotationRef/>
      </w:r>
      <w:r w:rsidRPr="0064524F">
        <w:rPr>
          <w:rFonts w:ascii="Bookman Old Style" w:hAnsi="Bookman Old Style"/>
        </w:rPr>
        <w:t xml:space="preserve">Current study’s result is suitable for mapping the interpretation of findings by the policy makers. </w:t>
      </w:r>
    </w:p>
    <w:p w:rsidR="00AF0A3B" w:rsidRDefault="00AF0A3B">
      <w:pPr>
        <w:pStyle w:val="CommentText"/>
      </w:pPr>
    </w:p>
  </w:comment>
  <w:comment w:id="26" w:author="Kapil" w:date="2022-10-29T23:27:00Z" w:initials="K">
    <w:p w:rsidR="00AF0A3B" w:rsidRDefault="00AF0A3B" w:rsidP="00AF0A3B">
      <w:pPr>
        <w:rPr>
          <w:rFonts w:ascii="Bookman Old Style" w:hAnsi="Bookman Old Style"/>
        </w:rPr>
      </w:pPr>
      <w:r>
        <w:rPr>
          <w:rStyle w:val="CommentReference"/>
        </w:rPr>
        <w:annotationRef/>
      </w:r>
      <w:r w:rsidRPr="00CF1B05">
        <w:rPr>
          <w:rFonts w:ascii="Bookman Old Style" w:hAnsi="Bookman Old Style"/>
        </w:rPr>
        <w:t xml:space="preserve">The </w:t>
      </w:r>
      <w:r>
        <w:rPr>
          <w:rFonts w:ascii="Bookman Old Style" w:hAnsi="Bookman Old Style"/>
        </w:rPr>
        <w:t>author</w:t>
      </w:r>
      <w:r w:rsidRPr="00CF1B05">
        <w:rPr>
          <w:rFonts w:ascii="Bookman Old Style" w:hAnsi="Bookman Old Style"/>
        </w:rPr>
        <w:t xml:space="preserve"> has clea</w:t>
      </w:r>
      <w:r>
        <w:rPr>
          <w:rFonts w:ascii="Bookman Old Style" w:hAnsi="Bookman Old Style"/>
        </w:rPr>
        <w:t>rly given all the data in Table</w:t>
      </w:r>
      <w:r w:rsidRPr="00CF1B05">
        <w:rPr>
          <w:rFonts w:ascii="Bookman Old Style" w:hAnsi="Bookman Old Style"/>
        </w:rPr>
        <w:t xml:space="preserve"> form, critically ana</w:t>
      </w:r>
      <w:r>
        <w:rPr>
          <w:rFonts w:ascii="Bookman Old Style" w:hAnsi="Bookman Old Style"/>
        </w:rPr>
        <w:t xml:space="preserve">lysed and explained the results </w:t>
      </w:r>
      <w:r w:rsidRPr="00CF1B05">
        <w:rPr>
          <w:rFonts w:ascii="Bookman Old Style" w:hAnsi="Bookman Old Style"/>
        </w:rPr>
        <w:t>with evidences.</w:t>
      </w:r>
    </w:p>
    <w:p w:rsidR="00AF0A3B" w:rsidRDefault="00AF0A3B">
      <w:pPr>
        <w:pStyle w:val="CommentText"/>
      </w:pPr>
    </w:p>
  </w:comment>
  <w:comment w:id="27" w:author="Kapil" w:date="2022-10-29T22:16:00Z" w:initials="K">
    <w:p w:rsidR="003B355D" w:rsidRPr="00BC7703" w:rsidRDefault="003B355D" w:rsidP="00BC7703">
      <w:pPr>
        <w:bidi/>
        <w:jc w:val="left"/>
        <w:rPr>
          <w:sz w:val="24"/>
          <w:szCs w:val="24"/>
          <w:lang w:eastAsia="en-US"/>
        </w:rPr>
      </w:pPr>
      <w:r>
        <w:rPr>
          <w:rStyle w:val="CommentReference"/>
        </w:rPr>
        <w:annotationRef/>
      </w:r>
      <w:r w:rsidRPr="00BC7703">
        <w:rPr>
          <w:rFonts w:ascii="ArialMT" w:hAnsi="ArialMT"/>
          <w:color w:val="000000"/>
          <w:sz w:val="24"/>
          <w:lang w:eastAsia="en-US"/>
        </w:rPr>
        <w:t>This section is well-presented. It could be further improved in terms of</w:t>
      </w:r>
      <w:r w:rsidRPr="00BC7703">
        <w:rPr>
          <w:rFonts w:ascii="ArialMT" w:hAnsi="ArialMT"/>
          <w:color w:val="000000"/>
          <w:sz w:val="24"/>
          <w:szCs w:val="24"/>
          <w:lang w:eastAsia="en-US"/>
        </w:rPr>
        <w:br/>
      </w:r>
      <w:r w:rsidRPr="00BC7703">
        <w:rPr>
          <w:rFonts w:ascii="ArialMT" w:hAnsi="ArialMT"/>
          <w:color w:val="000000"/>
          <w:sz w:val="24"/>
          <w:lang w:eastAsia="en-US"/>
        </w:rPr>
        <w:t>perspectives.</w:t>
      </w:r>
    </w:p>
    <w:p w:rsidR="003B355D" w:rsidRDefault="003B355D">
      <w:pPr>
        <w:pStyle w:val="CommentText"/>
      </w:pPr>
    </w:p>
  </w:comment>
  <w:comment w:id="28" w:author="Kapil" w:date="2022-10-29T23:27:00Z" w:initials="K">
    <w:p w:rsidR="00AF0A3B" w:rsidRDefault="00AF0A3B" w:rsidP="00AF0A3B">
      <w:pPr>
        <w:rPr>
          <w:rFonts w:ascii="Bookman Old Style" w:hAnsi="Bookman Old Style"/>
        </w:rPr>
      </w:pPr>
      <w:r>
        <w:rPr>
          <w:rStyle w:val="CommentReference"/>
        </w:rPr>
        <w:annotationRef/>
      </w:r>
      <w:r w:rsidRPr="00CF1B05">
        <w:rPr>
          <w:rFonts w:ascii="Bookman Old Style" w:hAnsi="Bookman Old Style"/>
        </w:rPr>
        <w:t xml:space="preserve">The </w:t>
      </w:r>
      <w:r>
        <w:rPr>
          <w:rFonts w:ascii="Bookman Old Style" w:hAnsi="Bookman Old Style"/>
        </w:rPr>
        <w:t>author</w:t>
      </w:r>
      <w:r w:rsidRPr="00CF1B05">
        <w:rPr>
          <w:rFonts w:ascii="Bookman Old Style" w:hAnsi="Bookman Old Style"/>
        </w:rPr>
        <w:t xml:space="preserve"> has clea</w:t>
      </w:r>
      <w:r>
        <w:rPr>
          <w:rFonts w:ascii="Bookman Old Style" w:hAnsi="Bookman Old Style"/>
        </w:rPr>
        <w:t>rly given all the data in Table</w:t>
      </w:r>
      <w:r w:rsidRPr="00CF1B05">
        <w:rPr>
          <w:rFonts w:ascii="Bookman Old Style" w:hAnsi="Bookman Old Style"/>
        </w:rPr>
        <w:t xml:space="preserve"> form, critically ana</w:t>
      </w:r>
      <w:r>
        <w:rPr>
          <w:rFonts w:ascii="Bookman Old Style" w:hAnsi="Bookman Old Style"/>
        </w:rPr>
        <w:t xml:space="preserve">lysed and explained the results </w:t>
      </w:r>
      <w:r w:rsidRPr="00CF1B05">
        <w:rPr>
          <w:rFonts w:ascii="Bookman Old Style" w:hAnsi="Bookman Old Style"/>
        </w:rPr>
        <w:t>with evidences.</w:t>
      </w:r>
    </w:p>
    <w:p w:rsidR="00AF0A3B" w:rsidRDefault="00AF0A3B">
      <w:pPr>
        <w:pStyle w:val="CommentText"/>
      </w:pPr>
    </w:p>
  </w:comment>
  <w:comment w:id="29" w:author="Kapil" w:date="2022-10-29T23:27:00Z" w:initials="K">
    <w:p w:rsidR="00AF0A3B" w:rsidRPr="00780F05" w:rsidRDefault="00AF0A3B" w:rsidP="00AF0A3B">
      <w:pPr>
        <w:rPr>
          <w:rFonts w:ascii="Bookman Old Style" w:hAnsi="Bookman Old Style"/>
        </w:rPr>
      </w:pPr>
      <w:r>
        <w:rPr>
          <w:rStyle w:val="CommentReference"/>
        </w:rPr>
        <w:annotationRef/>
      </w:r>
      <w:r w:rsidRPr="00780F05">
        <w:rPr>
          <w:rFonts w:ascii="Bookman Old Style" w:hAnsi="Bookman Old Style"/>
        </w:rPr>
        <w:t>The vocabulary and grammar are precise, consistent and standardized</w:t>
      </w:r>
      <w:r>
        <w:rPr>
          <w:rFonts w:ascii="Bookman Old Style" w:hAnsi="Bookman Old Style"/>
        </w:rPr>
        <w:t>.</w:t>
      </w:r>
    </w:p>
    <w:p w:rsidR="00AF0A3B" w:rsidRDefault="00AF0A3B">
      <w:pPr>
        <w:pStyle w:val="CommentText"/>
      </w:pPr>
    </w:p>
  </w:comment>
  <w:comment w:id="32" w:author="Kapil" w:date="2022-10-29T23:28:00Z" w:initials="K">
    <w:p w:rsidR="00AF0A3B" w:rsidRPr="006D6FEF" w:rsidRDefault="00AF0A3B" w:rsidP="00AF0A3B">
      <w:pPr>
        <w:rPr>
          <w:rFonts w:ascii="Bookman Old Style" w:hAnsi="Bookman Old Style"/>
        </w:rPr>
      </w:pPr>
      <w:r>
        <w:rPr>
          <w:rStyle w:val="CommentReference"/>
        </w:rPr>
        <w:annotationRef/>
      </w:r>
      <w:r w:rsidRPr="006D6FEF">
        <w:rPr>
          <w:rFonts w:ascii="Bookman Old Style" w:hAnsi="Bookman Old Style"/>
        </w:rPr>
        <w:t>The candidate has clearly given all the data in Table/Figure form, critically analysed and explained the results</w:t>
      </w:r>
      <w:r>
        <w:rPr>
          <w:rFonts w:ascii="Bookman Old Style" w:hAnsi="Bookman Old Style"/>
        </w:rPr>
        <w:t xml:space="preserve"> </w:t>
      </w:r>
      <w:r w:rsidRPr="006D6FEF">
        <w:rPr>
          <w:rFonts w:ascii="Bookman Old Style" w:hAnsi="Bookman Old Style"/>
        </w:rPr>
        <w:t>with evidences</w:t>
      </w:r>
      <w:r>
        <w:rPr>
          <w:rFonts w:ascii="Bookman Old Style" w:hAnsi="Bookman Old Style"/>
        </w:rPr>
        <w:t>.</w:t>
      </w:r>
    </w:p>
    <w:p w:rsidR="00AF0A3B" w:rsidRDefault="00AF0A3B">
      <w:pPr>
        <w:pStyle w:val="CommentText"/>
      </w:pPr>
    </w:p>
  </w:comment>
  <w:comment w:id="33" w:author="Kapil" w:date="2022-10-29T22:14:00Z" w:initials="K">
    <w:p w:rsidR="003B355D" w:rsidRDefault="003B355D">
      <w:pPr>
        <w:pStyle w:val="CommentText"/>
      </w:pPr>
      <w:r>
        <w:rPr>
          <w:rStyle w:val="CommentReference"/>
        </w:rPr>
        <w:annotationRef/>
      </w:r>
      <w:r>
        <w:t>Full name</w:t>
      </w:r>
    </w:p>
  </w:comment>
  <w:comment w:id="34" w:author="Kapil" w:date="2022-10-09T17:07:00Z" w:initials="K">
    <w:p w:rsidR="003B355D" w:rsidRDefault="003B355D" w:rsidP="006A5391">
      <w:pPr>
        <w:pStyle w:val="CommentText"/>
      </w:pPr>
      <w:r>
        <w:rPr>
          <w:rStyle w:val="CommentReference"/>
        </w:rPr>
        <w:annotationRef/>
      </w:r>
      <w:r w:rsidRPr="008E2CB3">
        <w:rPr>
          <w:rFonts w:ascii="Bookman Old Style" w:hAnsi="Bookman Old Style" w:cs="Times New Roman"/>
        </w:rPr>
        <w:t>Please add this section</w:t>
      </w:r>
    </w:p>
  </w:comment>
  <w:comment w:id="35" w:author="Kapil" w:date="2022-10-29T23:35:00Z" w:initials="K">
    <w:p w:rsidR="00A3346B" w:rsidRDefault="00A3346B" w:rsidP="00A3346B">
      <w:pPr>
        <w:rPr>
          <w:rFonts w:ascii="Bookman Old Style" w:hAnsi="Bookman Old Style"/>
        </w:rPr>
      </w:pPr>
      <w:r>
        <w:rPr>
          <w:rStyle w:val="CommentReference"/>
        </w:rPr>
        <w:annotationRef/>
      </w:r>
      <w:r w:rsidRPr="00780F05">
        <w:rPr>
          <w:rFonts w:ascii="Bookman Old Style" w:hAnsi="Bookman Old Style"/>
        </w:rPr>
        <w:t xml:space="preserve">Authors managed to state their interpretations and opinions, explain the implications of findings, and make suggestions for future research. </w:t>
      </w:r>
    </w:p>
    <w:p w:rsidR="00A3346B" w:rsidRDefault="00A3346B">
      <w:pPr>
        <w:pStyle w:val="CommentText"/>
      </w:pPr>
    </w:p>
  </w:comment>
  <w:comment w:id="36" w:author="Kapil" w:date="2022-10-29T23:35:00Z" w:initials="K">
    <w:p w:rsidR="00A3346B" w:rsidRPr="00780F05" w:rsidRDefault="00A3346B" w:rsidP="00A3346B">
      <w:pPr>
        <w:rPr>
          <w:rFonts w:ascii="Bookman Old Style" w:hAnsi="Bookman Old Style"/>
        </w:rPr>
      </w:pPr>
      <w:r>
        <w:rPr>
          <w:rStyle w:val="CommentReference"/>
        </w:rPr>
        <w:annotationRef/>
      </w:r>
      <w:r w:rsidRPr="00780F05">
        <w:rPr>
          <w:rFonts w:ascii="Bookman Old Style" w:hAnsi="Bookman Old Style"/>
        </w:rPr>
        <w:t>They answered the questions posed in the Introduction, explain how the results support the answers and, how the answers fit in with existing knowledge on the topic</w:t>
      </w:r>
    </w:p>
    <w:p w:rsidR="00A3346B" w:rsidRDefault="00A3346B">
      <w:pPr>
        <w:pStyle w:val="CommentText"/>
      </w:pPr>
    </w:p>
  </w:comment>
  <w:comment w:id="37" w:author="Kapil" w:date="2022-10-09T17:07:00Z" w:initials="K">
    <w:p w:rsidR="003B355D" w:rsidRDefault="003B355D" w:rsidP="00C26602">
      <w:pPr>
        <w:pStyle w:val="CommentText"/>
      </w:pPr>
      <w:r>
        <w:rPr>
          <w:rStyle w:val="CommentReference"/>
        </w:rPr>
        <w:annotationRef/>
      </w:r>
      <w:r w:rsidRPr="008E2CB3">
        <w:rPr>
          <w:rFonts w:ascii="Bookman Old Style" w:hAnsi="Bookman Old Style" w:cs="Times New Roman"/>
        </w:rPr>
        <w:t>Please add this section</w:t>
      </w:r>
    </w:p>
  </w:comment>
  <w:comment w:id="38" w:author="Kapil" w:date="2022-10-09T17:08:00Z" w:initials="K">
    <w:p w:rsidR="003B355D" w:rsidRPr="006212BC" w:rsidRDefault="003B355D" w:rsidP="006A5391">
      <w:pPr>
        <w:rPr>
          <w:rFonts w:ascii="Bookman Old Style" w:hAnsi="Bookman Old Style"/>
        </w:rPr>
      </w:pPr>
      <w:r>
        <w:rPr>
          <w:rStyle w:val="CommentReference"/>
        </w:rPr>
        <w:annotationRef/>
      </w:r>
      <w:r w:rsidRPr="00186B8E">
        <w:rPr>
          <w:rFonts w:ascii="Bookman Old Style" w:hAnsi="Bookman Old Style"/>
        </w:rPr>
        <w:t xml:space="preserve">Please follow the journal </w:t>
      </w:r>
      <w:hyperlink r:id="rId3" w:history="1">
        <w:r w:rsidRPr="006B70FE">
          <w:rPr>
            <w:rStyle w:val="Hyperlink"/>
            <w:rFonts w:ascii="Bookman Old Style" w:hAnsi="Bookman Old Style"/>
          </w:rPr>
          <w:t>instructions</w:t>
        </w:r>
      </w:hyperlink>
      <w:r>
        <w:rPr>
          <w:rFonts w:ascii="Bookman Old Style" w:hAnsi="Bookman Old Style"/>
        </w:rPr>
        <w:t xml:space="preserve"> </w:t>
      </w:r>
      <w:r w:rsidRPr="00186B8E">
        <w:rPr>
          <w:rFonts w:ascii="Bookman Old Style" w:hAnsi="Bookman Old Style"/>
        </w:rPr>
        <w:t xml:space="preserve"> for references</w:t>
      </w:r>
      <w:r>
        <w:rPr>
          <w:rFonts w:ascii="Bookman Old Style" w:hAnsi="Bookman Old Style"/>
        </w:rPr>
        <w:t>.</w:t>
      </w:r>
      <w:r w:rsidRPr="00047897">
        <w:rPr>
          <w:rFonts w:ascii="Bookman Old Style" w:hAnsi="Bookman Old Style"/>
        </w:rPr>
        <w:t xml:space="preserve"> </w:t>
      </w:r>
      <w:r w:rsidRPr="00AA42E1">
        <w:rPr>
          <w:rFonts w:ascii="Bookman Old Style" w:hAnsi="Bookman Old Style"/>
          <w:highlight w:val="yellow"/>
        </w:rPr>
        <w:t>Please add DOI to articles if available</w:t>
      </w:r>
      <w:r>
        <w:rPr>
          <w:rFonts w:ascii="Bookman Old Style" w:hAnsi="Bookman Old Style"/>
        </w:rPr>
        <w:t xml:space="preserve">. </w:t>
      </w:r>
      <w:r w:rsidRPr="00351C84">
        <w:rPr>
          <w:rFonts w:ascii="Bookman Old Style" w:hAnsi="Bookman Old Style"/>
        </w:rPr>
        <w:t>For example</w:t>
      </w:r>
    </w:p>
    <w:p w:rsidR="003B355D" w:rsidRDefault="003B355D" w:rsidP="006A5391">
      <w:pPr>
        <w:rPr>
          <w:rFonts w:ascii="Bookman Old Style" w:hAnsi="Bookman Old Style"/>
          <w:b/>
          <w:color w:val="00B050"/>
        </w:rPr>
      </w:pPr>
      <w:r w:rsidRPr="006212BC">
        <w:rPr>
          <w:rFonts w:ascii="Bookman Old Style" w:hAnsi="Bookman Old Style"/>
        </w:rPr>
        <w:t>Ishak AA, Alhadi AM, Al-Shamahy HA. Local experience of telemedicine: examples of cases in Yemen.</w:t>
      </w:r>
      <w:r>
        <w:rPr>
          <w:rFonts w:ascii="Bookman Old Style" w:hAnsi="Bookman Old Style"/>
        </w:rPr>
        <w:t xml:space="preserve"> </w:t>
      </w:r>
      <w:r w:rsidRPr="006212BC">
        <w:rPr>
          <w:rFonts w:ascii="Bookman Old Style" w:hAnsi="Bookman Old Style"/>
        </w:rPr>
        <w:t>Universal J</w:t>
      </w:r>
      <w:r>
        <w:rPr>
          <w:rFonts w:ascii="Bookman Old Style" w:hAnsi="Bookman Old Style"/>
        </w:rPr>
        <w:t xml:space="preserve"> </w:t>
      </w:r>
      <w:r w:rsidRPr="006212BC">
        <w:rPr>
          <w:rFonts w:ascii="Bookman Old Style" w:hAnsi="Bookman Old Style"/>
        </w:rPr>
        <w:t>Pharm Res 2021; 6(1):34-37.</w:t>
      </w:r>
      <w:r w:rsidRPr="006212BC">
        <w:rPr>
          <w:color w:val="000000"/>
          <w:sz w:val="18"/>
          <w:szCs w:val="18"/>
        </w:rPr>
        <w:br/>
      </w:r>
      <w:r w:rsidRPr="006212BC">
        <w:rPr>
          <w:rStyle w:val="Hyperlink"/>
          <w:rFonts w:ascii="Bookman Old Style" w:hAnsi="Bookman Old Style"/>
        </w:rPr>
        <w:t>https://doi.org/10.22270/ujpr.v6i1.537</w:t>
      </w:r>
    </w:p>
    <w:p w:rsidR="003B355D" w:rsidRDefault="003B355D" w:rsidP="006A5391">
      <w:pPr>
        <w:rPr>
          <w:rFonts w:ascii="Bookman Old Style" w:hAnsi="Bookman Old Style"/>
          <w:b/>
          <w:color w:val="00B050"/>
        </w:rPr>
      </w:pPr>
    </w:p>
    <w:p w:rsidR="003B355D" w:rsidRDefault="003B355D" w:rsidP="006A5391">
      <w:pPr>
        <w:pStyle w:val="CommentText"/>
        <w:rPr>
          <w:rStyle w:val="Hyperlink"/>
          <w:rFonts w:ascii="Bookman Old Style" w:hAnsi="Bookman Old Style"/>
        </w:rPr>
      </w:pPr>
      <w:r w:rsidRPr="00100B8B">
        <w:rPr>
          <w:rFonts w:ascii="Bookman Old Style" w:eastAsiaTheme="minorEastAsia" w:hAnsi="Bookman Old Style" w:cs="Times New Roman"/>
          <w:sz w:val="22"/>
          <w:szCs w:val="22"/>
        </w:rPr>
        <w:t xml:space="preserve">Write all the doi in this format: </w:t>
      </w:r>
      <w:hyperlink r:id="rId4" w:history="1">
        <w:r w:rsidRPr="008E203A">
          <w:rPr>
            <w:rStyle w:val="Hyperlink"/>
            <w:rFonts w:ascii="Bookman Old Style" w:hAnsi="Bookman Old Style"/>
          </w:rPr>
          <w:t>https://doi.org/10.22270/ujpr.v6i1.537</w:t>
        </w:r>
      </w:hyperlink>
    </w:p>
    <w:p w:rsidR="003B355D" w:rsidRPr="00100B8B" w:rsidRDefault="003B355D" w:rsidP="006A5391">
      <w:pPr>
        <w:pStyle w:val="CommentText"/>
        <w:rPr>
          <w:rFonts w:ascii="Bookman Old Style" w:eastAsiaTheme="minorEastAsia" w:hAnsi="Bookman Old Style" w:cs="Times New Roman"/>
          <w:sz w:val="22"/>
          <w:szCs w:val="22"/>
        </w:rPr>
      </w:pPr>
      <w:r w:rsidRPr="00100B8B">
        <w:rPr>
          <w:rFonts w:ascii="Bookman Old Style" w:eastAsiaTheme="minorEastAsia" w:hAnsi="Bookman Old Style" w:cs="Times New Roman"/>
          <w:sz w:val="22"/>
          <w:szCs w:val="22"/>
        </w:rPr>
        <w:t xml:space="preserve">  This applies to all.</w:t>
      </w:r>
    </w:p>
    <w:p w:rsidR="003B355D" w:rsidRDefault="003B355D">
      <w:pPr>
        <w:pStyle w:val="CommentText"/>
      </w:pPr>
    </w:p>
  </w:comment>
  <w:comment w:id="39" w:author="Kapil" w:date="2022-10-30T12:30:00Z" w:initials="K">
    <w:p w:rsidR="00A837F9" w:rsidRDefault="00A837F9">
      <w:pPr>
        <w:pStyle w:val="CommentText"/>
      </w:pPr>
      <w:r>
        <w:rPr>
          <w:rStyle w:val="CommentReference"/>
        </w:rPr>
        <w:annotationRef/>
      </w:r>
      <w:r>
        <w:rPr>
          <w:rtl/>
        </w:rPr>
        <w:t>It should be in italic</w:t>
      </w:r>
    </w:p>
  </w:comment>
  <w:comment w:id="40" w:author="Kapil" w:date="2022-10-30T12:30:00Z" w:initials="K">
    <w:p w:rsidR="00A837F9" w:rsidRDefault="00A837F9">
      <w:pPr>
        <w:pStyle w:val="CommentText"/>
      </w:pPr>
      <w:r>
        <w:rPr>
          <w:rStyle w:val="CommentReference"/>
        </w:rPr>
        <w:annotationRef/>
      </w:r>
      <w:r>
        <w:rPr>
          <w:rtl/>
        </w:rPr>
        <w:t>It should be in italic</w:t>
      </w:r>
    </w:p>
  </w:comment>
  <w:comment w:id="41" w:author="Kapil" w:date="2022-10-30T12:30:00Z" w:initials="K">
    <w:p w:rsidR="00A837F9" w:rsidRDefault="00A837F9">
      <w:pPr>
        <w:pStyle w:val="CommentText"/>
      </w:pPr>
      <w:r>
        <w:rPr>
          <w:rStyle w:val="CommentReference"/>
        </w:rPr>
        <w:annotationRef/>
      </w:r>
      <w:r>
        <w:rPr>
          <w:rtl/>
        </w:rPr>
        <w:t>It should be in italic</w:t>
      </w:r>
    </w:p>
  </w:comment>
  <w:comment w:id="42" w:author="Kapil" w:date="2022-10-30T12:30:00Z" w:initials="K">
    <w:p w:rsidR="00A837F9" w:rsidRDefault="00A837F9">
      <w:pPr>
        <w:pStyle w:val="CommentText"/>
      </w:pPr>
      <w:r>
        <w:rPr>
          <w:rStyle w:val="CommentReference"/>
        </w:rPr>
        <w:annotationRef/>
      </w:r>
      <w:r>
        <w:rPr>
          <w:rtl/>
        </w:rPr>
        <w:t>It should be in italic</w:t>
      </w:r>
    </w:p>
  </w:comment>
  <w:comment w:id="43" w:author="Kapil" w:date="2022-10-30T12:30:00Z" w:initials="K">
    <w:p w:rsidR="00A837F9" w:rsidRDefault="00A837F9">
      <w:pPr>
        <w:pStyle w:val="CommentText"/>
      </w:pPr>
      <w:r>
        <w:rPr>
          <w:rStyle w:val="CommentReference"/>
        </w:rPr>
        <w:annotationRef/>
      </w:r>
      <w:r>
        <w:rPr>
          <w:rtl/>
        </w:rPr>
        <w:t>It should be in italic</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68B7" w:rsidRDefault="006268B7">
      <w:r>
        <w:separator/>
      </w:r>
    </w:p>
  </w:endnote>
  <w:endnote w:type="continuationSeparator" w:id="1">
    <w:p w:rsidR="006268B7" w:rsidRDefault="006268B7">
      <w:r>
        <w:continuationSeparator/>
      </w:r>
    </w:p>
  </w:endnote>
  <w:endnote w:type="continuationNotice" w:id="2">
    <w:p w:rsidR="006268B7" w:rsidRDefault="006268B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55D" w:rsidRDefault="0053462E">
    <w:pPr>
      <w:pStyle w:val="Footer"/>
      <w:framePr w:wrap="around" w:vAnchor="text" w:hAnchor="margin" w:xAlign="center" w:y="1"/>
      <w:rPr>
        <w:rStyle w:val="PageNumber"/>
      </w:rPr>
    </w:pPr>
    <w:r>
      <w:rPr>
        <w:rStyle w:val="PageNumber"/>
      </w:rPr>
      <w:fldChar w:fldCharType="begin"/>
    </w:r>
    <w:r w:rsidR="003B355D">
      <w:rPr>
        <w:rStyle w:val="PageNumber"/>
      </w:rPr>
      <w:instrText xml:space="preserve">PAGE  </w:instrText>
    </w:r>
    <w:r>
      <w:rPr>
        <w:rStyle w:val="PageNumber"/>
      </w:rPr>
      <w:fldChar w:fldCharType="end"/>
    </w:r>
  </w:p>
  <w:p w:rsidR="003B355D" w:rsidRDefault="003B35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55D" w:rsidRDefault="003B355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55D" w:rsidRDefault="003B35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68B7" w:rsidRDefault="006268B7">
      <w:r>
        <w:separator/>
      </w:r>
    </w:p>
  </w:footnote>
  <w:footnote w:type="continuationSeparator" w:id="1">
    <w:p w:rsidR="006268B7" w:rsidRDefault="006268B7">
      <w:r>
        <w:continuationSeparator/>
      </w:r>
    </w:p>
  </w:footnote>
  <w:footnote w:type="continuationNotice" w:id="2">
    <w:p w:rsidR="006268B7" w:rsidRDefault="006268B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55D" w:rsidRDefault="0053462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6032" o:spid="_x0000_s1029" type="#_x0000_t136" style="position:absolute;left:0;text-align:left;margin-left:0;margin-top:0;width:357.75pt;height:48pt;rotation:315;z-index:-251654144;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55D" w:rsidRDefault="0053462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6033" o:spid="_x0000_s1030" type="#_x0000_t136" style="position:absolute;left:0;text-align:left;margin-left:0;margin-top:0;width:357.75pt;height:48pt;rotation:315;z-index:-251652096;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55D" w:rsidRDefault="0053462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6031" o:spid="_x0000_s1028" type="#_x0000_t136" style="position:absolute;left:0;text-align:left;margin-left:0;margin-top:0;width:357.75pt;height:48pt;rotation:315;z-index:-251656192;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35BA"/>
    <w:multiLevelType w:val="hybridMultilevel"/>
    <w:tmpl w:val="60FAC54C"/>
    <w:lvl w:ilvl="0" w:tplc="642428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853B7"/>
    <w:multiLevelType w:val="hybridMultilevel"/>
    <w:tmpl w:val="88D85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06ECF"/>
    <w:multiLevelType w:val="multilevel"/>
    <w:tmpl w:val="07909D76"/>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F487B71"/>
    <w:multiLevelType w:val="multilevel"/>
    <w:tmpl w:val="7A8E40CE"/>
    <w:lvl w:ilvl="0">
      <w:start w:val="4"/>
      <w:numFmt w:val="decimal"/>
      <w:lvlText w:val="%1."/>
      <w:lvlJc w:val="left"/>
      <w:pPr>
        <w:ind w:left="81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4">
    <w:nsid w:val="20A63180"/>
    <w:multiLevelType w:val="hybridMultilevel"/>
    <w:tmpl w:val="582626A6"/>
    <w:lvl w:ilvl="0" w:tplc="22F8EAA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22A1426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BBC0FBB"/>
    <w:multiLevelType w:val="hybridMultilevel"/>
    <w:tmpl w:val="88D85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E10173"/>
    <w:multiLevelType w:val="multilevel"/>
    <w:tmpl w:val="8DEAB8A4"/>
    <w:lvl w:ilvl="0">
      <w:start w:val="2"/>
      <w:numFmt w:val="decimal"/>
      <w:lvlText w:val="%1."/>
      <w:lvlJc w:val="left"/>
      <w:pPr>
        <w:ind w:left="450" w:hanging="450"/>
      </w:pPr>
      <w:rPr>
        <w:rFonts w:hint="default"/>
      </w:rPr>
    </w:lvl>
    <w:lvl w:ilvl="1">
      <w:start w:val="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8">
    <w:nsid w:val="2C4F052C"/>
    <w:multiLevelType w:val="multilevel"/>
    <w:tmpl w:val="7A8E40CE"/>
    <w:lvl w:ilvl="0">
      <w:start w:val="4"/>
      <w:numFmt w:val="decimal"/>
      <w:lvlText w:val="%1."/>
      <w:lvlJc w:val="left"/>
      <w:pPr>
        <w:ind w:left="81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9">
    <w:nsid w:val="589A4D2B"/>
    <w:multiLevelType w:val="multilevel"/>
    <w:tmpl w:val="4326566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6731101A"/>
    <w:multiLevelType w:val="multilevel"/>
    <w:tmpl w:val="CE96FA4E"/>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6E226D9B"/>
    <w:multiLevelType w:val="hybridMultilevel"/>
    <w:tmpl w:val="5470BC06"/>
    <w:lvl w:ilvl="0" w:tplc="B782ADE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07B6EFB"/>
    <w:multiLevelType w:val="hybridMultilevel"/>
    <w:tmpl w:val="E2D6DC7E"/>
    <w:lvl w:ilvl="0" w:tplc="7D06C9BC">
      <w:numFmt w:val="bullet"/>
      <w:lvlText w:val=""/>
      <w:lvlJc w:val="left"/>
      <w:pPr>
        <w:tabs>
          <w:tab w:val="num" w:pos="720"/>
        </w:tabs>
        <w:ind w:left="720" w:hanging="360"/>
      </w:pPr>
      <w:rPr>
        <w:rFonts w:ascii="Symbol" w:eastAsia="Times New Roman" w:hAnsi="Symbol" w:hint="default"/>
      </w:rPr>
    </w:lvl>
    <w:lvl w:ilvl="1" w:tplc="A7A03AE4" w:tentative="1">
      <w:start w:val="1"/>
      <w:numFmt w:val="bullet"/>
      <w:lvlText w:val="o"/>
      <w:lvlJc w:val="left"/>
      <w:pPr>
        <w:tabs>
          <w:tab w:val="num" w:pos="1440"/>
        </w:tabs>
        <w:ind w:left="1440" w:hanging="360"/>
      </w:pPr>
      <w:rPr>
        <w:rFonts w:ascii="Courier New" w:hAnsi="Courier New" w:hint="default"/>
      </w:rPr>
    </w:lvl>
    <w:lvl w:ilvl="2" w:tplc="BA24891A" w:tentative="1">
      <w:start w:val="1"/>
      <w:numFmt w:val="bullet"/>
      <w:lvlText w:val=""/>
      <w:lvlJc w:val="left"/>
      <w:pPr>
        <w:tabs>
          <w:tab w:val="num" w:pos="2160"/>
        </w:tabs>
        <w:ind w:left="2160" w:hanging="360"/>
      </w:pPr>
      <w:rPr>
        <w:rFonts w:ascii="Wingdings" w:hAnsi="Wingdings" w:hint="default"/>
      </w:rPr>
    </w:lvl>
    <w:lvl w:ilvl="3" w:tplc="17FCA590" w:tentative="1">
      <w:start w:val="1"/>
      <w:numFmt w:val="bullet"/>
      <w:lvlText w:val=""/>
      <w:lvlJc w:val="left"/>
      <w:pPr>
        <w:tabs>
          <w:tab w:val="num" w:pos="2880"/>
        </w:tabs>
        <w:ind w:left="2880" w:hanging="360"/>
      </w:pPr>
      <w:rPr>
        <w:rFonts w:ascii="Symbol" w:hAnsi="Symbol" w:hint="default"/>
      </w:rPr>
    </w:lvl>
    <w:lvl w:ilvl="4" w:tplc="2EDC015C" w:tentative="1">
      <w:start w:val="1"/>
      <w:numFmt w:val="bullet"/>
      <w:lvlText w:val="o"/>
      <w:lvlJc w:val="left"/>
      <w:pPr>
        <w:tabs>
          <w:tab w:val="num" w:pos="3600"/>
        </w:tabs>
        <w:ind w:left="3600" w:hanging="360"/>
      </w:pPr>
      <w:rPr>
        <w:rFonts w:ascii="Courier New" w:hAnsi="Courier New" w:hint="default"/>
      </w:rPr>
    </w:lvl>
    <w:lvl w:ilvl="5" w:tplc="5FFCB03E" w:tentative="1">
      <w:start w:val="1"/>
      <w:numFmt w:val="bullet"/>
      <w:lvlText w:val=""/>
      <w:lvlJc w:val="left"/>
      <w:pPr>
        <w:tabs>
          <w:tab w:val="num" w:pos="4320"/>
        </w:tabs>
        <w:ind w:left="4320" w:hanging="360"/>
      </w:pPr>
      <w:rPr>
        <w:rFonts w:ascii="Wingdings" w:hAnsi="Wingdings" w:hint="default"/>
      </w:rPr>
    </w:lvl>
    <w:lvl w:ilvl="6" w:tplc="A7305BFA" w:tentative="1">
      <w:start w:val="1"/>
      <w:numFmt w:val="bullet"/>
      <w:lvlText w:val=""/>
      <w:lvlJc w:val="left"/>
      <w:pPr>
        <w:tabs>
          <w:tab w:val="num" w:pos="5040"/>
        </w:tabs>
        <w:ind w:left="5040" w:hanging="360"/>
      </w:pPr>
      <w:rPr>
        <w:rFonts w:ascii="Symbol" w:hAnsi="Symbol" w:hint="default"/>
      </w:rPr>
    </w:lvl>
    <w:lvl w:ilvl="7" w:tplc="E5E409D0" w:tentative="1">
      <w:start w:val="1"/>
      <w:numFmt w:val="bullet"/>
      <w:lvlText w:val="o"/>
      <w:lvlJc w:val="left"/>
      <w:pPr>
        <w:tabs>
          <w:tab w:val="num" w:pos="5760"/>
        </w:tabs>
        <w:ind w:left="5760" w:hanging="360"/>
      </w:pPr>
      <w:rPr>
        <w:rFonts w:ascii="Courier New" w:hAnsi="Courier New" w:hint="default"/>
      </w:rPr>
    </w:lvl>
    <w:lvl w:ilvl="8" w:tplc="DFC04642" w:tentative="1">
      <w:start w:val="1"/>
      <w:numFmt w:val="bullet"/>
      <w:lvlText w:val=""/>
      <w:lvlJc w:val="left"/>
      <w:pPr>
        <w:tabs>
          <w:tab w:val="num" w:pos="6480"/>
        </w:tabs>
        <w:ind w:left="6480" w:hanging="360"/>
      </w:pPr>
      <w:rPr>
        <w:rFonts w:ascii="Wingdings" w:hAnsi="Wingdings" w:hint="default"/>
      </w:rPr>
    </w:lvl>
  </w:abstractNum>
  <w:abstractNum w:abstractNumId="13">
    <w:nsid w:val="74D6142E"/>
    <w:multiLevelType w:val="multilevel"/>
    <w:tmpl w:val="0832DE6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bCs/>
        <w:vertAlign w:val="baseline"/>
      </w:rPr>
    </w:lvl>
    <w:lvl w:ilvl="3">
      <w:start w:val="1"/>
      <w:numFmt w:val="decimal"/>
      <w:lvlText w:val="%1.%2.%3.%4."/>
      <w:lvlJc w:val="left"/>
      <w:pPr>
        <w:ind w:left="720" w:hanging="720"/>
      </w:pPr>
      <w:rPr>
        <w:b/>
        <w:bCs/>
        <w:vertAlign w:val="baseline"/>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7692063F"/>
    <w:multiLevelType w:val="multilevel"/>
    <w:tmpl w:val="34C60B76"/>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772A6026"/>
    <w:multiLevelType w:val="hybridMultilevel"/>
    <w:tmpl w:val="D278C668"/>
    <w:lvl w:ilvl="0" w:tplc="F1387AF0">
      <w:start w:val="5"/>
      <w:numFmt w:val="bullet"/>
      <w:lvlText w:val=""/>
      <w:lvlJc w:val="left"/>
      <w:pPr>
        <w:tabs>
          <w:tab w:val="num" w:pos="720"/>
        </w:tabs>
        <w:ind w:left="720" w:hanging="360"/>
      </w:pPr>
      <w:rPr>
        <w:rFonts w:ascii="Wingdings" w:eastAsia="Times New Roman" w:hAnsi="Wingdings" w:hint="default"/>
      </w:rPr>
    </w:lvl>
    <w:lvl w:ilvl="1" w:tplc="B70E3EE6" w:tentative="1">
      <w:start w:val="1"/>
      <w:numFmt w:val="bullet"/>
      <w:lvlText w:val="o"/>
      <w:lvlJc w:val="left"/>
      <w:pPr>
        <w:tabs>
          <w:tab w:val="num" w:pos="1440"/>
        </w:tabs>
        <w:ind w:left="1440" w:hanging="360"/>
      </w:pPr>
      <w:rPr>
        <w:rFonts w:ascii="Courier New" w:hAnsi="Courier New" w:hint="default"/>
      </w:rPr>
    </w:lvl>
    <w:lvl w:ilvl="2" w:tplc="738A03F8" w:tentative="1">
      <w:start w:val="1"/>
      <w:numFmt w:val="bullet"/>
      <w:lvlText w:val=""/>
      <w:lvlJc w:val="left"/>
      <w:pPr>
        <w:tabs>
          <w:tab w:val="num" w:pos="2160"/>
        </w:tabs>
        <w:ind w:left="2160" w:hanging="360"/>
      </w:pPr>
      <w:rPr>
        <w:rFonts w:ascii="Wingdings" w:hAnsi="Wingdings" w:hint="default"/>
      </w:rPr>
    </w:lvl>
    <w:lvl w:ilvl="3" w:tplc="BC76A9C8" w:tentative="1">
      <w:start w:val="1"/>
      <w:numFmt w:val="bullet"/>
      <w:lvlText w:val=""/>
      <w:lvlJc w:val="left"/>
      <w:pPr>
        <w:tabs>
          <w:tab w:val="num" w:pos="2880"/>
        </w:tabs>
        <w:ind w:left="2880" w:hanging="360"/>
      </w:pPr>
      <w:rPr>
        <w:rFonts w:ascii="Symbol" w:hAnsi="Symbol" w:hint="default"/>
      </w:rPr>
    </w:lvl>
    <w:lvl w:ilvl="4" w:tplc="CB08B188" w:tentative="1">
      <w:start w:val="1"/>
      <w:numFmt w:val="bullet"/>
      <w:lvlText w:val="o"/>
      <w:lvlJc w:val="left"/>
      <w:pPr>
        <w:tabs>
          <w:tab w:val="num" w:pos="3600"/>
        </w:tabs>
        <w:ind w:left="3600" w:hanging="360"/>
      </w:pPr>
      <w:rPr>
        <w:rFonts w:ascii="Courier New" w:hAnsi="Courier New" w:hint="default"/>
      </w:rPr>
    </w:lvl>
    <w:lvl w:ilvl="5" w:tplc="2F7CEFD6" w:tentative="1">
      <w:start w:val="1"/>
      <w:numFmt w:val="bullet"/>
      <w:lvlText w:val=""/>
      <w:lvlJc w:val="left"/>
      <w:pPr>
        <w:tabs>
          <w:tab w:val="num" w:pos="4320"/>
        </w:tabs>
        <w:ind w:left="4320" w:hanging="360"/>
      </w:pPr>
      <w:rPr>
        <w:rFonts w:ascii="Wingdings" w:hAnsi="Wingdings" w:hint="default"/>
      </w:rPr>
    </w:lvl>
    <w:lvl w:ilvl="6" w:tplc="8B1075D2" w:tentative="1">
      <w:start w:val="1"/>
      <w:numFmt w:val="bullet"/>
      <w:lvlText w:val=""/>
      <w:lvlJc w:val="left"/>
      <w:pPr>
        <w:tabs>
          <w:tab w:val="num" w:pos="5040"/>
        </w:tabs>
        <w:ind w:left="5040" w:hanging="360"/>
      </w:pPr>
      <w:rPr>
        <w:rFonts w:ascii="Symbol" w:hAnsi="Symbol" w:hint="default"/>
      </w:rPr>
    </w:lvl>
    <w:lvl w:ilvl="7" w:tplc="68A04FF8" w:tentative="1">
      <w:start w:val="1"/>
      <w:numFmt w:val="bullet"/>
      <w:lvlText w:val="o"/>
      <w:lvlJc w:val="left"/>
      <w:pPr>
        <w:tabs>
          <w:tab w:val="num" w:pos="5760"/>
        </w:tabs>
        <w:ind w:left="5760" w:hanging="360"/>
      </w:pPr>
      <w:rPr>
        <w:rFonts w:ascii="Courier New" w:hAnsi="Courier New" w:hint="default"/>
      </w:rPr>
    </w:lvl>
    <w:lvl w:ilvl="8" w:tplc="694AD39C" w:tentative="1">
      <w:start w:val="1"/>
      <w:numFmt w:val="bullet"/>
      <w:lvlText w:val=""/>
      <w:lvlJc w:val="left"/>
      <w:pPr>
        <w:tabs>
          <w:tab w:val="num" w:pos="6480"/>
        </w:tabs>
        <w:ind w:left="6480" w:hanging="360"/>
      </w:pPr>
      <w:rPr>
        <w:rFonts w:ascii="Wingdings" w:hAnsi="Wingdings" w:hint="default"/>
      </w:rPr>
    </w:lvl>
  </w:abstractNum>
  <w:abstractNum w:abstractNumId="16">
    <w:nsid w:val="7CF22095"/>
    <w:multiLevelType w:val="multilevel"/>
    <w:tmpl w:val="75E2FE2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15"/>
  </w:num>
  <w:num w:numId="3">
    <w:abstractNumId w:val="16"/>
  </w:num>
  <w:num w:numId="4">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1"/>
  </w:num>
  <w:num w:numId="8">
    <w:abstractNumId w:val="11"/>
  </w:num>
  <w:num w:numId="9">
    <w:abstractNumId w:val="10"/>
  </w:num>
  <w:num w:numId="10">
    <w:abstractNumId w:val="2"/>
  </w:num>
  <w:num w:numId="11">
    <w:abstractNumId w:val="9"/>
  </w:num>
  <w:num w:numId="12">
    <w:abstractNumId w:val="7"/>
  </w:num>
  <w:num w:numId="13">
    <w:abstractNumId w:val="14"/>
  </w:num>
  <w:num w:numId="14">
    <w:abstractNumId w:val="5"/>
  </w:num>
  <w:num w:numId="15">
    <w:abstractNumId w:val="4"/>
  </w:num>
  <w:num w:numId="16">
    <w:abstractNumId w:val="8"/>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attachedTemplate r:id="rId1"/>
  <w:stylePaneFormatFilter w:val="3F01"/>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16386"/>
    <o:shapelayout v:ext="edit">
      <o:idmap v:ext="edit" data="1"/>
    </o:shapelayout>
  </w:hdrShapeDefaults>
  <w:footnotePr>
    <w:footnote w:id="0"/>
    <w:footnote w:id="1"/>
    <w:footnote w:id="2"/>
  </w:footnotePr>
  <w:endnotePr>
    <w:endnote w:id="0"/>
    <w:endnote w:id="1"/>
    <w:endnote w:id="2"/>
  </w:endnotePr>
  <w:compat>
    <w:doNotUseHTMLParagraphAutoSpacing/>
  </w:compat>
  <w:docVars>
    <w:docVar w:name="__Grammarly_42____i" w:val="H4sIAAAAAAAEAKtWckksSQxILCpxzi/NK1GyMqwFAAEhoTITAAAA"/>
    <w:docVar w:name="__Grammarly_42___1" w:val="H4sIAAAAAAAEAKtWcslP9kxRslIyNDYyNzc0NTU1MTE3NTUwMLJU0lEKTi0uzszPAykwNK0FAPjYxF8t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CF4E93"/>
    <w:rsid w:val="00015012"/>
    <w:rsid w:val="0001756A"/>
    <w:rsid w:val="0002363D"/>
    <w:rsid w:val="000407CD"/>
    <w:rsid w:val="00061536"/>
    <w:rsid w:val="00062D96"/>
    <w:rsid w:val="000720DB"/>
    <w:rsid w:val="00072662"/>
    <w:rsid w:val="000850AF"/>
    <w:rsid w:val="00096D65"/>
    <w:rsid w:val="000B7230"/>
    <w:rsid w:val="000C426D"/>
    <w:rsid w:val="000D48CA"/>
    <w:rsid w:val="000D78AA"/>
    <w:rsid w:val="000E292A"/>
    <w:rsid w:val="001047E1"/>
    <w:rsid w:val="001075A4"/>
    <w:rsid w:val="001077EB"/>
    <w:rsid w:val="00110DF0"/>
    <w:rsid w:val="00113CE4"/>
    <w:rsid w:val="001160DC"/>
    <w:rsid w:val="001176D5"/>
    <w:rsid w:val="00120135"/>
    <w:rsid w:val="00120320"/>
    <w:rsid w:val="0012329E"/>
    <w:rsid w:val="0012706B"/>
    <w:rsid w:val="0012746E"/>
    <w:rsid w:val="0013514C"/>
    <w:rsid w:val="00155F60"/>
    <w:rsid w:val="00160108"/>
    <w:rsid w:val="00165D1E"/>
    <w:rsid w:val="00174670"/>
    <w:rsid w:val="00192088"/>
    <w:rsid w:val="001D02E9"/>
    <w:rsid w:val="001D2D54"/>
    <w:rsid w:val="001D45A2"/>
    <w:rsid w:val="001D68BA"/>
    <w:rsid w:val="001E719E"/>
    <w:rsid w:val="001F1F51"/>
    <w:rsid w:val="00205CCF"/>
    <w:rsid w:val="00207D01"/>
    <w:rsid w:val="00216803"/>
    <w:rsid w:val="00251DD6"/>
    <w:rsid w:val="002654AD"/>
    <w:rsid w:val="00274524"/>
    <w:rsid w:val="002808B6"/>
    <w:rsid w:val="002838DB"/>
    <w:rsid w:val="00297A83"/>
    <w:rsid w:val="002A500C"/>
    <w:rsid w:val="002A6E46"/>
    <w:rsid w:val="002A7779"/>
    <w:rsid w:val="002B392B"/>
    <w:rsid w:val="002D3E29"/>
    <w:rsid w:val="002F7AC9"/>
    <w:rsid w:val="00306098"/>
    <w:rsid w:val="00315F71"/>
    <w:rsid w:val="00324A4C"/>
    <w:rsid w:val="003254E4"/>
    <w:rsid w:val="0032787D"/>
    <w:rsid w:val="00337E3E"/>
    <w:rsid w:val="00357C69"/>
    <w:rsid w:val="0037189B"/>
    <w:rsid w:val="00390C56"/>
    <w:rsid w:val="003A5A3C"/>
    <w:rsid w:val="003B2684"/>
    <w:rsid w:val="003B355D"/>
    <w:rsid w:val="003C11C2"/>
    <w:rsid w:val="003C1B11"/>
    <w:rsid w:val="003C284C"/>
    <w:rsid w:val="003C667C"/>
    <w:rsid w:val="003E61D2"/>
    <w:rsid w:val="003F1423"/>
    <w:rsid w:val="004044BE"/>
    <w:rsid w:val="004064D3"/>
    <w:rsid w:val="004110AE"/>
    <w:rsid w:val="004154E7"/>
    <w:rsid w:val="0041740B"/>
    <w:rsid w:val="0042000E"/>
    <w:rsid w:val="00433680"/>
    <w:rsid w:val="004476CD"/>
    <w:rsid w:val="004546F4"/>
    <w:rsid w:val="00497626"/>
    <w:rsid w:val="004A25A9"/>
    <w:rsid w:val="004C1D17"/>
    <w:rsid w:val="004C7332"/>
    <w:rsid w:val="004F23D9"/>
    <w:rsid w:val="004F4ED6"/>
    <w:rsid w:val="005056CF"/>
    <w:rsid w:val="00522D9D"/>
    <w:rsid w:val="0052459B"/>
    <w:rsid w:val="00525C8D"/>
    <w:rsid w:val="00527730"/>
    <w:rsid w:val="0052789D"/>
    <w:rsid w:val="00531486"/>
    <w:rsid w:val="0053462E"/>
    <w:rsid w:val="005408A1"/>
    <w:rsid w:val="00554C10"/>
    <w:rsid w:val="00556B51"/>
    <w:rsid w:val="00576FFC"/>
    <w:rsid w:val="005A6DBF"/>
    <w:rsid w:val="005D5BAD"/>
    <w:rsid w:val="005E2BD5"/>
    <w:rsid w:val="005E2F5B"/>
    <w:rsid w:val="005E56AC"/>
    <w:rsid w:val="005F340F"/>
    <w:rsid w:val="005F60F8"/>
    <w:rsid w:val="00611767"/>
    <w:rsid w:val="00614DBD"/>
    <w:rsid w:val="006268B7"/>
    <w:rsid w:val="006303DC"/>
    <w:rsid w:val="006455E3"/>
    <w:rsid w:val="00654B26"/>
    <w:rsid w:val="006616D9"/>
    <w:rsid w:val="00677D55"/>
    <w:rsid w:val="006A5391"/>
    <w:rsid w:val="006B0EE9"/>
    <w:rsid w:val="006B3B86"/>
    <w:rsid w:val="006C61E4"/>
    <w:rsid w:val="006D46BB"/>
    <w:rsid w:val="006D5016"/>
    <w:rsid w:val="006E452A"/>
    <w:rsid w:val="006E477D"/>
    <w:rsid w:val="006F510D"/>
    <w:rsid w:val="006F6636"/>
    <w:rsid w:val="006F66BC"/>
    <w:rsid w:val="00703A33"/>
    <w:rsid w:val="00704FAF"/>
    <w:rsid w:val="00730739"/>
    <w:rsid w:val="00730804"/>
    <w:rsid w:val="00731546"/>
    <w:rsid w:val="00736B10"/>
    <w:rsid w:val="007401BE"/>
    <w:rsid w:val="00747229"/>
    <w:rsid w:val="00751764"/>
    <w:rsid w:val="00752191"/>
    <w:rsid w:val="00760FFF"/>
    <w:rsid w:val="007953EC"/>
    <w:rsid w:val="007B45C2"/>
    <w:rsid w:val="007C10B0"/>
    <w:rsid w:val="007D06E0"/>
    <w:rsid w:val="007E3EC9"/>
    <w:rsid w:val="00801934"/>
    <w:rsid w:val="00814D73"/>
    <w:rsid w:val="00815310"/>
    <w:rsid w:val="00822185"/>
    <w:rsid w:val="00822459"/>
    <w:rsid w:val="008254EF"/>
    <w:rsid w:val="00825574"/>
    <w:rsid w:val="00841C79"/>
    <w:rsid w:val="00842393"/>
    <w:rsid w:val="008445D7"/>
    <w:rsid w:val="00850ACA"/>
    <w:rsid w:val="008547C0"/>
    <w:rsid w:val="00862EFC"/>
    <w:rsid w:val="00872503"/>
    <w:rsid w:val="0087437F"/>
    <w:rsid w:val="00877178"/>
    <w:rsid w:val="0088010B"/>
    <w:rsid w:val="0088028B"/>
    <w:rsid w:val="0088421A"/>
    <w:rsid w:val="00893D7E"/>
    <w:rsid w:val="008D6D0A"/>
    <w:rsid w:val="008E3957"/>
    <w:rsid w:val="008E3C11"/>
    <w:rsid w:val="008F1A6E"/>
    <w:rsid w:val="008F2314"/>
    <w:rsid w:val="008F6952"/>
    <w:rsid w:val="00957C14"/>
    <w:rsid w:val="00957DA7"/>
    <w:rsid w:val="00963767"/>
    <w:rsid w:val="00973063"/>
    <w:rsid w:val="00987E5F"/>
    <w:rsid w:val="00991234"/>
    <w:rsid w:val="009913E1"/>
    <w:rsid w:val="009B5080"/>
    <w:rsid w:val="009B5453"/>
    <w:rsid w:val="009B5AD2"/>
    <w:rsid w:val="009C373E"/>
    <w:rsid w:val="009C3C4B"/>
    <w:rsid w:val="009C761D"/>
    <w:rsid w:val="009D0635"/>
    <w:rsid w:val="009E56F5"/>
    <w:rsid w:val="009F0033"/>
    <w:rsid w:val="009F5649"/>
    <w:rsid w:val="00A012D1"/>
    <w:rsid w:val="00A1291C"/>
    <w:rsid w:val="00A3346B"/>
    <w:rsid w:val="00A37230"/>
    <w:rsid w:val="00A411F0"/>
    <w:rsid w:val="00A42299"/>
    <w:rsid w:val="00A54565"/>
    <w:rsid w:val="00A657D6"/>
    <w:rsid w:val="00A81256"/>
    <w:rsid w:val="00A8231D"/>
    <w:rsid w:val="00A837F9"/>
    <w:rsid w:val="00A85861"/>
    <w:rsid w:val="00A97875"/>
    <w:rsid w:val="00AC1891"/>
    <w:rsid w:val="00AC55E7"/>
    <w:rsid w:val="00AE28D4"/>
    <w:rsid w:val="00AE6227"/>
    <w:rsid w:val="00AF0A3B"/>
    <w:rsid w:val="00AF4BFF"/>
    <w:rsid w:val="00AF520B"/>
    <w:rsid w:val="00B02714"/>
    <w:rsid w:val="00B14E71"/>
    <w:rsid w:val="00B24855"/>
    <w:rsid w:val="00B31FC5"/>
    <w:rsid w:val="00B44B70"/>
    <w:rsid w:val="00B45AE7"/>
    <w:rsid w:val="00B548F6"/>
    <w:rsid w:val="00B871A6"/>
    <w:rsid w:val="00B91FF6"/>
    <w:rsid w:val="00B97EF5"/>
    <w:rsid w:val="00BA34BD"/>
    <w:rsid w:val="00BA7A26"/>
    <w:rsid w:val="00BB1CB6"/>
    <w:rsid w:val="00BC7703"/>
    <w:rsid w:val="00BD461C"/>
    <w:rsid w:val="00BD4BFA"/>
    <w:rsid w:val="00BE1307"/>
    <w:rsid w:val="00BE1F95"/>
    <w:rsid w:val="00BF4D13"/>
    <w:rsid w:val="00C019CB"/>
    <w:rsid w:val="00C05140"/>
    <w:rsid w:val="00C05B10"/>
    <w:rsid w:val="00C25A90"/>
    <w:rsid w:val="00C26315"/>
    <w:rsid w:val="00C26602"/>
    <w:rsid w:val="00C31455"/>
    <w:rsid w:val="00C33321"/>
    <w:rsid w:val="00C34900"/>
    <w:rsid w:val="00C42A7E"/>
    <w:rsid w:val="00C72CCD"/>
    <w:rsid w:val="00C878A7"/>
    <w:rsid w:val="00C918CB"/>
    <w:rsid w:val="00C96985"/>
    <w:rsid w:val="00C976E0"/>
    <w:rsid w:val="00CC0006"/>
    <w:rsid w:val="00CC2846"/>
    <w:rsid w:val="00CC3296"/>
    <w:rsid w:val="00CD0F6E"/>
    <w:rsid w:val="00CD1E7F"/>
    <w:rsid w:val="00CE2F73"/>
    <w:rsid w:val="00CE7151"/>
    <w:rsid w:val="00CF4E93"/>
    <w:rsid w:val="00D00FCC"/>
    <w:rsid w:val="00D01DE7"/>
    <w:rsid w:val="00D113D2"/>
    <w:rsid w:val="00D467CF"/>
    <w:rsid w:val="00D51816"/>
    <w:rsid w:val="00D54AA1"/>
    <w:rsid w:val="00D66C78"/>
    <w:rsid w:val="00D751AC"/>
    <w:rsid w:val="00D763C1"/>
    <w:rsid w:val="00D77C39"/>
    <w:rsid w:val="00D87CA4"/>
    <w:rsid w:val="00DB16C4"/>
    <w:rsid w:val="00DD1E6C"/>
    <w:rsid w:val="00DD3BC7"/>
    <w:rsid w:val="00DE7116"/>
    <w:rsid w:val="00DF00FE"/>
    <w:rsid w:val="00DF63A6"/>
    <w:rsid w:val="00E00EB5"/>
    <w:rsid w:val="00E23DD5"/>
    <w:rsid w:val="00E2560E"/>
    <w:rsid w:val="00E40E3C"/>
    <w:rsid w:val="00E51114"/>
    <w:rsid w:val="00E8537A"/>
    <w:rsid w:val="00EA1512"/>
    <w:rsid w:val="00EA64A7"/>
    <w:rsid w:val="00EA7AE2"/>
    <w:rsid w:val="00EB103C"/>
    <w:rsid w:val="00EB2AA3"/>
    <w:rsid w:val="00EB51BB"/>
    <w:rsid w:val="00EC4027"/>
    <w:rsid w:val="00EC7988"/>
    <w:rsid w:val="00ED32A4"/>
    <w:rsid w:val="00ED6341"/>
    <w:rsid w:val="00EE02E1"/>
    <w:rsid w:val="00EE34B3"/>
    <w:rsid w:val="00EF7680"/>
    <w:rsid w:val="00F16E39"/>
    <w:rsid w:val="00F2445C"/>
    <w:rsid w:val="00F54957"/>
    <w:rsid w:val="00F56D67"/>
    <w:rsid w:val="00F56E1C"/>
    <w:rsid w:val="00F75748"/>
    <w:rsid w:val="00F94216"/>
    <w:rsid w:val="00FA6723"/>
    <w:rsid w:val="00FB0357"/>
    <w:rsid w:val="00FE0B48"/>
    <w:rsid w:val="00FE13B9"/>
    <w:rsid w:val="00FF4B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uiPriority="35" w:qFormat="1"/>
    <w:lsdException w:name="annotation reference"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459"/>
    <w:pPr>
      <w:jc w:val="both"/>
    </w:pPr>
    <w:rPr>
      <w:sz w:val="28"/>
      <w:lang w:val="en-US" w:eastAsia="de-DE"/>
    </w:rPr>
  </w:style>
  <w:style w:type="paragraph" w:styleId="Heading1">
    <w:name w:val="heading 1"/>
    <w:basedOn w:val="Normal"/>
    <w:next w:val="Normal"/>
    <w:link w:val="Heading1Char"/>
    <w:uiPriority w:val="9"/>
    <w:qFormat/>
    <w:rsid w:val="00822459"/>
    <w:pPr>
      <w:keepNext/>
      <w:numPr>
        <w:numId w:val="14"/>
      </w:numPr>
      <w:outlineLvl w:val="0"/>
    </w:pPr>
    <w:rPr>
      <w:b/>
    </w:rPr>
  </w:style>
  <w:style w:type="paragraph" w:styleId="Heading2">
    <w:name w:val="heading 2"/>
    <w:basedOn w:val="Normal"/>
    <w:next w:val="Normal"/>
    <w:autoRedefine/>
    <w:qFormat/>
    <w:rsid w:val="00D87CA4"/>
    <w:pPr>
      <w:numPr>
        <w:ilvl w:val="1"/>
        <w:numId w:val="14"/>
      </w:numPr>
      <w:spacing w:line="480" w:lineRule="auto"/>
      <w:jc w:val="left"/>
      <w:outlineLvl w:val="1"/>
    </w:pPr>
    <w:rPr>
      <w:b/>
    </w:rPr>
  </w:style>
  <w:style w:type="paragraph" w:styleId="Heading3">
    <w:name w:val="heading 3"/>
    <w:basedOn w:val="Normal"/>
    <w:next w:val="Normal"/>
    <w:qFormat/>
    <w:rsid w:val="00822459"/>
    <w:pPr>
      <w:keepNext/>
      <w:numPr>
        <w:ilvl w:val="2"/>
        <w:numId w:val="14"/>
      </w:numPr>
      <w:spacing w:before="240" w:after="60"/>
      <w:outlineLvl w:val="2"/>
    </w:pPr>
    <w:rPr>
      <w:rFonts w:ascii="Helvetica" w:hAnsi="Helvetica"/>
      <w:b/>
      <w:sz w:val="26"/>
    </w:rPr>
  </w:style>
  <w:style w:type="paragraph" w:styleId="Heading4">
    <w:name w:val="heading 4"/>
    <w:basedOn w:val="Normal"/>
    <w:next w:val="Normal"/>
    <w:link w:val="Heading4Char"/>
    <w:semiHidden/>
    <w:unhideWhenUsed/>
    <w:qFormat/>
    <w:rsid w:val="005F340F"/>
    <w:pPr>
      <w:keepNext/>
      <w:keepLines/>
      <w:numPr>
        <w:ilvl w:val="3"/>
        <w:numId w:val="14"/>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5F340F"/>
    <w:pPr>
      <w:keepNext/>
      <w:keepLines/>
      <w:numPr>
        <w:ilvl w:val="4"/>
        <w:numId w:val="1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5F340F"/>
    <w:pPr>
      <w:keepNext/>
      <w:keepLines/>
      <w:numPr>
        <w:ilvl w:val="5"/>
        <w:numId w:val="1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F340F"/>
    <w:pPr>
      <w:keepNext/>
      <w:keepLines/>
      <w:numPr>
        <w:ilvl w:val="6"/>
        <w:numId w:val="1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F340F"/>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F340F"/>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22459"/>
    <w:pPr>
      <w:tabs>
        <w:tab w:val="center" w:pos="4153"/>
        <w:tab w:val="right" w:pos="8306"/>
      </w:tabs>
    </w:pPr>
    <w:rPr>
      <w:sz w:val="24"/>
    </w:rPr>
  </w:style>
  <w:style w:type="character" w:styleId="PageNumber">
    <w:name w:val="page number"/>
    <w:basedOn w:val="DefaultParagraphFont"/>
    <w:rsid w:val="00822459"/>
  </w:style>
  <w:style w:type="character" w:styleId="Hyperlink">
    <w:name w:val="Hyperlink"/>
    <w:uiPriority w:val="99"/>
    <w:rsid w:val="00822459"/>
    <w:rPr>
      <w:color w:val="0000FF"/>
      <w:u w:val="single"/>
    </w:rPr>
  </w:style>
  <w:style w:type="paragraph" w:styleId="BodyText">
    <w:name w:val="Body Text"/>
    <w:basedOn w:val="Normal"/>
    <w:rsid w:val="00822459"/>
    <w:pPr>
      <w:spacing w:line="360" w:lineRule="auto"/>
    </w:pPr>
    <w:rPr>
      <w:sz w:val="20"/>
    </w:rPr>
  </w:style>
  <w:style w:type="paragraph" w:customStyle="1" w:styleId="Formatvorlageberschrift118pt">
    <w:name w:val="Formatvorlage Überschrift 1 + 18 pt"/>
    <w:basedOn w:val="Heading1"/>
    <w:link w:val="Formatvorlageberschrift118ptZchn"/>
    <w:autoRedefine/>
    <w:rsid w:val="00E366B0"/>
    <w:pPr>
      <w:spacing w:after="240"/>
    </w:pPr>
    <w:rPr>
      <w:bCs/>
      <w:sz w:val="36"/>
    </w:rPr>
  </w:style>
  <w:style w:type="character" w:customStyle="1" w:styleId="Heading1Char">
    <w:name w:val="Heading 1 Char"/>
    <w:link w:val="Heading1"/>
    <w:uiPriority w:val="9"/>
    <w:rsid w:val="00E366B0"/>
    <w:rPr>
      <w:rFonts w:ascii="Times" w:hAnsi="Times"/>
      <w:b/>
      <w:sz w:val="28"/>
      <w:lang w:val="en-US" w:eastAsia="de-DE" w:bidi="ar-SA"/>
    </w:rPr>
  </w:style>
  <w:style w:type="character" w:customStyle="1" w:styleId="Formatvorlageberschrift118ptZchn">
    <w:name w:val="Formatvorlage Überschrift 1 + 18 pt Zchn"/>
    <w:link w:val="Formatvorlageberschrift118pt"/>
    <w:rsid w:val="00E366B0"/>
    <w:rPr>
      <w:rFonts w:ascii="Times" w:hAnsi="Times"/>
      <w:b/>
      <w:bCs/>
      <w:sz w:val="36"/>
      <w:lang w:val="en-US" w:eastAsia="de-DE" w:bidi="ar-SA"/>
    </w:rPr>
  </w:style>
  <w:style w:type="paragraph" w:customStyle="1" w:styleId="Formatvorlageberschrift1Zeilenabstand15Zeilen">
    <w:name w:val="Formatvorlage Überschrift 1 + Zeilenabstand:  15 Zeilen"/>
    <w:basedOn w:val="Heading1"/>
    <w:autoRedefine/>
    <w:rsid w:val="009F0033"/>
    <w:pPr>
      <w:spacing w:after="360" w:line="480" w:lineRule="auto"/>
      <w:jc w:val="center"/>
    </w:pPr>
    <w:rPr>
      <w:bCs/>
      <w:sz w:val="24"/>
      <w:szCs w:val="24"/>
    </w:rPr>
  </w:style>
  <w:style w:type="paragraph" w:styleId="FootnoteText">
    <w:name w:val="footnote text"/>
    <w:basedOn w:val="Normal"/>
    <w:semiHidden/>
    <w:rsid w:val="00E366B0"/>
    <w:rPr>
      <w:sz w:val="20"/>
    </w:rPr>
  </w:style>
  <w:style w:type="character" w:styleId="FootnoteReference">
    <w:name w:val="footnote reference"/>
    <w:semiHidden/>
    <w:rsid w:val="00E366B0"/>
    <w:rPr>
      <w:vertAlign w:val="superscript"/>
    </w:rPr>
  </w:style>
  <w:style w:type="paragraph" w:styleId="Header">
    <w:name w:val="header"/>
    <w:basedOn w:val="Normal"/>
    <w:rsid w:val="004B62EC"/>
    <w:pPr>
      <w:tabs>
        <w:tab w:val="center" w:pos="4536"/>
        <w:tab w:val="right" w:pos="9072"/>
      </w:tabs>
    </w:pPr>
  </w:style>
  <w:style w:type="character" w:styleId="LineNumber">
    <w:name w:val="line number"/>
    <w:basedOn w:val="DefaultParagraphFont"/>
    <w:rsid w:val="00D12E59"/>
  </w:style>
  <w:style w:type="character" w:styleId="FollowedHyperlink">
    <w:name w:val="FollowedHyperlink"/>
    <w:uiPriority w:val="99"/>
    <w:rsid w:val="00D113D2"/>
    <w:rPr>
      <w:color w:val="800080"/>
      <w:u w:val="single"/>
    </w:rPr>
  </w:style>
  <w:style w:type="paragraph" w:styleId="BalloonText">
    <w:name w:val="Balloon Text"/>
    <w:basedOn w:val="Normal"/>
    <w:link w:val="BalloonTextChar"/>
    <w:uiPriority w:val="99"/>
    <w:semiHidden/>
    <w:rsid w:val="00BD461C"/>
    <w:rPr>
      <w:rFonts w:ascii="Tahoma" w:hAnsi="Tahoma"/>
      <w:sz w:val="16"/>
      <w:szCs w:val="16"/>
    </w:rPr>
  </w:style>
  <w:style w:type="table" w:styleId="TableGrid">
    <w:name w:val="Table Grid"/>
    <w:basedOn w:val="TableNormal"/>
    <w:uiPriority w:val="39"/>
    <w:rsid w:val="003C1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842393"/>
    <w:pPr>
      <w:spacing w:after="160"/>
    </w:pPr>
    <w:rPr>
      <w:rFonts w:eastAsia="Calibri"/>
      <w:noProof/>
      <w:szCs w:val="22"/>
      <w:lang w:eastAsia="en-US"/>
    </w:rPr>
  </w:style>
  <w:style w:type="character" w:customStyle="1" w:styleId="EndNoteBibliographyChar">
    <w:name w:val="EndNote Bibliography Char"/>
    <w:link w:val="EndNoteBibliography"/>
    <w:rsid w:val="00842393"/>
    <w:rPr>
      <w:rFonts w:eastAsia="Calibri"/>
      <w:noProof/>
      <w:sz w:val="28"/>
      <w:szCs w:val="22"/>
      <w:lang w:val="en-US" w:eastAsia="en-US"/>
    </w:rPr>
  </w:style>
  <w:style w:type="table" w:customStyle="1" w:styleId="GridTable1Light1">
    <w:name w:val="Grid Table 1 Light1"/>
    <w:basedOn w:val="TableNormal"/>
    <w:uiPriority w:val="46"/>
    <w:rsid w:val="00842393"/>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istParagraph">
    <w:name w:val="List Paragraph"/>
    <w:basedOn w:val="Normal"/>
    <w:uiPriority w:val="99"/>
    <w:qFormat/>
    <w:rsid w:val="00842393"/>
    <w:pPr>
      <w:spacing w:after="200" w:line="276" w:lineRule="auto"/>
      <w:ind w:left="720"/>
      <w:contextualSpacing/>
      <w:jc w:val="left"/>
    </w:pPr>
    <w:rPr>
      <w:rFonts w:ascii="Calibri" w:eastAsia="Calibri" w:hAnsi="Calibri" w:cs="Arial"/>
      <w:sz w:val="22"/>
      <w:szCs w:val="22"/>
      <w:lang w:eastAsia="en-US"/>
    </w:rPr>
  </w:style>
  <w:style w:type="paragraph" w:styleId="Caption">
    <w:name w:val="caption"/>
    <w:basedOn w:val="Normal"/>
    <w:next w:val="Normal"/>
    <w:uiPriority w:val="35"/>
    <w:unhideWhenUsed/>
    <w:qFormat/>
    <w:rsid w:val="00842393"/>
    <w:pPr>
      <w:spacing w:after="200"/>
      <w:jc w:val="left"/>
    </w:pPr>
    <w:rPr>
      <w:rFonts w:ascii="Calibri" w:eastAsia="Calibri" w:hAnsi="Calibri" w:cs="Arial"/>
      <w:i/>
      <w:iCs/>
      <w:color w:val="1F497D"/>
      <w:sz w:val="18"/>
      <w:szCs w:val="18"/>
      <w:lang w:eastAsia="en-US"/>
    </w:rPr>
  </w:style>
  <w:style w:type="character" w:customStyle="1" w:styleId="breakword">
    <w:name w:val="breakword"/>
    <w:rsid w:val="00842393"/>
  </w:style>
  <w:style w:type="paragraph" w:customStyle="1" w:styleId="EndNoteBibliographyTitle">
    <w:name w:val="EndNote Bibliography Title"/>
    <w:basedOn w:val="Normal"/>
    <w:link w:val="EndNoteBibliographyTitleChar"/>
    <w:rsid w:val="00842393"/>
    <w:pPr>
      <w:bidi/>
      <w:spacing w:line="259" w:lineRule="auto"/>
      <w:jc w:val="center"/>
    </w:pPr>
    <w:rPr>
      <w:rFonts w:eastAsia="Calibri"/>
      <w:noProof/>
      <w:szCs w:val="22"/>
      <w:lang w:eastAsia="en-US"/>
    </w:rPr>
  </w:style>
  <w:style w:type="character" w:customStyle="1" w:styleId="EndNoteBibliographyTitleChar">
    <w:name w:val="EndNote Bibliography Title Char"/>
    <w:link w:val="EndNoteBibliographyTitle"/>
    <w:rsid w:val="00842393"/>
    <w:rPr>
      <w:rFonts w:eastAsia="Calibri"/>
      <w:noProof/>
      <w:sz w:val="28"/>
      <w:szCs w:val="22"/>
      <w:lang w:val="en-US" w:eastAsia="en-US"/>
    </w:rPr>
  </w:style>
  <w:style w:type="character" w:customStyle="1" w:styleId="BalloonTextChar">
    <w:name w:val="Balloon Text Char"/>
    <w:link w:val="BalloonText"/>
    <w:uiPriority w:val="99"/>
    <w:semiHidden/>
    <w:rsid w:val="00842393"/>
    <w:rPr>
      <w:rFonts w:ascii="Tahoma" w:hAnsi="Tahoma"/>
      <w:sz w:val="16"/>
      <w:szCs w:val="16"/>
      <w:lang w:eastAsia="de-DE"/>
    </w:rPr>
  </w:style>
  <w:style w:type="character" w:styleId="CommentReference">
    <w:name w:val="annotation reference"/>
    <w:uiPriority w:val="99"/>
    <w:unhideWhenUsed/>
    <w:rsid w:val="00842393"/>
    <w:rPr>
      <w:sz w:val="16"/>
      <w:szCs w:val="16"/>
    </w:rPr>
  </w:style>
  <w:style w:type="paragraph" w:styleId="CommentText">
    <w:name w:val="annotation text"/>
    <w:basedOn w:val="Normal"/>
    <w:link w:val="CommentTextChar"/>
    <w:uiPriority w:val="99"/>
    <w:unhideWhenUsed/>
    <w:qFormat/>
    <w:rsid w:val="00842393"/>
    <w:pPr>
      <w:bidi/>
      <w:spacing w:after="160"/>
      <w:jc w:val="left"/>
    </w:pPr>
    <w:rPr>
      <w:rFonts w:ascii="Calibri" w:eastAsia="Calibri" w:hAnsi="Calibri" w:cs="Arial"/>
      <w:sz w:val="20"/>
      <w:lang w:eastAsia="en-US"/>
    </w:rPr>
  </w:style>
  <w:style w:type="character" w:customStyle="1" w:styleId="CommentTextChar">
    <w:name w:val="Comment Text Char"/>
    <w:link w:val="CommentText"/>
    <w:uiPriority w:val="99"/>
    <w:qFormat/>
    <w:rsid w:val="00842393"/>
    <w:rPr>
      <w:rFonts w:ascii="Calibri" w:eastAsia="Calibri" w:hAnsi="Calibri" w:cs="Arial"/>
    </w:rPr>
  </w:style>
  <w:style w:type="paragraph" w:styleId="CommentSubject">
    <w:name w:val="annotation subject"/>
    <w:basedOn w:val="CommentText"/>
    <w:next w:val="CommentText"/>
    <w:link w:val="CommentSubjectChar"/>
    <w:uiPriority w:val="99"/>
    <w:unhideWhenUsed/>
    <w:rsid w:val="00842393"/>
    <w:rPr>
      <w:b/>
      <w:bCs/>
    </w:rPr>
  </w:style>
  <w:style w:type="character" w:customStyle="1" w:styleId="CommentSubjectChar">
    <w:name w:val="Comment Subject Char"/>
    <w:link w:val="CommentSubject"/>
    <w:uiPriority w:val="99"/>
    <w:rsid w:val="00842393"/>
    <w:rPr>
      <w:rFonts w:ascii="Calibri" w:eastAsia="Calibri" w:hAnsi="Calibri" w:cs="Arial"/>
      <w:b/>
      <w:bCs/>
    </w:rPr>
  </w:style>
  <w:style w:type="paragraph" w:styleId="NormalWeb">
    <w:name w:val="Normal (Web)"/>
    <w:basedOn w:val="Normal"/>
    <w:link w:val="NormalWebChar"/>
    <w:uiPriority w:val="99"/>
    <w:unhideWhenUsed/>
    <w:rsid w:val="00842393"/>
    <w:pPr>
      <w:spacing w:before="100" w:beforeAutospacing="1" w:after="100" w:afterAutospacing="1"/>
      <w:jc w:val="left"/>
    </w:pPr>
    <w:rPr>
      <w:sz w:val="24"/>
      <w:szCs w:val="24"/>
      <w:lang w:eastAsia="en-US"/>
    </w:rPr>
  </w:style>
  <w:style w:type="character" w:customStyle="1" w:styleId="NormalWebChar">
    <w:name w:val="Normal (Web) Char"/>
    <w:link w:val="NormalWeb"/>
    <w:uiPriority w:val="99"/>
    <w:rsid w:val="00842393"/>
    <w:rPr>
      <w:sz w:val="24"/>
      <w:szCs w:val="24"/>
    </w:rPr>
  </w:style>
  <w:style w:type="character" w:customStyle="1" w:styleId="UnresolvedMention1">
    <w:name w:val="Unresolved Mention1"/>
    <w:uiPriority w:val="99"/>
    <w:semiHidden/>
    <w:unhideWhenUsed/>
    <w:rsid w:val="00842393"/>
    <w:rPr>
      <w:color w:val="605E5C"/>
      <w:shd w:val="clear" w:color="auto" w:fill="E1DFDD"/>
    </w:rPr>
  </w:style>
  <w:style w:type="character" w:customStyle="1" w:styleId="UnresolvedMention2">
    <w:name w:val="Unresolved Mention2"/>
    <w:uiPriority w:val="99"/>
    <w:semiHidden/>
    <w:unhideWhenUsed/>
    <w:rsid w:val="00842393"/>
    <w:rPr>
      <w:color w:val="605E5C"/>
      <w:shd w:val="clear" w:color="auto" w:fill="E1DFDD"/>
    </w:rPr>
  </w:style>
  <w:style w:type="paragraph" w:styleId="EndnoteText">
    <w:name w:val="endnote text"/>
    <w:basedOn w:val="Normal"/>
    <w:link w:val="EndnoteTextChar"/>
    <w:uiPriority w:val="99"/>
    <w:unhideWhenUsed/>
    <w:rsid w:val="00842393"/>
    <w:pPr>
      <w:jc w:val="left"/>
    </w:pPr>
    <w:rPr>
      <w:rFonts w:ascii="Calibri" w:eastAsia="Calibri" w:hAnsi="Calibri" w:cs="Arial"/>
      <w:sz w:val="20"/>
      <w:lang w:eastAsia="en-US"/>
    </w:rPr>
  </w:style>
  <w:style w:type="character" w:customStyle="1" w:styleId="EndnoteTextChar">
    <w:name w:val="Endnote Text Char"/>
    <w:link w:val="EndnoteText"/>
    <w:uiPriority w:val="99"/>
    <w:rsid w:val="00842393"/>
    <w:rPr>
      <w:rFonts w:ascii="Calibri" w:eastAsia="Calibri" w:hAnsi="Calibri" w:cs="Arial"/>
    </w:rPr>
  </w:style>
  <w:style w:type="character" w:styleId="EndnoteReference">
    <w:name w:val="endnote reference"/>
    <w:uiPriority w:val="99"/>
    <w:unhideWhenUsed/>
    <w:rsid w:val="00842393"/>
    <w:rPr>
      <w:vertAlign w:val="superscript"/>
    </w:rPr>
  </w:style>
  <w:style w:type="character" w:customStyle="1" w:styleId="UnresolvedMention3">
    <w:name w:val="Unresolved Mention3"/>
    <w:uiPriority w:val="99"/>
    <w:semiHidden/>
    <w:unhideWhenUsed/>
    <w:rsid w:val="00842393"/>
    <w:rPr>
      <w:color w:val="605E5C"/>
      <w:shd w:val="clear" w:color="auto" w:fill="E1DFDD"/>
    </w:rPr>
  </w:style>
  <w:style w:type="paragraph" w:customStyle="1" w:styleId="02Authornames">
    <w:name w:val="02 Author names"/>
    <w:autoRedefine/>
    <w:rsid w:val="00842393"/>
    <w:pPr>
      <w:spacing w:after="120" w:line="240" w:lineRule="exact"/>
      <w:ind w:left="600" w:right="568"/>
      <w:jc w:val="center"/>
    </w:pPr>
    <w:rPr>
      <w:b/>
      <w:noProof/>
      <w:sz w:val="26"/>
      <w:szCs w:val="22"/>
      <w:lang w:eastAsia="en-GB"/>
    </w:rPr>
  </w:style>
  <w:style w:type="paragraph" w:customStyle="1" w:styleId="03Authoraffiliation">
    <w:name w:val="03 Author affiliation"/>
    <w:autoRedefine/>
    <w:rsid w:val="00842393"/>
    <w:pPr>
      <w:jc w:val="center"/>
    </w:pPr>
    <w:rPr>
      <w:i/>
      <w:noProof/>
      <w:sz w:val="19"/>
      <w:lang w:eastAsia="en-GB"/>
    </w:rPr>
  </w:style>
  <w:style w:type="paragraph" w:styleId="Revision">
    <w:name w:val="Revision"/>
    <w:hidden/>
    <w:uiPriority w:val="99"/>
    <w:semiHidden/>
    <w:rsid w:val="003B2684"/>
    <w:rPr>
      <w:sz w:val="28"/>
      <w:lang w:val="en-US" w:eastAsia="de-DE"/>
    </w:rPr>
  </w:style>
  <w:style w:type="character" w:customStyle="1" w:styleId="Heading4Char">
    <w:name w:val="Heading 4 Char"/>
    <w:basedOn w:val="DefaultParagraphFont"/>
    <w:link w:val="Heading4"/>
    <w:semiHidden/>
    <w:rsid w:val="005F340F"/>
    <w:rPr>
      <w:rFonts w:asciiTheme="majorHAnsi" w:eastAsiaTheme="majorEastAsia" w:hAnsiTheme="majorHAnsi" w:cstheme="majorBidi"/>
      <w:i/>
      <w:iCs/>
      <w:color w:val="365F91" w:themeColor="accent1" w:themeShade="BF"/>
      <w:sz w:val="28"/>
      <w:lang w:val="en-US" w:eastAsia="de-DE"/>
    </w:rPr>
  </w:style>
  <w:style w:type="character" w:customStyle="1" w:styleId="Heading5Char">
    <w:name w:val="Heading 5 Char"/>
    <w:basedOn w:val="DefaultParagraphFont"/>
    <w:link w:val="Heading5"/>
    <w:semiHidden/>
    <w:rsid w:val="005F340F"/>
    <w:rPr>
      <w:rFonts w:asciiTheme="majorHAnsi" w:eastAsiaTheme="majorEastAsia" w:hAnsiTheme="majorHAnsi" w:cstheme="majorBidi"/>
      <w:color w:val="365F91" w:themeColor="accent1" w:themeShade="BF"/>
      <w:sz w:val="28"/>
      <w:lang w:val="en-US" w:eastAsia="de-DE"/>
    </w:rPr>
  </w:style>
  <w:style w:type="character" w:customStyle="1" w:styleId="Heading6Char">
    <w:name w:val="Heading 6 Char"/>
    <w:basedOn w:val="DefaultParagraphFont"/>
    <w:link w:val="Heading6"/>
    <w:semiHidden/>
    <w:rsid w:val="005F340F"/>
    <w:rPr>
      <w:rFonts w:asciiTheme="majorHAnsi" w:eastAsiaTheme="majorEastAsia" w:hAnsiTheme="majorHAnsi" w:cstheme="majorBidi"/>
      <w:color w:val="243F60" w:themeColor="accent1" w:themeShade="7F"/>
      <w:sz w:val="28"/>
      <w:lang w:val="en-US" w:eastAsia="de-DE"/>
    </w:rPr>
  </w:style>
  <w:style w:type="character" w:customStyle="1" w:styleId="Heading7Char">
    <w:name w:val="Heading 7 Char"/>
    <w:basedOn w:val="DefaultParagraphFont"/>
    <w:link w:val="Heading7"/>
    <w:semiHidden/>
    <w:rsid w:val="005F340F"/>
    <w:rPr>
      <w:rFonts w:asciiTheme="majorHAnsi" w:eastAsiaTheme="majorEastAsia" w:hAnsiTheme="majorHAnsi" w:cstheme="majorBidi"/>
      <w:i/>
      <w:iCs/>
      <w:color w:val="243F60" w:themeColor="accent1" w:themeShade="7F"/>
      <w:sz w:val="28"/>
      <w:lang w:val="en-US" w:eastAsia="de-DE"/>
    </w:rPr>
  </w:style>
  <w:style w:type="character" w:customStyle="1" w:styleId="Heading8Char">
    <w:name w:val="Heading 8 Char"/>
    <w:basedOn w:val="DefaultParagraphFont"/>
    <w:link w:val="Heading8"/>
    <w:semiHidden/>
    <w:rsid w:val="005F340F"/>
    <w:rPr>
      <w:rFonts w:asciiTheme="majorHAnsi" w:eastAsiaTheme="majorEastAsia" w:hAnsiTheme="majorHAnsi" w:cstheme="majorBidi"/>
      <w:color w:val="272727" w:themeColor="text1" w:themeTint="D8"/>
      <w:sz w:val="21"/>
      <w:szCs w:val="21"/>
      <w:lang w:val="en-US" w:eastAsia="de-DE"/>
    </w:rPr>
  </w:style>
  <w:style w:type="character" w:customStyle="1" w:styleId="Heading9Char">
    <w:name w:val="Heading 9 Char"/>
    <w:basedOn w:val="DefaultParagraphFont"/>
    <w:link w:val="Heading9"/>
    <w:semiHidden/>
    <w:rsid w:val="005F340F"/>
    <w:rPr>
      <w:rFonts w:asciiTheme="majorHAnsi" w:eastAsiaTheme="majorEastAsia" w:hAnsiTheme="majorHAnsi" w:cstheme="majorBidi"/>
      <w:i/>
      <w:iCs/>
      <w:color w:val="272727" w:themeColor="text1" w:themeTint="D8"/>
      <w:sz w:val="21"/>
      <w:szCs w:val="21"/>
      <w:lang w:val="en-US" w:eastAsia="de-DE"/>
    </w:rPr>
  </w:style>
  <w:style w:type="character" w:customStyle="1" w:styleId="UnresolvedMention">
    <w:name w:val="Unresolved Mention"/>
    <w:basedOn w:val="DefaultParagraphFont"/>
    <w:uiPriority w:val="99"/>
    <w:semiHidden/>
    <w:unhideWhenUsed/>
    <w:rsid w:val="008E3957"/>
    <w:rPr>
      <w:color w:val="605E5C"/>
      <w:shd w:val="clear" w:color="auto" w:fill="E1DFDD"/>
    </w:rPr>
  </w:style>
  <w:style w:type="character" w:customStyle="1" w:styleId="fontstyle01">
    <w:name w:val="fontstyle01"/>
    <w:basedOn w:val="DefaultParagraphFont"/>
    <w:rsid w:val="00BC7703"/>
    <w:rPr>
      <w:rFonts w:ascii="ArialMT" w:hAnsi="ArialMT"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611936834">
      <w:bodyDiv w:val="1"/>
      <w:marLeft w:val="0"/>
      <w:marRight w:val="0"/>
      <w:marTop w:val="0"/>
      <w:marBottom w:val="0"/>
      <w:divBdr>
        <w:top w:val="none" w:sz="0" w:space="0" w:color="auto"/>
        <w:left w:val="none" w:sz="0" w:space="0" w:color="auto"/>
        <w:bottom w:val="none" w:sz="0" w:space="0" w:color="auto"/>
        <w:right w:val="none" w:sz="0" w:space="0" w:color="auto"/>
      </w:divBdr>
    </w:div>
    <w:div w:id="674191510">
      <w:bodyDiv w:val="1"/>
      <w:marLeft w:val="0"/>
      <w:marRight w:val="0"/>
      <w:marTop w:val="0"/>
      <w:marBottom w:val="0"/>
      <w:divBdr>
        <w:top w:val="none" w:sz="0" w:space="0" w:color="auto"/>
        <w:left w:val="none" w:sz="0" w:space="0" w:color="auto"/>
        <w:bottom w:val="none" w:sz="0" w:space="0" w:color="auto"/>
        <w:right w:val="none" w:sz="0" w:space="0" w:color="auto"/>
      </w:divBdr>
    </w:div>
    <w:div w:id="1193418813">
      <w:bodyDiv w:val="1"/>
      <w:marLeft w:val="0"/>
      <w:marRight w:val="0"/>
      <w:marTop w:val="0"/>
      <w:marBottom w:val="0"/>
      <w:divBdr>
        <w:top w:val="none" w:sz="0" w:space="0" w:color="auto"/>
        <w:left w:val="none" w:sz="0" w:space="0" w:color="auto"/>
        <w:bottom w:val="none" w:sz="0" w:space="0" w:color="auto"/>
        <w:right w:val="none" w:sz="0" w:space="0" w:color="auto"/>
      </w:divBdr>
    </w:div>
    <w:div w:id="1493598203">
      <w:bodyDiv w:val="1"/>
      <w:marLeft w:val="0"/>
      <w:marRight w:val="0"/>
      <w:marTop w:val="0"/>
      <w:marBottom w:val="0"/>
      <w:divBdr>
        <w:top w:val="none" w:sz="0" w:space="0" w:color="auto"/>
        <w:left w:val="none" w:sz="0" w:space="0" w:color="auto"/>
        <w:bottom w:val="none" w:sz="0" w:space="0" w:color="auto"/>
        <w:right w:val="none" w:sz="0" w:space="0" w:color="auto"/>
      </w:divBdr>
    </w:div>
    <w:div w:id="1617256689">
      <w:bodyDiv w:val="1"/>
      <w:marLeft w:val="0"/>
      <w:marRight w:val="0"/>
      <w:marTop w:val="0"/>
      <w:marBottom w:val="0"/>
      <w:divBdr>
        <w:top w:val="none" w:sz="0" w:space="0" w:color="auto"/>
        <w:left w:val="none" w:sz="0" w:space="0" w:color="auto"/>
        <w:bottom w:val="none" w:sz="0" w:space="0" w:color="auto"/>
        <w:right w:val="none" w:sz="0" w:space="0" w:color="auto"/>
      </w:divBdr>
    </w:div>
    <w:div w:id="186693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ujpr.org/index.php/journal/instructions" TargetMode="External"/><Relationship Id="rId2" Type="http://schemas.openxmlformats.org/officeDocument/2006/relationships/hyperlink" Target="https://www.turnitin.com/" TargetMode="External"/><Relationship Id="rId1" Type="http://schemas.openxmlformats.org/officeDocument/2006/relationships/image" Target="media/image2.png"/><Relationship Id="rId4" Type="http://schemas.openxmlformats.org/officeDocument/2006/relationships/hyperlink" Target="https://doi.org/10.22270/ujpr.v6i1.537"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csb.org/ligand/PRD_002214"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rcsb.org/ligand/PRD_002214" TargetMode="External"/><Relationship Id="rId25" Type="http://schemas.openxmlformats.org/officeDocument/2006/relationships/image" Target="media/image14.png"/><Relationship Id="rId33" Type="http://schemas.openxmlformats.org/officeDocument/2006/relationships/hyperlink" Target="https://www.rcsb.org/ligand/PRD_002214"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rcsb.org/ligand/PRD_00221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hyperlink" Target="http://www.pdb.org"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csb.org/ligand/PRD_002214" TargetMode="External"/><Relationship Id="rId23" Type="http://schemas.openxmlformats.org/officeDocument/2006/relationships/image" Target="media/image12.png"/><Relationship Id="rId28" Type="http://schemas.openxmlformats.org/officeDocument/2006/relationships/hyperlink" Target="https://www.rcsb.org/ligand/PRD_002214" TargetMode="External"/><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www.rcsb.org/ligand/PRD_002214" TargetMode="External"/><Relationship Id="rId30" Type="http://schemas.openxmlformats.org/officeDocument/2006/relationships/hyperlink" Target="https://www.rcsb.org/ligand/PRD_002214" TargetMode="External"/><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F:\Documents%20for%20download%20(1)\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C83DC-1965-4897-83CD-765F34AB4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109</TotalTime>
  <Pages>16</Pages>
  <Words>12982</Words>
  <Characters>73999</Characters>
  <Application>Microsoft Office Word</Application>
  <DocSecurity>0</DocSecurity>
  <Lines>616</Lines>
  <Paragraphs>173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On the Chemistry of the Resveratrol Diastereomers</vt:lpstr>
      <vt:lpstr>On the Chemistry of the Resveratrol Diastereomers</vt:lpstr>
    </vt:vector>
  </TitlesOfParts>
  <Manager/>
  <Company/>
  <LinksUpToDate>false</LinksUpToDate>
  <CharactersWithSpaces>86808</CharactersWithSpaces>
  <SharedDoc>false</SharedDoc>
  <HLinks>
    <vt:vector size="378" baseType="variant">
      <vt:variant>
        <vt:i4>5046340</vt:i4>
      </vt:variant>
      <vt:variant>
        <vt:i4>334</vt:i4>
      </vt:variant>
      <vt:variant>
        <vt:i4>0</vt:i4>
      </vt:variant>
      <vt:variant>
        <vt:i4>5</vt:i4>
      </vt:variant>
      <vt:variant>
        <vt:lpwstr>http://www.chemcomp.com/</vt:lpwstr>
      </vt:variant>
      <vt:variant>
        <vt:lpwstr/>
      </vt:variant>
      <vt:variant>
        <vt:i4>5046340</vt:i4>
      </vt:variant>
      <vt:variant>
        <vt:i4>331</vt:i4>
      </vt:variant>
      <vt:variant>
        <vt:i4>0</vt:i4>
      </vt:variant>
      <vt:variant>
        <vt:i4>5</vt:i4>
      </vt:variant>
      <vt:variant>
        <vt:lpwstr>http://www.chemcomp.com/</vt:lpwstr>
      </vt:variant>
      <vt:variant>
        <vt:lpwstr/>
      </vt:variant>
      <vt:variant>
        <vt:i4>1441888</vt:i4>
      </vt:variant>
      <vt:variant>
        <vt:i4>328</vt:i4>
      </vt:variant>
      <vt:variant>
        <vt:i4>0</vt:i4>
      </vt:variant>
      <vt:variant>
        <vt:i4>5</vt:i4>
      </vt:variant>
      <vt:variant>
        <vt:lpwstr>http://www.epa.gov/sites/production/files/2014-11/documents/dev_tox.pdf</vt:lpwstr>
      </vt:variant>
      <vt:variant>
        <vt:lpwstr/>
      </vt:variant>
      <vt:variant>
        <vt:i4>5439557</vt:i4>
      </vt:variant>
      <vt:variant>
        <vt:i4>325</vt:i4>
      </vt:variant>
      <vt:variant>
        <vt:i4>0</vt:i4>
      </vt:variant>
      <vt:variant>
        <vt:i4>5</vt:i4>
      </vt:variant>
      <vt:variant>
        <vt:lpwstr>http://www.3dsbiovia.com/products/collaborative-science/biovia-discovery-studio/qsar-admet-and-predictive-toxicology.html</vt:lpwstr>
      </vt:variant>
      <vt:variant>
        <vt:lpwstr/>
      </vt:variant>
      <vt:variant>
        <vt:i4>4521995</vt:i4>
      </vt:variant>
      <vt:variant>
        <vt:i4>319</vt:i4>
      </vt:variant>
      <vt:variant>
        <vt:i4>0</vt:i4>
      </vt:variant>
      <vt:variant>
        <vt:i4>5</vt:i4>
      </vt:variant>
      <vt:variant>
        <vt:lpwstr/>
      </vt:variant>
      <vt:variant>
        <vt:lpwstr>_ENREF_40</vt:lpwstr>
      </vt:variant>
      <vt:variant>
        <vt:i4>4521995</vt:i4>
      </vt:variant>
      <vt:variant>
        <vt:i4>313</vt:i4>
      </vt:variant>
      <vt:variant>
        <vt:i4>0</vt:i4>
      </vt:variant>
      <vt:variant>
        <vt:i4>5</vt:i4>
      </vt:variant>
      <vt:variant>
        <vt:lpwstr/>
      </vt:variant>
      <vt:variant>
        <vt:lpwstr>_ENREF_44</vt:lpwstr>
      </vt:variant>
      <vt:variant>
        <vt:i4>4521995</vt:i4>
      </vt:variant>
      <vt:variant>
        <vt:i4>307</vt:i4>
      </vt:variant>
      <vt:variant>
        <vt:i4>0</vt:i4>
      </vt:variant>
      <vt:variant>
        <vt:i4>5</vt:i4>
      </vt:variant>
      <vt:variant>
        <vt:lpwstr/>
      </vt:variant>
      <vt:variant>
        <vt:lpwstr>_ENREF_46</vt:lpwstr>
      </vt:variant>
      <vt:variant>
        <vt:i4>4521995</vt:i4>
      </vt:variant>
      <vt:variant>
        <vt:i4>304</vt:i4>
      </vt:variant>
      <vt:variant>
        <vt:i4>0</vt:i4>
      </vt:variant>
      <vt:variant>
        <vt:i4>5</vt:i4>
      </vt:variant>
      <vt:variant>
        <vt:lpwstr/>
      </vt:variant>
      <vt:variant>
        <vt:lpwstr>_ENREF_41</vt:lpwstr>
      </vt:variant>
      <vt:variant>
        <vt:i4>4521995</vt:i4>
      </vt:variant>
      <vt:variant>
        <vt:i4>298</vt:i4>
      </vt:variant>
      <vt:variant>
        <vt:i4>0</vt:i4>
      </vt:variant>
      <vt:variant>
        <vt:i4>5</vt:i4>
      </vt:variant>
      <vt:variant>
        <vt:lpwstr/>
      </vt:variant>
      <vt:variant>
        <vt:lpwstr>_ENREF_45</vt:lpwstr>
      </vt:variant>
      <vt:variant>
        <vt:i4>4521995</vt:i4>
      </vt:variant>
      <vt:variant>
        <vt:i4>295</vt:i4>
      </vt:variant>
      <vt:variant>
        <vt:i4>0</vt:i4>
      </vt:variant>
      <vt:variant>
        <vt:i4>5</vt:i4>
      </vt:variant>
      <vt:variant>
        <vt:lpwstr/>
      </vt:variant>
      <vt:variant>
        <vt:lpwstr>_ENREF_42</vt:lpwstr>
      </vt:variant>
      <vt:variant>
        <vt:i4>4521995</vt:i4>
      </vt:variant>
      <vt:variant>
        <vt:i4>289</vt:i4>
      </vt:variant>
      <vt:variant>
        <vt:i4>0</vt:i4>
      </vt:variant>
      <vt:variant>
        <vt:i4>5</vt:i4>
      </vt:variant>
      <vt:variant>
        <vt:lpwstr/>
      </vt:variant>
      <vt:variant>
        <vt:lpwstr>_ENREF_44</vt:lpwstr>
      </vt:variant>
      <vt:variant>
        <vt:i4>1048697</vt:i4>
      </vt:variant>
      <vt:variant>
        <vt:i4>284</vt:i4>
      </vt:variant>
      <vt:variant>
        <vt:i4>0</vt:i4>
      </vt:variant>
      <vt:variant>
        <vt:i4>5</vt:i4>
      </vt:variant>
      <vt:variant>
        <vt:lpwstr>https://www.rcsb.org/ligand/PRD_002214</vt:lpwstr>
      </vt:variant>
      <vt:variant>
        <vt:lpwstr/>
      </vt:variant>
      <vt:variant>
        <vt:i4>4521995</vt:i4>
      </vt:variant>
      <vt:variant>
        <vt:i4>281</vt:i4>
      </vt:variant>
      <vt:variant>
        <vt:i4>0</vt:i4>
      </vt:variant>
      <vt:variant>
        <vt:i4>5</vt:i4>
      </vt:variant>
      <vt:variant>
        <vt:lpwstr/>
      </vt:variant>
      <vt:variant>
        <vt:lpwstr>_ENREF_43</vt:lpwstr>
      </vt:variant>
      <vt:variant>
        <vt:i4>4521995</vt:i4>
      </vt:variant>
      <vt:variant>
        <vt:i4>278</vt:i4>
      </vt:variant>
      <vt:variant>
        <vt:i4>0</vt:i4>
      </vt:variant>
      <vt:variant>
        <vt:i4>5</vt:i4>
      </vt:variant>
      <vt:variant>
        <vt:lpwstr/>
      </vt:variant>
      <vt:variant>
        <vt:lpwstr>_ENREF_43</vt:lpwstr>
      </vt:variant>
      <vt:variant>
        <vt:i4>3211368</vt:i4>
      </vt:variant>
      <vt:variant>
        <vt:i4>273</vt:i4>
      </vt:variant>
      <vt:variant>
        <vt:i4>0</vt:i4>
      </vt:variant>
      <vt:variant>
        <vt:i4>5</vt:i4>
      </vt:variant>
      <vt:variant>
        <vt:lpwstr>http://www.pdb.org/</vt:lpwstr>
      </vt:variant>
      <vt:variant>
        <vt:lpwstr/>
      </vt:variant>
      <vt:variant>
        <vt:i4>4521995</vt:i4>
      </vt:variant>
      <vt:variant>
        <vt:i4>269</vt:i4>
      </vt:variant>
      <vt:variant>
        <vt:i4>0</vt:i4>
      </vt:variant>
      <vt:variant>
        <vt:i4>5</vt:i4>
      </vt:variant>
      <vt:variant>
        <vt:lpwstr/>
      </vt:variant>
      <vt:variant>
        <vt:lpwstr>_ENREF_42</vt:lpwstr>
      </vt:variant>
      <vt:variant>
        <vt:i4>4521995</vt:i4>
      </vt:variant>
      <vt:variant>
        <vt:i4>266</vt:i4>
      </vt:variant>
      <vt:variant>
        <vt:i4>0</vt:i4>
      </vt:variant>
      <vt:variant>
        <vt:i4>5</vt:i4>
      </vt:variant>
      <vt:variant>
        <vt:lpwstr/>
      </vt:variant>
      <vt:variant>
        <vt:lpwstr>_ENREF_41</vt:lpwstr>
      </vt:variant>
      <vt:variant>
        <vt:i4>4521995</vt:i4>
      </vt:variant>
      <vt:variant>
        <vt:i4>260</vt:i4>
      </vt:variant>
      <vt:variant>
        <vt:i4>0</vt:i4>
      </vt:variant>
      <vt:variant>
        <vt:i4>5</vt:i4>
      </vt:variant>
      <vt:variant>
        <vt:lpwstr/>
      </vt:variant>
      <vt:variant>
        <vt:lpwstr>_ENREF_40</vt:lpwstr>
      </vt:variant>
      <vt:variant>
        <vt:i4>4521995</vt:i4>
      </vt:variant>
      <vt:variant>
        <vt:i4>254</vt:i4>
      </vt:variant>
      <vt:variant>
        <vt:i4>0</vt:i4>
      </vt:variant>
      <vt:variant>
        <vt:i4>5</vt:i4>
      </vt:variant>
      <vt:variant>
        <vt:lpwstr/>
      </vt:variant>
      <vt:variant>
        <vt:lpwstr>_ENREF_40</vt:lpwstr>
      </vt:variant>
      <vt:variant>
        <vt:i4>4325387</vt:i4>
      </vt:variant>
      <vt:variant>
        <vt:i4>248</vt:i4>
      </vt:variant>
      <vt:variant>
        <vt:i4>0</vt:i4>
      </vt:variant>
      <vt:variant>
        <vt:i4>5</vt:i4>
      </vt:variant>
      <vt:variant>
        <vt:lpwstr/>
      </vt:variant>
      <vt:variant>
        <vt:lpwstr>_ENREF_39</vt:lpwstr>
      </vt:variant>
      <vt:variant>
        <vt:i4>4325387</vt:i4>
      </vt:variant>
      <vt:variant>
        <vt:i4>242</vt:i4>
      </vt:variant>
      <vt:variant>
        <vt:i4>0</vt:i4>
      </vt:variant>
      <vt:variant>
        <vt:i4>5</vt:i4>
      </vt:variant>
      <vt:variant>
        <vt:lpwstr/>
      </vt:variant>
      <vt:variant>
        <vt:lpwstr>_ENREF_38</vt:lpwstr>
      </vt:variant>
      <vt:variant>
        <vt:i4>4325387</vt:i4>
      </vt:variant>
      <vt:variant>
        <vt:i4>236</vt:i4>
      </vt:variant>
      <vt:variant>
        <vt:i4>0</vt:i4>
      </vt:variant>
      <vt:variant>
        <vt:i4>5</vt:i4>
      </vt:variant>
      <vt:variant>
        <vt:lpwstr/>
      </vt:variant>
      <vt:variant>
        <vt:lpwstr>_ENREF_37</vt:lpwstr>
      </vt:variant>
      <vt:variant>
        <vt:i4>4325387</vt:i4>
      </vt:variant>
      <vt:variant>
        <vt:i4>233</vt:i4>
      </vt:variant>
      <vt:variant>
        <vt:i4>0</vt:i4>
      </vt:variant>
      <vt:variant>
        <vt:i4>5</vt:i4>
      </vt:variant>
      <vt:variant>
        <vt:lpwstr/>
      </vt:variant>
      <vt:variant>
        <vt:lpwstr>_ENREF_36</vt:lpwstr>
      </vt:variant>
      <vt:variant>
        <vt:i4>4325387</vt:i4>
      </vt:variant>
      <vt:variant>
        <vt:i4>227</vt:i4>
      </vt:variant>
      <vt:variant>
        <vt:i4>0</vt:i4>
      </vt:variant>
      <vt:variant>
        <vt:i4>5</vt:i4>
      </vt:variant>
      <vt:variant>
        <vt:lpwstr/>
      </vt:variant>
      <vt:variant>
        <vt:lpwstr>_ENREF_35</vt:lpwstr>
      </vt:variant>
      <vt:variant>
        <vt:i4>4325387</vt:i4>
      </vt:variant>
      <vt:variant>
        <vt:i4>224</vt:i4>
      </vt:variant>
      <vt:variant>
        <vt:i4>0</vt:i4>
      </vt:variant>
      <vt:variant>
        <vt:i4>5</vt:i4>
      </vt:variant>
      <vt:variant>
        <vt:lpwstr/>
      </vt:variant>
      <vt:variant>
        <vt:lpwstr>_ENREF_34</vt:lpwstr>
      </vt:variant>
      <vt:variant>
        <vt:i4>4325387</vt:i4>
      </vt:variant>
      <vt:variant>
        <vt:i4>218</vt:i4>
      </vt:variant>
      <vt:variant>
        <vt:i4>0</vt:i4>
      </vt:variant>
      <vt:variant>
        <vt:i4>5</vt:i4>
      </vt:variant>
      <vt:variant>
        <vt:lpwstr/>
      </vt:variant>
      <vt:variant>
        <vt:lpwstr>_ENREF_33</vt:lpwstr>
      </vt:variant>
      <vt:variant>
        <vt:i4>4325387</vt:i4>
      </vt:variant>
      <vt:variant>
        <vt:i4>212</vt:i4>
      </vt:variant>
      <vt:variant>
        <vt:i4>0</vt:i4>
      </vt:variant>
      <vt:variant>
        <vt:i4>5</vt:i4>
      </vt:variant>
      <vt:variant>
        <vt:lpwstr/>
      </vt:variant>
      <vt:variant>
        <vt:lpwstr>_ENREF_32</vt:lpwstr>
      </vt:variant>
      <vt:variant>
        <vt:i4>4325387</vt:i4>
      </vt:variant>
      <vt:variant>
        <vt:i4>206</vt:i4>
      </vt:variant>
      <vt:variant>
        <vt:i4>0</vt:i4>
      </vt:variant>
      <vt:variant>
        <vt:i4>5</vt:i4>
      </vt:variant>
      <vt:variant>
        <vt:lpwstr/>
      </vt:variant>
      <vt:variant>
        <vt:lpwstr>_ENREF_32</vt:lpwstr>
      </vt:variant>
      <vt:variant>
        <vt:i4>4325387</vt:i4>
      </vt:variant>
      <vt:variant>
        <vt:i4>200</vt:i4>
      </vt:variant>
      <vt:variant>
        <vt:i4>0</vt:i4>
      </vt:variant>
      <vt:variant>
        <vt:i4>5</vt:i4>
      </vt:variant>
      <vt:variant>
        <vt:lpwstr/>
      </vt:variant>
      <vt:variant>
        <vt:lpwstr>_ENREF_31</vt:lpwstr>
      </vt:variant>
      <vt:variant>
        <vt:i4>4325387</vt:i4>
      </vt:variant>
      <vt:variant>
        <vt:i4>194</vt:i4>
      </vt:variant>
      <vt:variant>
        <vt:i4>0</vt:i4>
      </vt:variant>
      <vt:variant>
        <vt:i4>5</vt:i4>
      </vt:variant>
      <vt:variant>
        <vt:lpwstr/>
      </vt:variant>
      <vt:variant>
        <vt:lpwstr>_ENREF_30</vt:lpwstr>
      </vt:variant>
      <vt:variant>
        <vt:i4>4390923</vt:i4>
      </vt:variant>
      <vt:variant>
        <vt:i4>191</vt:i4>
      </vt:variant>
      <vt:variant>
        <vt:i4>0</vt:i4>
      </vt:variant>
      <vt:variant>
        <vt:i4>5</vt:i4>
      </vt:variant>
      <vt:variant>
        <vt:lpwstr/>
      </vt:variant>
      <vt:variant>
        <vt:lpwstr>_ENREF_29</vt:lpwstr>
      </vt:variant>
      <vt:variant>
        <vt:i4>4390923</vt:i4>
      </vt:variant>
      <vt:variant>
        <vt:i4>185</vt:i4>
      </vt:variant>
      <vt:variant>
        <vt:i4>0</vt:i4>
      </vt:variant>
      <vt:variant>
        <vt:i4>5</vt:i4>
      </vt:variant>
      <vt:variant>
        <vt:lpwstr/>
      </vt:variant>
      <vt:variant>
        <vt:lpwstr>_ENREF_28</vt:lpwstr>
      </vt:variant>
      <vt:variant>
        <vt:i4>4390923</vt:i4>
      </vt:variant>
      <vt:variant>
        <vt:i4>179</vt:i4>
      </vt:variant>
      <vt:variant>
        <vt:i4>0</vt:i4>
      </vt:variant>
      <vt:variant>
        <vt:i4>5</vt:i4>
      </vt:variant>
      <vt:variant>
        <vt:lpwstr/>
      </vt:variant>
      <vt:variant>
        <vt:lpwstr>_ENREF_27</vt:lpwstr>
      </vt:variant>
      <vt:variant>
        <vt:i4>4390923</vt:i4>
      </vt:variant>
      <vt:variant>
        <vt:i4>173</vt:i4>
      </vt:variant>
      <vt:variant>
        <vt:i4>0</vt:i4>
      </vt:variant>
      <vt:variant>
        <vt:i4>5</vt:i4>
      </vt:variant>
      <vt:variant>
        <vt:lpwstr/>
      </vt:variant>
      <vt:variant>
        <vt:lpwstr>_ENREF_26</vt:lpwstr>
      </vt:variant>
      <vt:variant>
        <vt:i4>4390923</vt:i4>
      </vt:variant>
      <vt:variant>
        <vt:i4>167</vt:i4>
      </vt:variant>
      <vt:variant>
        <vt:i4>0</vt:i4>
      </vt:variant>
      <vt:variant>
        <vt:i4>5</vt:i4>
      </vt:variant>
      <vt:variant>
        <vt:lpwstr/>
      </vt:variant>
      <vt:variant>
        <vt:lpwstr>_ENREF_25</vt:lpwstr>
      </vt:variant>
      <vt:variant>
        <vt:i4>4390923</vt:i4>
      </vt:variant>
      <vt:variant>
        <vt:i4>161</vt:i4>
      </vt:variant>
      <vt:variant>
        <vt:i4>0</vt:i4>
      </vt:variant>
      <vt:variant>
        <vt:i4>5</vt:i4>
      </vt:variant>
      <vt:variant>
        <vt:lpwstr/>
      </vt:variant>
      <vt:variant>
        <vt:lpwstr>_ENREF_24</vt:lpwstr>
      </vt:variant>
      <vt:variant>
        <vt:i4>4390923</vt:i4>
      </vt:variant>
      <vt:variant>
        <vt:i4>155</vt:i4>
      </vt:variant>
      <vt:variant>
        <vt:i4>0</vt:i4>
      </vt:variant>
      <vt:variant>
        <vt:i4>5</vt:i4>
      </vt:variant>
      <vt:variant>
        <vt:lpwstr/>
      </vt:variant>
      <vt:variant>
        <vt:lpwstr>_ENREF_23</vt:lpwstr>
      </vt:variant>
      <vt:variant>
        <vt:i4>4390923</vt:i4>
      </vt:variant>
      <vt:variant>
        <vt:i4>149</vt:i4>
      </vt:variant>
      <vt:variant>
        <vt:i4>0</vt:i4>
      </vt:variant>
      <vt:variant>
        <vt:i4>5</vt:i4>
      </vt:variant>
      <vt:variant>
        <vt:lpwstr/>
      </vt:variant>
      <vt:variant>
        <vt:lpwstr>_ENREF_22</vt:lpwstr>
      </vt:variant>
      <vt:variant>
        <vt:i4>4390923</vt:i4>
      </vt:variant>
      <vt:variant>
        <vt:i4>143</vt:i4>
      </vt:variant>
      <vt:variant>
        <vt:i4>0</vt:i4>
      </vt:variant>
      <vt:variant>
        <vt:i4>5</vt:i4>
      </vt:variant>
      <vt:variant>
        <vt:lpwstr/>
      </vt:variant>
      <vt:variant>
        <vt:lpwstr>_ENREF_21</vt:lpwstr>
      </vt:variant>
      <vt:variant>
        <vt:i4>4390923</vt:i4>
      </vt:variant>
      <vt:variant>
        <vt:i4>137</vt:i4>
      </vt:variant>
      <vt:variant>
        <vt:i4>0</vt:i4>
      </vt:variant>
      <vt:variant>
        <vt:i4>5</vt:i4>
      </vt:variant>
      <vt:variant>
        <vt:lpwstr/>
      </vt:variant>
      <vt:variant>
        <vt:lpwstr>_ENREF_20</vt:lpwstr>
      </vt:variant>
      <vt:variant>
        <vt:i4>4194315</vt:i4>
      </vt:variant>
      <vt:variant>
        <vt:i4>131</vt:i4>
      </vt:variant>
      <vt:variant>
        <vt:i4>0</vt:i4>
      </vt:variant>
      <vt:variant>
        <vt:i4>5</vt:i4>
      </vt:variant>
      <vt:variant>
        <vt:lpwstr/>
      </vt:variant>
      <vt:variant>
        <vt:lpwstr>_ENREF_19</vt:lpwstr>
      </vt:variant>
      <vt:variant>
        <vt:i4>4194315</vt:i4>
      </vt:variant>
      <vt:variant>
        <vt:i4>125</vt:i4>
      </vt:variant>
      <vt:variant>
        <vt:i4>0</vt:i4>
      </vt:variant>
      <vt:variant>
        <vt:i4>5</vt:i4>
      </vt:variant>
      <vt:variant>
        <vt:lpwstr/>
      </vt:variant>
      <vt:variant>
        <vt:lpwstr>_ENREF_18</vt:lpwstr>
      </vt:variant>
      <vt:variant>
        <vt:i4>4194315</vt:i4>
      </vt:variant>
      <vt:variant>
        <vt:i4>119</vt:i4>
      </vt:variant>
      <vt:variant>
        <vt:i4>0</vt:i4>
      </vt:variant>
      <vt:variant>
        <vt:i4>5</vt:i4>
      </vt:variant>
      <vt:variant>
        <vt:lpwstr/>
      </vt:variant>
      <vt:variant>
        <vt:lpwstr>_ENREF_17</vt:lpwstr>
      </vt:variant>
      <vt:variant>
        <vt:i4>4194315</vt:i4>
      </vt:variant>
      <vt:variant>
        <vt:i4>113</vt:i4>
      </vt:variant>
      <vt:variant>
        <vt:i4>0</vt:i4>
      </vt:variant>
      <vt:variant>
        <vt:i4>5</vt:i4>
      </vt:variant>
      <vt:variant>
        <vt:lpwstr/>
      </vt:variant>
      <vt:variant>
        <vt:lpwstr>_ENREF_16</vt:lpwstr>
      </vt:variant>
      <vt:variant>
        <vt:i4>1048697</vt:i4>
      </vt:variant>
      <vt:variant>
        <vt:i4>108</vt:i4>
      </vt:variant>
      <vt:variant>
        <vt:i4>0</vt:i4>
      </vt:variant>
      <vt:variant>
        <vt:i4>5</vt:i4>
      </vt:variant>
      <vt:variant>
        <vt:lpwstr>https://www.rcsb.org/ligand/PRD_002214</vt:lpwstr>
      </vt:variant>
      <vt:variant>
        <vt:lpwstr/>
      </vt:variant>
      <vt:variant>
        <vt:i4>1048697</vt:i4>
      </vt:variant>
      <vt:variant>
        <vt:i4>105</vt:i4>
      </vt:variant>
      <vt:variant>
        <vt:i4>0</vt:i4>
      </vt:variant>
      <vt:variant>
        <vt:i4>5</vt:i4>
      </vt:variant>
      <vt:variant>
        <vt:lpwstr>https://www.rcsb.org/ligand/PRD_002214</vt:lpwstr>
      </vt:variant>
      <vt:variant>
        <vt:lpwstr/>
      </vt:variant>
      <vt:variant>
        <vt:i4>1048697</vt:i4>
      </vt:variant>
      <vt:variant>
        <vt:i4>102</vt:i4>
      </vt:variant>
      <vt:variant>
        <vt:i4>0</vt:i4>
      </vt:variant>
      <vt:variant>
        <vt:i4>5</vt:i4>
      </vt:variant>
      <vt:variant>
        <vt:lpwstr>https://www.rcsb.org/ligand/PRD_002214</vt:lpwstr>
      </vt:variant>
      <vt:variant>
        <vt:lpwstr/>
      </vt:variant>
      <vt:variant>
        <vt:i4>4194315</vt:i4>
      </vt:variant>
      <vt:variant>
        <vt:i4>98</vt:i4>
      </vt:variant>
      <vt:variant>
        <vt:i4>0</vt:i4>
      </vt:variant>
      <vt:variant>
        <vt:i4>5</vt:i4>
      </vt:variant>
      <vt:variant>
        <vt:lpwstr/>
      </vt:variant>
      <vt:variant>
        <vt:lpwstr>_ENREF_15</vt:lpwstr>
      </vt:variant>
      <vt:variant>
        <vt:i4>4194315</vt:i4>
      </vt:variant>
      <vt:variant>
        <vt:i4>90</vt:i4>
      </vt:variant>
      <vt:variant>
        <vt:i4>0</vt:i4>
      </vt:variant>
      <vt:variant>
        <vt:i4>5</vt:i4>
      </vt:variant>
      <vt:variant>
        <vt:lpwstr/>
      </vt:variant>
      <vt:variant>
        <vt:lpwstr>_ENREF_14</vt:lpwstr>
      </vt:variant>
      <vt:variant>
        <vt:i4>4194315</vt:i4>
      </vt:variant>
      <vt:variant>
        <vt:i4>84</vt:i4>
      </vt:variant>
      <vt:variant>
        <vt:i4>0</vt:i4>
      </vt:variant>
      <vt:variant>
        <vt:i4>5</vt:i4>
      </vt:variant>
      <vt:variant>
        <vt:lpwstr/>
      </vt:variant>
      <vt:variant>
        <vt:lpwstr>_ENREF_13</vt:lpwstr>
      </vt:variant>
      <vt:variant>
        <vt:i4>4194315</vt:i4>
      </vt:variant>
      <vt:variant>
        <vt:i4>78</vt:i4>
      </vt:variant>
      <vt:variant>
        <vt:i4>0</vt:i4>
      </vt:variant>
      <vt:variant>
        <vt:i4>5</vt:i4>
      </vt:variant>
      <vt:variant>
        <vt:lpwstr/>
      </vt:variant>
      <vt:variant>
        <vt:lpwstr>_ENREF_12</vt:lpwstr>
      </vt:variant>
      <vt:variant>
        <vt:i4>4194315</vt:i4>
      </vt:variant>
      <vt:variant>
        <vt:i4>70</vt:i4>
      </vt:variant>
      <vt:variant>
        <vt:i4>0</vt:i4>
      </vt:variant>
      <vt:variant>
        <vt:i4>5</vt:i4>
      </vt:variant>
      <vt:variant>
        <vt:lpwstr/>
      </vt:variant>
      <vt:variant>
        <vt:lpwstr>_ENREF_12</vt:lpwstr>
      </vt:variant>
      <vt:variant>
        <vt:i4>4194315</vt:i4>
      </vt:variant>
      <vt:variant>
        <vt:i4>62</vt:i4>
      </vt:variant>
      <vt:variant>
        <vt:i4>0</vt:i4>
      </vt:variant>
      <vt:variant>
        <vt:i4>5</vt:i4>
      </vt:variant>
      <vt:variant>
        <vt:lpwstr/>
      </vt:variant>
      <vt:variant>
        <vt:lpwstr>_ENREF_11</vt:lpwstr>
      </vt:variant>
      <vt:variant>
        <vt:i4>4194315</vt:i4>
      </vt:variant>
      <vt:variant>
        <vt:i4>56</vt:i4>
      </vt:variant>
      <vt:variant>
        <vt:i4>0</vt:i4>
      </vt:variant>
      <vt:variant>
        <vt:i4>5</vt:i4>
      </vt:variant>
      <vt:variant>
        <vt:lpwstr/>
      </vt:variant>
      <vt:variant>
        <vt:lpwstr>_ENREF_10</vt:lpwstr>
      </vt:variant>
      <vt:variant>
        <vt:i4>4718603</vt:i4>
      </vt:variant>
      <vt:variant>
        <vt:i4>50</vt:i4>
      </vt:variant>
      <vt:variant>
        <vt:i4>0</vt:i4>
      </vt:variant>
      <vt:variant>
        <vt:i4>5</vt:i4>
      </vt:variant>
      <vt:variant>
        <vt:lpwstr/>
      </vt:variant>
      <vt:variant>
        <vt:lpwstr>_ENREF_9</vt:lpwstr>
      </vt:variant>
      <vt:variant>
        <vt:i4>4784139</vt:i4>
      </vt:variant>
      <vt:variant>
        <vt:i4>44</vt:i4>
      </vt:variant>
      <vt:variant>
        <vt:i4>0</vt:i4>
      </vt:variant>
      <vt:variant>
        <vt:i4>5</vt:i4>
      </vt:variant>
      <vt:variant>
        <vt:lpwstr/>
      </vt:variant>
      <vt:variant>
        <vt:lpwstr>_ENREF_8</vt:lpwstr>
      </vt:variant>
      <vt:variant>
        <vt:i4>4587531</vt:i4>
      </vt:variant>
      <vt:variant>
        <vt:i4>38</vt:i4>
      </vt:variant>
      <vt:variant>
        <vt:i4>0</vt:i4>
      </vt:variant>
      <vt:variant>
        <vt:i4>5</vt:i4>
      </vt:variant>
      <vt:variant>
        <vt:lpwstr/>
      </vt:variant>
      <vt:variant>
        <vt:lpwstr>_ENREF_7</vt:lpwstr>
      </vt:variant>
      <vt:variant>
        <vt:i4>4653067</vt:i4>
      </vt:variant>
      <vt:variant>
        <vt:i4>32</vt:i4>
      </vt:variant>
      <vt:variant>
        <vt:i4>0</vt:i4>
      </vt:variant>
      <vt:variant>
        <vt:i4>5</vt:i4>
      </vt:variant>
      <vt:variant>
        <vt:lpwstr/>
      </vt:variant>
      <vt:variant>
        <vt:lpwstr>_ENREF_6</vt:lpwstr>
      </vt:variant>
      <vt:variant>
        <vt:i4>4456459</vt:i4>
      </vt:variant>
      <vt:variant>
        <vt:i4>26</vt:i4>
      </vt:variant>
      <vt:variant>
        <vt:i4>0</vt:i4>
      </vt:variant>
      <vt:variant>
        <vt:i4>5</vt:i4>
      </vt:variant>
      <vt:variant>
        <vt:lpwstr/>
      </vt:variant>
      <vt:variant>
        <vt:lpwstr>_ENREF_5</vt:lpwstr>
      </vt:variant>
      <vt:variant>
        <vt:i4>4521995</vt:i4>
      </vt:variant>
      <vt:variant>
        <vt:i4>20</vt:i4>
      </vt:variant>
      <vt:variant>
        <vt:i4>0</vt:i4>
      </vt:variant>
      <vt:variant>
        <vt:i4>5</vt:i4>
      </vt:variant>
      <vt:variant>
        <vt:lpwstr/>
      </vt:variant>
      <vt:variant>
        <vt:lpwstr>_ENREF_4</vt:lpwstr>
      </vt:variant>
      <vt:variant>
        <vt:i4>4325387</vt:i4>
      </vt:variant>
      <vt:variant>
        <vt:i4>14</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Chemistry of the Resveratrol Diastereomers</dc:title>
  <dc:creator>marwa fayed</dc:creator>
  <cp:lastModifiedBy>Kapil</cp:lastModifiedBy>
  <cp:revision>88</cp:revision>
  <cp:lastPrinted>2021-09-30T11:05:00Z</cp:lastPrinted>
  <dcterms:created xsi:type="dcterms:W3CDTF">2022-02-08T13:48:00Z</dcterms:created>
  <dcterms:modified xsi:type="dcterms:W3CDTF">2022-10-30T19:32:00Z</dcterms:modified>
</cp:coreProperties>
</file>