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55" w:rsidRPr="00E02986" w:rsidRDefault="007F1E55" w:rsidP="007F1E55">
      <w:pPr>
        <w:shd w:val="clear" w:color="auto" w:fill="00B050"/>
        <w:spacing w:line="276" w:lineRule="auto"/>
        <w:ind w:right="-450"/>
        <w:jc w:val="center"/>
        <w:rPr>
          <w:rFonts w:ascii="Times New Roman" w:eastAsia="Calibri" w:hAnsi="Times New Roman" w:cs="Times New Roman"/>
          <w:b/>
          <w:bCs/>
          <w:color w:val="FFFFFF"/>
          <w:sz w:val="32"/>
          <w:szCs w:val="32"/>
        </w:rPr>
      </w:pPr>
      <w:bookmarkStart w:id="0" w:name="_GoBack"/>
      <w:bookmarkEnd w:id="0"/>
      <w:r w:rsidRPr="00E02986">
        <w:rPr>
          <w:rFonts w:ascii="Times New Roman" w:eastAsia="Calibri" w:hAnsi="Times New Roman" w:cs="Times New Roman"/>
          <w:b/>
          <w:bCs/>
          <w:color w:val="FFFFFF"/>
          <w:sz w:val="32"/>
          <w:szCs w:val="32"/>
        </w:rPr>
        <w:t>Original Research Article</w:t>
      </w:r>
    </w:p>
    <w:p w:rsidR="00A7773E" w:rsidRDefault="00A7773E" w:rsidP="007F1E55">
      <w:pPr>
        <w:spacing w:line="276" w:lineRule="auto"/>
        <w:jc w:val="center"/>
        <w:rPr>
          <w:rFonts w:ascii="Times New Roman" w:hAnsi="Times New Roman" w:cs="Times New Roman"/>
          <w:b/>
          <w:bCs/>
          <w:color w:val="000000" w:themeColor="text1"/>
          <w:lang w:val="en-GB"/>
        </w:rPr>
      </w:pPr>
    </w:p>
    <w:p w:rsidR="00A7773E" w:rsidRDefault="00221C2D" w:rsidP="007F1E55">
      <w:pPr>
        <w:spacing w:line="276" w:lineRule="auto"/>
        <w:jc w:val="center"/>
        <w:rPr>
          <w:rFonts w:ascii="Times New Roman" w:hAnsi="Times New Roman" w:cs="Times New Roman"/>
          <w:b/>
          <w:bCs/>
          <w:color w:val="000000" w:themeColor="text1"/>
          <w:lang w:val="en-GB"/>
        </w:rPr>
      </w:pPr>
      <w:r>
        <w:rPr>
          <w:rFonts w:ascii="Times New Roman" w:hAnsi="Times New Roman" w:cs="Times New Roman"/>
          <w:b/>
          <w:bCs/>
          <w:color w:val="000000" w:themeColor="text1"/>
          <w:lang w:val="en-GB"/>
        </w:rPr>
        <w:t>HEPATOTOXICITY EFFECTS OF PARACETAMOL-DENIK CLEANSER</w:t>
      </w:r>
      <w:r>
        <w:rPr>
          <w:rFonts w:ascii="Times New Roman" w:hAnsi="Times New Roman" w:cs="Times New Roman"/>
          <w:b/>
          <w:bCs/>
          <w:color w:val="000000" w:themeColor="text1"/>
          <w:vertAlign w:val="superscript"/>
          <w:lang w:val="en-GB"/>
        </w:rPr>
        <w:sym w:font="Symbol" w:char="F0D2"/>
      </w:r>
      <w:r>
        <w:rPr>
          <w:rFonts w:ascii="Times New Roman" w:hAnsi="Times New Roman" w:cs="Times New Roman"/>
          <w:b/>
          <w:bCs/>
          <w:color w:val="000000" w:themeColor="text1"/>
          <w:lang w:val="en-GB"/>
        </w:rPr>
        <w:t xml:space="preserve"> CO-ADMINISTRATION</w:t>
      </w:r>
    </w:p>
    <w:p w:rsidR="00A7773E" w:rsidRDefault="00A7773E" w:rsidP="007F1E55">
      <w:pPr>
        <w:spacing w:line="276" w:lineRule="auto"/>
        <w:rPr>
          <w:rFonts w:ascii="Times New Roman" w:hAnsi="Times New Roman" w:cs="Times New Roman"/>
          <w:b/>
          <w:bCs/>
          <w:color w:val="000000" w:themeColor="text1"/>
          <w:lang w:val="en-GB"/>
        </w:rPr>
      </w:pPr>
    </w:p>
    <w:p w:rsidR="00A7773E" w:rsidRDefault="00A7773E" w:rsidP="007F1E55">
      <w:pPr>
        <w:spacing w:line="276" w:lineRule="auto"/>
        <w:rPr>
          <w:rFonts w:ascii="Times New Roman" w:hAnsi="Times New Roman" w:cs="Times New Roman"/>
          <w:b/>
          <w:bCs/>
          <w:color w:val="000000" w:themeColor="text1"/>
          <w:lang w:val="en-GB"/>
        </w:rPr>
      </w:pPr>
    </w:p>
    <w:p w:rsidR="00A7773E" w:rsidRDefault="00221C2D" w:rsidP="007F1E55">
      <w:pPr>
        <w:spacing w:line="276" w:lineRule="auto"/>
        <w:jc w:val="both"/>
        <w:rPr>
          <w:rFonts w:ascii="Times New Roman" w:hAnsi="Times New Roman" w:cs="Times New Roman"/>
          <w:b/>
          <w:bCs/>
          <w:color w:val="000000" w:themeColor="text1"/>
          <w:lang w:val="en-GB"/>
        </w:rPr>
      </w:pPr>
      <w:r>
        <w:rPr>
          <w:rFonts w:ascii="Times New Roman" w:hAnsi="Times New Roman" w:cs="Times New Roman"/>
          <w:b/>
          <w:bCs/>
          <w:color w:val="000000" w:themeColor="text1"/>
          <w:lang w:val="en-GB"/>
        </w:rPr>
        <w:t>ABSTRACT</w:t>
      </w:r>
    </w:p>
    <w:p w:rsidR="00A7773E" w:rsidRDefault="00221C2D" w:rsidP="007F1E55">
      <w:pPr>
        <w:spacing w:line="276" w:lineRule="auto"/>
        <w:ind w:right="-766"/>
        <w:jc w:val="both"/>
        <w:rPr>
          <w:rFonts w:ascii="Times New Roman" w:hAnsi="Times New Roman" w:cs="Times New Roman"/>
        </w:rPr>
      </w:pPr>
      <w:r>
        <w:rPr>
          <w:rFonts w:ascii="Times New Roman" w:hAnsi="Times New Roman" w:cs="Times New Roman"/>
        </w:rPr>
        <w:t>The concurrent use of herbal products with orthodox m</w:t>
      </w:r>
      <w:r>
        <w:rPr>
          <w:rFonts w:ascii="Times New Roman" w:hAnsi="Times New Roman" w:cs="Times New Roman"/>
        </w:rPr>
        <w:t>edicine is on the rise with the risk of herb-drug interaction that could be beneficial or harmful to the body. Paracetamol (acetaminophen) is an anti-pyretic and analgesic drug metabolized by CYP2E1 to give the major hepatotoxin, N-acetyl-p-benzoquinone im</w:t>
      </w:r>
      <w:r>
        <w:rPr>
          <w:rFonts w:ascii="Times New Roman" w:hAnsi="Times New Roman" w:cs="Times New Roman"/>
        </w:rPr>
        <w:t>ine (NAPQI). Denik cleanser</w:t>
      </w:r>
      <w:r>
        <w:rPr>
          <w:rFonts w:ascii="Times New Roman" w:hAnsi="Times New Roman" w:cs="Times New Roman"/>
          <w:vertAlign w:val="superscript"/>
        </w:rPr>
        <w:sym w:font="Symbol" w:char="F0E2"/>
      </w:r>
      <w:r>
        <w:rPr>
          <w:rFonts w:ascii="Times New Roman" w:hAnsi="Times New Roman" w:cs="Times New Roman"/>
        </w:rPr>
        <w:t xml:space="preserve">  is an oral herbal preparation from plants part of </w:t>
      </w:r>
      <w:r>
        <w:rPr>
          <w:rFonts w:ascii="Times New Roman" w:hAnsi="Times New Roman" w:cs="Times New Roman"/>
          <w:i/>
          <w:iCs/>
        </w:rPr>
        <w:t>Occimum grattissimum, Colocynthis citrullus, Khayaivorensi</w:t>
      </w:r>
      <w:r>
        <w:rPr>
          <w:rFonts w:ascii="Times New Roman" w:hAnsi="Times New Roman" w:cs="Times New Roman"/>
        </w:rPr>
        <w:t>. The aim of this study was to evaluate the hepatotoxic effects triggered by Denik</w:t>
      </w:r>
      <w:r>
        <w:rPr>
          <w:rFonts w:ascii="Times New Roman" w:hAnsi="Times New Roman" w:cs="Times New Roman"/>
          <w:vertAlign w:val="superscript"/>
        </w:rPr>
        <w:sym w:font="Symbol" w:char="F0E2"/>
      </w:r>
      <w:r>
        <w:rPr>
          <w:rFonts w:ascii="Times New Roman" w:hAnsi="Times New Roman" w:cs="Times New Roman"/>
        </w:rPr>
        <w:t xml:space="preserve"> and paracetamol co-administration </w:t>
      </w:r>
      <w:r>
        <w:rPr>
          <w:rFonts w:ascii="Times New Roman" w:hAnsi="Times New Roman" w:cs="Times New Roman"/>
        </w:rPr>
        <w:t>in rats. The study sought to mimic conventional usage of Denik cleanser</w:t>
      </w:r>
      <w:r>
        <w:rPr>
          <w:rFonts w:ascii="Times New Roman" w:hAnsi="Times New Roman" w:cs="Times New Roman"/>
          <w:vertAlign w:val="superscript"/>
        </w:rPr>
        <w:sym w:font="Symbol" w:char="F0E2"/>
      </w:r>
      <w:r>
        <w:rPr>
          <w:rFonts w:ascii="Times New Roman" w:hAnsi="Times New Roman" w:cs="Times New Roman"/>
        </w:rPr>
        <w:t xml:space="preserve"> followed by ingestion of paracetamol, a likely scenario given the popularity of both compounds. Twenty animals were randomly assigned to four groups, the first group (control) receive</w:t>
      </w:r>
      <w:r>
        <w:rPr>
          <w:rFonts w:ascii="Times New Roman" w:hAnsi="Times New Roman" w:cs="Times New Roman"/>
        </w:rPr>
        <w:t>d 0.3 mL distilled water, 2nd group received paracetamol 100 mg/kg, 3rd group received Denik cleanser</w:t>
      </w:r>
      <w:r>
        <w:rPr>
          <w:rFonts w:ascii="Times New Roman" w:hAnsi="Times New Roman" w:cs="Times New Roman"/>
          <w:vertAlign w:val="superscript"/>
        </w:rPr>
        <w:sym w:font="Symbol" w:char="F0E2"/>
      </w:r>
      <w:r>
        <w:rPr>
          <w:rFonts w:ascii="Times New Roman" w:hAnsi="Times New Roman" w:cs="Times New Roman"/>
        </w:rPr>
        <w:t>2 mL/kg while the 4th group received both paracetamol and Denik cleanser</w:t>
      </w:r>
      <w:r>
        <w:rPr>
          <w:rFonts w:ascii="Times New Roman" w:hAnsi="Times New Roman" w:cs="Times New Roman"/>
          <w:vertAlign w:val="superscript"/>
        </w:rPr>
        <w:sym w:font="Symbol" w:char="F0E2"/>
      </w:r>
      <w:r>
        <w:rPr>
          <w:rFonts w:ascii="Times New Roman" w:hAnsi="Times New Roman" w:cs="Times New Roman"/>
        </w:rPr>
        <w:t xml:space="preserve"> at 100 mg/kg and 2 mL/kg daily for 3 days after which biochemical and histologic</w:t>
      </w:r>
      <w:r>
        <w:rPr>
          <w:rFonts w:ascii="Times New Roman" w:hAnsi="Times New Roman" w:cs="Times New Roman"/>
        </w:rPr>
        <w:t>al analysis were carried out. Results from histological analysis revealed that rats that received Denik</w:t>
      </w:r>
      <w:r>
        <w:rPr>
          <w:rFonts w:ascii="Times New Roman" w:hAnsi="Times New Roman" w:cs="Times New Roman"/>
          <w:vertAlign w:val="superscript"/>
        </w:rPr>
        <w:sym w:font="Symbol" w:char="F0E2"/>
      </w:r>
      <w:r>
        <w:rPr>
          <w:rFonts w:ascii="Times New Roman" w:hAnsi="Times New Roman" w:cs="Times New Roman"/>
        </w:rPr>
        <w:t>-only and Denik</w:t>
      </w:r>
      <w:r>
        <w:rPr>
          <w:rFonts w:ascii="Times New Roman" w:hAnsi="Times New Roman" w:cs="Times New Roman"/>
          <w:vertAlign w:val="superscript"/>
        </w:rPr>
        <w:sym w:font="Symbol" w:char="F0E2"/>
      </w:r>
      <w:r>
        <w:rPr>
          <w:rFonts w:ascii="Times New Roman" w:hAnsi="Times New Roman" w:cs="Times New Roman"/>
        </w:rPr>
        <w:t>/paracetamol (concomitantly) showed markedly distorted liver architecture compared to control indicating toxicity. Similarly, the bioche</w:t>
      </w:r>
      <w:r>
        <w:rPr>
          <w:rFonts w:ascii="Times New Roman" w:hAnsi="Times New Roman" w:cs="Times New Roman"/>
        </w:rPr>
        <w:t>mical analysis results showed a significant (p&lt;0.05) increase in AST and ALT for the Denik</w:t>
      </w:r>
      <w:r>
        <w:rPr>
          <w:rFonts w:ascii="Times New Roman" w:hAnsi="Times New Roman" w:cs="Times New Roman"/>
          <w:vertAlign w:val="superscript"/>
        </w:rPr>
        <w:sym w:font="Symbol" w:char="F0E2"/>
      </w:r>
      <w:r>
        <w:rPr>
          <w:rFonts w:ascii="Times New Roman" w:hAnsi="Times New Roman" w:cs="Times New Roman"/>
        </w:rPr>
        <w:t>/paracetamol group compared to the control group indicating a hepatotoxic event. A non-significant increase in ALP and GGT were also observed in the Denik cleanser</w:t>
      </w:r>
      <w:r>
        <w:rPr>
          <w:rFonts w:ascii="Times New Roman" w:hAnsi="Times New Roman" w:cs="Times New Roman"/>
          <w:vertAlign w:val="superscript"/>
        </w:rPr>
        <w:sym w:font="Symbol" w:char="F0E2"/>
      </w:r>
      <w:r>
        <w:rPr>
          <w:rFonts w:ascii="Times New Roman" w:hAnsi="Times New Roman" w:cs="Times New Roman"/>
        </w:rPr>
        <w:t xml:space="preserve"> + paracetamol group. Enhanced metabolism of paracetamol by Denik cleanser</w:t>
      </w:r>
      <w:r>
        <w:rPr>
          <w:rFonts w:ascii="Times New Roman" w:hAnsi="Times New Roman" w:cs="Times New Roman"/>
        </w:rPr>
        <w:sym w:font="Symbol" w:char="F0E2"/>
      </w:r>
      <w:r>
        <w:rPr>
          <w:rFonts w:ascii="Times New Roman" w:hAnsi="Times New Roman" w:cs="Times New Roman"/>
        </w:rPr>
        <w:t xml:space="preserve"> to NAPQI (hepatotoxic metabolite) is indicated as possible mechanism. The results of this study </w:t>
      </w:r>
      <w:r>
        <w:rPr>
          <w:rFonts w:ascii="Times New Roman" w:hAnsi="Times New Roman" w:cs="Times New Roman"/>
          <w:lang w:val="en-GB"/>
        </w:rPr>
        <w:t>demonstrated t</w:t>
      </w:r>
      <w:r>
        <w:rPr>
          <w:rFonts w:ascii="Times New Roman" w:hAnsi="Times New Roman" w:cs="Times New Roman"/>
        </w:rPr>
        <w:t xml:space="preserve">he </w:t>
      </w:r>
      <w:r>
        <w:rPr>
          <w:rFonts w:ascii="Times New Roman" w:hAnsi="Times New Roman" w:cs="Times New Roman"/>
          <w:i/>
          <w:iCs/>
        </w:rPr>
        <w:t xml:space="preserve">in vivo </w:t>
      </w:r>
      <w:r>
        <w:rPr>
          <w:rFonts w:ascii="Times New Roman" w:hAnsi="Times New Roman" w:cs="Times New Roman"/>
        </w:rPr>
        <w:t>potential for a herb/drug interaction involving paracetamol</w:t>
      </w:r>
      <w:r>
        <w:rPr>
          <w:rFonts w:ascii="Times New Roman" w:hAnsi="Times New Roman" w:cs="Times New Roman"/>
        </w:rPr>
        <w:t xml:space="preserve"> and Denik cleanser</w:t>
      </w:r>
      <w:r>
        <w:rPr>
          <w:rFonts w:ascii="Times New Roman" w:hAnsi="Times New Roman" w:cs="Times New Roman"/>
          <w:vertAlign w:val="superscript"/>
        </w:rPr>
        <w:sym w:font="Symbol" w:char="F0E2"/>
      </w:r>
      <w:r>
        <w:rPr>
          <w:rFonts w:ascii="Times New Roman" w:hAnsi="Times New Roman" w:cs="Times New Roman"/>
        </w:rPr>
        <w:t xml:space="preserve">  resulting in liver injury.Therefore, caution is strongly advised against its casual, non-medically supervised usage.</w:t>
      </w:r>
    </w:p>
    <w:p w:rsidR="00A7773E" w:rsidRPr="007F1E55" w:rsidRDefault="00221C2D" w:rsidP="007F1E55">
      <w:pPr>
        <w:pStyle w:val="NormalWeb"/>
        <w:spacing w:line="276" w:lineRule="auto"/>
        <w:jc w:val="both"/>
      </w:pPr>
      <w:r>
        <w:rPr>
          <w:b/>
          <w:bCs/>
        </w:rPr>
        <w:t xml:space="preserve">Keywords: </w:t>
      </w:r>
      <w:r>
        <w:t>paracetamol; Denik cleanser</w:t>
      </w:r>
      <w:r>
        <w:rPr>
          <w:vertAlign w:val="superscript"/>
        </w:rPr>
        <w:sym w:font="Symbol" w:char="F0E2"/>
      </w:r>
      <w:r>
        <w:t>, herb-drug interaction, hepatotoxicity</w:t>
      </w:r>
    </w:p>
    <w:p w:rsidR="00A7773E" w:rsidRDefault="00A7773E" w:rsidP="007F1E55">
      <w:pPr>
        <w:spacing w:line="276" w:lineRule="auto"/>
        <w:rPr>
          <w:rFonts w:ascii="Times New Roman" w:hAnsi="Times New Roman" w:cs="Times New Roman"/>
          <w:b/>
          <w:bCs/>
          <w:color w:val="000000" w:themeColor="text1"/>
          <w:lang w:val="en-GB"/>
        </w:rPr>
      </w:pPr>
    </w:p>
    <w:p w:rsidR="00A7773E" w:rsidRDefault="00221C2D" w:rsidP="007F1E55">
      <w:pPr>
        <w:spacing w:line="276" w:lineRule="auto"/>
        <w:jc w:val="both"/>
        <w:rPr>
          <w:rFonts w:ascii="Times New Roman" w:hAnsi="Times New Roman" w:cs="Times New Roman"/>
          <w:b/>
          <w:bCs/>
          <w:color w:val="000000" w:themeColor="text1"/>
          <w:lang w:val="en-GB"/>
        </w:rPr>
      </w:pPr>
      <w:r>
        <w:rPr>
          <w:rFonts w:ascii="Times New Roman" w:hAnsi="Times New Roman" w:cs="Times New Roman"/>
          <w:b/>
          <w:bCs/>
          <w:color w:val="000000" w:themeColor="text1"/>
          <w:lang w:val="en-GB"/>
        </w:rPr>
        <w:t>INTRODUCTION</w:t>
      </w:r>
    </w:p>
    <w:p w:rsidR="00A7773E" w:rsidRDefault="00221C2D" w:rsidP="007F1E55">
      <w:pPr>
        <w:pStyle w:val="ListParagraph"/>
        <w:spacing w:line="276" w:lineRule="auto"/>
        <w:ind w:left="0"/>
        <w:jc w:val="both"/>
        <w:rPr>
          <w:color w:val="1D1B11"/>
        </w:rPr>
      </w:pPr>
      <w:r>
        <w:rPr>
          <w:color w:val="1D1B11"/>
        </w:rPr>
        <w:t xml:space="preserve">Growing evidence </w:t>
      </w:r>
      <w:r>
        <w:rPr>
          <w:color w:val="1D1B11"/>
        </w:rPr>
        <w:t>have indicated that nutrients in foods, fruits, vegetables, and herbal supplements can influence the therapeutic efficacy of drugs by affecting their bioavailability through interaction with drug transporters, drug-metabolizing enzyme systems, formation of</w:t>
      </w:r>
      <w:r>
        <w:rPr>
          <w:color w:val="1D1B11"/>
        </w:rPr>
        <w:t xml:space="preserve"> unabsorbable complexes, and modification in gastric emptying/pH</w:t>
      </w:r>
      <w:r w:rsidR="00A7773E">
        <w:rPr>
          <w:color w:val="1D1B11"/>
        </w:rPr>
        <w:fldChar w:fldCharType="begin"/>
      </w:r>
      <w:r>
        <w:rPr>
          <w:color w:val="1D1B11"/>
        </w:rPr>
        <w:instrText xml:space="preserve"> ADDIN EN.CITE &lt;EndNote&gt;&lt;Cite&gt;&lt;Author&gt;Amadi&lt;/Author&gt;&lt;Year&gt;2018&lt;/Year&gt;&lt;RecNum&gt;1135&lt;/RecNum&gt;&lt;DisplayText&gt;[1]&lt;/DisplayText&gt;&lt;record&gt;&lt;rec-number&gt;1135&lt;/rec-number&gt;&lt;foreign-keys&gt;&lt;key app="EN" db-id="</w:instrText>
      </w:r>
      <w:r>
        <w:rPr>
          <w:color w:val="1D1B11"/>
        </w:rPr>
        <w:instrText>2te9e2296d2s5dea9t95edp025t5fd5tpxw0" timestamp="1600685375"&gt;1135&lt;/key&gt;&lt;/foreign-keys&gt;&lt;ref-type name="Journal Article"&gt;17&lt;/ref-type&gt;&lt;contributors&gt;&lt;authors&gt;&lt;author&gt;Amadi, Cecilia N&lt;/author&gt;&lt;author&gt;Mgbahurike, Amaka A&lt;/author&gt;&lt;/authors&gt;&lt;/contributors&gt;&lt;titles</w:instrText>
      </w:r>
      <w:r>
        <w:rPr>
          <w:color w:val="1D1B11"/>
        </w:rPr>
        <w:instrText>&gt;&lt;title&gt;Selected Food/Herb–Drug Interactions: Mechanisms and Clinical Relevance&lt;/title&gt;&lt;secondary-title&gt;American journal of therapeutics&lt;/secondary-title&gt;&lt;/titles&gt;&lt;periodical&gt;&lt;full-title&gt;American journal of therapeutics&lt;/full-title&gt;&lt;/periodical&gt;&lt;pages&gt;e423</w:instrText>
      </w:r>
      <w:r>
        <w:rPr>
          <w:color w:val="1D1B11"/>
        </w:rPr>
        <w:instrText>-e433&lt;/pages&gt;&lt;volume&gt;25&lt;/volume&gt;&lt;number&gt;4&lt;/number&gt;&lt;dates&gt;&lt;year&gt;2018&lt;/year&gt;&lt;/dates&gt;&lt;isbn&gt;1075-2765&lt;/isbn&gt;&lt;urls&gt;&lt;/urls&gt;&lt;/record&gt;&lt;/Cite&gt;&lt;/EndNote&gt;</w:instrText>
      </w:r>
      <w:r w:rsidR="00A7773E">
        <w:rPr>
          <w:color w:val="1D1B11"/>
        </w:rPr>
        <w:fldChar w:fldCharType="separate"/>
      </w:r>
      <w:r>
        <w:rPr>
          <w:color w:val="1D1B11"/>
        </w:rPr>
        <w:t>[1]</w:t>
      </w:r>
      <w:r w:rsidR="00A7773E">
        <w:rPr>
          <w:color w:val="1D1B11"/>
        </w:rPr>
        <w:fldChar w:fldCharType="end"/>
      </w:r>
      <w:r>
        <w:rPr>
          <w:color w:val="1D1B11"/>
        </w:rPr>
        <w:t>. An increase in the use of  herbal products and wide spread polypharmacy has potentiated the possibilities</w:t>
      </w:r>
      <w:r>
        <w:rPr>
          <w:color w:val="1D1B11"/>
        </w:rPr>
        <w:t xml:space="preserve"> drug interactions and adverse drug reactions (ADR)</w:t>
      </w:r>
      <w:r w:rsidR="00A7773E">
        <w:rPr>
          <w:color w:val="1D1B11"/>
        </w:rPr>
        <w:fldChar w:fldCharType="begin"/>
      </w:r>
      <w:r>
        <w:rPr>
          <w:color w:val="1D1B11"/>
        </w:rPr>
        <w:instrText xml:space="preserve"> ADDIN EN.CITE &lt;EndNote&gt;&lt;Cite&gt;&lt;Author&gt;Volak&lt;/Author&gt;&lt;Year&gt;2013&lt;/Year&gt;&lt;RecNum&gt;381&lt;/RecNum&gt;&lt;DisplayText&gt;[2]&lt;/DisplayText&gt;&lt;record&gt;&lt;rec-number&gt;381&lt;/rec-number&gt;&lt;foreign-keys&gt;&lt;key app="EN" db-id="2te9e2296d2s5de</w:instrText>
      </w:r>
      <w:r>
        <w:rPr>
          <w:color w:val="1D1B11"/>
        </w:rPr>
        <w:instrText>a9t95edp025t5fd5tpxw0" timestamp="0"&gt;381&lt;/key&gt;&lt;/foreign-keys&gt;&lt;ref-type name="Journal Article"&gt;17&lt;/ref-type&gt;&lt;contributors&gt;&lt;authors&gt;&lt;author&gt;Volak, Laurie P&lt;/author&gt;&lt;author&gt;Hanley, Michael J&lt;/author&gt;&lt;author&gt;Masse, Gina&lt;/author&gt;&lt;author&gt;Hazarika, Suwagmani&lt;/aut</w:instrText>
      </w:r>
      <w:r>
        <w:rPr>
          <w:color w:val="1D1B11"/>
        </w:rPr>
        <w:instrText>hor&gt;&lt;author&gt;Harmatz, Jerold S&lt;/author&gt;&lt;author&gt;Badmaev, Vladimir&lt;/author&gt;&lt;author&gt;Majeed, Muhammed&lt;/author&gt;&lt;author&gt;Greenblatt, David J&lt;/author&gt;&lt;author&gt;Court, Michael H&lt;/author&gt;&lt;/authors&gt;&lt;/contributors&gt;&lt;titles&gt;&lt;title&gt;Effect of a herbal extract containing curc</w:instrText>
      </w:r>
      <w:r>
        <w:rPr>
          <w:color w:val="1D1B11"/>
        </w:rPr>
        <w:instrText>umin and piperine on midazolam, flurbiprofen and paracetamol (acetaminophen) pharmacokinetics in healthy volunteers&lt;/title&gt;&lt;secondary-title&gt;British journal of clinical pharmacology&lt;/secondary-title&gt;&lt;/titles&gt;&lt;periodical&gt;&lt;full-title&gt;British journal of clinic</w:instrText>
      </w:r>
      <w:r>
        <w:rPr>
          <w:color w:val="1D1B11"/>
        </w:rPr>
        <w:instrText>al pharmacology&lt;/full-title&gt;&lt;/periodical&gt;&lt;pages&gt;450-462&lt;/pages&gt;&lt;volume&gt;75&lt;/volume&gt;&lt;number&gt;2&lt;/number&gt;&lt;dates&gt;&lt;year&gt;2013&lt;/year&gt;&lt;/dates&gt;&lt;isbn&gt;0306-5251&lt;/isbn&gt;&lt;urls&gt;&lt;/urls&gt;&lt;/record&gt;&lt;/Cite&gt;&lt;/EndNote&gt;</w:instrText>
      </w:r>
      <w:r w:rsidR="00A7773E">
        <w:rPr>
          <w:color w:val="1D1B11"/>
        </w:rPr>
        <w:fldChar w:fldCharType="separate"/>
      </w:r>
      <w:r>
        <w:rPr>
          <w:color w:val="1D1B11"/>
        </w:rPr>
        <w:t>[2]</w:t>
      </w:r>
      <w:r w:rsidR="00A7773E">
        <w:rPr>
          <w:color w:val="1D1B11"/>
        </w:rPr>
        <w:fldChar w:fldCharType="end"/>
      </w:r>
      <w:r>
        <w:rPr>
          <w:color w:val="1D1B11"/>
        </w:rPr>
        <w:t>.</w:t>
      </w:r>
    </w:p>
    <w:p w:rsidR="00A7773E" w:rsidRDefault="00A7773E" w:rsidP="007F1E55">
      <w:pPr>
        <w:pStyle w:val="ListParagraph"/>
        <w:spacing w:line="276" w:lineRule="auto"/>
        <w:ind w:left="0"/>
        <w:jc w:val="both"/>
        <w:rPr>
          <w:color w:val="1D1B11"/>
        </w:rPr>
      </w:pP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Co-morbid conditions could necessitate co-administrati</w:t>
      </w:r>
      <w:r>
        <w:rPr>
          <w:rFonts w:ascii="Times New Roman" w:hAnsi="Times New Roman"/>
          <w:sz w:val="24"/>
          <w:szCs w:val="24"/>
        </w:rPr>
        <w:t xml:space="preserve">on of certain drugs with herbs, leading to further exaggeration of hepatotoxic effects of drugs For example, pre-existing liver disease has been identified as an important other risk factor for hepatotoxicity of certain drugs. </w:t>
      </w:r>
      <w:r w:rsidR="00A7773E">
        <w:rPr>
          <w:rFonts w:ascii="Times New Roman" w:hAnsi="Times New Roman"/>
          <w:sz w:val="24"/>
          <w:szCs w:val="24"/>
        </w:rPr>
        <w:fldChar w:fldCharType="begin"/>
      </w:r>
      <w:r>
        <w:rPr>
          <w:rFonts w:ascii="Times New Roman" w:hAnsi="Times New Roman"/>
          <w:sz w:val="24"/>
          <w:szCs w:val="24"/>
        </w:rPr>
        <w:instrText xml:space="preserve"> ADDIN EN.CITE &lt;EndNote&gt;&lt;Cite</w:instrText>
      </w:r>
      <w:r>
        <w:rPr>
          <w:rFonts w:ascii="Times New Roman" w:hAnsi="Times New Roman"/>
          <w:sz w:val="24"/>
          <w:szCs w:val="24"/>
        </w:rPr>
        <w:instrText>&gt;&lt;Author&gt;Amadi&lt;/Author&gt;&lt;Year&gt;2018&lt;/Year&gt;&lt;RecNum&gt;107&lt;/RecNum&gt;&lt;DisplayText&gt;[3]&lt;/DisplayText&gt;&lt;record&gt;&lt;rec-number&gt;107&lt;/rec-number&gt;&lt;foreign-keys&gt;&lt;key app="EN" db-id="2te9e2296d2s5dea9t95edp025t5fd5tpxw0" timestamp="0"&gt;107&lt;/key&gt;&lt;/foreign-keys&gt;&lt;ref-type name="Jou</w:instrText>
      </w:r>
      <w:r>
        <w:rPr>
          <w:rFonts w:ascii="Times New Roman" w:hAnsi="Times New Roman"/>
          <w:sz w:val="24"/>
          <w:szCs w:val="24"/>
        </w:rPr>
        <w:instrText>rnal Article"&gt;17&lt;/ref-type&gt;&lt;contributors&gt;&lt;authors&gt;&lt;author&gt;Amadi, Cecilia&lt;/author&gt;&lt;author&gt;Orisakwe, Orish&lt;/author&gt;&lt;/authors&gt;&lt;/contributors&gt;&lt;titles&gt;&lt;title&gt;Herb-induced liver injuries in developing nations: An update&lt;/title&gt;&lt;secondary-title&gt;Toxics&lt;/secondary-</w:instrText>
      </w:r>
      <w:r>
        <w:rPr>
          <w:rFonts w:ascii="Times New Roman" w:hAnsi="Times New Roman"/>
          <w:sz w:val="24"/>
          <w:szCs w:val="24"/>
        </w:rPr>
        <w:instrText>title&gt;&lt;/titles&gt;&lt;periodical&gt;&lt;full-title&gt;Toxics&lt;/full-title&gt;&lt;/periodical&gt;&lt;pages&gt;24&lt;/pages&gt;&lt;volume&gt;6&lt;/volume&gt;&lt;number&gt;2&lt;/number&gt;&lt;dates&gt;&lt;year&gt;2018&lt;/year&gt;&lt;/dates&gt;&lt;urls&gt;&lt;/urls&gt;&lt;/record&gt;&lt;/Cite&gt;&lt;/EndNote&gt;</w:instrText>
      </w:r>
      <w:r w:rsidR="00A7773E">
        <w:rPr>
          <w:rFonts w:ascii="Times New Roman" w:hAnsi="Times New Roman"/>
          <w:sz w:val="24"/>
          <w:szCs w:val="24"/>
        </w:rPr>
        <w:fldChar w:fldCharType="separate"/>
      </w:r>
      <w:r>
        <w:rPr>
          <w:rFonts w:ascii="Times New Roman" w:hAnsi="Times New Roman"/>
          <w:sz w:val="24"/>
          <w:szCs w:val="24"/>
        </w:rPr>
        <w:t>[3]</w:t>
      </w:r>
      <w:r w:rsidR="00A7773E">
        <w:rPr>
          <w:rFonts w:ascii="Times New Roman" w:hAnsi="Times New Roman"/>
          <w:sz w:val="24"/>
          <w:szCs w:val="24"/>
        </w:rPr>
        <w:fldChar w:fldCharType="end"/>
      </w:r>
      <w:r>
        <w:rPr>
          <w:rFonts w:ascii="Times New Roman" w:hAnsi="Times New Roman"/>
          <w:sz w:val="24"/>
          <w:szCs w:val="24"/>
        </w:rPr>
        <w:t>. This has been observed in patients with viral hepatit</w:t>
      </w:r>
      <w:r>
        <w:rPr>
          <w:rFonts w:ascii="Times New Roman" w:hAnsi="Times New Roman"/>
          <w:sz w:val="24"/>
          <w:szCs w:val="24"/>
        </w:rPr>
        <w:t>is and tuberculosis co-infections who develop liver injuries due to the administration of  antiviral and anti-tuberculosis drugs</w:t>
      </w:r>
      <w:r w:rsidR="00A7773E">
        <w:rPr>
          <w:rFonts w:ascii="Times New Roman" w:hAnsi="Times New Roman"/>
          <w:sz w:val="24"/>
          <w:szCs w:val="24"/>
        </w:rPr>
        <w:fldChar w:fldCharType="begin"/>
      </w:r>
      <w:r>
        <w:rPr>
          <w:rFonts w:ascii="Times New Roman" w:hAnsi="Times New Roman"/>
          <w:sz w:val="24"/>
          <w:szCs w:val="24"/>
        </w:rPr>
        <w:instrText xml:space="preserve"> ADDIN EN.CITE &lt;EndNote&gt;&lt;Cite&gt;&lt;Author&gt;Auerbach&lt;/Author&gt;&lt;Year&gt;2012&lt;/Year&gt;&lt;RecNum&gt;1139&lt;/RecNum&gt;&lt;DisplayText&gt;[4]&lt;/DisplayText&gt;&lt;reco</w:instrText>
      </w:r>
      <w:r>
        <w:rPr>
          <w:rFonts w:ascii="Times New Roman" w:hAnsi="Times New Roman"/>
          <w:sz w:val="24"/>
          <w:szCs w:val="24"/>
        </w:rPr>
        <w:instrText>rd&gt;&lt;rec-number&gt;1139&lt;/rec-number&gt;&lt;foreign-keys&gt;&lt;key app="EN" db-id="2te9e2296d2s5dea9t95edp025t5fd5tpxw0" timestamp="1600690263"&gt;1139&lt;/key&gt;&lt;/foreign-keys&gt;&lt;ref-type name="Journal Article"&gt;17&lt;/ref-type&gt;&lt;contributors&gt;&lt;authors&gt;&lt;author&gt;Auerbach, Brandon J&lt;/autho</w:instrText>
      </w:r>
      <w:r>
        <w:rPr>
          <w:rFonts w:ascii="Times New Roman" w:hAnsi="Times New Roman"/>
          <w:sz w:val="24"/>
          <w:szCs w:val="24"/>
        </w:rPr>
        <w:instrText>r&gt;&lt;author&gt;Reynolds, Steven J&lt;/author&gt;&lt;author&gt;Lamorde, Mohammed&lt;/author&gt;&lt;author&gt;Merry, Concepta&lt;/author&gt;&lt;author&gt;Kukunda-Byobona, Collins&lt;/author&gt;&lt;author&gt;Ocama, Ponsiano&lt;/author&gt;&lt;author&gt;Semeere, Aggrey S&lt;/author&gt;&lt;author&gt;Ndyanabo, Anthony&lt;/author&gt;&lt;author&gt;Boaz</w:instrText>
      </w:r>
      <w:r>
        <w:rPr>
          <w:rFonts w:ascii="Times New Roman" w:hAnsi="Times New Roman"/>
          <w:sz w:val="24"/>
          <w:szCs w:val="24"/>
        </w:rPr>
        <w:instrText>, Iga&lt;/author&gt;&lt;author&gt;Kiggundu, Valerian&lt;/author&gt;&lt;/authors&gt;&lt;/contributors&gt;&lt;titles&gt;&lt;title&gt;Traditional herbal medicine use associated with liver fibrosis in rural Rakai, Uganda&lt;/title&gt;&lt;secondary-title&gt;PLoS One&lt;/secondary-title&gt;&lt;/titles&gt;&lt;periodical&gt;&lt;full-titl</w:instrText>
      </w:r>
      <w:r>
        <w:rPr>
          <w:rFonts w:ascii="Times New Roman" w:hAnsi="Times New Roman"/>
          <w:sz w:val="24"/>
          <w:szCs w:val="24"/>
        </w:rPr>
        <w:instrText>e&gt;PLoS One&lt;/full-title&gt;&lt;/periodical&gt;&lt;pages&gt;e41737&lt;/pages&gt;&lt;volume&gt;7&lt;/volume&gt;&lt;number&gt;11&lt;/number&gt;&lt;dates&gt;&lt;year&gt;2012&lt;/year&gt;&lt;/dates&gt;&lt;isbn&gt;1932-6203&lt;/isbn&gt;&lt;urls&gt;&lt;/urls&gt;&lt;/record&gt;&lt;/Cite&gt;&lt;/EndNote&gt;</w:instrText>
      </w:r>
      <w:r w:rsidR="00A7773E">
        <w:rPr>
          <w:rFonts w:ascii="Times New Roman" w:hAnsi="Times New Roman"/>
          <w:sz w:val="24"/>
          <w:szCs w:val="24"/>
        </w:rPr>
        <w:fldChar w:fldCharType="separate"/>
      </w:r>
      <w:r>
        <w:rPr>
          <w:rFonts w:ascii="Times New Roman" w:hAnsi="Times New Roman"/>
          <w:sz w:val="24"/>
          <w:szCs w:val="24"/>
        </w:rPr>
        <w:t>[4]</w:t>
      </w:r>
      <w:r w:rsidR="00A7773E">
        <w:rPr>
          <w:rFonts w:ascii="Times New Roman" w:hAnsi="Times New Roman"/>
          <w:sz w:val="24"/>
          <w:szCs w:val="24"/>
        </w:rPr>
        <w:fldChar w:fldCharType="end"/>
      </w:r>
      <w:r>
        <w:rPr>
          <w:rFonts w:ascii="Times New Roman" w:hAnsi="Times New Roman"/>
          <w:sz w:val="24"/>
          <w:szCs w:val="24"/>
        </w:rPr>
        <w:t>. The presence of impurities and other hepatotoxins can also en</w:t>
      </w:r>
      <w:r>
        <w:rPr>
          <w:rFonts w:ascii="Times New Roman" w:hAnsi="Times New Roman"/>
          <w:sz w:val="24"/>
          <w:szCs w:val="24"/>
        </w:rPr>
        <w:t>hance hepatotoxicity of herbal preparations</w:t>
      </w:r>
      <w:r w:rsidR="00A7773E">
        <w:rPr>
          <w:rFonts w:ascii="Times New Roman" w:hAnsi="Times New Roman"/>
          <w:sz w:val="24"/>
          <w:szCs w:val="24"/>
        </w:rPr>
        <w:fldChar w:fldCharType="begin"/>
      </w:r>
      <w:r>
        <w:rPr>
          <w:rFonts w:ascii="Times New Roman" w:hAnsi="Times New Roman"/>
          <w:sz w:val="24"/>
          <w:szCs w:val="24"/>
        </w:rPr>
        <w:instrText xml:space="preserve"> ADDIN EN.CITE &lt;EndNote&gt;&lt;Cite&gt;&lt;Author&gt;Amadi&lt;/Author&gt;&lt;Year&gt;2018&lt;/Year&gt;&lt;RecNum&gt;107&lt;/RecNum&gt;&lt;DisplayText&gt;[3, 5]&lt;/DisplayText&gt;&lt;record&gt;&lt;rec-number&gt;107&lt;/rec-number&gt;&lt;foreign-keys&gt;&lt;key app="EN" db-id="2te9e2296d2s5dea9t95</w:instrText>
      </w:r>
      <w:r>
        <w:rPr>
          <w:rFonts w:ascii="Times New Roman" w:hAnsi="Times New Roman"/>
          <w:sz w:val="24"/>
          <w:szCs w:val="24"/>
        </w:rPr>
        <w:instrText xml:space="preserve">edp025t5fd5tpxw0" timestamp="0"&gt;107&lt;/key&gt;&lt;/foreign-keys&gt;&lt;ref-type name="Journal Article"&gt;17&lt;/ref-type&gt;&lt;contributors&gt;&lt;authors&gt;&lt;author&gt;Amadi, Cecilia&lt;/author&gt;&lt;author&gt;Orisakwe, Orish&lt;/author&gt;&lt;/authors&gt;&lt;/contributors&gt;&lt;titles&gt;&lt;title&gt;Herb-induced liver injuries </w:instrText>
      </w:r>
      <w:r>
        <w:rPr>
          <w:rFonts w:ascii="Times New Roman" w:hAnsi="Times New Roman"/>
          <w:sz w:val="24"/>
          <w:szCs w:val="24"/>
        </w:rPr>
        <w:instrText>in developing nations: An update&lt;/title&gt;&lt;secondary-title&gt;Toxics&lt;/secondary-title&gt;&lt;/titles&gt;&lt;periodical&gt;&lt;full-title&gt;Toxics&lt;/full-title&gt;&lt;/periodical&gt;&lt;pages&gt;24&lt;/pages&gt;&lt;volume&gt;6&lt;/volume&gt;&lt;number&gt;2&lt;/number&gt;&lt;dates&gt;&lt;year&gt;2018&lt;/year&gt;&lt;/dates&gt;&lt;urls&gt;&lt;/urls&gt;&lt;/record&gt;&lt;/C</w:instrText>
      </w:r>
      <w:r>
        <w:rPr>
          <w:rFonts w:ascii="Times New Roman" w:hAnsi="Times New Roman"/>
          <w:sz w:val="24"/>
          <w:szCs w:val="24"/>
        </w:rPr>
        <w:instrText>ite&gt;&lt;Cite&gt;&lt;Author&gt;Amadi&lt;/Author&gt;&lt;Year&gt;2012&lt;/Year&gt;&lt;RecNum&gt;1156&lt;/RecNum&gt;&lt;record&gt;&lt;rec-number&gt;1156&lt;/rec-number&gt;&lt;foreign-keys&gt;&lt;key app="EN" db-id="2te9e2296d2s5dea9t95edp025t5fd5tpxw0" timestamp="1601347563"&gt;1156&lt;/key&gt;&lt;/foreign-keys&gt;&lt;ref-type name="Journal Arti</w:instrText>
      </w:r>
      <w:r>
        <w:rPr>
          <w:rFonts w:ascii="Times New Roman" w:hAnsi="Times New Roman"/>
          <w:sz w:val="24"/>
          <w:szCs w:val="24"/>
        </w:rPr>
        <w:instrText>cle"&gt;17&lt;/ref-type&gt;&lt;contributors&gt;&lt;authors&gt;&lt;author&gt;Amadi, CN&lt;/author&gt;&lt;author&gt;Orisakwe, OE&lt;/author&gt;&lt;author&gt;Roberts, II&lt;/author&gt;&lt;/authors&gt;&lt;/contributors&gt;&lt;titles&gt;&lt;title&gt;Elemental impurities in registered herbal supplements in Nigeria: a look at mercury, antimon</w:instrText>
      </w:r>
      <w:r>
        <w:rPr>
          <w:rFonts w:ascii="Times New Roman" w:hAnsi="Times New Roman"/>
          <w:sz w:val="24"/>
          <w:szCs w:val="24"/>
        </w:rPr>
        <w:instrText>y and tin&lt;/title&gt;&lt;secondary-title&gt;Rasayan J Chem&lt;/secondary-title&gt;&lt;/titles&gt;&lt;periodical&gt;&lt;full-title&gt;Rasayan J Chem&lt;/full-title&gt;&lt;/periodical&gt;&lt;pages&gt;220-8&lt;/pages&gt;&lt;volume&gt;5&lt;/volume&gt;&lt;number&gt;2&lt;/number&gt;&lt;dates&gt;&lt;year&gt;2012&lt;/year&gt;&lt;/dates&gt;&lt;urls&gt;&lt;/urls&gt;&lt;/record&gt;&lt;/Cite&gt;</w:instrText>
      </w:r>
      <w:r>
        <w:rPr>
          <w:rFonts w:ascii="Times New Roman" w:hAnsi="Times New Roman"/>
          <w:sz w:val="24"/>
          <w:szCs w:val="24"/>
        </w:rPr>
        <w:instrText>&lt;/EndNote&gt;</w:instrText>
      </w:r>
      <w:r w:rsidR="00A7773E">
        <w:rPr>
          <w:rFonts w:ascii="Times New Roman" w:hAnsi="Times New Roman"/>
          <w:sz w:val="24"/>
          <w:szCs w:val="24"/>
        </w:rPr>
        <w:fldChar w:fldCharType="separate"/>
      </w:r>
      <w:r>
        <w:rPr>
          <w:rFonts w:ascii="Times New Roman" w:hAnsi="Times New Roman"/>
          <w:sz w:val="24"/>
          <w:szCs w:val="24"/>
        </w:rPr>
        <w:t>[3, 5]</w:t>
      </w:r>
      <w:r w:rsidR="00A7773E">
        <w:rPr>
          <w:rFonts w:ascii="Times New Roman" w:hAnsi="Times New Roman"/>
          <w:sz w:val="24"/>
          <w:szCs w:val="24"/>
        </w:rPr>
        <w:fldChar w:fldCharType="end"/>
      </w:r>
      <w:r>
        <w:rPr>
          <w:rFonts w:ascii="Times New Roman" w:hAnsi="Times New Roman"/>
          <w:sz w:val="24"/>
          <w:szCs w:val="24"/>
        </w:rPr>
        <w:t>.</w:t>
      </w:r>
    </w:p>
    <w:p w:rsidR="00A7773E" w:rsidRDefault="00A7773E" w:rsidP="007F1E55">
      <w:pPr>
        <w:pStyle w:val="p1"/>
        <w:spacing w:line="276" w:lineRule="auto"/>
        <w:jc w:val="both"/>
        <w:rPr>
          <w:rFonts w:ascii="Times New Roman" w:hAnsi="Times New Roman"/>
          <w:sz w:val="24"/>
          <w:szCs w:val="24"/>
        </w:rPr>
      </w:pP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lastRenderedPageBreak/>
        <w:t xml:space="preserve">Certain herbs may influence drug metabolism by cytochrome P450 enzymes and impair the activity of cellular drug transporters and glucuronidation pathways </w:t>
      </w:r>
      <w:r w:rsidR="00A7773E">
        <w:rPr>
          <w:rFonts w:ascii="Times New Roman" w:hAnsi="Times New Roman"/>
          <w:sz w:val="24"/>
          <w:szCs w:val="24"/>
        </w:rPr>
        <w:fldChar w:fldCharType="begin"/>
      </w:r>
      <w:r>
        <w:rPr>
          <w:rFonts w:ascii="Times New Roman" w:hAnsi="Times New Roman"/>
          <w:sz w:val="24"/>
          <w:szCs w:val="24"/>
        </w:rPr>
        <w:instrText xml:space="preserve"> ADDIN EN.CITE &lt;EndNote&gt;&lt;Cite&gt;&lt;Author&gt;Van den Ende&lt;/Author&gt;&lt;Year&gt;2009&lt;/Year&gt;&lt;Rec</w:instrText>
      </w:r>
      <w:r>
        <w:rPr>
          <w:rFonts w:ascii="Times New Roman" w:hAnsi="Times New Roman"/>
          <w:sz w:val="24"/>
          <w:szCs w:val="24"/>
        </w:rPr>
        <w:instrText>Num&gt;1113&lt;/RecNum&gt;&lt;DisplayText&gt;[6]&lt;/DisplayText&gt;&lt;record&gt;&lt;rec-number&gt;1113&lt;/rec-number&gt;&lt;foreign-keys&gt;&lt;key app="EN" db-id="2te9e2296d2s5dea9t95edp025t5fd5tpxw0" timestamp="1599188900"&gt;1113&lt;/key&gt;&lt;/foreign-keys&gt;&lt;ref-type name="Journal Article"&gt;17&lt;/ref-type&gt;&lt;cont</w:instrText>
      </w:r>
      <w:r>
        <w:rPr>
          <w:rFonts w:ascii="Times New Roman" w:hAnsi="Times New Roman"/>
          <w:sz w:val="24"/>
          <w:szCs w:val="24"/>
        </w:rPr>
        <w:instrText>ributors&gt;&lt;authors&gt;&lt;author&gt;Van den Ende, Wim&lt;/author&gt;&lt;author&gt;Valluru, Ravi&lt;/author&gt;&lt;/authors&gt;&lt;/contributors&gt;&lt;titles&gt;&lt;title&gt;Sucrose, sucrosyl oligosaccharides, and oxidative stress: scavenging and salvaging?&lt;/title&gt;&lt;secondary-title&gt;Journal of experimental bo</w:instrText>
      </w:r>
      <w:r>
        <w:rPr>
          <w:rFonts w:ascii="Times New Roman" w:hAnsi="Times New Roman"/>
          <w:sz w:val="24"/>
          <w:szCs w:val="24"/>
        </w:rPr>
        <w:instrText>tany&lt;/secondary-title&gt;&lt;/titles&gt;&lt;periodical&gt;&lt;full-title&gt;Journal of experimental botany&lt;/full-title&gt;&lt;/periodical&gt;&lt;pages&gt;9-18&lt;/pages&gt;&lt;volume&gt;60&lt;/volume&gt;&lt;number&gt;1&lt;/number&gt;&lt;dates&gt;&lt;year&gt;2009&lt;/year&gt;&lt;/dates&gt;&lt;isbn&gt;1460-2431&lt;/isbn&gt;&lt;urls&gt;&lt;/urls&gt;&lt;/record&gt;&lt;/Cite&gt;&lt;/EndN</w:instrText>
      </w:r>
      <w:r>
        <w:rPr>
          <w:rFonts w:ascii="Times New Roman" w:hAnsi="Times New Roman"/>
          <w:sz w:val="24"/>
          <w:szCs w:val="24"/>
        </w:rPr>
        <w:instrText>ote&gt;</w:instrText>
      </w:r>
      <w:r w:rsidR="00A7773E">
        <w:rPr>
          <w:rFonts w:ascii="Times New Roman" w:hAnsi="Times New Roman"/>
          <w:sz w:val="24"/>
          <w:szCs w:val="24"/>
        </w:rPr>
        <w:fldChar w:fldCharType="separate"/>
      </w:r>
      <w:r>
        <w:rPr>
          <w:rFonts w:ascii="Times New Roman" w:hAnsi="Times New Roman"/>
          <w:sz w:val="24"/>
          <w:szCs w:val="24"/>
        </w:rPr>
        <w:t>[6]</w:t>
      </w:r>
      <w:r w:rsidR="00A7773E">
        <w:rPr>
          <w:rFonts w:ascii="Times New Roman" w:hAnsi="Times New Roman"/>
          <w:sz w:val="24"/>
          <w:szCs w:val="24"/>
        </w:rPr>
        <w:fldChar w:fldCharType="end"/>
      </w:r>
      <w:r>
        <w:rPr>
          <w:rFonts w:ascii="Times New Roman" w:hAnsi="Times New Roman"/>
          <w:sz w:val="24"/>
          <w:szCs w:val="24"/>
        </w:rPr>
        <w:t>. It has been shown that certain herbs cause a dose-dependent inhibition of CYP3A4 and reduction of the expression of P-glycoprotein, resulting in drug accumulation and exaggeration of hepatotoxicity of co-administered drugs</w:t>
      </w:r>
      <w:r w:rsidR="00A7773E">
        <w:rPr>
          <w:rFonts w:ascii="Times New Roman" w:hAnsi="Times New Roman"/>
          <w:sz w:val="24"/>
          <w:szCs w:val="24"/>
        </w:rPr>
        <w:fldChar w:fldCharType="begin">
          <w:fldData xml:space="preserve">PEVuZE5vdGU+PENpdGU+PEF1dGhvcj5BdWVyYmFjaDwvQXV0aG9yPjxZZWFyPjIwMTI8L1llYXI+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</w:fldData>
        </w:fldChar>
      </w:r>
      <w:r>
        <w:rPr>
          <w:rFonts w:ascii="Times New Roman" w:hAnsi="Times New Roman"/>
          <w:sz w:val="24"/>
          <w:szCs w:val="24"/>
        </w:rPr>
        <w:instrText xml:space="preserve"> ADDIN EN.CITE </w:instrText>
      </w:r>
      <w:r w:rsidR="00A7773E">
        <w:rPr>
          <w:rFonts w:ascii="Times New Roman" w:hAnsi="Times New Roman"/>
          <w:sz w:val="24"/>
          <w:szCs w:val="24"/>
        </w:rPr>
        <w:fldChar w:fldCharType="begin">
          <w:fldData xml:space="preserve">PEVuZE5vdGU+PENpdGU+PEF1dGhvcj5BdWVyYmFjaDwvQXV0aG9yPjxZZWFyPjIwMTI8L1llYXI+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</w:fldData>
        </w:fldChar>
      </w:r>
      <w:r>
        <w:rPr>
          <w:rFonts w:ascii="Times New Roman" w:hAnsi="Times New Roman"/>
          <w:sz w:val="24"/>
          <w:szCs w:val="24"/>
        </w:rPr>
        <w:instrText xml:space="preserve"> ADDIN </w:instrText>
      </w:r>
      <w:r>
        <w:rPr>
          <w:rFonts w:ascii="Times New Roman" w:hAnsi="Times New Roman"/>
          <w:sz w:val="24"/>
          <w:szCs w:val="24"/>
        </w:rPr>
        <w:instrText xml:space="preserve">EN.CITE.DATA </w:instrText>
      </w:r>
      <w:r w:rsidR="00A7773E">
        <w:rPr>
          <w:rFonts w:ascii="Times New Roman" w:hAnsi="Times New Roman"/>
          <w:sz w:val="24"/>
          <w:szCs w:val="24"/>
        </w:rPr>
      </w:r>
      <w:r w:rsidR="00A7773E">
        <w:rPr>
          <w:rFonts w:ascii="Times New Roman" w:hAnsi="Times New Roman"/>
          <w:sz w:val="24"/>
          <w:szCs w:val="24"/>
        </w:rPr>
        <w:fldChar w:fldCharType="end"/>
      </w:r>
      <w:r w:rsidR="00A7773E">
        <w:rPr>
          <w:rFonts w:ascii="Times New Roman" w:hAnsi="Times New Roman"/>
          <w:sz w:val="24"/>
          <w:szCs w:val="24"/>
        </w:rPr>
      </w:r>
      <w:r w:rsidR="00A7773E">
        <w:rPr>
          <w:rFonts w:ascii="Times New Roman" w:hAnsi="Times New Roman"/>
          <w:sz w:val="24"/>
          <w:szCs w:val="24"/>
        </w:rPr>
        <w:fldChar w:fldCharType="separate"/>
      </w:r>
      <w:r>
        <w:rPr>
          <w:rFonts w:ascii="Times New Roman" w:hAnsi="Times New Roman"/>
          <w:sz w:val="24"/>
          <w:szCs w:val="24"/>
        </w:rPr>
        <w:t>[4, 7, 8]</w:t>
      </w:r>
      <w:r w:rsidR="00A7773E">
        <w:rPr>
          <w:rFonts w:ascii="Times New Roman" w:hAnsi="Times New Roman"/>
          <w:sz w:val="24"/>
          <w:szCs w:val="24"/>
        </w:rPr>
        <w:fldChar w:fldCharType="end"/>
      </w:r>
      <w:r>
        <w:rPr>
          <w:rFonts w:ascii="Times New Roman" w:hAnsi="Times New Roman"/>
          <w:sz w:val="24"/>
          <w:szCs w:val="24"/>
        </w:rPr>
        <w:t>. In some incidences, co-medication with herbs and synthetic drugs is common, predisposing a potential drug-herb interaction at the h</w:t>
      </w:r>
      <w:r>
        <w:rPr>
          <w:rFonts w:ascii="Times New Roman" w:hAnsi="Times New Roman"/>
          <w:sz w:val="24"/>
          <w:szCs w:val="24"/>
        </w:rPr>
        <w:t xml:space="preserve">epatic cytochrome P450 (CYP) system </w:t>
      </w:r>
      <w:r w:rsidR="00A7773E">
        <w:rPr>
          <w:rFonts w:ascii="Times New Roman" w:hAnsi="Times New Roman"/>
          <w:sz w:val="24"/>
          <w:szCs w:val="24"/>
        </w:rPr>
        <w:fldChar w:fldCharType="begin">
          <w:fldData xml:space="preserve">PEVuZE5vdGU+PENpdGU+PEF1dGhvcj5UZXNjaGtlPC9BdXRob3I+PFllYXI+MjAxNDwvWWVhcj48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</w:fldData>
        </w:fldChar>
      </w:r>
      <w:r>
        <w:rPr>
          <w:rFonts w:ascii="Times New Roman" w:hAnsi="Times New Roman"/>
          <w:sz w:val="24"/>
          <w:szCs w:val="24"/>
        </w:rPr>
        <w:instrText xml:space="preserve"> ADDIN EN.CITE </w:instrText>
      </w:r>
      <w:r w:rsidR="00A7773E">
        <w:rPr>
          <w:rFonts w:ascii="Times New Roman" w:hAnsi="Times New Roman"/>
          <w:sz w:val="24"/>
          <w:szCs w:val="24"/>
        </w:rPr>
        <w:fldChar w:fldCharType="begin">
          <w:fldData xml:space="preserve">PEVuZE5vdGU+PENpdGU+PEF1dGhvcj5UZXNjaGtlPC9BdXRob3I+PFllYXI+MjAxNDwvWWVhcj48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</w:fldData>
        </w:fldChar>
      </w:r>
      <w:r>
        <w:rPr>
          <w:rFonts w:ascii="Times New Roman" w:hAnsi="Times New Roman"/>
          <w:sz w:val="24"/>
          <w:szCs w:val="24"/>
        </w:rPr>
        <w:instrText xml:space="preserve"> ADDIN EN.CITE.DATA </w:instrText>
      </w:r>
      <w:r w:rsidR="00A7773E">
        <w:rPr>
          <w:rFonts w:ascii="Times New Roman" w:hAnsi="Times New Roman"/>
          <w:sz w:val="24"/>
          <w:szCs w:val="24"/>
        </w:rPr>
      </w:r>
      <w:r w:rsidR="00A7773E">
        <w:rPr>
          <w:rFonts w:ascii="Times New Roman" w:hAnsi="Times New Roman"/>
          <w:sz w:val="24"/>
          <w:szCs w:val="24"/>
        </w:rPr>
        <w:fldChar w:fldCharType="end"/>
      </w:r>
      <w:r w:rsidR="00A7773E">
        <w:rPr>
          <w:rFonts w:ascii="Times New Roman" w:hAnsi="Times New Roman"/>
          <w:sz w:val="24"/>
          <w:szCs w:val="24"/>
        </w:rPr>
      </w:r>
      <w:r w:rsidR="00A7773E">
        <w:rPr>
          <w:rFonts w:ascii="Times New Roman" w:hAnsi="Times New Roman"/>
          <w:sz w:val="24"/>
          <w:szCs w:val="24"/>
        </w:rPr>
        <w:fldChar w:fldCharType="separate"/>
      </w:r>
      <w:r>
        <w:rPr>
          <w:rFonts w:ascii="Times New Roman" w:hAnsi="Times New Roman"/>
          <w:sz w:val="24"/>
          <w:szCs w:val="24"/>
        </w:rPr>
        <w:t>[9, 10, 8]</w:t>
      </w:r>
      <w:r w:rsidR="00A7773E">
        <w:rPr>
          <w:rFonts w:ascii="Times New Roman" w:hAnsi="Times New Roman"/>
          <w:sz w:val="24"/>
          <w:szCs w:val="24"/>
        </w:rPr>
        <w:fldChar w:fldCharType="end"/>
      </w:r>
      <w:r>
        <w:rPr>
          <w:rFonts w:ascii="Times New Roman" w:hAnsi="Times New Roman"/>
          <w:sz w:val="24"/>
          <w:szCs w:val="24"/>
        </w:rPr>
        <w:t xml:space="preserve">. </w:t>
      </w:r>
    </w:p>
    <w:p w:rsidR="00A7773E" w:rsidRDefault="00221C2D" w:rsidP="007F1E55">
      <w:pPr>
        <w:pStyle w:val="NormalWeb"/>
        <w:spacing w:line="276" w:lineRule="auto"/>
        <w:jc w:val="both"/>
        <w:rPr>
          <w:color w:val="000000" w:themeColor="text1"/>
        </w:rPr>
      </w:pPr>
      <w:r>
        <w:rPr>
          <w:color w:val="000000" w:themeColor="text1"/>
        </w:rPr>
        <w:t xml:space="preserve">Acetaminophen (Paracetamol) is a common antipyretic/ analgesic drug which is easily obtained over-the-counter (OTC). It is metabolized by </w:t>
      </w:r>
      <w:r>
        <w:t xml:space="preserve">CPY3A4 </w:t>
      </w:r>
      <w:r>
        <w:rPr>
          <w:color w:val="000000" w:themeColor="text1"/>
        </w:rPr>
        <w:t>to N-acetyl-p-benzoquinone imine (NAPQI) in the liver</w:t>
      </w:r>
      <w:r w:rsidR="00A7773E">
        <w:rPr>
          <w:color w:val="000000" w:themeColor="text1"/>
        </w:rPr>
        <w:fldChar w:fldCharType="begin"/>
      </w:r>
      <w:r>
        <w:rPr>
          <w:color w:val="000000" w:themeColor="text1"/>
        </w:rPr>
        <w:instrText xml:space="preserve"> ADDIN EN.CITE &lt;EndNote&gt;&lt;Cite&gt;&lt;Author&gt;Karbownik&lt;/A</w:instrText>
      </w:r>
      <w:r>
        <w:rPr>
          <w:color w:val="000000" w:themeColor="text1"/>
        </w:rPr>
        <w:instrText>uthor&gt;&lt;Year&gt;2018&lt;/Year&gt;&lt;RecNum&gt;422&lt;/RecNum&gt;&lt;DisplayText&gt;[11]&lt;/DisplayText&gt;&lt;record&gt;&lt;rec-number&gt;422&lt;/rec-number&gt;&lt;foreign-keys&gt;&lt;key app="EN" db-id="2te9e2296d2s5dea9t95edp025t5fd5tpxw0" timestamp="0"&gt;422&lt;/key&gt;&lt;/foreign-keys&gt;&lt;ref-type name="Journal Article"&gt;17</w:instrText>
      </w:r>
      <w:r>
        <w:rPr>
          <w:color w:val="000000" w:themeColor="text1"/>
        </w:rPr>
        <w:instrText>&lt;/ref-type&gt;&lt;contributors&gt;&lt;authors&gt;&lt;author&gt;Karbownik, Agnieszka&lt;/author&gt;&lt;author&gt;Szałek, Edyta&lt;/author&gt;&lt;author&gt;Sobańska, Katarzyna&lt;/author&gt;&lt;author&gt;Grabowski, Tomasz&lt;/author&gt;&lt;author&gt;Klupczynska, Agnieszka&lt;/author&gt;&lt;author&gt;Plewa, Szymon&lt;/author&gt;&lt;author&gt;Wolc, An</w:instrText>
      </w:r>
      <w:r>
        <w:rPr>
          <w:color w:val="000000" w:themeColor="text1"/>
        </w:rPr>
        <w:instrText>na&lt;/author&gt;&lt;author&gt;Magiera, Magdalena&lt;/author&gt;&lt;author&gt;Porażka, Joanna&lt;/author&gt;&lt;author&gt;Kokot, Zenon J&lt;/author&gt;&lt;/authors&gt;&lt;/contributors&gt;&lt;titles&gt;&lt;title&gt;The concomitant use of lapatinib and paracetamol-the risk of interaction&lt;/title&gt;&lt;secondary-title&gt;Investigat</w:instrText>
      </w:r>
      <w:r>
        <w:rPr>
          <w:color w:val="000000" w:themeColor="text1"/>
        </w:rPr>
        <w:instrText>ional new drugs&lt;/secondary-title&gt;&lt;/titles&gt;&lt;periodical&gt;&lt;full-title&gt;Investigational new drugs&lt;/full-title&gt;&lt;/periodical&gt;&lt;pages&gt;819-827&lt;/pages&gt;&lt;volume&gt;36&lt;/volume&gt;&lt;number&gt;5&lt;/number&gt;&lt;dates&gt;&lt;year&gt;2018&lt;/year&gt;&lt;/dates&gt;&lt;isbn&gt;0167-6997&lt;/isbn&gt;&lt;urls&gt;&lt;/urls&gt;&lt;/record&gt;&lt;/Ci</w:instrText>
      </w:r>
      <w:r>
        <w:rPr>
          <w:color w:val="000000" w:themeColor="text1"/>
        </w:rPr>
        <w:instrText>te&gt;&lt;/EndNote&gt;</w:instrText>
      </w:r>
      <w:r w:rsidR="00A7773E">
        <w:rPr>
          <w:color w:val="000000" w:themeColor="text1"/>
        </w:rPr>
        <w:fldChar w:fldCharType="separate"/>
      </w:r>
      <w:r>
        <w:rPr>
          <w:color w:val="000000" w:themeColor="text1"/>
        </w:rPr>
        <w:t>[11]</w:t>
      </w:r>
      <w:r w:rsidR="00A7773E">
        <w:rPr>
          <w:color w:val="000000" w:themeColor="text1"/>
        </w:rPr>
        <w:fldChar w:fldCharType="end"/>
      </w:r>
      <w:r>
        <w:rPr>
          <w:color w:val="000000" w:themeColor="text1"/>
        </w:rPr>
        <w:t>. NAPQI is produced in little amount at therapeutic doses, but in paracetamol overdosing, production of NAPQI vigorously increased</w:t>
      </w:r>
      <w:r w:rsidR="00A7773E">
        <w:rPr>
          <w:color w:val="000000" w:themeColor="text1"/>
        </w:rPr>
        <w:fldChar w:fldCharType="begin"/>
      </w:r>
      <w:r>
        <w:rPr>
          <w:color w:val="000000" w:themeColor="text1"/>
        </w:rPr>
        <w:instrText xml:space="preserve"> ADDIN EN.CITE &lt;EndNote&gt;&lt;Cite&gt;&lt;Author&gt;Karbownik&lt;/Author&gt;&lt;Year&gt;2018&lt;/Year&gt;&lt;RecNum&gt;422&lt;/RecNum&gt;&lt;DisplayText&gt;</w:instrText>
      </w:r>
      <w:r>
        <w:rPr>
          <w:color w:val="000000" w:themeColor="text1"/>
        </w:rPr>
        <w:instrText>[11, 12]&lt;/DisplayText&gt;&lt;record&gt;&lt;rec-number&gt;422&lt;/rec-number&gt;&lt;foreign-keys&gt;&lt;key app="EN" db-id="2te9e2296d2s5dea9t95edp025t5fd5tpxw0" timestamp="0"&gt;422&lt;/key&gt;&lt;/foreign-keys&gt;&lt;ref-type name="Journal Article"&gt;17&lt;/ref-type&gt;&lt;contributors&gt;&lt;authors&gt;&lt;author&gt;Karbownik,</w:instrText>
      </w:r>
      <w:r>
        <w:rPr>
          <w:color w:val="000000" w:themeColor="text1"/>
        </w:rPr>
        <w:instrText xml:space="preserve"> Agnieszka&lt;/author&gt;&lt;author&gt;Szałek, Edyta&lt;/author&gt;&lt;author&gt;Sobańska, Katarzyna&lt;/author&gt;&lt;author&gt;Grabowski, Tomasz&lt;/author&gt;&lt;author&gt;Klupczynska, Agnieszka&lt;/author&gt;&lt;author&gt;Plewa, Szymon&lt;/author&gt;&lt;author&gt;Wolc, Anna&lt;/author&gt;&lt;author&gt;Magiera, Magdalena&lt;/author&gt;&lt;autho</w:instrText>
      </w:r>
      <w:r>
        <w:rPr>
          <w:color w:val="000000" w:themeColor="text1"/>
        </w:rPr>
        <w:instrText>r&gt;Porażka, Joanna&lt;/author&gt;&lt;author&gt;Kokot, Zenon J&lt;/author&gt;&lt;/authors&gt;&lt;/contributors&gt;&lt;titles&gt;&lt;title&gt;The concomitant use of lapatinib and paracetamol-the risk of interaction&lt;/title&gt;&lt;secondary-title&gt;Investigational new drugs&lt;/secondary-title&gt;&lt;/titles&gt;&lt;periodica</w:instrText>
      </w:r>
      <w:r>
        <w:rPr>
          <w:color w:val="000000" w:themeColor="text1"/>
        </w:rPr>
        <w:instrText>l&gt;&lt;full-title&gt;Investigational new drugs&lt;/full-title&gt;&lt;/periodical&gt;&lt;pages&gt;819-827&lt;/pages&gt;&lt;volume&gt;36&lt;/volume&gt;&lt;number&gt;5&lt;/number&gt;&lt;dates&gt;&lt;year&gt;2018&lt;/year&gt;&lt;/dates&gt;&lt;isbn&gt;0167-6997&lt;/isbn&gt;&lt;urls&gt;&lt;/urls&gt;&lt;/record&gt;&lt;/Cite&gt;&lt;Cite&gt;&lt;Author&gt;Tan&lt;/Author&gt;&lt;Year&gt;2008&lt;/Year&gt;&lt;RecNu</w:instrText>
      </w:r>
      <w:r>
        <w:rPr>
          <w:color w:val="000000" w:themeColor="text1"/>
        </w:rPr>
        <w:instrText>m&gt;1147&lt;/RecNum&gt;&lt;record&gt;&lt;rec-number&gt;1147&lt;/rec-number&gt;&lt;foreign-keys&gt;&lt;key app="EN" db-id="2te9e2296d2s5dea9t95edp025t5fd5tpxw0" timestamp="1600775018"&gt;1147&lt;/key&gt;&lt;/foreign-keys&gt;&lt;ref-type name="Journal Article"&gt;17&lt;/ref-type&gt;&lt;contributors&gt;&lt;authors&gt;&lt;author&gt;Tan, S</w:instrText>
      </w:r>
      <w:r>
        <w:rPr>
          <w:color w:val="000000" w:themeColor="text1"/>
        </w:rPr>
        <w:instrText xml:space="preserve">u Ching&lt;/author&gt;&lt;author&gt;New, Lee Sun&lt;/author&gt;&lt;author&gt;Chan, Eric CY&lt;/author&gt;&lt;/authors&gt;&lt;/contributors&gt;&lt;titles&gt;&lt;title&gt;Prevention of acetaminophen (APAP)-induced hepatotoxicity by leflunomide via inhibition of APAP biotransformation to N-acetyl-p-benzoquinone </w:instrText>
      </w:r>
      <w:r>
        <w:rPr>
          <w:color w:val="000000" w:themeColor="text1"/>
        </w:rPr>
        <w:instrText>imine&lt;/title&gt;&lt;secondary-title&gt;Toxicology letters&lt;/secondary-title&gt;&lt;/titles&gt;&lt;periodical&gt;&lt;full-title&gt;Toxicology letters&lt;/full-title&gt;&lt;/periodical&gt;&lt;pages&gt;174-181&lt;/pages&gt;&lt;volume&gt;180&lt;/volume&gt;&lt;number&gt;3&lt;/number&gt;&lt;dates&gt;&lt;year&gt;2008&lt;/year&gt;&lt;/dates&gt;&lt;isbn&gt;0378-4274&lt;/isbn</w:instrText>
      </w:r>
      <w:r>
        <w:rPr>
          <w:color w:val="000000" w:themeColor="text1"/>
        </w:rPr>
        <w:instrText>&gt;&lt;urls&gt;&lt;/urls&gt;&lt;/record&gt;&lt;/Cite&gt;&lt;/EndNote&gt;</w:instrText>
      </w:r>
      <w:r w:rsidR="00A7773E">
        <w:rPr>
          <w:color w:val="000000" w:themeColor="text1"/>
        </w:rPr>
        <w:fldChar w:fldCharType="separate"/>
      </w:r>
      <w:r>
        <w:rPr>
          <w:color w:val="000000" w:themeColor="text1"/>
        </w:rPr>
        <w:t>[11, 12]</w:t>
      </w:r>
      <w:r w:rsidR="00A7773E">
        <w:rPr>
          <w:color w:val="000000" w:themeColor="text1"/>
        </w:rPr>
        <w:fldChar w:fldCharType="end"/>
      </w:r>
      <w:r>
        <w:rPr>
          <w:color w:val="000000" w:themeColor="text1"/>
        </w:rPr>
        <w:t>. Glutathione depletion is the major cause for severe damages to the liver when it conjugates with NAPQI</w:t>
      </w:r>
      <w:r w:rsidR="00A7773E">
        <w:rPr>
          <w:color w:val="000000" w:themeColor="text1"/>
        </w:rPr>
        <w:fldChar w:fldCharType="begin"/>
      </w:r>
      <w:r>
        <w:rPr>
          <w:color w:val="000000" w:themeColor="text1"/>
        </w:rPr>
        <w:instrText xml:space="preserve"> ADDIN EN.CITE &lt;EndNote&gt;&lt;Cite&gt;&lt;Author&gt;Hinson&lt;/Author&gt;&lt;Year&gt;2010&lt;/Year&gt;&lt;RecNum&gt;1148&lt;/RecNum&gt;&lt;DisplayTe</w:instrText>
      </w:r>
      <w:r>
        <w:rPr>
          <w:color w:val="000000" w:themeColor="text1"/>
        </w:rPr>
        <w:instrText>xt&gt;[13]&lt;/DisplayText&gt;&lt;record&gt;&lt;rec-number&gt;1148&lt;/rec-number&gt;&lt;foreign-keys&gt;&lt;key app="EN" db-id="2te9e2296d2s5dea9t95edp025t5fd5tpxw0" timestamp="1600775124"&gt;1148&lt;/key&gt;&lt;/foreign-keys&gt;&lt;ref-type name="Book Section"&gt;5&lt;/ref-type&gt;&lt;contributors&gt;&lt;authors&gt;&lt;author&gt;Hins</w:instrText>
      </w:r>
      <w:r>
        <w:rPr>
          <w:color w:val="000000" w:themeColor="text1"/>
        </w:rPr>
        <w:instrText>on, Jack A&lt;/author&gt;&lt;author&gt;Roberts, Dean W&lt;/author&gt;&lt;author&gt;James, Laura P&lt;/author&gt;&lt;/authors&gt;&lt;/contributors&gt;&lt;titles&gt;&lt;title&gt;Mechanisms of acetaminophen-induced liver necrosis&lt;/title&gt;&lt;secondary-title&gt;Adverse drug reactions&lt;/secondary-title&gt;&lt;/titles&gt;&lt;pages&gt;369</w:instrText>
      </w:r>
      <w:r>
        <w:rPr>
          <w:color w:val="000000" w:themeColor="text1"/>
        </w:rPr>
        <w:instrText>-405&lt;/pages&gt;&lt;dates&gt;&lt;year&gt;2010&lt;/year&gt;&lt;/dates&gt;&lt;publisher&gt;Springer&lt;/publisher&gt;&lt;urls&gt;&lt;/urls&gt;&lt;/record&gt;&lt;/Cite&gt;&lt;/EndNote&gt;</w:instrText>
      </w:r>
      <w:r w:rsidR="00A7773E">
        <w:rPr>
          <w:color w:val="000000" w:themeColor="text1"/>
        </w:rPr>
        <w:fldChar w:fldCharType="separate"/>
      </w:r>
      <w:r>
        <w:rPr>
          <w:color w:val="000000" w:themeColor="text1"/>
        </w:rPr>
        <w:t>[13]</w:t>
      </w:r>
      <w:r w:rsidR="00A7773E">
        <w:rPr>
          <w:color w:val="000000" w:themeColor="text1"/>
        </w:rPr>
        <w:fldChar w:fldCharType="end"/>
      </w:r>
      <w:r>
        <w:rPr>
          <w:color w:val="000000" w:themeColor="text1"/>
        </w:rPr>
        <w:t xml:space="preserve">. This depletion is the main reason for hepatotoxicity and necrosis </w:t>
      </w:r>
      <w:r w:rsidR="00A7773E">
        <w:rPr>
          <w:color w:val="000000" w:themeColor="text1"/>
        </w:rPr>
        <w:fldChar w:fldCharType="begin"/>
      </w:r>
      <w:r>
        <w:rPr>
          <w:color w:val="000000" w:themeColor="text1"/>
        </w:rPr>
        <w:instrText xml:space="preserve"> ADDIN EN.CITE &lt;EndNote&gt;&lt;Cite&gt;&lt;Author&gt;Hinson&lt;/Author&gt;&lt;Year&gt;2010&lt;/Ye</w:instrText>
      </w:r>
      <w:r>
        <w:rPr>
          <w:color w:val="000000" w:themeColor="text1"/>
        </w:rPr>
        <w:instrText>ar&gt;&lt;RecNum&gt;1148&lt;/RecNum&gt;&lt;DisplayText&gt;[13, 14]&lt;/DisplayText&gt;&lt;record&gt;&lt;rec-number&gt;1148&lt;/rec-number&gt;&lt;foreign-keys&gt;&lt;key app="EN" db-id="2te9e2296d2s5dea9t95edp025t5fd5tpxw0" timestamp="1600775124"&gt;1148&lt;/key&gt;&lt;/foreign-keys&gt;&lt;ref-type name="Book Section"&gt;5&lt;/ref-ty</w:instrText>
      </w:r>
      <w:r>
        <w:rPr>
          <w:color w:val="000000" w:themeColor="text1"/>
        </w:rPr>
        <w:instrText>pe&gt;&lt;contributors&gt;&lt;authors&gt;&lt;author&gt;Hinson, Jack A&lt;/author&gt;&lt;author&gt;Roberts, Dean W&lt;/author&gt;&lt;author&gt;James, Laura P&lt;/author&gt;&lt;/authors&gt;&lt;/contributors&gt;&lt;titles&gt;&lt;title&gt;Mechanisms of acetaminophen-induced liver necrosis&lt;/title&gt;&lt;secondary-title&gt;Adverse drug reaction</w:instrText>
      </w:r>
      <w:r>
        <w:rPr>
          <w:color w:val="000000" w:themeColor="text1"/>
        </w:rPr>
        <w:instrText>s&lt;/secondary-title&gt;&lt;/titles&gt;&lt;pages&gt;369-405&lt;/pages&gt;&lt;dates&gt;&lt;year&gt;2010&lt;/year&gt;&lt;/dates&gt;&lt;publisher&gt;Springer&lt;/publisher&gt;&lt;urls&gt;&lt;/urls&gt;&lt;/record&gt;&lt;/Cite&gt;&lt;Cite&gt;&lt;Author&gt;Mohebbati&lt;/Author&gt;&lt;Year&gt;2018&lt;/Year&gt;&lt;RecNum&gt;1149&lt;/RecNum&gt;&lt;record&gt;&lt;rec-number&gt;1149&lt;/rec-number&gt;&lt;foreig</w:instrText>
      </w:r>
      <w:r>
        <w:rPr>
          <w:color w:val="000000" w:themeColor="text1"/>
        </w:rPr>
        <w:instrText>n-keys&gt;&lt;key app="EN" db-id="2te9e2296d2s5dea9t95edp025t5fd5tpxw0" timestamp="1600775444"&gt;1149&lt;/key&gt;&lt;/foreign-keys&gt;&lt;ref-type name="Journal Article"&gt;17&lt;/ref-type&gt;&lt;contributors&gt;&lt;authors&gt;&lt;author&gt;Mohebbati, Reza&lt;/author&gt;&lt;author&gt;Paseban, Maryam&lt;/author&gt;&lt;author&gt;B</w:instrText>
      </w:r>
      <w:r>
        <w:rPr>
          <w:color w:val="000000" w:themeColor="text1"/>
        </w:rPr>
        <w:instrText>eheshti, Farimah&lt;/author&gt;&lt;author&gt;Soukhtanloo, Mohammad&lt;/author&gt;&lt;author&gt;Shafei, Mohammad Naser&lt;/author&gt;&lt;author&gt;Rakhshandeh, Hasan&lt;/author&gt;&lt;author&gt;Rad, Abolfazl Khajavi&lt;/author&gt;&lt;/authors&gt;&lt;/contributors&gt;&lt;titles&gt;&lt;title&gt;The Preventive Effects of Standardized Ex</w:instrText>
      </w:r>
      <w:r>
        <w:rPr>
          <w:color w:val="000000" w:themeColor="text1"/>
        </w:rPr>
        <w:instrText>tract of Zataria multiflora and Carvacrol on Acetaminophen-Induced Hepatotoxicity in Rat:-Zataria multiflora and Carvacrol and Hepatotoxicity&lt;/title&gt;&lt;secondary-title&gt;Journal of Pharmacopuncture&lt;/secondary-title&gt;&lt;/titles&gt;&lt;periodical&gt;&lt;full-title&gt;Journal of P</w:instrText>
      </w:r>
      <w:r>
        <w:rPr>
          <w:color w:val="000000" w:themeColor="text1"/>
        </w:rPr>
        <w:instrText>harmacopuncture&lt;/full-title&gt;&lt;/periodical&gt;&lt;pages&gt;249&lt;/pages&gt;&lt;volume&gt;21&lt;/volume&gt;&lt;number&gt;4&lt;/number&gt;&lt;dates&gt;&lt;year&gt;2018&lt;/year&gt;&lt;/dates&gt;&lt;urls&gt;&lt;/urls&gt;&lt;/record&gt;&lt;/Cite&gt;&lt;/EndNote&gt;</w:instrText>
      </w:r>
      <w:r w:rsidR="00A7773E">
        <w:rPr>
          <w:color w:val="000000" w:themeColor="text1"/>
        </w:rPr>
        <w:fldChar w:fldCharType="separate"/>
      </w:r>
      <w:r>
        <w:rPr>
          <w:color w:val="000000" w:themeColor="text1"/>
        </w:rPr>
        <w:t>[13, 14]</w:t>
      </w:r>
      <w:r w:rsidR="00A7773E">
        <w:rPr>
          <w:color w:val="000000" w:themeColor="text1"/>
        </w:rPr>
        <w:fldChar w:fldCharType="end"/>
      </w:r>
      <w:r>
        <w:rPr>
          <w:color w:val="000000" w:themeColor="text1"/>
        </w:rPr>
        <w:t xml:space="preserve">. </w:t>
      </w:r>
    </w:p>
    <w:p w:rsidR="00A7773E" w:rsidRDefault="00221C2D" w:rsidP="007F1E55">
      <w:pPr>
        <w:pStyle w:val="NormalWeb"/>
        <w:spacing w:line="276" w:lineRule="auto"/>
        <w:jc w:val="both"/>
        <w:rPr>
          <w:color w:val="000000" w:themeColor="text1"/>
        </w:rPr>
      </w:pPr>
      <w:r>
        <w:rPr>
          <w:color w:val="000000" w:themeColor="text1"/>
        </w:rPr>
        <w:t>Paracetamol effectively relieves pain due to selective inhibition of cycloo</w:t>
      </w:r>
      <w:r>
        <w:rPr>
          <w:color w:val="000000" w:themeColor="text1"/>
        </w:rPr>
        <w:t>xygenase-3 (COX3) in the central nervous system by interrupting with descending serotoninergic pathways and to some extent by blocking the activity of pain mediators (bradykinin, substance P)</w:t>
      </w:r>
      <w:r w:rsidR="00A7773E">
        <w:rPr>
          <w:color w:val="000000" w:themeColor="text1"/>
        </w:rPr>
        <w:fldChar w:fldCharType="begin"/>
      </w:r>
      <w:r>
        <w:rPr>
          <w:color w:val="000000" w:themeColor="text1"/>
        </w:rPr>
        <w:instrText xml:space="preserve"> ADDIN EN.CITE &lt;EndNote&gt;&lt;Cite&gt;&lt;Author&gt;Jóźwiak-Bebenista&lt;/Author&gt;&lt;</w:instrText>
      </w:r>
      <w:r>
        <w:rPr>
          <w:color w:val="000000" w:themeColor="text1"/>
        </w:rPr>
        <w:instrText>Year&gt;2014&lt;/Year&gt;&lt;RecNum&gt;1150&lt;/RecNum&gt;&lt;DisplayText&gt;[15]&lt;/DisplayText&gt;&lt;record&gt;&lt;rec-number&gt;1150&lt;/rec-number&gt;&lt;foreign-keys&gt;&lt;key app="EN" db-id="2te9e2296d2s5dea9t95edp025t5fd5tpxw0" timestamp="1600776341"&gt;1150&lt;/key&gt;&lt;/foreign-keys&gt;&lt;ref-type name="Journal Articl</w:instrText>
      </w:r>
      <w:r>
        <w:rPr>
          <w:color w:val="000000" w:themeColor="text1"/>
        </w:rPr>
        <w:instrText>e"&gt;17&lt;/ref-type&gt;&lt;contributors&gt;&lt;authors&gt;&lt;author&gt;Jóźwiak-Bebenista, Marta&lt;/author&gt;&lt;author&gt;Nowak, Jerzy Z&lt;/author&gt;&lt;/authors&gt;&lt;/contributors&gt;&lt;titles&gt;&lt;title&gt;Paracetamol: mechanism of action, applications and safety concern&lt;/title&gt;&lt;secondary-title&gt;Acta poloniae p</w:instrText>
      </w:r>
      <w:r>
        <w:rPr>
          <w:color w:val="000000" w:themeColor="text1"/>
        </w:rPr>
        <w:instrText>harmaceutica&lt;/secondary-title&gt;&lt;/titles&gt;&lt;periodical&gt;&lt;full-title&gt;Acta poloniae pharmaceutica&lt;/full-title&gt;&lt;/periodical&gt;&lt;pages&gt;11-23&lt;/pages&gt;&lt;volume&gt;71&lt;/volume&gt;&lt;number&gt;1&lt;/number&gt;&lt;dates&gt;&lt;year&gt;2014&lt;/year&gt;&lt;/dates&gt;&lt;isbn&gt;0001-6837&lt;/isbn&gt;&lt;urls&gt;&lt;/urls&gt;&lt;/record&gt;&lt;/Cite&gt;</w:instrText>
      </w:r>
      <w:r>
        <w:rPr>
          <w:color w:val="000000" w:themeColor="text1"/>
        </w:rPr>
        <w:instrText>&lt;/EndNote&gt;</w:instrText>
      </w:r>
      <w:r w:rsidR="00A7773E">
        <w:rPr>
          <w:color w:val="000000" w:themeColor="text1"/>
        </w:rPr>
        <w:fldChar w:fldCharType="separate"/>
      </w:r>
      <w:r>
        <w:rPr>
          <w:color w:val="000000" w:themeColor="text1"/>
        </w:rPr>
        <w:t>[15]</w:t>
      </w:r>
      <w:r w:rsidR="00A7773E">
        <w:rPr>
          <w:color w:val="000000" w:themeColor="text1"/>
        </w:rPr>
        <w:fldChar w:fldCharType="end"/>
      </w:r>
      <w:r>
        <w:rPr>
          <w:color w:val="000000" w:themeColor="text1"/>
        </w:rPr>
        <w:t>. Therapeutic doses are safe and tolerated well, but much intake of the drug may cause hepatotoxicity</w:t>
      </w:r>
      <w:r w:rsidR="00A7773E">
        <w:rPr>
          <w:color w:val="000000" w:themeColor="text1"/>
        </w:rPr>
        <w:fldChar w:fldCharType="begin"/>
      </w:r>
      <w:r>
        <w:rPr>
          <w:color w:val="000000" w:themeColor="text1"/>
        </w:rPr>
        <w:instrText xml:space="preserve"> ADDIN EN.CITE &lt;EndNote&gt;&lt;Cite&gt;&lt;Author&gt;Graham&lt;/Author&gt;&lt;Year&gt;2005&lt;/Year&gt;&lt;RecNum&gt;1151&lt;/RecNum&gt;&lt;DisplayText&gt;[16]&lt;/DisplayText&gt;&lt;record&gt;&lt;rec-num</w:instrText>
      </w:r>
      <w:r>
        <w:rPr>
          <w:color w:val="000000" w:themeColor="text1"/>
        </w:rPr>
        <w:instrText>ber&gt;1151&lt;/rec-number&gt;&lt;foreign-keys&gt;&lt;key app="EN" db-id="2te9e2296d2s5dea9t95edp025t5fd5tpxw0" timestamp="1600776704"&gt;1151&lt;/key&gt;&lt;/foreign-keys&gt;&lt;ref-type name="Journal Article"&gt;17&lt;/ref-type&gt;&lt;contributors&gt;&lt;authors&gt;&lt;author&gt;Graham, Garry G&lt;/author&gt;&lt;author&gt;Scott</w:instrText>
      </w:r>
      <w:r>
        <w:rPr>
          <w:color w:val="000000" w:themeColor="text1"/>
        </w:rPr>
        <w:instrText>, Kieran F&lt;/author&gt;&lt;author&gt;Day, Richard O&lt;/author&gt;&lt;/authors&gt;&lt;/contributors&gt;&lt;titles&gt;&lt;title&gt;Tolerability of paracetamol&lt;/title&gt;&lt;secondary-title&gt;Drug Safety&lt;/secondary-title&gt;&lt;/titles&gt;&lt;periodical&gt;&lt;full-title&gt;Drug Safety&lt;/full-title&gt;&lt;/periodical&gt;&lt;pages&gt;227-240&lt;</w:instrText>
      </w:r>
      <w:r>
        <w:rPr>
          <w:color w:val="000000" w:themeColor="text1"/>
        </w:rPr>
        <w:instrText>/pages&gt;&lt;volume&gt;28&lt;/volume&gt;&lt;number&gt;3&lt;/number&gt;&lt;dates&gt;&lt;year&gt;2005&lt;/year&gt;&lt;/dates&gt;&lt;isbn&gt;0114-5916&lt;/isbn&gt;&lt;urls&gt;&lt;/urls&gt;&lt;/record&gt;&lt;/Cite&gt;&lt;/EndNote&gt;</w:instrText>
      </w:r>
      <w:r w:rsidR="00A7773E">
        <w:rPr>
          <w:color w:val="000000" w:themeColor="text1"/>
        </w:rPr>
        <w:fldChar w:fldCharType="separate"/>
      </w:r>
      <w:r>
        <w:rPr>
          <w:color w:val="000000" w:themeColor="text1"/>
        </w:rPr>
        <w:t>[16]</w:t>
      </w:r>
      <w:r w:rsidR="00A7773E">
        <w:rPr>
          <w:color w:val="000000" w:themeColor="text1"/>
        </w:rPr>
        <w:fldChar w:fldCharType="end"/>
      </w:r>
      <w:r>
        <w:rPr>
          <w:color w:val="000000" w:themeColor="text1"/>
        </w:rPr>
        <w:t>. Paracetamol is essentially metabolized in the liver. It is mostly changed by glucuronidation (40-60%) and sulp</w:t>
      </w:r>
      <w:r>
        <w:rPr>
          <w:color w:val="000000" w:themeColor="text1"/>
        </w:rPr>
        <w:t>hation (20-46%). Pharmacological inactive metabolites are formed, while less than 10% is oxidized to a toxic metabolite, i.e. N-acetyl-p-modulate the P-gp activity</w:t>
      </w:r>
      <w:r w:rsidR="00A7773E">
        <w:rPr>
          <w:color w:val="000000" w:themeColor="text1"/>
        </w:rPr>
        <w:fldChar w:fldCharType="begin"/>
      </w:r>
      <w:r>
        <w:rPr>
          <w:color w:val="000000" w:themeColor="text1"/>
        </w:rPr>
        <w:instrText xml:space="preserve"> ADDIN EN.CITE &lt;EndNote&gt;&lt;Cite&gt;&lt;Author&gt;Karbownik&lt;/Author&gt;&lt;Year&gt;2018&lt;/Year&gt;&lt;RecNum&gt;422&lt;/RecNum&gt;</w:instrText>
      </w:r>
      <w:r>
        <w:rPr>
          <w:color w:val="000000" w:themeColor="text1"/>
        </w:rPr>
        <w:instrText>&lt;DisplayText&gt;[11]&lt;/DisplayText&gt;&lt;record&gt;&lt;rec-number&gt;422&lt;/rec-number&gt;&lt;foreign-keys&gt;&lt;key app="EN" db-id="2te9e2296d2s5dea9t95edp025t5fd5tpxw0" timestamp="0"&gt;422&lt;/key&gt;&lt;/foreign-keys&gt;&lt;ref-type name="Journal Article"&gt;17&lt;/ref-type&gt;&lt;contributors&gt;&lt;authors&gt;&lt;author&gt;K</w:instrText>
      </w:r>
      <w:r>
        <w:rPr>
          <w:color w:val="000000" w:themeColor="text1"/>
        </w:rPr>
        <w:instrText>arbownik, Agnieszka&lt;/author&gt;&lt;author&gt;Szałek, Edyta&lt;/author&gt;&lt;author&gt;Sobańska, Katarzyna&lt;/author&gt;&lt;author&gt;Grabowski, Tomasz&lt;/author&gt;&lt;author&gt;Klupczynska, Agnieszka&lt;/author&gt;&lt;author&gt;Plewa, Szymon&lt;/author&gt;&lt;author&gt;Wolc, Anna&lt;/author&gt;&lt;author&gt;Magiera, Magdalena&lt;/auth</w:instrText>
      </w:r>
      <w:r>
        <w:rPr>
          <w:color w:val="000000" w:themeColor="text1"/>
        </w:rPr>
        <w:instrText>or&gt;&lt;author&gt;Porażka, Joanna&lt;/author&gt;&lt;author&gt;Kokot, Zenon J&lt;/author&gt;&lt;/authors&gt;&lt;/contributors&gt;&lt;titles&gt;&lt;title&gt;The concomitant use of lapatinib and paracetamol-the risk of interaction&lt;/title&gt;&lt;secondary-title&gt;Investigational new drugs&lt;/secondary-title&gt;&lt;/titles&gt;&lt;</w:instrText>
      </w:r>
      <w:r>
        <w:rPr>
          <w:color w:val="000000" w:themeColor="text1"/>
        </w:rPr>
        <w:instrText>periodical&gt;&lt;full-title&gt;Investigational new drugs&lt;/full-title&gt;&lt;/periodical&gt;&lt;pages&gt;819-827&lt;/pages&gt;&lt;volume&gt;36&lt;/volume&gt;&lt;number&gt;5&lt;/number&gt;&lt;dates&gt;&lt;year&gt;2018&lt;/year&gt;&lt;/dates&gt;&lt;isbn&gt;0167-6997&lt;/isbn&gt;&lt;urls&gt;&lt;/urls&gt;&lt;/record&gt;&lt;/Cite&gt;&lt;/EndNote&gt;</w:instrText>
      </w:r>
      <w:r w:rsidR="00A7773E">
        <w:rPr>
          <w:color w:val="000000" w:themeColor="text1"/>
        </w:rPr>
        <w:fldChar w:fldCharType="separate"/>
      </w:r>
      <w:r>
        <w:rPr>
          <w:color w:val="000000" w:themeColor="text1"/>
        </w:rPr>
        <w:t>[11]</w:t>
      </w:r>
      <w:r w:rsidR="00A7773E">
        <w:rPr>
          <w:color w:val="000000" w:themeColor="text1"/>
        </w:rPr>
        <w:fldChar w:fldCharType="end"/>
      </w:r>
      <w:r>
        <w:rPr>
          <w:color w:val="000000" w:themeColor="text1"/>
        </w:rPr>
        <w:t xml:space="preserve">. </w:t>
      </w:r>
    </w:p>
    <w:p w:rsidR="00A7773E" w:rsidRDefault="00221C2D" w:rsidP="007F1E55">
      <w:pPr>
        <w:pStyle w:val="NormalWeb"/>
        <w:spacing w:line="276" w:lineRule="auto"/>
        <w:jc w:val="both"/>
        <w:rPr>
          <w:color w:val="000000" w:themeColor="text1"/>
        </w:rPr>
      </w:pPr>
      <w:r>
        <w:rPr>
          <w:color w:val="000000" w:themeColor="text1"/>
        </w:rPr>
        <w:t>Herb- drug interacti</w:t>
      </w:r>
      <w:r>
        <w:rPr>
          <w:color w:val="000000" w:themeColor="text1"/>
        </w:rPr>
        <w:t>ons involving paracetamol has been identified. For example, in a study by Ewing et al. investigated an interaction between Cannabidiol-rich Cannabis (CBD) extract and paracetamol</w:t>
      </w:r>
      <w:r w:rsidR="00A7773E">
        <w:rPr>
          <w:color w:val="000000" w:themeColor="text1"/>
        </w:rPr>
        <w:fldChar w:fldCharType="begin"/>
      </w:r>
      <w:r>
        <w:rPr>
          <w:color w:val="000000" w:themeColor="text1"/>
        </w:rPr>
        <w:instrText xml:space="preserve"> ADDIN EN.CITE &lt;EndNote&gt;&lt;Cite&gt;&lt;Author&gt;Ewing&lt;/Author&gt;&lt;Year&gt;2019&lt;/Year&gt;&lt;RecNum&gt;5</w:instrText>
      </w:r>
      <w:r>
        <w:rPr>
          <w:color w:val="000000" w:themeColor="text1"/>
        </w:rPr>
        <w:instrText>02&lt;/RecNum&gt;&lt;DisplayText&gt;[17]&lt;/DisplayText&gt;&lt;record&gt;&lt;rec-number&gt;502&lt;/rec-number&gt;&lt;foreign-keys&gt;&lt;key app="EN" db-id="2te9e2296d2s5dea9t95edp025t5fd5tpxw0" timestamp="0"&gt;502&lt;/key&gt;&lt;/foreign-keys&gt;&lt;ref-type name="Journal Article"&gt;17&lt;/ref-type&gt;&lt;contributors&gt;&lt;author</w:instrText>
      </w:r>
      <w:r>
        <w:rPr>
          <w:color w:val="000000" w:themeColor="text1"/>
        </w:rPr>
        <w:instrText>s&gt;&lt;author&gt;Ewing, Laura E&lt;/author&gt;&lt;author&gt;McGill, Mitchell R&lt;/author&gt;&lt;author&gt;Yee, Eric U&lt;/author&gt;&lt;author&gt;Quick, Charles M&lt;/author&gt;&lt;author&gt;Skinner, Charles M&lt;/author&gt;&lt;author&gt;Kennon-McGill, Stefanie&lt;/author&gt;&lt;author&gt;Clemens, Melissa&lt;/author&gt;&lt;author&gt;Vazquez, Jo</w:instrText>
      </w:r>
      <w:r>
        <w:rPr>
          <w:color w:val="000000" w:themeColor="text1"/>
        </w:rPr>
        <w:instrText>el H&lt;/author&gt;&lt;author&gt;McCullough, Sandra S&lt;/author&gt;&lt;author&gt;Williams, D Keith&lt;/author&gt;&lt;/authors&gt;&lt;/contributors&gt;&lt;titles&gt;&lt;title&gt;Paradoxical Patterns of Sinusoidal Obstruction Syndrome-Like Liver Injury in Aged Female CD-1 Mice Triggered by Cannabidiol-Rich Can</w:instrText>
      </w:r>
      <w:r>
        <w:rPr>
          <w:color w:val="000000" w:themeColor="text1"/>
        </w:rPr>
        <w:instrText>nabis Extract and Acetaminophen Co-Administration&lt;/title&gt;&lt;secondary-title&gt;Molecules&lt;/secondary-title&gt;&lt;/titles&gt;&lt;periodical&gt;&lt;full-title&gt;Molecules&lt;/full-title&gt;&lt;/periodical&gt;&lt;pages&gt;2256&lt;/pages&gt;&lt;volume&gt;24&lt;/volume&gt;&lt;number&gt;12&lt;/number&gt;&lt;dates&gt;&lt;year&gt;2019&lt;/year&gt;&lt;/date</w:instrText>
      </w:r>
      <w:r>
        <w:rPr>
          <w:color w:val="000000" w:themeColor="text1"/>
        </w:rPr>
        <w:instrText>s&gt;&lt;urls&gt;&lt;/urls&gt;&lt;/record&gt;&lt;/Cite&gt;&lt;/EndNote&gt;</w:instrText>
      </w:r>
      <w:r w:rsidR="00A7773E">
        <w:rPr>
          <w:color w:val="000000" w:themeColor="text1"/>
        </w:rPr>
        <w:fldChar w:fldCharType="separate"/>
      </w:r>
      <w:r>
        <w:rPr>
          <w:color w:val="000000" w:themeColor="text1"/>
        </w:rPr>
        <w:t>[17]</w:t>
      </w:r>
      <w:r w:rsidR="00A7773E">
        <w:rPr>
          <w:color w:val="000000" w:themeColor="text1"/>
        </w:rPr>
        <w:fldChar w:fldCharType="end"/>
      </w:r>
      <w:r>
        <w:rPr>
          <w:color w:val="000000" w:themeColor="text1"/>
        </w:rPr>
        <w:t xml:space="preserve">. Data obtained demonstrated  a potential for CBD extract/drug interactions resulting to hepatotoxicity </w:t>
      </w:r>
      <w:r w:rsidR="00A7773E">
        <w:rPr>
          <w:color w:val="000000" w:themeColor="text1"/>
        </w:rPr>
        <w:fldChar w:fldCharType="begin"/>
      </w:r>
      <w:r>
        <w:rPr>
          <w:color w:val="000000" w:themeColor="text1"/>
        </w:rPr>
        <w:instrText xml:space="preserve"> ADDIN EN.CITE &lt;EndNote&gt;&lt;Cite&gt;&lt;Author&gt;Ewing&lt;/Author&gt;&lt;Year&gt;2019&lt;/Year&gt;&lt;RecNum&gt;502&lt;/RecNum&gt;&lt;DisplayText&gt;[1</w:instrText>
      </w:r>
      <w:r>
        <w:rPr>
          <w:color w:val="000000" w:themeColor="text1"/>
        </w:rPr>
        <w:instrText>7]&lt;/DisplayText&gt;&lt;record&gt;&lt;rec-number&gt;502&lt;/rec-number&gt;&lt;foreign-keys&gt;&lt;key app="EN" db-id="2te9e2296d2s5dea9t95edp025t5fd5tpxw0" timestamp="0"&gt;502&lt;/key&gt;&lt;/foreign-keys&gt;&lt;ref-type name="Journal Article"&gt;17&lt;/ref-type&gt;&lt;contributors&gt;&lt;authors&gt;&lt;author&gt;Ewing, Laura E&lt;/</w:instrText>
      </w:r>
      <w:r>
        <w:rPr>
          <w:color w:val="000000" w:themeColor="text1"/>
        </w:rPr>
        <w:instrText>author&gt;&lt;author&gt;McGill, Mitchell R&lt;/author&gt;&lt;author&gt;Yee, Eric U&lt;/author&gt;&lt;author&gt;Quick, Charles M&lt;/author&gt;&lt;author&gt;Skinner, Charles M&lt;/author&gt;&lt;author&gt;Kennon-McGill, Stefanie&lt;/author&gt;&lt;author&gt;Clemens, Melissa&lt;/author&gt;&lt;author&gt;Vazquez, Joel H&lt;/author&gt;&lt;author&gt;McCul</w:instrText>
      </w:r>
      <w:r>
        <w:rPr>
          <w:color w:val="000000" w:themeColor="text1"/>
        </w:rPr>
        <w:instrText>lough, Sandra S&lt;/author&gt;&lt;author&gt;Williams, D Keith&lt;/author&gt;&lt;/authors&gt;&lt;/contributors&gt;&lt;titles&gt;&lt;title&gt;Paradoxical Patterns of Sinusoidal Obstruction Syndrome-Like Liver Injury in Aged Female CD-1 Mice Triggered by Cannabidiol-Rich Cannabis Extract and Acetamin</w:instrText>
      </w:r>
      <w:r>
        <w:rPr>
          <w:color w:val="000000" w:themeColor="text1"/>
        </w:rPr>
        <w:instrText>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w:instrText>
      </w:r>
      <w:r>
        <w:rPr>
          <w:color w:val="000000" w:themeColor="text1"/>
        </w:rPr>
        <w:instrText>Cite&gt;&lt;/EndNote&gt;</w:instrText>
      </w:r>
      <w:r w:rsidR="00A7773E">
        <w:rPr>
          <w:color w:val="000000" w:themeColor="text1"/>
        </w:rPr>
        <w:fldChar w:fldCharType="separate"/>
      </w:r>
      <w:r>
        <w:rPr>
          <w:color w:val="000000" w:themeColor="text1"/>
        </w:rPr>
        <w:t>[17]</w:t>
      </w:r>
      <w:r w:rsidR="00A7773E">
        <w:rPr>
          <w:color w:val="000000" w:themeColor="text1"/>
        </w:rPr>
        <w:fldChar w:fldCharType="end"/>
      </w:r>
      <w:r>
        <w:rPr>
          <w:color w:val="000000" w:themeColor="text1"/>
        </w:rPr>
        <w:t xml:space="preserve">. </w:t>
      </w: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Denik cleanser</w:t>
      </w:r>
      <w:r>
        <w:rPr>
          <w:rFonts w:ascii="Times New Roman" w:hAnsi="Times New Roman" w:cs="Times New Roman"/>
          <w:color w:val="000000" w:themeColor="text1"/>
          <w:vertAlign w:val="superscript"/>
        </w:rPr>
        <w:sym w:font="Symbol" w:char="F0D2"/>
      </w:r>
      <w:r>
        <w:rPr>
          <w:rFonts w:ascii="Times New Roman" w:hAnsi="Times New Roman" w:cs="Times New Roman"/>
          <w:color w:val="000000" w:themeColor="text1"/>
        </w:rPr>
        <w:t xml:space="preserve">is a herbal oral preparation made from a blend of various parts and fruits of medicinal plants such as; </w:t>
      </w:r>
      <w:r>
        <w:rPr>
          <w:rFonts w:ascii="Times New Roman" w:hAnsi="Times New Roman" w:cs="Times New Roman"/>
          <w:i/>
          <w:color w:val="000000" w:themeColor="text1"/>
        </w:rPr>
        <w:t xml:space="preserve">Occimum grattissimum, Colocynthis citrullus, Khaya ivorensis. </w:t>
      </w:r>
      <w:r>
        <w:rPr>
          <w:rFonts w:ascii="Times New Roman" w:hAnsi="Times New Roman" w:cs="Times New Roman"/>
          <w:color w:val="000000" w:themeColor="text1"/>
        </w:rPr>
        <w:t xml:space="preserve">This product is claimed by the producers to </w:t>
      </w:r>
      <w:r>
        <w:rPr>
          <w:rFonts w:ascii="Times New Roman" w:hAnsi="Times New Roman" w:cs="Times New Roman"/>
          <w:color w:val="000000" w:themeColor="text1"/>
        </w:rPr>
        <w:t>possess important therapeutic effects such as antioxidant, fertility, weight loss, and immune boosting effects. It is claimed to be effective against indigestion and also in the reduction of cancer risk, blood purification, enhancing eye and skin health. G</w:t>
      </w:r>
      <w:r>
        <w:rPr>
          <w:rFonts w:ascii="Times New Roman" w:hAnsi="Times New Roman" w:cs="Times New Roman"/>
          <w:color w:val="000000" w:themeColor="text1"/>
        </w:rPr>
        <w:t>iven the wide spectrum of pharmacological use of 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 by the Nigerian populace, a possible co-administration of this herbal drug with paracetamol is inevitable. </w:t>
      </w:r>
      <w:r>
        <w:rPr>
          <w:rFonts w:ascii="Times New Roman" w:hAnsi="Times New Roman" w:cs="Times New Roman"/>
          <w:color w:val="000000" w:themeColor="text1"/>
          <w:lang w:val="en-GB" w:eastAsia="en-GB"/>
        </w:rPr>
        <w:t>The aim of this study was to investigate the effect of co-administration of paraceta</w:t>
      </w:r>
      <w:r>
        <w:rPr>
          <w:rFonts w:ascii="Times New Roman" w:hAnsi="Times New Roman" w:cs="Times New Roman"/>
          <w:color w:val="000000" w:themeColor="text1"/>
          <w:lang w:val="en-GB" w:eastAsia="en-GB"/>
        </w:rPr>
        <w:t>mol and Denik cleanser</w:t>
      </w:r>
      <w:r>
        <w:rPr>
          <w:rFonts w:ascii="Times New Roman" w:hAnsi="Times New Roman" w:cs="Times New Roman"/>
          <w:color w:val="000000" w:themeColor="text1"/>
          <w:vertAlign w:val="superscript"/>
          <w:lang w:val="en-GB" w:eastAsia="en-GB"/>
        </w:rPr>
        <w:sym w:font="Symbol" w:char="F0E2"/>
      </w:r>
      <w:r>
        <w:rPr>
          <w:rFonts w:ascii="Times New Roman" w:hAnsi="Times New Roman" w:cs="Times New Roman"/>
          <w:color w:val="000000" w:themeColor="text1"/>
          <w:lang w:val="en-GB" w:eastAsia="en-GB"/>
        </w:rPr>
        <w:t xml:space="preserve">  on the histology and biochemical parameters of the liver.</w:t>
      </w:r>
    </w:p>
    <w:p w:rsidR="00A7773E" w:rsidRDefault="00A7773E" w:rsidP="007F1E55">
      <w:pPr>
        <w:spacing w:line="276" w:lineRule="auto"/>
        <w:jc w:val="both"/>
        <w:rPr>
          <w:rFonts w:ascii="Times New Roman" w:hAnsi="Times New Roman" w:cs="Times New Roman"/>
          <w:color w:val="FF0000"/>
        </w:rPr>
      </w:pPr>
    </w:p>
    <w:p w:rsidR="00A7773E" w:rsidRDefault="00A7773E" w:rsidP="007F1E55">
      <w:pPr>
        <w:spacing w:line="276" w:lineRule="auto"/>
        <w:jc w:val="both"/>
        <w:rPr>
          <w:rFonts w:ascii="Times New Roman" w:hAnsi="Times New Roman" w:cs="Times New Roman"/>
          <w:color w:val="FF0000"/>
        </w:rPr>
      </w:pPr>
    </w:p>
    <w:p w:rsidR="00A7773E" w:rsidRDefault="00221C2D" w:rsidP="007F1E55">
      <w:pPr>
        <w:pStyle w:val="ListParagraph"/>
        <w:tabs>
          <w:tab w:val="left" w:pos="4395"/>
        </w:tabs>
        <w:spacing w:line="276" w:lineRule="auto"/>
        <w:ind w:left="0"/>
        <w:jc w:val="both"/>
        <w:rPr>
          <w:b/>
          <w:bCs/>
          <w:color w:val="000000" w:themeColor="text1"/>
        </w:rPr>
      </w:pPr>
      <w:r>
        <w:rPr>
          <w:b/>
          <w:bCs/>
          <w:color w:val="000000" w:themeColor="text1"/>
        </w:rPr>
        <w:t>MATERIALS AND METHODS</w:t>
      </w:r>
    </w:p>
    <w:p w:rsidR="00A7773E" w:rsidRDefault="00221C2D" w:rsidP="007F1E55">
      <w:pPr>
        <w:pStyle w:val="ListParagraph"/>
        <w:spacing w:line="276" w:lineRule="auto"/>
        <w:ind w:left="0"/>
        <w:jc w:val="both"/>
        <w:rPr>
          <w:b/>
          <w:bCs/>
          <w:color w:val="000000" w:themeColor="text1"/>
        </w:rPr>
      </w:pPr>
      <w:r>
        <w:rPr>
          <w:b/>
          <w:bCs/>
          <w:color w:val="000000" w:themeColor="text1"/>
        </w:rPr>
        <w:t>Materials</w:t>
      </w:r>
    </w:p>
    <w:p w:rsidR="00A7773E" w:rsidRDefault="00221C2D" w:rsidP="007F1E55">
      <w:pPr>
        <w:pStyle w:val="ListParagraph"/>
        <w:spacing w:line="276" w:lineRule="auto"/>
        <w:ind w:left="0"/>
        <w:jc w:val="both"/>
        <w:rPr>
          <w:b/>
          <w:bCs/>
          <w:color w:val="000000" w:themeColor="text1"/>
        </w:rPr>
      </w:pPr>
      <w:r>
        <w:rPr>
          <w:b/>
          <w:bCs/>
          <w:color w:val="000000" w:themeColor="text1"/>
        </w:rPr>
        <w:t>Chemicals/Reagents/plant materials</w:t>
      </w:r>
    </w:p>
    <w:p w:rsidR="00A7773E" w:rsidRDefault="00221C2D" w:rsidP="007F1E55">
      <w:pPr>
        <w:pStyle w:val="ListParagraph"/>
        <w:spacing w:line="276" w:lineRule="auto"/>
        <w:ind w:left="0"/>
        <w:jc w:val="both"/>
        <w:rPr>
          <w:color w:val="000000" w:themeColor="text1"/>
        </w:rPr>
      </w:pPr>
      <w:r>
        <w:rPr>
          <w:color w:val="000000" w:themeColor="text1"/>
        </w:rPr>
        <w:t>Distilled water, methylated spirit (JHD, China), Xylene, Diethyl ether, 10%formalin, Denik cleanser</w:t>
      </w:r>
      <w:r>
        <w:rPr>
          <w:color w:val="000000" w:themeColor="text1"/>
        </w:rPr>
        <w:sym w:font="Symbol" w:char="F0E2"/>
      </w:r>
      <w:r>
        <w:rPr>
          <w:color w:val="000000" w:themeColor="text1"/>
        </w:rPr>
        <w:t xml:space="preserve"> (Ka</w:t>
      </w:r>
      <w:r>
        <w:rPr>
          <w:color w:val="000000" w:themeColor="text1"/>
        </w:rPr>
        <w:t>yfahd herbaceuticals), Paracetamol 500mg tablets BP (Panadol</w:t>
      </w:r>
      <w:r>
        <w:rPr>
          <w:color w:val="000000" w:themeColor="text1"/>
          <w:vertAlign w:val="superscript"/>
        </w:rPr>
        <w:sym w:font="Symbol" w:char="F0E2"/>
      </w:r>
      <w:r>
        <w:rPr>
          <w:color w:val="000000" w:themeColor="text1"/>
        </w:rPr>
        <w:t xml:space="preserve"> from GlaxoSmithKline). All other solvents and chemicals were of analytical grade.</w:t>
      </w:r>
    </w:p>
    <w:p w:rsidR="00A7773E" w:rsidRDefault="00A7773E" w:rsidP="007F1E55">
      <w:pPr>
        <w:pStyle w:val="ListParagraph"/>
        <w:spacing w:line="276" w:lineRule="auto"/>
        <w:ind w:left="0"/>
        <w:jc w:val="both"/>
        <w:rPr>
          <w:color w:val="000000" w:themeColor="text1"/>
        </w:rPr>
      </w:pPr>
    </w:p>
    <w:p w:rsidR="00A7773E" w:rsidRDefault="00221C2D" w:rsidP="007F1E55">
      <w:pPr>
        <w:pStyle w:val="ListParagraph"/>
        <w:spacing w:line="276" w:lineRule="auto"/>
        <w:ind w:left="0"/>
        <w:jc w:val="both"/>
        <w:rPr>
          <w:b/>
          <w:bCs/>
          <w:color w:val="000000" w:themeColor="text1"/>
        </w:rPr>
      </w:pPr>
      <w:r>
        <w:rPr>
          <w:b/>
          <w:bCs/>
          <w:color w:val="000000" w:themeColor="text1"/>
        </w:rPr>
        <w:t>Apparatus/Equipment</w:t>
      </w:r>
    </w:p>
    <w:p w:rsidR="00A7773E" w:rsidRDefault="00221C2D" w:rsidP="007F1E55">
      <w:pPr>
        <w:pStyle w:val="ListParagraph"/>
        <w:spacing w:line="276" w:lineRule="auto"/>
        <w:ind w:left="0"/>
        <w:jc w:val="both"/>
        <w:rPr>
          <w:color w:val="000000" w:themeColor="text1"/>
        </w:rPr>
      </w:pPr>
      <w:r>
        <w:rPr>
          <w:color w:val="000000" w:themeColor="text1"/>
        </w:rPr>
        <w:lastRenderedPageBreak/>
        <w:t>Weighing balance (Ohaus, Advanturer), centrifuge (Techmel &amp;Tecgmel USA), measuring cylinder</w:t>
      </w:r>
      <w:r>
        <w:rPr>
          <w:color w:val="000000" w:themeColor="text1"/>
        </w:rPr>
        <w:t>, syringes, latex gloves, cotton wool, tissue paper, heparinized tubes, 5mL sample bottles, surgical blade, refrigerator, cannula.</w:t>
      </w:r>
    </w:p>
    <w:p w:rsidR="00A7773E" w:rsidRDefault="00221C2D" w:rsidP="007F1E55">
      <w:pPr>
        <w:pStyle w:val="NormalWeb"/>
        <w:spacing w:line="276" w:lineRule="auto"/>
        <w:jc w:val="both"/>
        <w:rPr>
          <w:color w:val="000000" w:themeColor="text1"/>
        </w:rPr>
      </w:pPr>
      <w:r>
        <w:rPr>
          <w:b/>
          <w:bCs/>
          <w:color w:val="000000" w:themeColor="text1"/>
        </w:rPr>
        <w:t xml:space="preserve">Source of herbal formulation </w:t>
      </w:r>
    </w:p>
    <w:p w:rsidR="00A7773E" w:rsidRDefault="00221C2D" w:rsidP="007F1E55">
      <w:pPr>
        <w:pStyle w:val="NormalWeb"/>
        <w:spacing w:line="276" w:lineRule="auto"/>
        <w:jc w:val="both"/>
        <w:rPr>
          <w:color w:val="000000" w:themeColor="text1"/>
        </w:rPr>
      </w:pPr>
      <w:r>
        <w:rPr>
          <w:color w:val="000000" w:themeColor="text1"/>
        </w:rPr>
        <w:t>The herbal formulation under study was obtained in August 2020, from a medicine store in Port H</w:t>
      </w:r>
      <w:r>
        <w:rPr>
          <w:color w:val="000000" w:themeColor="text1"/>
        </w:rPr>
        <w:t>arcourt, Rivers State. The herbal formulation was manufactured by Kayfahd herbaceuticals. Exclusively for: Purity biz.com FCT Abuja, Nigeria.</w:t>
      </w:r>
    </w:p>
    <w:p w:rsidR="00A7773E" w:rsidRDefault="00A7773E" w:rsidP="007F1E55">
      <w:pPr>
        <w:pStyle w:val="ListParagraph"/>
        <w:spacing w:line="276" w:lineRule="auto"/>
        <w:jc w:val="both"/>
        <w:rPr>
          <w:color w:val="000000" w:themeColor="text1"/>
        </w:rPr>
      </w:pPr>
    </w:p>
    <w:p w:rsidR="00A7773E" w:rsidRDefault="00221C2D" w:rsidP="007F1E55">
      <w:pPr>
        <w:tabs>
          <w:tab w:val="left" w:pos="1516"/>
        </w:tabs>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Animals</w:t>
      </w:r>
    </w:p>
    <w:p w:rsidR="00A7773E" w:rsidRDefault="00221C2D" w:rsidP="007F1E55">
      <w:pPr>
        <w:pStyle w:val="NormalWeb"/>
        <w:spacing w:line="276" w:lineRule="auto"/>
        <w:jc w:val="both"/>
        <w:rPr>
          <w:color w:val="000000" w:themeColor="text1"/>
        </w:rPr>
      </w:pPr>
      <w:r>
        <w:rPr>
          <w:rStyle w:val="NoneA"/>
          <w:color w:val="000000" w:themeColor="text1"/>
        </w:rPr>
        <w:t xml:space="preserve">This study was done using an experimental design previously described by </w:t>
      </w:r>
      <w:r w:rsidR="00A7773E">
        <w:rPr>
          <w:rStyle w:val="NoneA"/>
          <w:color w:val="000000" w:themeColor="text1"/>
        </w:rPr>
        <w:fldChar w:fldCharType="begin"/>
      </w:r>
      <w:r>
        <w:rPr>
          <w:rStyle w:val="NoneA"/>
          <w:color w:val="000000" w:themeColor="text1"/>
        </w:rPr>
        <w:instrText xml:space="preserve"> ADDIN EN.CITE &lt;EndNote&gt;&lt;Cite&gt;&lt;</w:instrText>
      </w:r>
      <w:r>
        <w:rPr>
          <w:rStyle w:val="NoneA"/>
          <w:color w:val="000000" w:themeColor="text1"/>
        </w:rPr>
        <w:instrText>Author&gt;Ewing&lt;/Author&gt;&lt;Year&gt;2019&lt;/Year&gt;&lt;RecNum&gt;502&lt;/RecNum&gt;&lt;DisplayText&gt;[17]&lt;/DisplayText&gt;&lt;record&gt;&lt;rec-number&gt;502&lt;/rec-number&gt;&lt;foreign-keys&gt;&lt;key app="EN" db-id="2te9e2296d2s5dea9t95edp025t5fd5tpxw0" timestamp="0"&gt;502&lt;/key&gt;&lt;/foreign-keys&gt;&lt;ref-type name="Jour</w:instrText>
      </w:r>
      <w:r>
        <w:rPr>
          <w:rStyle w:val="NoneA"/>
          <w:color w:val="000000" w:themeColor="text1"/>
        </w:rPr>
        <w:instrText>nal Article"&gt;17&lt;/ref-type&gt;&lt;contributors&gt;&lt;authors&gt;&lt;author&gt;Ewing, Laura E&lt;/author&gt;&lt;author&gt;McGill, Mitchell R&lt;/author&gt;&lt;author&gt;Yee, Eric U&lt;/author&gt;&lt;author&gt;Quick, Charles M&lt;/author&gt;&lt;author&gt;Skinner, Charles M&lt;/author&gt;&lt;author&gt;Kennon-McGill, Stefanie&lt;/author&gt;&lt;auth</w:instrText>
      </w:r>
      <w:r>
        <w:rPr>
          <w:rStyle w:val="NoneA"/>
          <w:color w:val="000000" w:themeColor="text1"/>
        </w:rPr>
        <w:instrText>or&gt;Clemens, Melissa&lt;/author&gt;&lt;author&gt;Vazquez, Joel H&lt;/author&gt;&lt;author&gt;McCullough, Sandra S&lt;/author&gt;&lt;author&gt;Williams, D Keith&lt;/author&gt;&lt;/authors&gt;&lt;/contributors&gt;&lt;titles&gt;&lt;title&gt;Paradoxical Patterns of Sinusoidal Obstruction Syndrome-Like Liver Injury in Aged Fem</w:instrText>
      </w:r>
      <w:r>
        <w:rPr>
          <w:rStyle w:val="NoneA"/>
          <w:color w:val="000000" w:themeColor="text1"/>
        </w:rPr>
        <w:instrText>ale CD-1 Mice Triggered by Cannabidiol-Rich Cannabis Extract and Acetaminophen Co-Administration&lt;/title&gt;&lt;secondary-title&gt;Molecules&lt;/secondary-title&gt;&lt;/titles&gt;&lt;periodical&gt;&lt;full-title&gt;Molecules&lt;/full-title&gt;&lt;/periodical&gt;&lt;pages&gt;2256&lt;/pages&gt;&lt;volume&gt;24&lt;/volume&gt;&lt;n</w:instrText>
      </w:r>
      <w:r>
        <w:rPr>
          <w:rStyle w:val="NoneA"/>
          <w:color w:val="000000" w:themeColor="text1"/>
        </w:rPr>
        <w:instrText>umber&gt;12&lt;/number&gt;&lt;dates&gt;&lt;year&gt;2019&lt;/year&gt;&lt;/dates&gt;&lt;urls&gt;&lt;/urls&gt;&lt;/record&gt;&lt;/Cite&gt;&lt;/EndNote&gt;</w:instrText>
      </w:r>
      <w:r w:rsidR="00A7773E">
        <w:rPr>
          <w:rStyle w:val="NoneA"/>
          <w:color w:val="000000" w:themeColor="text1"/>
        </w:rPr>
        <w:fldChar w:fldCharType="separate"/>
      </w:r>
      <w:r>
        <w:rPr>
          <w:rStyle w:val="NoneA"/>
          <w:color w:val="000000" w:themeColor="text1"/>
        </w:rPr>
        <w:t>[17]</w:t>
      </w:r>
      <w:r w:rsidR="00A7773E">
        <w:rPr>
          <w:rStyle w:val="NoneA"/>
          <w:color w:val="000000" w:themeColor="text1"/>
        </w:rPr>
        <w:fldChar w:fldCharType="end"/>
      </w:r>
      <w:r>
        <w:rPr>
          <w:rStyle w:val="NoneA"/>
          <w:color w:val="000000" w:themeColor="text1"/>
        </w:rPr>
        <w:t xml:space="preserve"> with little modifications.</w:t>
      </w:r>
      <w:r>
        <w:rPr>
          <w:color w:val="000000" w:themeColor="text1"/>
        </w:rPr>
        <w:t xml:space="preserve"> Twenty (20) healthy adult male rats (140 </w:t>
      </w:r>
      <w:r>
        <w:rPr>
          <w:b/>
          <w:bCs/>
          <w:color w:val="000000" w:themeColor="text1"/>
        </w:rPr>
        <w:t xml:space="preserve">± </w:t>
      </w:r>
      <w:r>
        <w:rPr>
          <w:color w:val="000000" w:themeColor="text1"/>
        </w:rPr>
        <w:t>0.25 g)were used for the experiment. They were acclimatized in the animal house of the Dep</w:t>
      </w:r>
      <w:r>
        <w:rPr>
          <w:color w:val="000000" w:themeColor="text1"/>
        </w:rPr>
        <w:t xml:space="preserve">artment of Experimental Pharmacology and Toxicology, Faculty of Pharmaceutical Sciences, University of Port Harcourt, Nigeria for two weeks and fed </w:t>
      </w:r>
      <w:r>
        <w:rPr>
          <w:i/>
          <w:iCs/>
          <w:color w:val="000000" w:themeColor="text1"/>
        </w:rPr>
        <w:t xml:space="preserve">ad libitum </w:t>
      </w:r>
      <w:r>
        <w:rPr>
          <w:color w:val="000000" w:themeColor="text1"/>
        </w:rPr>
        <w:t xml:space="preserve">with standard feed (Broiler finisher- Guinea feeds) with free access to water before experiment. </w:t>
      </w:r>
      <w:r>
        <w:rPr>
          <w:color w:val="000000" w:themeColor="text1"/>
        </w:rPr>
        <w:t xml:space="preserve">They were maintained under standard conditions of humidity and temperature. Animal ethics and proper handling methods were strictly adhered to. </w:t>
      </w:r>
    </w:p>
    <w:p w:rsidR="00A7773E" w:rsidRDefault="00A7773E" w:rsidP="007F1E55">
      <w:pPr>
        <w:pStyle w:val="ListParagraph"/>
        <w:spacing w:line="276" w:lineRule="auto"/>
        <w:jc w:val="both"/>
        <w:rPr>
          <w:color w:val="7030A0"/>
        </w:rPr>
      </w:pPr>
    </w:p>
    <w:p w:rsidR="00A7773E" w:rsidRDefault="00221C2D" w:rsidP="007F1E55">
      <w:pPr>
        <w:tabs>
          <w:tab w:val="left" w:pos="1516"/>
        </w:tabs>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Method</w:t>
      </w:r>
    </w:p>
    <w:p w:rsidR="00A7773E" w:rsidRDefault="00221C2D" w:rsidP="007F1E55">
      <w:pPr>
        <w:tabs>
          <w:tab w:val="left" w:pos="1516"/>
        </w:tabs>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Animal experiment</w:t>
      </w:r>
    </w:p>
    <w:p w:rsidR="00A7773E" w:rsidRDefault="00221C2D" w:rsidP="007F1E55">
      <w:pPr>
        <w:pStyle w:val="NormalWeb"/>
        <w:spacing w:line="276" w:lineRule="auto"/>
        <w:jc w:val="both"/>
        <w:rPr>
          <w:color w:val="000000" w:themeColor="text1"/>
        </w:rPr>
      </w:pPr>
      <w:r>
        <w:rPr>
          <w:color w:val="000000" w:themeColor="text1"/>
        </w:rPr>
        <w:t>The dosage for Denik cleanser</w:t>
      </w:r>
      <w:r>
        <w:rPr>
          <w:color w:val="000000" w:themeColor="text1"/>
          <w:vertAlign w:val="superscript"/>
        </w:rPr>
        <w:sym w:font="Symbol" w:char="F0E2"/>
      </w:r>
      <w:r>
        <w:rPr>
          <w:color w:val="000000" w:themeColor="text1"/>
        </w:rPr>
        <w:t>herbal mixture was chosen using its prescription label.</w:t>
      </w:r>
      <w:r>
        <w:rPr>
          <w:color w:val="000000" w:themeColor="text1"/>
        </w:rPr>
        <w:t xml:space="preserve"> The drugs were administered to the rats in the test group orally using an oral cannula with rubber tubing, Animals were randomly assigned to four groups (1-4) of five animals each. Group I consisted of the control group; animals who were given 0.3 mL of d</w:t>
      </w:r>
      <w:r>
        <w:rPr>
          <w:color w:val="000000" w:themeColor="text1"/>
        </w:rPr>
        <w:t>istilled water orally daily for 3 days. The group II animals received paracetamol orally at a dosage of 100 mg/kg daily for 3 days. Group III animals received Denik cleanser</w:t>
      </w:r>
      <w:r>
        <w:rPr>
          <w:color w:val="000000" w:themeColor="text1"/>
          <w:vertAlign w:val="superscript"/>
        </w:rPr>
        <w:sym w:font="Symbol" w:char="F0E2"/>
      </w:r>
      <w:r>
        <w:rPr>
          <w:color w:val="000000" w:themeColor="text1"/>
        </w:rPr>
        <w:t xml:space="preserve"> orally at a dosage of 2 mL/kg daily for 3days. Group IV animals received both par</w:t>
      </w:r>
      <w:r>
        <w:rPr>
          <w:color w:val="000000" w:themeColor="text1"/>
        </w:rPr>
        <w:t>acetamol Denik cleanser</w:t>
      </w:r>
      <w:r>
        <w:rPr>
          <w:color w:val="000000" w:themeColor="text1"/>
          <w:vertAlign w:val="superscript"/>
        </w:rPr>
        <w:sym w:font="Symbol" w:char="F0E2"/>
      </w:r>
      <w:r>
        <w:rPr>
          <w:color w:val="000000" w:themeColor="text1"/>
        </w:rPr>
        <w:t xml:space="preserve"> orally at a dosage of 100 mg/kg and 2 mL/kg respectively concurrently daily for 3 days. Animals were then fasted overnight on the third day of treatment and sacrificed under ether anesthesia on the fourth day. With this experimenta</w:t>
      </w:r>
      <w:r>
        <w:rPr>
          <w:color w:val="000000" w:themeColor="text1"/>
        </w:rPr>
        <w:t>l setup, we sought to mimic conventional usage of Denik cleanser</w:t>
      </w:r>
      <w:r>
        <w:rPr>
          <w:color w:val="000000" w:themeColor="text1"/>
          <w:vertAlign w:val="superscript"/>
        </w:rPr>
        <w:sym w:font="Symbol" w:char="F0E2"/>
      </w:r>
      <w:r>
        <w:rPr>
          <w:color w:val="000000" w:themeColor="text1"/>
        </w:rPr>
        <w:t xml:space="preserve"> followed by ingestion of paracetamol, a likely scenario given the popularity of both compounds. </w:t>
      </w:r>
    </w:p>
    <w:p w:rsidR="00A7773E" w:rsidRDefault="00221C2D" w:rsidP="007F1E55">
      <w:pPr>
        <w:pStyle w:val="ListParagraph"/>
        <w:tabs>
          <w:tab w:val="left" w:pos="1516"/>
        </w:tabs>
        <w:spacing w:line="276" w:lineRule="auto"/>
        <w:ind w:left="0"/>
        <w:jc w:val="both"/>
        <w:rPr>
          <w:b/>
          <w:bCs/>
          <w:color w:val="000000" w:themeColor="text1"/>
        </w:rPr>
      </w:pPr>
      <w:r>
        <w:rPr>
          <w:b/>
          <w:bCs/>
          <w:color w:val="000000" w:themeColor="text1"/>
        </w:rPr>
        <w:t>Blood sampling and biochemical analysis</w:t>
      </w:r>
    </w:p>
    <w:p w:rsidR="00A7773E" w:rsidRDefault="00221C2D" w:rsidP="007F1E55">
      <w:pPr>
        <w:pStyle w:val="ListParagraph"/>
        <w:tabs>
          <w:tab w:val="left" w:pos="1516"/>
        </w:tabs>
        <w:spacing w:line="276" w:lineRule="auto"/>
        <w:ind w:left="0"/>
        <w:jc w:val="both"/>
        <w:rPr>
          <w:color w:val="000000" w:themeColor="text1"/>
        </w:rPr>
      </w:pPr>
      <w:r>
        <w:rPr>
          <w:color w:val="000000" w:themeColor="text1"/>
        </w:rPr>
        <w:t>Blood samples were collected via cardiac puncture. Th</w:t>
      </w:r>
      <w:r>
        <w:rPr>
          <w:color w:val="000000" w:themeColor="text1"/>
        </w:rPr>
        <w:t>e blood samples were collected by cardiac puncture and kept at a temperature of 4°C for 6 hours. The blood samples were then centrifuged at 3000 rpm for 10 minutes and used for biochemical analysis. In the present study, the liver function was evaluated wi</w:t>
      </w:r>
      <w:r>
        <w:rPr>
          <w:color w:val="000000" w:themeColor="text1"/>
        </w:rPr>
        <w:t>th serum levels of Glutamyl transferase (GGT), Alkaline phosphatase (ALP), Alanine amino transferase (ALT) and Aspartate amino transferase (AST) using commercial diagnostic kits (Randox laboratory kit, England).</w:t>
      </w:r>
    </w:p>
    <w:p w:rsidR="00A7773E" w:rsidRDefault="00A7773E" w:rsidP="007F1E55">
      <w:pPr>
        <w:pStyle w:val="ListParagraph"/>
        <w:tabs>
          <w:tab w:val="left" w:pos="1516"/>
        </w:tabs>
        <w:spacing w:line="276" w:lineRule="auto"/>
        <w:ind w:left="0"/>
        <w:jc w:val="both"/>
        <w:rPr>
          <w:b/>
          <w:color w:val="7030A0"/>
        </w:rPr>
      </w:pPr>
    </w:p>
    <w:p w:rsidR="00A7773E" w:rsidRDefault="00221C2D" w:rsidP="007F1E55">
      <w:pPr>
        <w:pStyle w:val="p1"/>
        <w:spacing w:line="276" w:lineRule="auto"/>
        <w:jc w:val="both"/>
        <w:rPr>
          <w:rFonts w:ascii="Times New Roman" w:hAnsi="Times New Roman"/>
          <w:b/>
          <w:sz w:val="24"/>
          <w:szCs w:val="24"/>
        </w:rPr>
      </w:pPr>
      <w:r>
        <w:rPr>
          <w:rFonts w:ascii="Times New Roman" w:hAnsi="Times New Roman"/>
          <w:b/>
          <w:sz w:val="24"/>
          <w:szCs w:val="24"/>
        </w:rPr>
        <w:t>Histopathology results</w:t>
      </w: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 xml:space="preserve">Liver sections were </w:t>
      </w:r>
      <w:r>
        <w:rPr>
          <w:rFonts w:ascii="Times New Roman" w:hAnsi="Times New Roman"/>
          <w:sz w:val="24"/>
          <w:szCs w:val="24"/>
        </w:rPr>
        <w:t xml:space="preserve">fixed in 10 % formalin for 6-12 hours. They were processed and examined for histological changes at the college of health sciences Pathology Facility. For </w:t>
      </w:r>
      <w:r>
        <w:rPr>
          <w:rFonts w:ascii="Times New Roman" w:hAnsi="Times New Roman"/>
          <w:sz w:val="24"/>
          <w:szCs w:val="24"/>
        </w:rPr>
        <w:lastRenderedPageBreak/>
        <w:t>light microscopy examination, the formalin fixed tissues (liver) were dehydrated through ascending gr</w:t>
      </w:r>
      <w:r>
        <w:rPr>
          <w:rFonts w:ascii="Times New Roman" w:hAnsi="Times New Roman"/>
          <w:sz w:val="24"/>
          <w:szCs w:val="24"/>
        </w:rPr>
        <w:t>ades of alcohol, cleared in three changes of xylene, and were embedded in paraffin. Serial sections, each of 4-micron thickness, were cut and stained with H and E as per standard protocol. Stained sections were morphologically evaluated, and the pictures o</w:t>
      </w:r>
      <w:r>
        <w:rPr>
          <w:rFonts w:ascii="Times New Roman" w:hAnsi="Times New Roman"/>
          <w:sz w:val="24"/>
          <w:szCs w:val="24"/>
        </w:rPr>
        <w:t>f the slides were taken for comparison.</w:t>
      </w:r>
    </w:p>
    <w:p w:rsidR="00A7773E" w:rsidRDefault="00A7773E" w:rsidP="007F1E55">
      <w:pPr>
        <w:pStyle w:val="p1"/>
        <w:spacing w:line="276" w:lineRule="auto"/>
        <w:jc w:val="both"/>
        <w:rPr>
          <w:rFonts w:ascii="Times New Roman" w:hAnsi="Times New Roman"/>
          <w:sz w:val="24"/>
          <w:szCs w:val="24"/>
        </w:rPr>
      </w:pPr>
    </w:p>
    <w:p w:rsidR="00A7773E" w:rsidRDefault="00221C2D" w:rsidP="007F1E55">
      <w:pPr>
        <w:pStyle w:val="p1"/>
        <w:spacing w:line="276" w:lineRule="auto"/>
        <w:jc w:val="both"/>
        <w:rPr>
          <w:rFonts w:ascii="Times New Roman" w:hAnsi="Times New Roman"/>
          <w:b/>
          <w:sz w:val="24"/>
          <w:szCs w:val="24"/>
        </w:rPr>
      </w:pPr>
      <w:r>
        <w:rPr>
          <w:rFonts w:ascii="Times New Roman" w:hAnsi="Times New Roman"/>
          <w:b/>
          <w:sz w:val="24"/>
          <w:szCs w:val="24"/>
        </w:rPr>
        <w:t>Ethical issues</w:t>
      </w:r>
    </w:p>
    <w:p w:rsidR="00A7773E" w:rsidRDefault="00221C2D" w:rsidP="007F1E55">
      <w:pPr>
        <w:pStyle w:val="p1"/>
        <w:spacing w:line="276" w:lineRule="auto"/>
        <w:jc w:val="both"/>
        <w:rPr>
          <w:rFonts w:ascii="Times New Roman" w:hAnsi="Times New Roman"/>
          <w:sz w:val="24"/>
          <w:szCs w:val="24"/>
        </w:rPr>
      </w:pPr>
      <w:r>
        <w:rPr>
          <w:rFonts w:ascii="Times New Roman" w:hAnsi="Times New Roman"/>
          <w:sz w:val="24"/>
          <w:szCs w:val="24"/>
        </w:rPr>
        <w:t xml:space="preserve">The protocol of this study is designed in accordance with the ethical principles of the International Committees for the Protection of Animal Rights Laboratory. This project was approved by Ethics </w:t>
      </w:r>
      <w:r>
        <w:rPr>
          <w:rFonts w:ascii="Times New Roman" w:hAnsi="Times New Roman"/>
          <w:sz w:val="24"/>
          <w:szCs w:val="24"/>
        </w:rPr>
        <w:t>Committee of the University of Port Harcourt, Rivers State, Nigeria.</w:t>
      </w:r>
    </w:p>
    <w:p w:rsidR="00A7773E" w:rsidRDefault="00A7773E" w:rsidP="007F1E55">
      <w:pPr>
        <w:pStyle w:val="ListParagraph"/>
        <w:tabs>
          <w:tab w:val="left" w:pos="1516"/>
        </w:tabs>
        <w:spacing w:line="276" w:lineRule="auto"/>
        <w:ind w:left="0"/>
        <w:jc w:val="both"/>
        <w:rPr>
          <w:color w:val="7030A0"/>
        </w:rPr>
      </w:pPr>
    </w:p>
    <w:p w:rsidR="00A7773E" w:rsidRDefault="00221C2D" w:rsidP="007F1E55">
      <w:pPr>
        <w:pStyle w:val="NormalWeb"/>
        <w:spacing w:line="276" w:lineRule="auto"/>
        <w:jc w:val="both"/>
        <w:rPr>
          <w:b/>
          <w:bCs/>
        </w:rPr>
      </w:pPr>
      <w:r>
        <w:rPr>
          <w:b/>
          <w:bCs/>
        </w:rPr>
        <w:t xml:space="preserve">Histopathological Analysis </w:t>
      </w:r>
    </w:p>
    <w:p w:rsidR="00A7773E" w:rsidRDefault="00221C2D" w:rsidP="007F1E55">
      <w:pPr>
        <w:pStyle w:val="NormalWeb"/>
        <w:spacing w:line="276" w:lineRule="auto"/>
        <w:jc w:val="both"/>
      </w:pPr>
      <w:r>
        <w:t>Liver sections were fixed in 10 % formalin for 6-12 hours. They were processed and examines for histological changes at the college of health sciences Patholo</w:t>
      </w:r>
      <w:r>
        <w:t>gy Facility. Samples of the liver tissue were cut, about 3mm by 3mm in size, with a sharp knife. Each tissue was then fixed with 10% formalin for about 6-12 hours and subsequently dehydrated by passing the tissue slowly through ascending grades of absolute</w:t>
      </w:r>
      <w:r>
        <w:t xml:space="preserve"> alcohol (50%, 70%, 90% and 95%) and lastly in the absolute alcohol (100%), for a period of 1-2 hours in each grade of alcohol. The tissue is cleared using xylene for about 1-2 hours twice. It is then placed in the molten paraffin wax at a constant tempera</w:t>
      </w:r>
      <w:r>
        <w:t>ture of 56 – 60</w:t>
      </w:r>
      <w:r>
        <w:rPr>
          <w:vertAlign w:val="superscript"/>
        </w:rPr>
        <w:t>o</w:t>
      </w:r>
      <w:r>
        <w:t>c in an oven or paraffin bath (changing it twice keeping for about 2 hours each time) for infiltration. The tissue is embedded by placing it in special L-shaped metal blocks filled with molten paraffin wax and after solidification, the L-me</w:t>
      </w:r>
      <w:r>
        <w:t>tal blocks are removed and the paraffin block with the tissue inside now ready for sectioning.</w:t>
      </w:r>
    </w:p>
    <w:p w:rsidR="00A7773E" w:rsidRDefault="00221C2D" w:rsidP="007F1E55">
      <w:pPr>
        <w:tabs>
          <w:tab w:val="left" w:pos="1516"/>
        </w:tabs>
        <w:spacing w:line="276" w:lineRule="auto"/>
        <w:jc w:val="both"/>
        <w:rPr>
          <w:rFonts w:ascii="Times New Roman" w:hAnsi="Times New Roman" w:cs="Times New Roman"/>
        </w:rPr>
      </w:pPr>
      <w:r>
        <w:rPr>
          <w:rFonts w:ascii="Times New Roman" w:hAnsi="Times New Roman" w:cs="Times New Roman"/>
        </w:rPr>
        <w:t>For microscopic study, extremely thin (5-15 um) sections of the tissues were cut using a microtome. The tissues were then stained using haematoxylin-eosin, and t</w:t>
      </w:r>
      <w:r>
        <w:rPr>
          <w:rFonts w:ascii="Times New Roman" w:hAnsi="Times New Roman" w:cs="Times New Roman"/>
        </w:rPr>
        <w:t>he stained tissue on the slide is then mounted in Canada balsam under a coverslip and ready for examination. The microscopic examination was carried out on the livers of both the control and treated groups.</w:t>
      </w:r>
    </w:p>
    <w:p w:rsidR="00A7773E" w:rsidRDefault="00A7773E" w:rsidP="007F1E55">
      <w:pPr>
        <w:tabs>
          <w:tab w:val="left" w:pos="1516"/>
        </w:tabs>
        <w:spacing w:line="276" w:lineRule="auto"/>
        <w:jc w:val="both"/>
        <w:rPr>
          <w:rFonts w:ascii="Times New Roman" w:hAnsi="Times New Roman" w:cs="Times New Roman"/>
        </w:rPr>
      </w:pPr>
    </w:p>
    <w:p w:rsidR="00A7773E" w:rsidRDefault="00221C2D" w:rsidP="007F1E55">
      <w:pPr>
        <w:tabs>
          <w:tab w:val="left" w:pos="1516"/>
        </w:tabs>
        <w:spacing w:line="276" w:lineRule="auto"/>
        <w:jc w:val="both"/>
        <w:rPr>
          <w:rFonts w:ascii="Times New Roman" w:hAnsi="Times New Roman" w:cs="Times New Roman"/>
        </w:rPr>
      </w:pPr>
      <w:r>
        <w:rPr>
          <w:rFonts w:ascii="Times New Roman" w:hAnsi="Times New Roman" w:cs="Times New Roman"/>
          <w:b/>
          <w:bCs/>
          <w:color w:val="000000"/>
        </w:rPr>
        <w:t xml:space="preserve">Statistical analysis </w:t>
      </w:r>
    </w:p>
    <w:p w:rsidR="00A7773E" w:rsidRDefault="00221C2D" w:rsidP="007F1E55">
      <w:pPr>
        <w:pStyle w:val="NormalWeb"/>
        <w:spacing w:line="276" w:lineRule="auto"/>
        <w:jc w:val="both"/>
      </w:pPr>
      <w:r>
        <w:rPr>
          <w:color w:val="000000" w:themeColor="text1"/>
        </w:rPr>
        <w:t>Statistical analysis invol</w:t>
      </w:r>
      <w:r>
        <w:rPr>
          <w:color w:val="000000" w:themeColor="text1"/>
        </w:rPr>
        <w:t xml:space="preserve">ved use of the Microsoft Excel.  Data are expressed as the Mean ± SD. Statistics were performed using one-way Anova and </w:t>
      </w:r>
      <w:r>
        <w:rPr>
          <w:i/>
          <w:iCs/>
        </w:rPr>
        <w:t>t</w:t>
      </w:r>
      <w:r>
        <w:t xml:space="preserve">-tests. </w:t>
      </w:r>
      <w:r>
        <w:rPr>
          <w:i/>
          <w:iCs/>
          <w:color w:val="000000" w:themeColor="text1"/>
        </w:rPr>
        <w:t xml:space="preserve">P </w:t>
      </w:r>
      <w:r>
        <w:rPr>
          <w:color w:val="000000" w:themeColor="text1"/>
        </w:rPr>
        <w:t xml:space="preserve">values less than 5% were considered statistically significant (p &lt; 0.05). </w:t>
      </w:r>
    </w:p>
    <w:p w:rsidR="00A7773E" w:rsidRDefault="00A7773E" w:rsidP="007F1E55">
      <w:pPr>
        <w:spacing w:line="276" w:lineRule="auto"/>
        <w:jc w:val="both"/>
        <w:rPr>
          <w:rFonts w:ascii="Times New Roman" w:hAnsi="Times New Roman" w:cs="Times New Roman"/>
          <w:b/>
          <w:color w:val="000000" w:themeColor="text1"/>
        </w:rPr>
      </w:pPr>
    </w:p>
    <w:p w:rsidR="00A7773E" w:rsidRDefault="00221C2D" w:rsidP="007F1E55">
      <w:pPr>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RESULTS</w:t>
      </w:r>
    </w:p>
    <w:p w:rsidR="00A7773E" w:rsidRDefault="00221C2D" w:rsidP="007F1E55">
      <w:pPr>
        <w:spacing w:after="160" w:line="276" w:lineRule="auto"/>
        <w:jc w:val="both"/>
        <w:rPr>
          <w:rFonts w:ascii="Times New Roman" w:hAnsi="Times New Roman" w:cs="Times New Roman"/>
        </w:rPr>
      </w:pPr>
      <w:r>
        <w:rPr>
          <w:rFonts w:ascii="Times New Roman" w:hAnsi="Times New Roman" w:cs="Times New Roman"/>
        </w:rPr>
        <w:t xml:space="preserve">The organ-body weight index is recorded </w:t>
      </w:r>
      <w:r>
        <w:rPr>
          <w:rFonts w:ascii="Times New Roman" w:hAnsi="Times New Roman" w:cs="Times New Roman"/>
        </w:rPr>
        <w:t>in Table 1. There was little reduction in organ-body weight index at P&lt;0.05. The microscopic structure of the liver depicted in Figures 1-4 shows no abnormalities in the control and paracetamol-only groups. For the Denik</w:t>
      </w:r>
      <w:r>
        <w:rPr>
          <w:rFonts w:ascii="Times New Roman" w:hAnsi="Times New Roman" w:cs="Times New Roman"/>
          <w:vertAlign w:val="superscript"/>
        </w:rPr>
        <w:sym w:font="Symbol" w:char="F0E2"/>
      </w:r>
      <w:r>
        <w:rPr>
          <w:rFonts w:ascii="Times New Roman" w:hAnsi="Times New Roman" w:cs="Times New Roman"/>
        </w:rPr>
        <w:t>-only and paracetamol + Denik</w:t>
      </w:r>
      <w:r>
        <w:rPr>
          <w:rFonts w:ascii="Times New Roman" w:hAnsi="Times New Roman" w:cs="Times New Roman"/>
          <w:vertAlign w:val="superscript"/>
        </w:rPr>
        <w:sym w:font="Symbol" w:char="F0E2"/>
      </w:r>
      <w:r>
        <w:rPr>
          <w:rFonts w:ascii="Times New Roman" w:hAnsi="Times New Roman" w:cs="Times New Roman"/>
        </w:rPr>
        <w:t xml:space="preserve"> grou</w:t>
      </w:r>
      <w:r>
        <w:rPr>
          <w:rFonts w:ascii="Times New Roman" w:hAnsi="Times New Roman" w:cs="Times New Roman"/>
        </w:rPr>
        <w:t>ps, there was markedly distorted liver tissue showing hepatocytes with microvesicular steartosis and councilman’s bodies (arrowed), patent central vein (CV)</w:t>
      </w:r>
    </w:p>
    <w:p w:rsidR="00A7773E" w:rsidRDefault="00221C2D" w:rsidP="007F1E55">
      <w:pPr>
        <w:spacing w:line="276" w:lineRule="auto"/>
        <w:jc w:val="both"/>
        <w:rPr>
          <w:rFonts w:ascii="Times New Roman" w:hAnsi="Times New Roman" w:cs="Times New Roman"/>
        </w:rPr>
      </w:pPr>
      <w:r>
        <w:rPr>
          <w:rFonts w:ascii="Times New Roman" w:hAnsi="Times New Roman" w:cs="Times New Roman"/>
        </w:rPr>
        <w:t xml:space="preserve">Results from biochemical analysis (Figures 1-4) revealed higher </w:t>
      </w:r>
      <w:r>
        <w:rPr>
          <w:rFonts w:ascii="Times New Roman" w:hAnsi="Times New Roman" w:cs="Times New Roman"/>
          <w:color w:val="000000" w:themeColor="text1"/>
        </w:rPr>
        <w:t xml:space="preserve">levels of </w:t>
      </w:r>
      <w:r>
        <w:rPr>
          <w:rFonts w:ascii="Times New Roman" w:hAnsi="Times New Roman" w:cs="Times New Roman"/>
        </w:rPr>
        <w:t>liver function markers As</w:t>
      </w:r>
      <w:r>
        <w:rPr>
          <w:rFonts w:ascii="Times New Roman" w:hAnsi="Times New Roman" w:cs="Times New Roman"/>
        </w:rPr>
        <w:t>partate aminotransferase (AST) Alanine aminotransferase (ALT), alkaline phosphatase (ALP) and Gamma-glutamyl transferase (GGT) enzymes in the paracetamol + Denik cleanser</w:t>
      </w:r>
      <w:r>
        <w:rPr>
          <w:rFonts w:ascii="Times New Roman" w:hAnsi="Times New Roman" w:cs="Times New Roman"/>
          <w:vertAlign w:val="superscript"/>
        </w:rPr>
        <w:sym w:font="Symbol" w:char="F0E2"/>
      </w:r>
      <w:r>
        <w:rPr>
          <w:rFonts w:ascii="Times New Roman" w:hAnsi="Times New Roman" w:cs="Times New Roman"/>
        </w:rPr>
        <w:t xml:space="preserve"> group compared to the control group indicating liver toxicity. The elevation </w:t>
      </w:r>
      <w:r>
        <w:rPr>
          <w:rFonts w:ascii="Times New Roman" w:hAnsi="Times New Roman" w:cs="Times New Roman"/>
        </w:rPr>
        <w:lastRenderedPageBreak/>
        <w:t>in ALT,</w:t>
      </w:r>
      <w:r>
        <w:rPr>
          <w:rFonts w:ascii="Times New Roman" w:hAnsi="Times New Roman" w:cs="Times New Roman"/>
        </w:rPr>
        <w:t xml:space="preserve"> AST and GGT in the paracetamol+ Denik</w:t>
      </w:r>
      <w:r>
        <w:rPr>
          <w:rFonts w:ascii="Times New Roman" w:hAnsi="Times New Roman" w:cs="Times New Roman"/>
          <w:vertAlign w:val="superscript"/>
        </w:rPr>
        <w:sym w:font="Symbol" w:char="F0E2"/>
      </w:r>
      <w:r>
        <w:rPr>
          <w:rFonts w:ascii="Times New Roman" w:hAnsi="Times New Roman" w:cs="Times New Roman"/>
        </w:rPr>
        <w:t xml:space="preserve"> group was statistically significant at p&lt; 0.05.</w:t>
      </w:r>
    </w:p>
    <w:p w:rsidR="00A7773E" w:rsidRDefault="00A7773E" w:rsidP="007F1E55">
      <w:pPr>
        <w:spacing w:line="276" w:lineRule="auto"/>
        <w:jc w:val="both"/>
        <w:rPr>
          <w:rFonts w:ascii="Times New Roman" w:hAnsi="Times New Roman" w:cs="Times New Roman"/>
          <w:i/>
          <w:color w:val="000000" w:themeColor="text1"/>
        </w:rPr>
      </w:pPr>
    </w:p>
    <w:p w:rsidR="00A7773E" w:rsidRDefault="00A7773E" w:rsidP="007F1E55">
      <w:pPr>
        <w:spacing w:line="276" w:lineRule="auto"/>
        <w:jc w:val="both"/>
        <w:rPr>
          <w:rFonts w:ascii="Times New Roman" w:hAnsi="Times New Roman" w:cs="Times New Roman"/>
          <w:i/>
          <w:color w:val="000000" w:themeColor="text1"/>
        </w:rPr>
      </w:pPr>
    </w:p>
    <w:p w:rsidR="00A7773E" w:rsidRDefault="00A7773E" w:rsidP="007F1E55">
      <w:pPr>
        <w:spacing w:line="276" w:lineRule="auto"/>
        <w:jc w:val="both"/>
        <w:rPr>
          <w:rFonts w:ascii="Times New Roman" w:hAnsi="Times New Roman" w:cs="Times New Roman"/>
          <w:i/>
          <w:color w:val="000000" w:themeColor="text1"/>
        </w:rPr>
      </w:pPr>
    </w:p>
    <w:p w:rsidR="00A7773E" w:rsidRDefault="00221C2D" w:rsidP="007F1E55">
      <w:pPr>
        <w:spacing w:line="276" w:lineRule="auto"/>
        <w:jc w:val="both"/>
        <w:rPr>
          <w:rFonts w:ascii="Times New Roman" w:hAnsi="Times New Roman" w:cs="Times New Roman"/>
          <w:i/>
          <w:color w:val="000000" w:themeColor="text1"/>
        </w:rPr>
      </w:pPr>
      <w:r>
        <w:rPr>
          <w:rFonts w:ascii="Times New Roman" w:hAnsi="Times New Roman" w:cs="Times New Roman"/>
          <w:i/>
          <w:color w:val="000000" w:themeColor="text1"/>
        </w:rPr>
        <w:t>RESULTS OF BIOCHEMICAL ANALYSIS</w:t>
      </w:r>
    </w:p>
    <w:p w:rsidR="00A7773E" w:rsidRDefault="00221C2D" w:rsidP="007F1E55">
      <w:pPr>
        <w:spacing w:line="276" w:lineRule="auto"/>
        <w:rPr>
          <w:rFonts w:ascii="Times New Roman" w:hAnsi="Times New Roman" w:cs="Times New Roman"/>
          <w:color w:val="000000" w:themeColor="text1"/>
        </w:rPr>
      </w:pPr>
      <w:r>
        <w:rPr>
          <w:noProof/>
        </w:rPr>
        <w:drawing>
          <wp:inline distT="0" distB="0" distL="0" distR="0">
            <wp:extent cx="5727700" cy="292862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727700" cy="2928620"/>
                    </a:xfrm>
                    <a:prstGeom prst="rect">
                      <a:avLst/>
                    </a:prstGeom>
                  </pic:spPr>
                </pic:pic>
              </a:graphicData>
            </a:graphic>
          </wp:inline>
        </w:drawing>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pStyle w:val="NormalWeb"/>
        <w:spacing w:line="276" w:lineRule="auto"/>
        <w:rPr>
          <w:bCs/>
        </w:rPr>
      </w:pPr>
      <w:r>
        <w:rPr>
          <w:bCs/>
        </w:rPr>
        <w:t>Figure 1: Effect of</w:t>
      </w:r>
      <w:r>
        <w:rPr>
          <w:rFonts w:eastAsia="Tahoma"/>
          <w:bCs/>
        </w:rPr>
        <w:t xml:space="preserve"> Paracetamol + Denik</w:t>
      </w:r>
      <w:r>
        <w:rPr>
          <w:rFonts w:eastAsia="Tahoma"/>
          <w:bCs/>
          <w:vertAlign w:val="superscript"/>
        </w:rPr>
        <w:sym w:font="Symbol" w:char="F0D2"/>
      </w:r>
      <w:r>
        <w:rPr>
          <w:rFonts w:eastAsia="Tahoma"/>
          <w:bCs/>
        </w:rPr>
        <w:t xml:space="preserve"> interaction</w:t>
      </w:r>
      <w:r>
        <w:rPr>
          <w:bCs/>
        </w:rPr>
        <w:t xml:space="preserve"> on AST; n=5, values are expressed as mean ± SEM. * P&lt;</w:t>
      </w:r>
      <w:r>
        <w:rPr>
          <w:bCs/>
        </w:rPr>
        <w:t xml:space="preserve"> 0.05 compared to control group</w:t>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drawing>
          <wp:inline distT="0" distB="0" distL="0" distR="0">
            <wp:extent cx="5727700" cy="305117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727700" cy="3051175"/>
                    </a:xfrm>
                    <a:prstGeom prst="rect">
                      <a:avLst/>
                    </a:prstGeom>
                  </pic:spPr>
                </pic:pic>
              </a:graphicData>
            </a:graphic>
          </wp:inline>
        </w:drawing>
      </w:r>
      <w:r>
        <w:rPr>
          <w:bCs/>
        </w:rPr>
        <w:t>Figure 2: Effect of</w:t>
      </w:r>
      <w:r>
        <w:rPr>
          <w:rFonts w:eastAsia="Tahoma"/>
          <w:bCs/>
        </w:rPr>
        <w:t xml:space="preserve"> Paracetamol + Denik</w:t>
      </w:r>
      <w:r>
        <w:rPr>
          <w:rFonts w:eastAsia="Tahoma"/>
          <w:bCs/>
          <w:vertAlign w:val="superscript"/>
        </w:rPr>
        <w:sym w:font="Symbol" w:char="F0D2"/>
      </w:r>
      <w:r>
        <w:rPr>
          <w:rFonts w:eastAsia="Tahoma"/>
          <w:bCs/>
        </w:rPr>
        <w:t xml:space="preserve"> interaction</w:t>
      </w:r>
      <w:r>
        <w:rPr>
          <w:bCs/>
        </w:rPr>
        <w:t xml:space="preserve"> on ALT; n=5, values are expressed as mean ± SEM. * P&lt; 0.05 compared to control group</w:t>
      </w: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lastRenderedPageBreak/>
        <w:drawing>
          <wp:inline distT="0" distB="0" distL="0" distR="0">
            <wp:extent cx="5727700" cy="307721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727700" cy="3077210"/>
                    </a:xfrm>
                    <a:prstGeom prst="rect">
                      <a:avLst/>
                    </a:prstGeom>
                  </pic:spPr>
                </pic:pic>
              </a:graphicData>
            </a:graphic>
          </wp:inline>
        </w:drawing>
      </w:r>
    </w:p>
    <w:p w:rsidR="00A7773E" w:rsidRDefault="00221C2D" w:rsidP="007F1E55">
      <w:pPr>
        <w:pStyle w:val="NormalWeb"/>
        <w:spacing w:line="276" w:lineRule="auto"/>
        <w:rPr>
          <w:bCs/>
        </w:rPr>
      </w:pPr>
      <w:r>
        <w:rPr>
          <w:bCs/>
        </w:rPr>
        <w:t>Figure 3: Effect of</w:t>
      </w:r>
      <w:r>
        <w:rPr>
          <w:rFonts w:eastAsia="Tahoma"/>
          <w:bCs/>
        </w:rPr>
        <w:t xml:space="preserve"> Paracetamol + Denik</w:t>
      </w:r>
      <w:r>
        <w:rPr>
          <w:rFonts w:eastAsia="Tahoma"/>
          <w:bCs/>
          <w:vertAlign w:val="superscript"/>
        </w:rPr>
        <w:sym w:font="Symbol" w:char="F0D2"/>
      </w:r>
      <w:r>
        <w:rPr>
          <w:rFonts w:eastAsia="Tahoma"/>
          <w:bCs/>
        </w:rPr>
        <w:t xml:space="preserve"> interaction</w:t>
      </w:r>
      <w:r>
        <w:rPr>
          <w:bCs/>
        </w:rPr>
        <w:t xml:space="preserve"> on ALP; n=5, values are e</w:t>
      </w:r>
      <w:r>
        <w:rPr>
          <w:bCs/>
        </w:rPr>
        <w:t>xpressed as mean ± SEM. * P&lt; 0.05 compared to control group</w:t>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drawing>
          <wp:inline distT="0" distB="0" distL="0" distR="0">
            <wp:extent cx="5727700" cy="359029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5727700" cy="3590290"/>
                    </a:xfrm>
                    <a:prstGeom prst="rect">
                      <a:avLst/>
                    </a:prstGeom>
                  </pic:spPr>
                </pic:pic>
              </a:graphicData>
            </a:graphic>
          </wp:inline>
        </w:drawing>
      </w:r>
    </w:p>
    <w:p w:rsidR="00A7773E" w:rsidRDefault="00221C2D" w:rsidP="007F1E55">
      <w:pPr>
        <w:pStyle w:val="NormalWeb"/>
        <w:spacing w:line="276" w:lineRule="auto"/>
        <w:rPr>
          <w:bCs/>
        </w:rPr>
      </w:pPr>
      <w:r>
        <w:rPr>
          <w:bCs/>
        </w:rPr>
        <w:t>Figure 4: Effect of</w:t>
      </w:r>
      <w:r>
        <w:rPr>
          <w:rFonts w:eastAsia="Tahoma"/>
          <w:bCs/>
        </w:rPr>
        <w:t xml:space="preserve"> Paracetamol + Denik</w:t>
      </w:r>
      <w:r>
        <w:rPr>
          <w:rFonts w:eastAsia="Tahoma"/>
          <w:bCs/>
          <w:vertAlign w:val="superscript"/>
        </w:rPr>
        <w:sym w:font="Symbol" w:char="F0D2"/>
      </w:r>
      <w:r>
        <w:rPr>
          <w:rFonts w:eastAsia="Tahoma"/>
          <w:bCs/>
        </w:rPr>
        <w:t>interaction</w:t>
      </w:r>
      <w:r>
        <w:rPr>
          <w:bCs/>
        </w:rPr>
        <w:t xml:space="preserve"> on GGT; n=5, values are expressed as mean ± SEM. * P&lt; 0.05 compared to control group</w:t>
      </w:r>
    </w:p>
    <w:p w:rsidR="00A7773E" w:rsidRDefault="00A7773E" w:rsidP="007F1E55">
      <w:pPr>
        <w:spacing w:line="276" w:lineRule="auto"/>
        <w:rPr>
          <w:rFonts w:ascii="Times New Roman" w:hAnsi="Times New Roman" w:cs="Times New Roman"/>
          <w:i/>
          <w:color w:val="000000" w:themeColor="text1"/>
        </w:rPr>
      </w:pPr>
    </w:p>
    <w:p w:rsidR="00A7773E" w:rsidRDefault="00A7773E" w:rsidP="007F1E55">
      <w:pPr>
        <w:spacing w:line="276" w:lineRule="auto"/>
        <w:rPr>
          <w:rFonts w:ascii="Times New Roman" w:hAnsi="Times New Roman" w:cs="Times New Roman"/>
          <w:i/>
          <w:color w:val="000000" w:themeColor="text1"/>
        </w:rPr>
      </w:pPr>
    </w:p>
    <w:p w:rsidR="00A7773E" w:rsidRDefault="00A7773E" w:rsidP="007F1E55">
      <w:pPr>
        <w:spacing w:line="276" w:lineRule="auto"/>
        <w:rPr>
          <w:rFonts w:ascii="Times New Roman" w:hAnsi="Times New Roman" w:cs="Times New Roman"/>
          <w:i/>
          <w:color w:val="000000" w:themeColor="text1"/>
        </w:rPr>
      </w:pPr>
    </w:p>
    <w:p w:rsidR="00A7773E" w:rsidRDefault="00221C2D" w:rsidP="007F1E55">
      <w:pPr>
        <w:spacing w:line="276" w:lineRule="auto"/>
        <w:rPr>
          <w:rFonts w:ascii="Times New Roman" w:hAnsi="Times New Roman" w:cs="Times New Roman"/>
          <w:i/>
          <w:color w:val="000000" w:themeColor="text1"/>
        </w:rPr>
      </w:pPr>
      <w:r>
        <w:rPr>
          <w:rFonts w:ascii="Times New Roman" w:hAnsi="Times New Roman" w:cs="Times New Roman"/>
          <w:i/>
          <w:color w:val="000000" w:themeColor="text1"/>
        </w:rPr>
        <w:t>HISTOPATHOLOGY RESULTS</w:t>
      </w:r>
    </w:p>
    <w:p w:rsidR="00A7773E" w:rsidRDefault="00A7773E" w:rsidP="007F1E55">
      <w:pPr>
        <w:spacing w:line="276" w:lineRule="auto"/>
        <w:rPr>
          <w:rFonts w:ascii="Times New Roman" w:hAnsi="Times New Roman" w:cs="Times New Roman"/>
          <w:color w:val="000000" w:themeColor="text1"/>
        </w:rPr>
      </w:pPr>
    </w:p>
    <w:p w:rsidR="00A7773E" w:rsidRDefault="00221C2D" w:rsidP="007F1E55">
      <w:pPr>
        <w:spacing w:line="276" w:lineRule="auto"/>
        <w:rPr>
          <w:rFonts w:ascii="Times New Roman" w:hAnsi="Times New Roman" w:cs="Times New Roman"/>
          <w:color w:val="000000" w:themeColor="text1"/>
        </w:rPr>
      </w:pPr>
      <w:r>
        <w:rPr>
          <w:noProof/>
        </w:rPr>
        <w:lastRenderedPageBreak/>
        <w:drawing>
          <wp:inline distT="0" distB="0" distL="0" distR="0">
            <wp:extent cx="5727700" cy="3222625"/>
            <wp:effectExtent l="0" t="0" r="1270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tretch>
                      <a:fillRect/>
                    </a:stretch>
                  </pic:blipFill>
                  <pic:spPr>
                    <a:xfrm>
                      <a:off x="0" y="0"/>
                      <a:ext cx="5727700" cy="3222625"/>
                    </a:xfrm>
                    <a:prstGeom prst="rect">
                      <a:avLst/>
                    </a:prstGeom>
                  </pic:spPr>
                </pic:pic>
              </a:graphicData>
            </a:graphic>
          </wp:inline>
        </w:drawing>
      </w:r>
    </w:p>
    <w:p w:rsidR="00A7773E" w:rsidRDefault="00A7773E" w:rsidP="007F1E55">
      <w:pPr>
        <w:spacing w:line="276" w:lineRule="auto"/>
        <w:rPr>
          <w:rFonts w:ascii="Times New Roman" w:hAnsi="Times New Roman" w:cs="Times New Roman"/>
          <w:color w:val="000000" w:themeColor="text1"/>
        </w:rPr>
      </w:pPr>
    </w:p>
    <w:p w:rsidR="00A7773E" w:rsidRDefault="00A7773E" w:rsidP="007F1E55">
      <w:pPr>
        <w:spacing w:line="276" w:lineRule="auto"/>
        <w:rPr>
          <w:rFonts w:ascii="Times New Roman" w:hAnsi="Times New Roman" w:cs="Times New Roman"/>
          <w:b/>
          <w:color w:val="000000" w:themeColor="text1"/>
        </w:rPr>
      </w:pPr>
    </w:p>
    <w:p w:rsidR="00A7773E" w:rsidRDefault="00221C2D" w:rsidP="007F1E55">
      <w:pPr>
        <w:spacing w:line="276" w:lineRule="auto"/>
        <w:jc w:val="both"/>
        <w:rPr>
          <w:rFonts w:ascii="Times New Roman" w:hAnsi="Times New Roman" w:cs="Times New Roman"/>
          <w:bCs/>
        </w:rPr>
      </w:pPr>
      <w:r>
        <w:rPr>
          <w:rFonts w:ascii="Times New Roman" w:hAnsi="Times New Roman" w:cs="Times New Roman"/>
        </w:rPr>
        <w:t xml:space="preserve">Figure 5: </w:t>
      </w:r>
      <w:r>
        <w:rPr>
          <w:rFonts w:ascii="Times New Roman" w:hAnsi="Times New Roman" w:cs="Times New Roman"/>
          <w:b/>
        </w:rPr>
        <w:t>(A)</w:t>
      </w:r>
      <w:r>
        <w:rPr>
          <w:rFonts w:ascii="Times New Roman" w:hAnsi="Times New Roman" w:cs="Times New Roman"/>
        </w:rPr>
        <w:t xml:space="preserve"> Photomicrograph of liver from rats in the control group (distilled water only). 400x magnification. Histologically normal liver tissues showing normal hepatocytes &amp; sinusoids and central vein (CV), </w:t>
      </w:r>
      <w:r>
        <w:rPr>
          <w:rFonts w:ascii="Times New Roman" w:hAnsi="Times New Roman" w:cs="Times New Roman"/>
          <w:b/>
        </w:rPr>
        <w:t>(B)</w:t>
      </w:r>
      <w:r>
        <w:rPr>
          <w:rFonts w:ascii="Times New Roman" w:hAnsi="Times New Roman" w:cs="Times New Roman"/>
        </w:rPr>
        <w:t xml:space="preserve"> Photomicrograph of liver tissue of rats that received</w:t>
      </w:r>
      <w:r>
        <w:rPr>
          <w:rFonts w:ascii="Times New Roman" w:hAnsi="Times New Roman" w:cs="Times New Roman"/>
        </w:rPr>
        <w:t xml:space="preserve"> paracetamol only. 400x magnification. Histologically normal liver tissues showing; normal hepatocytes &amp; sinusoids and patent central vein (CV), </w:t>
      </w:r>
      <w:r>
        <w:rPr>
          <w:rFonts w:ascii="Times New Roman" w:hAnsi="Times New Roman" w:cs="Times New Roman"/>
          <w:b/>
        </w:rPr>
        <w:t>(C)</w:t>
      </w:r>
      <w:r>
        <w:rPr>
          <w:rFonts w:ascii="Times New Roman" w:hAnsi="Times New Roman" w:cs="Times New Roman"/>
        </w:rPr>
        <w:t xml:space="preserve"> Photomicrograph of liver tissue of rats that received Denik</w:t>
      </w:r>
      <w:r>
        <w:rPr>
          <w:rFonts w:ascii="Times New Roman" w:hAnsi="Times New Roman" w:cs="Times New Roman"/>
          <w:vertAlign w:val="superscript"/>
        </w:rPr>
        <w:sym w:font="Symbol" w:char="F0D2"/>
      </w:r>
      <w:r>
        <w:rPr>
          <w:rFonts w:ascii="Times New Roman" w:hAnsi="Times New Roman" w:cs="Times New Roman"/>
        </w:rPr>
        <w:t xml:space="preserve"> only. 400x magnification. </w:t>
      </w:r>
      <w:r>
        <w:rPr>
          <w:rFonts w:ascii="Times New Roman" w:hAnsi="Times New Roman" w:cs="Times New Roman"/>
          <w:bCs/>
        </w:rPr>
        <w:t>Markedly distorted l</w:t>
      </w:r>
      <w:r>
        <w:rPr>
          <w:rFonts w:ascii="Times New Roman" w:hAnsi="Times New Roman" w:cs="Times New Roman"/>
          <w:bCs/>
        </w:rPr>
        <w:t xml:space="preserve">iver tissue showing hepatocytes with microvesicular steartosis and councilman’s bodies (arrowed), patent central vein (CV), </w:t>
      </w:r>
      <w:r>
        <w:rPr>
          <w:rFonts w:ascii="Times New Roman" w:hAnsi="Times New Roman" w:cs="Times New Roman"/>
          <w:b/>
          <w:bCs/>
        </w:rPr>
        <w:t>(D)</w:t>
      </w:r>
      <w:r>
        <w:rPr>
          <w:rFonts w:ascii="Times New Roman" w:hAnsi="Times New Roman" w:cs="Times New Roman"/>
        </w:rPr>
        <w:t>Photomicrograph of liver tissue of rats that received Denik</w:t>
      </w:r>
      <w:r>
        <w:rPr>
          <w:rFonts w:ascii="Times New Roman" w:hAnsi="Times New Roman" w:cs="Times New Roman"/>
          <w:vertAlign w:val="superscript"/>
        </w:rPr>
        <w:sym w:font="Symbol" w:char="F0D2"/>
      </w:r>
      <w:r>
        <w:rPr>
          <w:rFonts w:ascii="Times New Roman" w:hAnsi="Times New Roman" w:cs="Times New Roman"/>
        </w:rPr>
        <w:t xml:space="preserve"> only. 400x magnification. </w:t>
      </w:r>
      <w:r>
        <w:rPr>
          <w:rFonts w:ascii="Times New Roman" w:hAnsi="Times New Roman" w:cs="Times New Roman"/>
          <w:bCs/>
        </w:rPr>
        <w:t xml:space="preserve">Markedly distorted liver tissue showing </w:t>
      </w:r>
      <w:r>
        <w:rPr>
          <w:rFonts w:ascii="Times New Roman" w:hAnsi="Times New Roman" w:cs="Times New Roman"/>
          <w:bCs/>
        </w:rPr>
        <w:t>hepatocytes with a spectrum of destructions (micro and macrovesicular steartosis and councilman’s bodies (arrowed), patent central vein (CV).</w:t>
      </w: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rPr>
          <w:bCs/>
        </w:rPr>
      </w:pPr>
    </w:p>
    <w:p w:rsidR="00A7773E" w:rsidRDefault="00A7773E" w:rsidP="007F1E55">
      <w:pPr>
        <w:spacing w:line="276" w:lineRule="auto"/>
        <w:jc w:val="both"/>
      </w:pPr>
    </w:p>
    <w:p w:rsidR="00A7773E" w:rsidRDefault="00221C2D" w:rsidP="007F1E55">
      <w:pPr>
        <w:pStyle w:val="ListParagraph"/>
        <w:spacing w:line="276" w:lineRule="auto"/>
        <w:jc w:val="both"/>
        <w:rPr>
          <w:b/>
          <w:sz w:val="28"/>
        </w:rPr>
      </w:pPr>
      <w:r>
        <w:rPr>
          <w:b/>
          <w:bCs/>
          <w:sz w:val="28"/>
        </w:rPr>
        <w:t>Table 1: Organ-body weight index (%)</w:t>
      </w:r>
      <w:r>
        <w:rPr>
          <w:b/>
          <w:sz w:val="28"/>
        </w:rPr>
        <w:tab/>
      </w:r>
    </w:p>
    <w:tbl>
      <w:tblPr>
        <w:tblStyle w:val="ListTable6Colorful"/>
        <w:tblW w:w="0" w:type="auto"/>
        <w:tblLook w:val="04A0"/>
      </w:tblPr>
      <w:tblGrid>
        <w:gridCol w:w="4508"/>
        <w:gridCol w:w="4508"/>
      </w:tblGrid>
      <w:tr w:rsidR="00A7773E" w:rsidTr="00A7773E">
        <w:trPr>
          <w:cnfStyle w:val="100000000000"/>
          <w:trHeight w:val="674"/>
        </w:trPr>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Cs w:val="0"/>
                <w:sz w:val="28"/>
                <w:lang w:val="en-GB"/>
              </w:rPr>
            </w:pPr>
            <w:r>
              <w:rPr>
                <w:sz w:val="28"/>
                <w:lang w:val="en-GB"/>
              </w:rPr>
              <w:t>Groups</w:t>
            </w:r>
          </w:p>
        </w:tc>
        <w:tc>
          <w:tcPr>
            <w:tcW w:w="4508" w:type="dxa"/>
            <w:shd w:val="clear" w:color="auto" w:fill="auto"/>
          </w:tcPr>
          <w:p w:rsidR="00A7773E" w:rsidRDefault="00221C2D" w:rsidP="007F1E55">
            <w:pPr>
              <w:pStyle w:val="ListParagraph"/>
              <w:tabs>
                <w:tab w:val="left" w:pos="5340"/>
              </w:tabs>
              <w:spacing w:line="276" w:lineRule="auto"/>
              <w:ind w:left="0"/>
              <w:jc w:val="both"/>
              <w:cnfStyle w:val="100000000000"/>
              <w:rPr>
                <w:bCs w:val="0"/>
                <w:sz w:val="28"/>
                <w:lang w:val="en-GB"/>
              </w:rPr>
            </w:pPr>
            <w:r>
              <w:rPr>
                <w:sz w:val="28"/>
                <w:lang w:val="en-GB"/>
              </w:rPr>
              <w:t>Organ-body index</w:t>
            </w:r>
          </w:p>
        </w:tc>
      </w:tr>
      <w:tr w:rsidR="00A7773E" w:rsidTr="00A7773E">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lang w:val="en-GB"/>
              </w:rPr>
            </w:pPr>
            <w:r>
              <w:rPr>
                <w:sz w:val="28"/>
                <w:lang w:val="en-GB"/>
              </w:rPr>
              <w:t>Control</w:t>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lang w:val="en-GB"/>
              </w:rPr>
            </w:pPr>
            <w:r>
              <w:rPr>
                <w:bCs/>
                <w:sz w:val="28"/>
                <w:lang w:val="en-GB"/>
              </w:rPr>
              <w:t xml:space="preserve">                          4.0 ± 0.27</w:t>
            </w:r>
          </w:p>
        </w:tc>
      </w:tr>
      <w:tr w:rsidR="00A7773E" w:rsidTr="00A7773E">
        <w:trPr>
          <w:trHeight w:val="670"/>
        </w:trPr>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lang w:val="en-GB"/>
              </w:rPr>
            </w:pPr>
            <w:r>
              <w:rPr>
                <w:sz w:val="28"/>
                <w:lang w:val="en-GB"/>
              </w:rPr>
              <w:lastRenderedPageBreak/>
              <w:t>Paracetamol</w:t>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lang w:val="en-GB"/>
              </w:rPr>
            </w:pPr>
            <w:r>
              <w:rPr>
                <w:bCs/>
                <w:sz w:val="28"/>
                <w:lang w:val="en-GB"/>
              </w:rPr>
              <w:t xml:space="preserve">                           3.90 ± 0.45</w:t>
            </w:r>
          </w:p>
        </w:tc>
      </w:tr>
      <w:tr w:rsidR="00A7773E" w:rsidTr="00A7773E">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lang w:val="en-GB"/>
              </w:rPr>
            </w:pPr>
            <w:r>
              <w:rPr>
                <w:sz w:val="28"/>
                <w:lang w:val="en-GB"/>
              </w:rPr>
              <w:t>Denik cleanser</w:t>
            </w:r>
            <w:r>
              <w:rPr>
                <w:sz w:val="28"/>
                <w:vertAlign w:val="superscript"/>
                <w:lang w:val="en-GB"/>
              </w:rPr>
              <w:sym w:font="Symbol" w:char="F0D2"/>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lang w:val="en-GB"/>
              </w:rPr>
            </w:pPr>
            <w:r>
              <w:rPr>
                <w:bCs/>
                <w:sz w:val="28"/>
                <w:lang w:val="en-GB"/>
              </w:rPr>
              <w:t xml:space="preserve">                          3.80 ± 0.05</w:t>
            </w:r>
          </w:p>
        </w:tc>
      </w:tr>
      <w:tr w:rsidR="00A7773E" w:rsidTr="00A7773E">
        <w:tc>
          <w:tcPr>
            <w:cnfStyle w:val="001000000000"/>
            <w:tcW w:w="4508" w:type="dxa"/>
            <w:shd w:val="clear" w:color="auto" w:fill="auto"/>
          </w:tcPr>
          <w:p w:rsidR="00A7773E" w:rsidRDefault="00221C2D" w:rsidP="007F1E55">
            <w:pPr>
              <w:pStyle w:val="ListParagraph"/>
              <w:tabs>
                <w:tab w:val="left" w:pos="5340"/>
              </w:tabs>
              <w:spacing w:line="276" w:lineRule="auto"/>
              <w:ind w:left="0"/>
              <w:jc w:val="both"/>
              <w:rPr>
                <w:b w:val="0"/>
                <w:sz w:val="28"/>
                <w:lang w:val="en-GB"/>
              </w:rPr>
            </w:pPr>
            <w:r>
              <w:rPr>
                <w:sz w:val="28"/>
                <w:lang w:val="en-GB"/>
              </w:rPr>
              <w:t>Paracetamol + Denik cleanser</w:t>
            </w:r>
            <w:r>
              <w:rPr>
                <w:sz w:val="28"/>
                <w:lang w:val="en-GB"/>
              </w:rPr>
              <w:sym w:font="Symbol" w:char="F0D2"/>
            </w:r>
          </w:p>
        </w:tc>
        <w:tc>
          <w:tcPr>
            <w:tcW w:w="4508" w:type="dxa"/>
            <w:shd w:val="clear" w:color="auto" w:fill="auto"/>
          </w:tcPr>
          <w:p w:rsidR="00A7773E" w:rsidRDefault="00221C2D" w:rsidP="007F1E55">
            <w:pPr>
              <w:pStyle w:val="ListParagraph"/>
              <w:tabs>
                <w:tab w:val="left" w:pos="5340"/>
              </w:tabs>
              <w:spacing w:line="276" w:lineRule="auto"/>
              <w:ind w:left="0"/>
              <w:jc w:val="both"/>
              <w:cnfStyle w:val="000000000000"/>
              <w:rPr>
                <w:bCs/>
                <w:sz w:val="28"/>
                <w:lang w:val="en-GB"/>
              </w:rPr>
            </w:pPr>
            <w:r>
              <w:rPr>
                <w:bCs/>
                <w:sz w:val="28"/>
                <w:lang w:val="en-GB"/>
              </w:rPr>
              <w:t xml:space="preserve">                          3.70 ± 0.08</w:t>
            </w:r>
          </w:p>
        </w:tc>
      </w:tr>
    </w:tbl>
    <w:p w:rsidR="00A7773E" w:rsidRDefault="00A7773E" w:rsidP="007F1E55">
      <w:pPr>
        <w:spacing w:after="160" w:line="276" w:lineRule="auto"/>
        <w:jc w:val="both"/>
        <w:rPr>
          <w:b/>
        </w:rPr>
      </w:pPr>
    </w:p>
    <w:p w:rsidR="00A7773E" w:rsidRDefault="00221C2D" w:rsidP="007F1E55">
      <w:pPr>
        <w:spacing w:line="276" w:lineRule="auto"/>
        <w:rPr>
          <w:rFonts w:ascii="Times New Roman" w:hAnsi="Times New Roman" w:cs="Times New Roman"/>
          <w:b/>
          <w:color w:val="000000" w:themeColor="text1"/>
        </w:rPr>
      </w:pPr>
      <w:r>
        <w:rPr>
          <w:rFonts w:ascii="Times New Roman" w:hAnsi="Times New Roman" w:cs="Times New Roman"/>
          <w:b/>
          <w:color w:val="000000" w:themeColor="text1"/>
        </w:rPr>
        <w:t>DISCUSSION</w:t>
      </w:r>
    </w:p>
    <w:p w:rsidR="00A7773E" w:rsidRDefault="00221C2D" w:rsidP="007F1E55">
      <w:pPr>
        <w:pStyle w:val="ListParagraph"/>
        <w:spacing w:line="276" w:lineRule="auto"/>
        <w:ind w:left="0"/>
        <w:jc w:val="both"/>
        <w:rPr>
          <w:color w:val="000000" w:themeColor="text1"/>
        </w:rPr>
      </w:pPr>
      <w:r>
        <w:rPr>
          <w:color w:val="000000" w:themeColor="text1"/>
        </w:rPr>
        <w:t xml:space="preserve">Emerging evidence indicates </w:t>
      </w:r>
      <w:r>
        <w:rPr>
          <w:color w:val="000000" w:themeColor="text1"/>
        </w:rPr>
        <w:t>that certain herbs pose a significant risk for hepatotoxicity</w:t>
      </w:r>
      <w:r w:rsidR="00A7773E">
        <w:rPr>
          <w:color w:val="000000" w:themeColor="text1"/>
        </w:rPr>
        <w:fldChar w:fldCharType="begin">
          <w:fldData xml:space="preserve">PEVuZE5vdGU+PENpdGU+PEF1dGhvcj5UZXNjaGtlPC9BdXRob3I+PFllYXI+MjAxMzwvWWVhcj48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</w:fldData>
        </w:fldChar>
      </w:r>
      <w:r>
        <w:rPr>
          <w:color w:val="000000" w:themeColor="text1"/>
        </w:rPr>
        <w:instrText xml:space="preserve"> ADDIN EN.CITE </w:instrText>
      </w:r>
      <w:r w:rsidR="00A7773E">
        <w:rPr>
          <w:color w:val="000000" w:themeColor="text1"/>
        </w:rPr>
        <w:fldChar w:fldCharType="begin">
          <w:fldData xml:space="preserve">PEVuZE5vdGU+PENpdGU+PEF1dGhvcj5UZXNjaGtlPC9BdXRob3I+PFllYXI+MjAxMzwvWWVhcj48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</w:fldData>
        </w:fldChar>
      </w:r>
      <w:r>
        <w:rPr>
          <w:color w:val="000000" w:themeColor="text1"/>
        </w:rPr>
        <w:instrText xml:space="preserve"> ADDIN EN.CITE.DATA </w:instrText>
      </w:r>
      <w:r w:rsidR="00A7773E">
        <w:rPr>
          <w:color w:val="000000" w:themeColor="text1"/>
        </w:rPr>
      </w:r>
      <w:r w:rsidR="00A7773E">
        <w:rPr>
          <w:color w:val="000000" w:themeColor="text1"/>
        </w:rPr>
        <w:fldChar w:fldCharType="end"/>
      </w:r>
      <w:r w:rsidR="00A7773E">
        <w:rPr>
          <w:color w:val="000000" w:themeColor="text1"/>
        </w:rPr>
      </w:r>
      <w:r w:rsidR="00A7773E">
        <w:rPr>
          <w:color w:val="000000" w:themeColor="text1"/>
        </w:rPr>
        <w:fldChar w:fldCharType="separate"/>
      </w:r>
      <w:r>
        <w:rPr>
          <w:color w:val="000000" w:themeColor="text1"/>
        </w:rPr>
        <w:t>[10, 9, 3]</w:t>
      </w:r>
      <w:r w:rsidR="00A7773E">
        <w:rPr>
          <w:color w:val="000000" w:themeColor="text1"/>
        </w:rPr>
        <w:fldChar w:fldCharType="end"/>
      </w:r>
      <w:r>
        <w:rPr>
          <w:color w:val="000000" w:themeColor="text1"/>
        </w:rPr>
        <w:t>. Liver damage is associated with cellular necrosis, increase in tissue lipid peroxidation and depletion in the tissue gluthath</w:t>
      </w:r>
      <w:r>
        <w:rPr>
          <w:color w:val="000000" w:themeColor="text1"/>
        </w:rPr>
        <w:t>ione (GSH) level</w:t>
      </w:r>
      <w:r w:rsidR="00A7773E">
        <w:rPr>
          <w:color w:val="000000" w:themeColor="text1"/>
        </w:rPr>
        <w:fldChar w:fldCharType="begin"/>
      </w:r>
      <w:r>
        <w:rPr>
          <w:color w:val="000000" w:themeColor="text1"/>
        </w:rPr>
        <w:instrText xml:space="preserve"> ADDIN EN.CITE &lt;EndNote&gt;&lt;Cite&gt;&lt;Author&gt;Teschke&lt;/Author&gt;&lt;Year&gt;2013&lt;/Year&gt;&lt;RecNum&gt;1142&lt;/RecNum&gt;&lt;DisplayText&gt;[10]&lt;/DisplayText&gt;&lt;record&gt;&lt;rec-number&gt;1142&lt;/rec-number&gt;&lt;foreign-keys&gt;&lt;key app="EN" db-id="2te9e2296d2s5dea9t95edp025t5fd5tpxw0" timesta</w:instrText>
      </w:r>
      <w:r>
        <w:rPr>
          <w:color w:val="000000" w:themeColor="text1"/>
        </w:rPr>
        <w:instrText xml:space="preserve">mp="1600690496"&gt;1142&lt;/key&gt;&lt;/foreign-keys&gt;&lt;ref-type name="Journal Article"&gt;17&lt;/ref-type&gt;&lt;contributors&gt;&lt;authors&gt;&lt;author&gt;Teschke, Rolf&lt;/author&gt;&lt;author&gt;Frenzel, Christian&lt;/author&gt;&lt;author&gt;Glass, Xaver&lt;/author&gt;&lt;author&gt;Schulze, Johannes&lt;/author&gt;&lt;author&gt;Eickhoff, </w:instrText>
      </w:r>
      <w:r>
        <w:rPr>
          <w:color w:val="000000" w:themeColor="text1"/>
        </w:rPr>
        <w:instrText>Axel&lt;/author&gt;&lt;/authors&gt;&lt;/contributors&gt;&lt;titles&gt;&lt;title&gt;Herbal hepatotoxicity: a critical review&lt;/title&gt;&lt;secondary-title&gt;British Journal of Clinical Pharmacology&lt;/secondary-title&gt;&lt;/titles&gt;&lt;periodical&gt;&lt;full-title&gt;British journal of clinical pharmacology&lt;/full-</w:instrText>
      </w:r>
      <w:r>
        <w:rPr>
          <w:color w:val="000000" w:themeColor="text1"/>
        </w:rPr>
        <w:instrText>title&gt;&lt;/periodical&gt;&lt;pages&gt;630-636&lt;/pages&gt;&lt;volume&gt;75&lt;/volume&gt;&lt;number&gt;3&lt;/number&gt;&lt;dates&gt;&lt;year&gt;2013&lt;/year&gt;&lt;/dates&gt;&lt;isbn&gt;0306-5251&lt;/isbn&gt;&lt;urls&gt;&lt;/urls&gt;&lt;/record&gt;&lt;/Cite&gt;&lt;/EndNote&gt;</w:instrText>
      </w:r>
      <w:r w:rsidR="00A7773E">
        <w:rPr>
          <w:color w:val="000000" w:themeColor="text1"/>
        </w:rPr>
        <w:fldChar w:fldCharType="separate"/>
      </w:r>
      <w:r>
        <w:rPr>
          <w:color w:val="000000" w:themeColor="text1"/>
        </w:rPr>
        <w:t>[10]</w:t>
      </w:r>
      <w:r w:rsidR="00A7773E">
        <w:rPr>
          <w:color w:val="000000" w:themeColor="text1"/>
        </w:rPr>
        <w:fldChar w:fldCharType="end"/>
      </w:r>
      <w:r>
        <w:rPr>
          <w:color w:val="000000" w:themeColor="text1"/>
        </w:rPr>
        <w:t>. In addition, serum levels of many biochemical markers like serum glutamic-ox</w:t>
      </w:r>
      <w:r>
        <w:rPr>
          <w:color w:val="000000" w:themeColor="text1"/>
        </w:rPr>
        <w:t>aloaxetic transaminase (SGOT), serum glutamic pyruvic transaminase (SGPT), triglycerides, cholesterol, bilirubin, alkaline phosphate (ALP) are also elevated with liver damage</w:t>
      </w:r>
      <w:r w:rsidR="00A7773E">
        <w:rPr>
          <w:color w:val="000000" w:themeColor="text1"/>
        </w:rPr>
        <w:fldChar w:fldCharType="begin"/>
      </w:r>
      <w:r>
        <w:rPr>
          <w:color w:val="000000" w:themeColor="text1"/>
        </w:rPr>
        <w:instrText xml:space="preserve"> ADDIN EN.CITE &lt;EndNote&gt;&lt;Cite&gt;&lt;Author&gt;Preeti&lt;/Author&gt;&lt;Year&gt;2016&lt;/Year&gt;&lt;RecNum&gt;1143</w:instrText>
      </w:r>
      <w:r>
        <w:rPr>
          <w:color w:val="000000" w:themeColor="text1"/>
        </w:rPr>
        <w:instrText>&lt;/RecNum&gt;&lt;DisplayText&gt;[18]&lt;/DisplayText&gt;&lt;record&gt;&lt;rec-number&gt;1143&lt;/rec-number&gt;&lt;foreign-keys&gt;&lt;key app="EN" db-id="2te9e2296d2s5dea9t95edp025t5fd5tpxw0" timestamp="1600742063"&gt;1143&lt;/key&gt;&lt;/foreign-keys&gt;&lt;ref-type name="Journal Article"&gt;17&lt;/ref-type&gt;&lt;contributor</w:instrText>
      </w:r>
      <w:r>
        <w:rPr>
          <w:color w:val="000000" w:themeColor="text1"/>
        </w:rPr>
        <w:instrText>s&gt;&lt;authors&gt;&lt;author&gt;Preeti, Chaudhary&lt;/author&gt;&lt;author&gt;Shamim, Ahmad&lt;/author&gt;&lt;author&gt;Khan, Najam Ali&lt;/author&gt;&lt;/authors&gt;&lt;/contributors&gt;&lt;titles&gt;&lt;title&gt;Herbal plants-a boon for hepatotoxicity&lt;/title&gt;&lt;secondary-title&gt;AJPCR&lt;/secondary-title&gt;&lt;/titles&gt;&lt;periodical&gt;&lt;</w:instrText>
      </w:r>
      <w:r>
        <w:rPr>
          <w:color w:val="000000" w:themeColor="text1"/>
        </w:rPr>
        <w:instrText>full-title&gt;AJPCR&lt;/full-title&gt;&lt;/periodical&gt;&lt;pages&gt;37-40&lt;/pages&gt;&lt;volume&gt;9&lt;/volume&gt;&lt;number&gt;10&lt;/number&gt;&lt;dates&gt;&lt;year&gt;2016&lt;/year&gt;&lt;/dates&gt;&lt;urls&gt;&lt;/urls&gt;&lt;/record&gt;&lt;/Cite&gt;&lt;/EndNote&gt;</w:instrText>
      </w:r>
      <w:r w:rsidR="00A7773E">
        <w:rPr>
          <w:color w:val="000000" w:themeColor="text1"/>
        </w:rPr>
        <w:fldChar w:fldCharType="separate"/>
      </w:r>
      <w:r>
        <w:rPr>
          <w:color w:val="000000" w:themeColor="text1"/>
        </w:rPr>
        <w:t>[18]</w:t>
      </w:r>
      <w:r w:rsidR="00A7773E">
        <w:rPr>
          <w:color w:val="000000" w:themeColor="text1"/>
        </w:rPr>
        <w:fldChar w:fldCharType="end"/>
      </w:r>
      <w:r>
        <w:rPr>
          <w:color w:val="000000" w:themeColor="text1"/>
        </w:rPr>
        <w:t>. Therefore, biochemical abnormalities and histological characteristics, in ass</w:t>
      </w:r>
      <w:r>
        <w:rPr>
          <w:color w:val="000000" w:themeColor="text1"/>
        </w:rPr>
        <w:t xml:space="preserve">ociation with clinical presentation, help to define the pattern of a drug or substance-induced liver injury. </w:t>
      </w:r>
    </w:p>
    <w:p w:rsidR="00A7773E" w:rsidRDefault="00221C2D" w:rsidP="007F1E55">
      <w:pPr>
        <w:pStyle w:val="NormalWeb"/>
        <w:spacing w:line="276" w:lineRule="auto"/>
        <w:jc w:val="both"/>
        <w:rPr>
          <w:color w:val="000000" w:themeColor="text1"/>
        </w:rPr>
      </w:pPr>
      <w:r>
        <w:rPr>
          <w:color w:val="000000" w:themeColor="text1"/>
        </w:rPr>
        <w:t>Paracetamol is metabolized by a cytochrome P450 enzyme known as CYP2E1</w:t>
      </w:r>
      <w:r w:rsidR="00A7773E">
        <w:rPr>
          <w:color w:val="000000" w:themeColor="text1"/>
        </w:rPr>
        <w:fldChar w:fldCharType="begin"/>
      </w:r>
      <w:r>
        <w:rPr>
          <w:color w:val="000000" w:themeColor="text1"/>
        </w:rPr>
        <w:instrText xml:space="preserve"> ADDIN EN.CITE &lt;EndNote&gt;&lt;Cite&gt;&lt;Author&gt;Ewing&lt;/Author&gt;&lt;Year&gt;2019&lt;/Year&gt;&lt;RecNum</w:instrText>
      </w:r>
      <w:r>
        <w:rPr>
          <w:color w:val="000000" w:themeColor="text1"/>
        </w:rPr>
        <w:instrText>&gt;502&lt;/RecNum&gt;&lt;DisplayText&gt;[17]&lt;/DisplayText&gt;&lt;record&gt;&lt;rec-number&gt;502&lt;/rec-number&gt;&lt;foreign-keys&gt;&lt;key app="EN" db-id="2te9e2296d2s5dea9t95edp025t5fd5tpxw0" timestamp="0"&gt;502&lt;/key&gt;&lt;/foreign-keys&gt;&lt;ref-type name="Journal Article"&gt;17&lt;/ref-type&gt;&lt;contributors&gt;&lt;auth</w:instrText>
      </w:r>
      <w:r>
        <w:rPr>
          <w:color w:val="000000" w:themeColor="text1"/>
        </w:rPr>
        <w:instrText xml:space="preserve">ors&gt;&lt;author&gt;Ewing, Laura E&lt;/author&gt;&lt;author&gt;McGill, Mitchell R&lt;/author&gt;&lt;author&gt;Yee, Eric U&lt;/author&gt;&lt;author&gt;Quick, Charles M&lt;/author&gt;&lt;author&gt;Skinner, Charles M&lt;/author&gt;&lt;author&gt;Kennon-McGill, Stefanie&lt;/author&gt;&lt;author&gt;Clemens, Melissa&lt;/author&gt;&lt;author&gt;Vazquez, </w:instrText>
      </w:r>
      <w:r>
        <w:rPr>
          <w:color w:val="000000" w:themeColor="text1"/>
        </w:rPr>
        <w:instrText>Joel H&lt;/author&gt;&lt;author&gt;McCullough, Sandra S&lt;/author&gt;&lt;author&gt;Williams, D Keith&lt;/author&gt;&lt;/authors&gt;&lt;/contributors&gt;&lt;titles&gt;&lt;title&gt;Paradoxical Patterns of Sinusoidal Obstruction Syndrome-Like Liver Injury in Aged Female CD-1 Mice Triggered by Cannabidiol-Rich C</w:instrText>
      </w:r>
      <w:r>
        <w:rPr>
          <w:color w:val="000000" w:themeColor="text1"/>
        </w:rPr>
        <w:instrText>annabis Extract and Acetaminophen Co-Administration&lt;/title&gt;&lt;secondary-title&gt;Molecules&lt;/secondary-title&gt;&lt;/titles&gt;&lt;periodical&gt;&lt;full-title&gt;Molecules&lt;/full-title&gt;&lt;/periodical&gt;&lt;pages&gt;2256&lt;/pages&gt;&lt;volume&gt;24&lt;/volume&gt;&lt;number&gt;12&lt;/number&gt;&lt;dates&gt;&lt;year&gt;2019&lt;/year&gt;&lt;/da</w:instrText>
      </w:r>
      <w:r>
        <w:rPr>
          <w:color w:val="000000" w:themeColor="text1"/>
        </w:rPr>
        <w:instrText>tes&gt;&lt;urls&gt;&lt;/urls&gt;&lt;/record&gt;&lt;/Cite&gt;&lt;/EndNote&gt;</w:instrText>
      </w:r>
      <w:r w:rsidR="00A7773E">
        <w:rPr>
          <w:color w:val="000000" w:themeColor="text1"/>
        </w:rPr>
        <w:fldChar w:fldCharType="separate"/>
      </w:r>
      <w:r>
        <w:rPr>
          <w:color w:val="000000" w:themeColor="text1"/>
        </w:rPr>
        <w:t>[17]</w:t>
      </w:r>
      <w:r w:rsidR="00A7773E">
        <w:rPr>
          <w:color w:val="000000" w:themeColor="text1"/>
        </w:rPr>
        <w:fldChar w:fldCharType="end"/>
      </w:r>
      <w:r>
        <w:rPr>
          <w:color w:val="000000" w:themeColor="text1"/>
        </w:rPr>
        <w:t xml:space="preserve">. Certain herbs have been shown to induce CYP2E1 resulting in enhanced production of </w:t>
      </w:r>
      <w:r>
        <w:rPr>
          <w:i/>
          <w:iCs/>
          <w:color w:val="000000" w:themeColor="text1"/>
        </w:rPr>
        <w:t>N</w:t>
      </w:r>
      <w:r>
        <w:rPr>
          <w:color w:val="000000" w:themeColor="text1"/>
        </w:rPr>
        <w:t xml:space="preserve">-acetyl-para-benzo- quinone imine (NAPQI) which is a hepatotoxin </w:t>
      </w:r>
      <w:r w:rsidR="00A7773E">
        <w:rPr>
          <w:color w:val="000000" w:themeColor="text1"/>
        </w:rPr>
        <w:fldChar w:fldCharType="begin"/>
      </w:r>
      <w:r>
        <w:rPr>
          <w:color w:val="000000" w:themeColor="text1"/>
        </w:rPr>
        <w:instrText xml:space="preserve"> ADDIN EN.CITE &lt;EndNote&gt;&lt;Cite&gt;&lt;Author&gt;Mekjaruskul&lt;/Auth</w:instrText>
      </w:r>
      <w:r>
        <w:rPr>
          <w:color w:val="000000" w:themeColor="text1"/>
        </w:rPr>
        <w:instrText>or&gt;&lt;Year&gt;2019&lt;/Year&gt;&lt;RecNum&gt;517&lt;/RecNum&gt;&lt;DisplayText&gt;[19, 17]&lt;/DisplayText&gt;&lt;record&gt;&lt;rec-number&gt;517&lt;/rec-number&gt;&lt;foreign-keys&gt;&lt;key app="EN" db-id="2te9e2296d2s5dea9t95edp025t5fd5tpxw0" timestamp="0"&gt;517&lt;/key&gt;&lt;/foreign-keys&gt;&lt;ref-type name="Journal Article"&gt;1</w:instrText>
      </w:r>
      <w:r>
        <w:rPr>
          <w:color w:val="000000" w:themeColor="text1"/>
        </w:rPr>
        <w:instrText>7&lt;/ref-type&gt;&lt;contributors&gt;&lt;authors&gt;&lt;author&gt;Mekjaruskul, Catheleeya&lt;/author&gt;&lt;author&gt;Sripanidkulchai, Bungorn&lt;/author&gt;&lt;/authors&gt;&lt;/contributors&gt;&lt;titles&gt;&lt;title&gt;In vivo effect of Kaempferia parviflora extract on pharmacokinetics of acetaminophen&lt;/title&gt;&lt;seconda</w:instrText>
      </w:r>
      <w:r>
        <w:rPr>
          <w:color w:val="000000" w:themeColor="text1"/>
        </w:rPr>
        <w:instrText>ry-title&gt;Drug and chemical toxicology&lt;/secondary-title&gt;&lt;/titles&gt;&lt;periodical&gt;&lt;full-title&gt;Drug and chemical toxicology&lt;/full-title&gt;&lt;/periodical&gt;&lt;pages&gt;1-7&lt;/pages&gt;&lt;dates&gt;&lt;year&gt;2019&lt;/year&gt;&lt;/dates&gt;&lt;isbn&gt;0148-0545&lt;/isbn&gt;&lt;urls&gt;&lt;/urls&gt;&lt;/record&gt;&lt;/Cite&gt;&lt;Cite&gt;&lt;Author</w:instrText>
      </w:r>
      <w:r>
        <w:rPr>
          <w:color w:val="000000" w:themeColor="text1"/>
        </w:rPr>
        <w:instrText>&gt;Ewing&lt;/Author&gt;&lt;Year&gt;2019&lt;/Year&gt;&lt;RecNum&gt;502&lt;/RecNum&gt;&lt;record&gt;&lt;rec-number&gt;502&lt;/rec-number&gt;&lt;foreign-keys&gt;&lt;key app="EN" db-id="2te9e2296d2s5dea9t95edp025t5fd5tpxw0" timestamp="0"&gt;502&lt;/key&gt;&lt;/foreign-keys&gt;&lt;ref-type name="Journal Article"&gt;17&lt;/ref-type&gt;&lt;contributo</w:instrText>
      </w:r>
      <w:r>
        <w:rPr>
          <w:color w:val="000000" w:themeColor="text1"/>
        </w:rPr>
        <w:instrText>rs&gt;&lt;authors&gt;&lt;author&gt;Ewing, Laura E&lt;/author&gt;&lt;author&gt;McGill, Mitchell R&lt;/author&gt;&lt;author&gt;Yee, Eric U&lt;/author&gt;&lt;author&gt;Quick, Charles M&lt;/author&gt;&lt;author&gt;Skinner, Charles M&lt;/author&gt;&lt;author&gt;Kennon-McGill, Stefanie&lt;/author&gt;&lt;author&gt;Clemens, Melissa&lt;/author&gt;&lt;author&gt;V</w:instrText>
      </w:r>
      <w:r>
        <w:rPr>
          <w:color w:val="000000" w:themeColor="text1"/>
        </w:rPr>
        <w:instrText>azquez, Joel H&lt;/author&gt;&lt;author&gt;McCullough, Sandra S&lt;/author&gt;&lt;author&gt;Williams, D Keith&lt;/author&gt;&lt;/authors&gt;&lt;/contributors&gt;&lt;titles&gt;&lt;title&gt;Paradoxical Patterns of Sinusoidal Obstruction Syndrome-Like Liver Injury in Aged Female CD-1 Mice Triggered by Cannabidio</w:instrText>
      </w:r>
      <w:r>
        <w:rPr>
          <w:color w:val="000000" w:themeColor="text1"/>
        </w:rPr>
        <w:instrText>l-Rich Cannabis Extract and Acetaminophen Co-Administration&lt;/title&gt;&lt;secondary-title&gt;Molecules&lt;/secondary-title&gt;&lt;/titles&gt;&lt;periodical&gt;&lt;full-title&gt;Molecules&lt;/full-title&gt;&lt;/periodical&gt;&lt;pages&gt;2256&lt;/pages&gt;&lt;volume&gt;24&lt;/volume&gt;&lt;number&gt;12&lt;/number&gt;&lt;dates&gt;&lt;year&gt;2019&lt;/y</w:instrText>
      </w:r>
      <w:r>
        <w:rPr>
          <w:color w:val="000000" w:themeColor="text1"/>
        </w:rPr>
        <w:instrText>ear&gt;&lt;/dates&gt;&lt;urls&gt;&lt;/urls&gt;&lt;/record&gt;&lt;/Cite&gt;&lt;/EndNote&gt;</w:instrText>
      </w:r>
      <w:r w:rsidR="00A7773E">
        <w:rPr>
          <w:color w:val="000000" w:themeColor="text1"/>
        </w:rPr>
        <w:fldChar w:fldCharType="separate"/>
      </w:r>
      <w:r>
        <w:rPr>
          <w:color w:val="000000" w:themeColor="text1"/>
        </w:rPr>
        <w:t>[19, 17]</w:t>
      </w:r>
      <w:r w:rsidR="00A7773E">
        <w:rPr>
          <w:color w:val="000000" w:themeColor="text1"/>
        </w:rPr>
        <w:fldChar w:fldCharType="end"/>
      </w:r>
      <w:r>
        <w:rPr>
          <w:color w:val="000000" w:themeColor="text1"/>
        </w:rPr>
        <w:t xml:space="preserve">. In a study by Zendulka et al.  Cannabidiol  from </w:t>
      </w:r>
      <w:r>
        <w:rPr>
          <w:i/>
          <w:iCs/>
          <w:color w:val="000000" w:themeColor="text1"/>
        </w:rPr>
        <w:t>Cannabis sativa (</w:t>
      </w:r>
      <w:r>
        <w:rPr>
          <w:color w:val="000000" w:themeColor="text1"/>
        </w:rPr>
        <w:t>commonly used for its anti-seizure  activity) was shown to induce drug interactions involving the modulation of various cytoch</w:t>
      </w:r>
      <w:r>
        <w:rPr>
          <w:color w:val="000000" w:themeColor="text1"/>
        </w:rPr>
        <w:t>rome P450 enzymes responsible for paracetamol metabolism</w:t>
      </w:r>
      <w:r w:rsidR="00A7773E">
        <w:rPr>
          <w:color w:val="000000" w:themeColor="text1"/>
        </w:rPr>
        <w:fldChar w:fldCharType="begin"/>
      </w:r>
      <w:r>
        <w:rPr>
          <w:color w:val="000000" w:themeColor="text1"/>
        </w:rPr>
        <w:instrText xml:space="preserve"> ADDIN EN.CITE &lt;EndNote&gt;&lt;Cite&gt;&lt;Author&gt;Zendulka&lt;/Author&gt;&lt;Year&gt;2016&lt;/Year&gt;&lt;RecNum&gt;1144&lt;/RecNum&gt;&lt;DisplayText&gt;[20]&lt;/DisplayText&gt;&lt;record&gt;&lt;rec-number&gt;1144&lt;/rec-number&gt;&lt;foreign-keys&gt;&lt;key app="EN" db-id="2te9</w:instrText>
      </w:r>
      <w:r>
        <w:rPr>
          <w:color w:val="000000" w:themeColor="text1"/>
        </w:rPr>
        <w:instrText>e2296d2s5dea9t95edp025t5fd5tpxw0" timestamp="1600742540"&gt;1144&lt;/key&gt;&lt;/foreign-keys&gt;&lt;ref-type name="Journal Article"&gt;17&lt;/ref-type&gt;&lt;contributors&gt;&lt;authors&gt;&lt;author&gt;Zendulka, O.&lt;/author&gt;&lt;author&gt;Dovrtělová, G.&lt;/author&gt;&lt;author&gt;Nosková, K.&lt;/author&gt;&lt;author&gt;Turjap, M</w:instrText>
      </w:r>
      <w:r>
        <w:rPr>
          <w:color w:val="000000" w:themeColor="text1"/>
        </w:rPr>
        <w:instrText>.&lt;/author&gt;&lt;author&gt;Šulcová, A.&lt;/author&gt;&lt;author&gt;Hanuš, L.&lt;/author&gt;&lt;author&gt;Juřica, J.&lt;/author&gt;&lt;/authors&gt;&lt;/contributors&gt;&lt;auth-address&gt;Department of Pharmacology, Faculty of Medicine, Masaryk University, 628 00, Brno, Czech Republic. zendulka@med.muni.cz.&lt;/auth</w:instrText>
      </w:r>
      <w:r>
        <w:rPr>
          <w:color w:val="000000" w:themeColor="text1"/>
        </w:rPr>
        <w:instrText>-address&gt;&lt;titles&gt;&lt;title&gt;Cannabinoids and Cytochrome P450 Interactions&lt;/title&gt;&lt;secondary-title&gt;Curr Drug Metab&lt;/secondary-title&gt;&lt;/titles&gt;&lt;periodical&gt;&lt;full-title&gt;Curr Drug Metab&lt;/full-title&gt;&lt;/periodical&gt;&lt;pages&gt;206-26&lt;/pages&gt;&lt;volume&gt;17&lt;/volume&gt;&lt;number&gt;3&lt;/numb</w:instrText>
      </w:r>
      <w:r>
        <w:rPr>
          <w:color w:val="000000" w:themeColor="text1"/>
        </w:rPr>
        <w:instrText>er&gt;&lt;edition&gt;2015/12/15&lt;/edition&gt;&lt;keywords&gt;&lt;keyword&gt;Animals&lt;/keyword&gt;&lt;keyword&gt;Cannabinoids/*metabolism&lt;/keyword&gt;&lt;keyword&gt;Cytochrome P-450 Enzyme System/*metabolism&lt;/keyword&gt;&lt;keyword&gt;Humans&lt;/keyword&gt;&lt;keyword&gt;Liver/metabolism&lt;/keyword&gt;&lt;/keywords&gt;&lt;dates&gt;&lt;year&gt;</w:instrText>
      </w:r>
      <w:r>
        <w:rPr>
          <w:color w:val="000000" w:themeColor="text1"/>
        </w:rPr>
        <w:instrText>2016&lt;/year&gt;&lt;/dates&gt;&lt;isbn&gt;1389-2002&lt;/isbn&gt;&lt;accession-num&gt;26651971&lt;/accession-num&gt;&lt;urls&gt;&lt;/urls&gt;&lt;electronic-resource-num&gt;10.2174/1389200217666151210142051&lt;/electronic-resource-num&gt;&lt;remote-database-provider&gt;NLM&lt;/remote-database-provider&gt;&lt;language&gt;eng&lt;/language</w:instrText>
      </w:r>
      <w:r>
        <w:rPr>
          <w:color w:val="000000" w:themeColor="text1"/>
        </w:rPr>
        <w:instrText>&gt;&lt;/record&gt;&lt;/Cite&gt;&lt;/EndNote&gt;</w:instrText>
      </w:r>
      <w:r w:rsidR="00A7773E">
        <w:rPr>
          <w:color w:val="000000" w:themeColor="text1"/>
        </w:rPr>
        <w:fldChar w:fldCharType="separate"/>
      </w:r>
      <w:r>
        <w:rPr>
          <w:color w:val="000000" w:themeColor="text1"/>
        </w:rPr>
        <w:t>[20]</w:t>
      </w:r>
      <w:r w:rsidR="00A7773E">
        <w:rPr>
          <w:color w:val="000000" w:themeColor="text1"/>
        </w:rPr>
        <w:fldChar w:fldCharType="end"/>
      </w:r>
      <w:r>
        <w:rPr>
          <w:color w:val="000000" w:themeColor="text1"/>
        </w:rPr>
        <w:t xml:space="preserve">. </w:t>
      </w:r>
    </w:p>
    <w:p w:rsidR="00A7773E" w:rsidRDefault="00221C2D" w:rsidP="007F1E55">
      <w:pPr>
        <w:pStyle w:val="NormalWeb"/>
        <w:spacing w:line="276" w:lineRule="auto"/>
        <w:jc w:val="both"/>
        <w:rPr>
          <w:color w:val="000000" w:themeColor="text1"/>
        </w:rPr>
      </w:pPr>
      <w:r>
        <w:rPr>
          <w:color w:val="000000" w:themeColor="text1"/>
        </w:rPr>
        <w:t>Paracetamol is a common analgesic medication. When paracetamol  is administered using its indicated dosage, the risk of adverse effects is low. However, when the therapeutic dosage range is exceeded, paracetamol toxicit</w:t>
      </w:r>
      <w:r>
        <w:rPr>
          <w:color w:val="000000" w:themeColor="text1"/>
        </w:rPr>
        <w:t>ies emanate</w:t>
      </w:r>
      <w:r w:rsidR="00A7773E">
        <w:rPr>
          <w:color w:val="000000" w:themeColor="text1"/>
        </w:rPr>
        <w:fldChar w:fldCharType="begin"/>
      </w:r>
      <w:r>
        <w:rPr>
          <w:color w:val="000000" w:themeColor="text1"/>
        </w:rPr>
        <w:instrText xml:space="preserve"> ADDIN EN.CITE &lt;EndNote&gt;&lt;Cite&gt;&lt;Author&gt;Ewing&lt;/Author&gt;&lt;Year&gt;2019&lt;/Year&gt;&lt;RecNum&gt;502&lt;/RecNum&gt;&lt;DisplayText&gt;[17]&lt;/DisplayText&gt;&lt;record&gt;&lt;rec-number&gt;502&lt;/rec-number&gt;&lt;foreign-keys&gt;&lt;key app="EN" db-id="2te9e2296d2s5dea9t95edp025t5fd5tpxw0" timestamp="0"&gt;50</w:instrText>
      </w:r>
      <w:r>
        <w:rPr>
          <w:color w:val="000000" w:themeColor="text1"/>
        </w:rPr>
        <w:instrText>2&lt;/key&gt;&lt;/foreign-keys&gt;&lt;ref-type name="Journal Article"&gt;17&lt;/ref-type&gt;&lt;contributors&gt;&lt;authors&gt;&lt;author&gt;Ewing, Laura E&lt;/author&gt;&lt;author&gt;McGill, Mitchell R&lt;/author&gt;&lt;author&gt;Yee, Eric U&lt;/author&gt;&lt;author&gt;Quick, Charles M&lt;/author&gt;&lt;author&gt;Skinner, Charles M&lt;/author&gt;&lt;au</w:instrText>
      </w:r>
      <w:r>
        <w:rPr>
          <w:color w:val="000000" w:themeColor="text1"/>
        </w:rPr>
        <w:instrText>thor&gt;Kennon-McGill, Stefanie&lt;/author&gt;&lt;author&gt;Clemens, Melissa&lt;/author&gt;&lt;author&gt;Vazquez, Joel H&lt;/author&gt;&lt;author&gt;McCullough, Sandra S&lt;/author&gt;&lt;author&gt;Williams, D Keith&lt;/author&gt;&lt;/authors&gt;&lt;/contributors&gt;&lt;titles&gt;&lt;title&gt;Paradoxical Patterns of Sinusoidal Obstruct</w:instrText>
      </w:r>
      <w:r>
        <w:rPr>
          <w:color w:val="000000" w:themeColor="text1"/>
        </w:rPr>
        <w:instrText>ion Syndrome-Like Liver Injury in Aged Female CD-1 Mice Triggered by Cannabidiol-Rich Cannabis Extract and Acetaminophen Co-Administration&lt;/title&gt;&lt;secondary-title&gt;Molecules&lt;/secondary-title&gt;&lt;/titles&gt;&lt;periodical&gt;&lt;full-title&gt;Molecules&lt;/full-title&gt;&lt;/periodica</w:instrText>
      </w:r>
      <w:r>
        <w:rPr>
          <w:color w:val="000000" w:themeColor="text1"/>
        </w:rPr>
        <w:instrText>l&gt;&lt;pages&gt;2256&lt;/pages&gt;&lt;volume&gt;24&lt;/volume&gt;&lt;number&gt;12&lt;/number&gt;&lt;dates&gt;&lt;year&gt;2019&lt;/year&gt;&lt;/dates&gt;&lt;urls&gt;&lt;/urls&gt;&lt;/record&gt;&lt;/Cite&gt;&lt;/EndNote&gt;</w:instrText>
      </w:r>
      <w:r w:rsidR="00A7773E">
        <w:rPr>
          <w:color w:val="000000" w:themeColor="text1"/>
        </w:rPr>
        <w:fldChar w:fldCharType="separate"/>
      </w:r>
      <w:r>
        <w:rPr>
          <w:color w:val="000000" w:themeColor="text1"/>
        </w:rPr>
        <w:t>[17]</w:t>
      </w:r>
      <w:r w:rsidR="00A7773E">
        <w:rPr>
          <w:color w:val="000000" w:themeColor="text1"/>
        </w:rPr>
        <w:fldChar w:fldCharType="end"/>
      </w:r>
      <w:r>
        <w:rPr>
          <w:color w:val="000000" w:themeColor="text1"/>
        </w:rPr>
        <w:t>. The most serious adverse reaction associated with paracetamol is hepatotoxicity attributable to a major metabolite kn</w:t>
      </w:r>
      <w:r>
        <w:rPr>
          <w:color w:val="000000" w:themeColor="text1"/>
        </w:rPr>
        <w:t>own as N-acetyl-p-benzoquinone imine (NAPQI)</w:t>
      </w:r>
      <w:r w:rsidR="00A7773E">
        <w:rPr>
          <w:color w:val="000000" w:themeColor="text1"/>
        </w:rPr>
        <w:fldChar w:fldCharType="begin"/>
      </w:r>
      <w:r>
        <w:rPr>
          <w:color w:val="000000" w:themeColor="text1"/>
        </w:rPr>
        <w:instrText xml:space="preserve"> ADDIN EN.CITE &lt;EndNote&gt;&lt;Cite&gt;&lt;Author&gt;Ganetsky&lt;/Author&gt;&lt;Year&gt;2013&lt;/Year&gt;&lt;RecNum&gt;1145&lt;/RecNum&gt;&lt;DisplayText&gt;[21]&lt;/DisplayText&gt;&lt;record&gt;&lt;rec-number&gt;1145&lt;/rec-number&gt;&lt;foreign-keys&gt;&lt;key app="EN" db-id="2te9e2296d2s5dea</w:instrText>
      </w:r>
      <w:r>
        <w:rPr>
          <w:color w:val="000000" w:themeColor="text1"/>
        </w:rPr>
        <w:instrText>9t95edp025t5fd5tpxw0" timestamp="1600742966"&gt;1145&lt;/key&gt;&lt;/foreign-keys&gt;&lt;ref-type name="Journal Article"&gt;17&lt;/ref-type&gt;&lt;contributors&gt;&lt;authors&gt;&lt;author&gt;Ganetsky, Michael&lt;/author&gt;&lt;author&gt;Böhlke, Mark&lt;/author&gt;&lt;author&gt;Pereira, Luis&lt;/author&gt;&lt;author&gt;Williams, David&lt;</w:instrText>
      </w:r>
      <w:r>
        <w:rPr>
          <w:color w:val="000000" w:themeColor="text1"/>
        </w:rPr>
        <w:instrText>/author&gt;&lt;author&gt;LeDuc, Barbara&lt;/author&gt;&lt;author&gt;Guatam, Shiva&lt;/author&gt;&lt;author&gt;Salhanick, Steven D&lt;/author&gt;&lt;/authors&gt;&lt;/contributors&gt;&lt;titles&gt;&lt;title&gt;Effect of excipients on acetaminophen metabolism and its implications for prevention of liver injury&lt;/title&gt;&lt;se</w:instrText>
      </w:r>
      <w:r>
        <w:rPr>
          <w:color w:val="000000" w:themeColor="text1"/>
        </w:rPr>
        <w:instrText>condary-title&gt;The Journal of Clinical Pharmacology&lt;/secondary-title&gt;&lt;/titles&gt;&lt;periodical&gt;&lt;full-title&gt;The Journal of Clinical Pharmacology&lt;/full-title&gt;&lt;/periodical&gt;&lt;pages&gt;413-420&lt;/pages&gt;&lt;volume&gt;53&lt;/volume&gt;&lt;number&gt;4&lt;/number&gt;&lt;dates&gt;&lt;year&gt;2013&lt;/year&gt;&lt;/dates&gt;&lt;i</w:instrText>
      </w:r>
      <w:r>
        <w:rPr>
          <w:color w:val="000000" w:themeColor="text1"/>
        </w:rPr>
        <w:instrText>sbn&gt;0091-2700&lt;/isbn&gt;&lt;urls&gt;&lt;/urls&gt;&lt;/record&gt;&lt;/Cite&gt;&lt;/EndNote&gt;</w:instrText>
      </w:r>
      <w:r w:rsidR="00A7773E">
        <w:rPr>
          <w:color w:val="000000" w:themeColor="text1"/>
        </w:rPr>
        <w:fldChar w:fldCharType="separate"/>
      </w:r>
      <w:r>
        <w:rPr>
          <w:color w:val="000000" w:themeColor="text1"/>
        </w:rPr>
        <w:t>[21]</w:t>
      </w:r>
      <w:r w:rsidR="00A7773E">
        <w:rPr>
          <w:color w:val="000000" w:themeColor="text1"/>
        </w:rPr>
        <w:fldChar w:fldCharType="end"/>
      </w:r>
      <w:r>
        <w:rPr>
          <w:color w:val="000000" w:themeColor="text1"/>
        </w:rPr>
        <w:t xml:space="preserve">. </w:t>
      </w: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 is an oral herbal preparation obtained from </w:t>
      </w:r>
      <w:r>
        <w:rPr>
          <w:rFonts w:ascii="Times New Roman" w:hAnsi="Times New Roman" w:cs="Times New Roman"/>
          <w:i/>
          <w:iCs/>
          <w:color w:val="000000" w:themeColor="text1"/>
        </w:rPr>
        <w:t>Occimum grattissimum, Colocynthis citrullus, Khayaivorensi</w:t>
      </w:r>
      <w:r>
        <w:rPr>
          <w:rFonts w:ascii="Times New Roman" w:hAnsi="Times New Roman" w:cs="Times New Roman"/>
          <w:color w:val="000000" w:themeColor="text1"/>
        </w:rPr>
        <w:t xml:space="preserve">. It is claimed by the manufactures to boost immunity, aid digestion </w:t>
      </w:r>
      <w:r>
        <w:rPr>
          <w:rFonts w:ascii="Times New Roman" w:hAnsi="Times New Roman" w:cs="Times New Roman"/>
          <w:color w:val="000000" w:themeColor="text1"/>
        </w:rPr>
        <w:t xml:space="preserve">and to treat a wide array of ailments. Generally, with an increase in the utilization of herbal remedies for different conditions, the concomitant administration of herbal medicines with conventional drugs might be inevitable </w:t>
      </w:r>
      <w:r w:rsidR="00A7773E">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w:instrText>
      </w:r>
      <w:r>
        <w:rPr>
          <w:rFonts w:ascii="Times New Roman" w:hAnsi="Times New Roman" w:cs="Times New Roman"/>
          <w:color w:val="000000" w:themeColor="text1"/>
        </w:rPr>
        <w:instrText>&lt;Author&gt;Mekjaruskul&lt;/Author&gt;&lt;Year&gt;2019&lt;/Year&gt;&lt;RecNum&gt;517&lt;/RecNum&gt;&lt;DisplayText&gt;[19]&lt;/DisplayText&gt;&lt;record&gt;&lt;rec-number&gt;517&lt;/rec-number&gt;&lt;foreign-keys&gt;&lt;key app="EN" db-id="2te9e2296d2s5dea9t95edp025t5fd5tpxw0" timestamp="0"&gt;517&lt;/key&gt;&lt;/foreign-keys&gt;&lt;ref-type nam</w:instrText>
      </w:r>
      <w:r>
        <w:rPr>
          <w:rFonts w:ascii="Times New Roman" w:hAnsi="Times New Roman" w:cs="Times New Roman"/>
          <w:color w:val="000000" w:themeColor="text1"/>
        </w:rPr>
        <w:instrText>e="Journal Article"&gt;17&lt;/ref-type&gt;&lt;contributors&gt;&lt;authors&gt;&lt;author&gt;Mekjaruskul, Catheleeya&lt;/author&gt;&lt;author&gt;Sripanidkulchai, Bungorn&lt;/author&gt;&lt;/authors&gt;&lt;/contributors&gt;&lt;titles&gt;&lt;title&gt;In vivo effect of Kaempferia parviflora extract on pharmacokinetics of acetamin</w:instrText>
      </w:r>
      <w:r>
        <w:rPr>
          <w:rFonts w:ascii="Times New Roman" w:hAnsi="Times New Roman" w:cs="Times New Roman"/>
          <w:color w:val="000000" w:themeColor="text1"/>
        </w:rPr>
        <w:instrText>ophen&lt;/title&gt;&lt;secondary-title&gt;Drug and chemical toxicology&lt;/secondary-title&gt;&lt;/titles&gt;&lt;periodical&gt;&lt;full-title&gt;Drug and chemical toxicology&lt;/full-title&gt;&lt;/periodical&gt;&lt;pages&gt;1-7&lt;/pages&gt;&lt;dates&gt;&lt;year&gt;2019&lt;/year&gt;&lt;/dates&gt;&lt;isbn&gt;0148-0545&lt;/isbn&gt;&lt;urls&gt;&lt;/urls&gt;&lt;/record</w:instrText>
      </w:r>
      <w:r>
        <w:rPr>
          <w:rFonts w:ascii="Times New Roman" w:hAnsi="Times New Roman" w:cs="Times New Roman"/>
          <w:color w:val="000000" w:themeColor="text1"/>
        </w:rPr>
        <w:instrText>&gt;&lt;/Cite&gt;&lt;Cite&gt;&lt;Author&gt;Mekjaruskul&lt;/Author&gt;&lt;Year&gt;2019&lt;/Year&gt;&lt;RecNum&gt;517&lt;/RecNum&gt;&lt;record&gt;&lt;rec-number&gt;517&lt;/rec-number&gt;&lt;foreign-keys&gt;&lt;key app="EN" db-id="2te9e2296d2s5dea9t95edp025t5fd5tpxw0" timestamp="0"&gt;517&lt;/key&gt;&lt;/foreign-keys&gt;&lt;ref-type name="Journal Articl</w:instrText>
      </w:r>
      <w:r>
        <w:rPr>
          <w:rFonts w:ascii="Times New Roman" w:hAnsi="Times New Roman" w:cs="Times New Roman"/>
          <w:color w:val="000000" w:themeColor="text1"/>
        </w:rPr>
        <w:instrText>e"&gt;17&lt;/ref-type&gt;&lt;contributors&gt;&lt;authors&gt;&lt;author&gt;Mekjaruskul, Catheleeya&lt;/author&gt;&lt;author&gt;Sripanidkulchai, Bungorn&lt;/author&gt;&lt;/authors&gt;&lt;/contributors&gt;&lt;titles&gt;&lt;title&gt;In vivo effect of Kaempferia parviflora extract on pharmacokinetics of acetaminophen&lt;/title&gt;&lt;sec</w:instrText>
      </w:r>
      <w:r>
        <w:rPr>
          <w:rFonts w:ascii="Times New Roman" w:hAnsi="Times New Roman" w:cs="Times New Roman"/>
          <w:color w:val="000000" w:themeColor="text1"/>
        </w:rPr>
        <w:instrText>ondary-title&gt;Drug and chemical toxicology&lt;/secondary-title&gt;&lt;/titles&gt;&lt;periodical&gt;&lt;full-title&gt;Drug and chemical toxicology&lt;/full-title&gt;&lt;/periodical&gt;&lt;pages&gt;1-7&lt;/pages&gt;&lt;dates&gt;&lt;year&gt;2019&lt;/year&gt;&lt;/dates&gt;&lt;isbn&gt;0148-0545&lt;/isbn&gt;&lt;urls&gt;&lt;/urls&gt;&lt;/record&gt;&lt;/Cite&gt;&lt;/EndNote</w:instrText>
      </w:r>
      <w:r>
        <w:rPr>
          <w:rFonts w:ascii="Times New Roman" w:hAnsi="Times New Roman" w:cs="Times New Roman"/>
          <w:color w:val="000000" w:themeColor="text1"/>
        </w:rPr>
        <w:instrText>&gt;</w:instrText>
      </w:r>
      <w:r w:rsidR="00A7773E">
        <w:rPr>
          <w:rFonts w:ascii="Times New Roman" w:hAnsi="Times New Roman" w:cs="Times New Roman"/>
          <w:color w:val="000000" w:themeColor="text1"/>
        </w:rPr>
        <w:fldChar w:fldCharType="separate"/>
      </w:r>
      <w:r>
        <w:rPr>
          <w:rFonts w:ascii="Times New Roman" w:hAnsi="Times New Roman" w:cs="Times New Roman"/>
          <w:color w:val="000000" w:themeColor="text1"/>
        </w:rPr>
        <w:t>[19]</w:t>
      </w:r>
      <w:r w:rsidR="00A7773E">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and this has created a need to consider possible herbal-drug interactions. </w:t>
      </w:r>
    </w:p>
    <w:p w:rsidR="00A7773E" w:rsidRDefault="00A7773E" w:rsidP="007F1E55">
      <w:pPr>
        <w:spacing w:line="276" w:lineRule="auto"/>
        <w:jc w:val="both"/>
        <w:rPr>
          <w:rFonts w:ascii="Times New Roman" w:hAnsi="Times New Roman" w:cs="Times New Roman"/>
          <w:color w:val="000000" w:themeColor="text1"/>
        </w:rPr>
      </w:pP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lang w:val="en-GB"/>
        </w:rPr>
        <w:t>From our study, data obtained revealed no histological changes in the paracetamol-only group (control).</w:t>
      </w:r>
      <w:r>
        <w:rPr>
          <w:rFonts w:ascii="Times New Roman" w:hAnsi="Times New Roman" w:cs="Times New Roman"/>
          <w:color w:val="000000" w:themeColor="text1"/>
        </w:rPr>
        <w:t xml:space="preserve"> For 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-only and paracetamol-Denik</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 groups, there were marked distorted liver tissues indicative of hepatotoxicity. This was further supported by the results obtained from the biochemical analysis were elevations in the levels of the liver enzymes AST, ALT, ALP, and GGT were observed. The r</w:t>
      </w:r>
      <w:r>
        <w:rPr>
          <w:rFonts w:ascii="Times New Roman" w:hAnsi="Times New Roman" w:cs="Times New Roman"/>
          <w:color w:val="000000" w:themeColor="text1"/>
        </w:rPr>
        <w:t>ise in AST and ALT levels in the paracetamol-Denik</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group was statistically significant at p &lt;0.05 indicative of toxic events in the liver on co-administration. For the Denik</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xml:space="preserve">-only groups, there was increase in the levels of AST, ALT, ALP and GGT, however, </w:t>
      </w:r>
      <w:r>
        <w:rPr>
          <w:rFonts w:ascii="Times New Roman" w:hAnsi="Times New Roman" w:cs="Times New Roman"/>
          <w:color w:val="000000" w:themeColor="text1"/>
        </w:rPr>
        <w:t xml:space="preserve">this was not statistically significant. </w:t>
      </w:r>
    </w:p>
    <w:p w:rsidR="00A7773E" w:rsidRDefault="00221C2D" w:rsidP="007F1E55">
      <w:pPr>
        <w:pStyle w:val="NormalWeb"/>
        <w:spacing w:line="276" w:lineRule="auto"/>
        <w:jc w:val="both"/>
        <w:rPr>
          <w:color w:val="000000" w:themeColor="text1"/>
        </w:rPr>
      </w:pPr>
      <w:r>
        <w:rPr>
          <w:color w:val="000000" w:themeColor="text1"/>
        </w:rPr>
        <w:t>Paracetamol metabolism to the reactive metabolite (</w:t>
      </w:r>
      <w:r>
        <w:rPr>
          <w:i/>
          <w:iCs/>
          <w:color w:val="000000" w:themeColor="text1"/>
        </w:rPr>
        <w:t>N</w:t>
      </w:r>
      <w:r>
        <w:rPr>
          <w:color w:val="000000" w:themeColor="text1"/>
        </w:rPr>
        <w:t>-acetyl-p-benzoquinone imine; NAPQI) by the CYP P450s, especially CYP2E1, is well recognized for its role in the initiation of toxicity</w:t>
      </w:r>
      <w:r w:rsidR="00A7773E">
        <w:rPr>
          <w:color w:val="000000" w:themeColor="text1"/>
        </w:rPr>
        <w:fldChar w:fldCharType="begin"/>
      </w:r>
      <w:r>
        <w:rPr>
          <w:color w:val="000000" w:themeColor="text1"/>
        </w:rPr>
        <w:instrText xml:space="preserve"> ADDIN EN.CITE &lt;EndNote&gt;&lt;Cit</w:instrText>
      </w:r>
      <w:r>
        <w:rPr>
          <w:color w:val="000000" w:themeColor="text1"/>
        </w:rPr>
        <w:instrText>e&gt;&lt;Author&gt;Ewing&lt;/Author&gt;&lt;Year&gt;2019&lt;/Year&gt;&lt;RecNum&gt;502&lt;/RecNum&gt;&lt;DisplayText&gt;[17]&lt;/DisplayText&gt;&lt;record&gt;&lt;rec-number&gt;502&lt;/rec-number&gt;&lt;foreign-keys&gt;&lt;key app="EN" db-id="2te9e2296d2s5dea9t95edp025t5fd5tpxw0" timestamp="0"&gt;502&lt;/key&gt;&lt;/foreign-keys&gt;&lt;ref-type name="J</w:instrText>
      </w:r>
      <w:r>
        <w:rPr>
          <w:color w:val="000000" w:themeColor="text1"/>
        </w:rPr>
        <w:instrText>ournal Article"&gt;17&lt;/ref-type&gt;&lt;contributors&gt;&lt;authors&gt;&lt;author&gt;Ewing, Laura E&lt;/author&gt;&lt;author&gt;McGill, Mitchell R&lt;/author&gt;&lt;author&gt;Yee, Eric U&lt;/author&gt;&lt;author&gt;Quick, Charles M&lt;/author&gt;&lt;author&gt;Skinner, Charles M&lt;/author&gt;&lt;author&gt;Kennon-McGill, Stefanie&lt;/author&gt;&lt;a</w:instrText>
      </w:r>
      <w:r>
        <w:rPr>
          <w:color w:val="000000" w:themeColor="text1"/>
        </w:rPr>
        <w:instrText xml:space="preserve">uthor&gt;Clemens, Melissa&lt;/author&gt;&lt;author&gt;Vazquez, Joel H&lt;/author&gt;&lt;author&gt;McCullough, Sandra S&lt;/author&gt;&lt;author&gt;Williams, D Keith&lt;/author&gt;&lt;/authors&gt;&lt;/contributors&gt;&lt;titles&gt;&lt;title&gt;Paradoxical Patterns of Sinusoidal Obstruction Syndrome-Like Liver Injury in Aged </w:instrText>
      </w:r>
      <w:r>
        <w:rPr>
          <w:color w:val="000000" w:themeColor="text1"/>
        </w:rPr>
        <w:instrText>Female CD-1 Mice Triggered by Cannabidiol-Rich Cannabis Extract and Acetaminophen Co-Administration&lt;/title&gt;&lt;secondary-title&gt;Molecules&lt;/secondary-title&gt;&lt;/titles&gt;&lt;periodical&gt;&lt;full-title&gt;Molecules&lt;/full-title&gt;&lt;/periodical&gt;&lt;pages&gt;2256&lt;/pages&gt;&lt;volume&gt;24&lt;/volume</w:instrText>
      </w:r>
      <w:r>
        <w:rPr>
          <w:color w:val="000000" w:themeColor="text1"/>
        </w:rPr>
        <w:instrText>&gt;&lt;number&gt;12&lt;/number&gt;&lt;dates&gt;&lt;year&gt;2019&lt;/year&gt;&lt;/dates&gt;&lt;urls&gt;&lt;/urls&gt;&lt;/record&gt;&lt;/Cite&gt;&lt;/EndNote&gt;</w:instrText>
      </w:r>
      <w:r w:rsidR="00A7773E">
        <w:rPr>
          <w:color w:val="000000" w:themeColor="text1"/>
        </w:rPr>
        <w:fldChar w:fldCharType="separate"/>
      </w:r>
      <w:r>
        <w:rPr>
          <w:color w:val="000000" w:themeColor="text1"/>
        </w:rPr>
        <w:t>[17]</w:t>
      </w:r>
      <w:r w:rsidR="00A7773E">
        <w:rPr>
          <w:color w:val="000000" w:themeColor="text1"/>
        </w:rPr>
        <w:fldChar w:fldCharType="end"/>
      </w:r>
      <w:r>
        <w:rPr>
          <w:color w:val="000000" w:themeColor="text1"/>
        </w:rPr>
        <w:t>. From the results obtained from our study, showing elevations in the levels of liver enzyme biomarkers and abnormalities in the liver architecture in the par</w:t>
      </w:r>
      <w:r>
        <w:rPr>
          <w:color w:val="000000" w:themeColor="text1"/>
        </w:rPr>
        <w:t xml:space="preserve">acetamol ± </w:t>
      </w:r>
      <w:r>
        <w:rPr>
          <w:color w:val="000000" w:themeColor="text1"/>
        </w:rPr>
        <w:lastRenderedPageBreak/>
        <w:t>Denik</w:t>
      </w:r>
      <w:r>
        <w:rPr>
          <w:color w:val="000000" w:themeColor="text1"/>
          <w:vertAlign w:val="superscript"/>
        </w:rPr>
        <w:sym w:font="Symbol" w:char="F0E2"/>
      </w:r>
      <w:r>
        <w:rPr>
          <w:color w:val="000000" w:themeColor="text1"/>
        </w:rPr>
        <w:t xml:space="preserve"> group, we hypothesize that phyto-constituents in Denik cleanser</w:t>
      </w:r>
      <w:r>
        <w:rPr>
          <w:color w:val="000000" w:themeColor="text1"/>
          <w:vertAlign w:val="superscript"/>
        </w:rPr>
        <w:sym w:font="Symbol" w:char="F0E2"/>
      </w:r>
      <w:r>
        <w:rPr>
          <w:color w:val="000000" w:themeColor="text1"/>
        </w:rPr>
        <w:t xml:space="preserve"> may have increased metabolism and bioactivation of paracetamol resulting to enhanced production of NAPQI by the co-administered herbal remedy. </w:t>
      </w:r>
    </w:p>
    <w:p w:rsidR="00A7773E" w:rsidRDefault="00221C2D" w:rsidP="007F1E55">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To the best of our knowledge,</w:t>
      </w:r>
      <w:r>
        <w:rPr>
          <w:rFonts w:ascii="Times New Roman" w:hAnsi="Times New Roman" w:cs="Times New Roman"/>
          <w:color w:val="000000" w:themeColor="text1"/>
        </w:rPr>
        <w:t xml:space="preserve"> no prior data exist on the hepatotoxic effects of Denik cleanser</w:t>
      </w:r>
      <w:r>
        <w:rPr>
          <w:rFonts w:ascii="Times New Roman" w:hAnsi="Times New Roman" w:cs="Times New Roman"/>
          <w:color w:val="000000" w:themeColor="text1"/>
          <w:vertAlign w:val="superscript"/>
        </w:rPr>
        <w:sym w:font="Symbol" w:char="F0E2"/>
      </w:r>
      <w:r>
        <w:rPr>
          <w:rFonts w:ascii="Times New Roman" w:hAnsi="Times New Roman" w:cs="Times New Roman"/>
          <w:color w:val="000000" w:themeColor="text1"/>
        </w:rPr>
        <w:t>, however results obtained from the present study indicates a potential hepatotoxic effect when administered alone and when co-administered with paracetamol.</w:t>
      </w:r>
    </w:p>
    <w:p w:rsidR="00A7773E" w:rsidRDefault="00A7773E" w:rsidP="007F1E55">
      <w:pPr>
        <w:spacing w:line="276" w:lineRule="auto"/>
        <w:jc w:val="both"/>
        <w:rPr>
          <w:rFonts w:ascii="Times New Roman" w:hAnsi="Times New Roman" w:cs="Times New Roman"/>
          <w:b/>
          <w:color w:val="000000" w:themeColor="text1"/>
        </w:rPr>
      </w:pPr>
    </w:p>
    <w:p w:rsidR="00A7773E" w:rsidRDefault="00221C2D" w:rsidP="007F1E55">
      <w:pPr>
        <w:spacing w:line="276" w:lineRule="auto"/>
        <w:jc w:val="both"/>
        <w:rPr>
          <w:rFonts w:ascii="Times New Roman" w:hAnsi="Times New Roman" w:cs="Times New Roman"/>
          <w:b/>
          <w:color w:val="000000" w:themeColor="text1"/>
        </w:rPr>
      </w:pPr>
      <w:r>
        <w:rPr>
          <w:rFonts w:ascii="Times New Roman" w:hAnsi="Times New Roman" w:cs="Times New Roman"/>
          <w:b/>
          <w:color w:val="000000" w:themeColor="text1"/>
        </w:rPr>
        <w:t>CONCLUSION</w:t>
      </w:r>
    </w:p>
    <w:p w:rsidR="00A7773E" w:rsidRDefault="00221C2D" w:rsidP="007F1E55">
      <w:pPr>
        <w:pStyle w:val="ListParagraph"/>
        <w:spacing w:line="276" w:lineRule="auto"/>
        <w:ind w:left="0"/>
        <w:jc w:val="both"/>
        <w:rPr>
          <w:color w:val="000000" w:themeColor="text1"/>
        </w:rPr>
      </w:pPr>
      <w:r>
        <w:rPr>
          <w:color w:val="000000" w:themeColor="text1"/>
        </w:rPr>
        <w:t xml:space="preserve">The results of this </w:t>
      </w:r>
      <w:r>
        <w:rPr>
          <w:color w:val="000000" w:themeColor="text1"/>
        </w:rPr>
        <w:t xml:space="preserve">study demonstrated the potential for  </w:t>
      </w:r>
      <w:r>
        <w:rPr>
          <w:i/>
          <w:iCs/>
          <w:color w:val="000000" w:themeColor="text1"/>
        </w:rPr>
        <w:t>in vivo</w:t>
      </w:r>
      <w:r>
        <w:rPr>
          <w:color w:val="000000" w:themeColor="text1"/>
        </w:rPr>
        <w:t xml:space="preserve"> herb/drug interaction involving paracetamol and Denik cleanser</w:t>
      </w:r>
      <w:r>
        <w:rPr>
          <w:color w:val="000000" w:themeColor="text1"/>
          <w:vertAlign w:val="superscript"/>
        </w:rPr>
        <w:sym w:font="Symbol" w:char="F0D2"/>
      </w:r>
      <w:r>
        <w:rPr>
          <w:color w:val="000000" w:themeColor="text1"/>
        </w:rPr>
        <w:t xml:space="preserve"> resulting in liver injury. Our data suggest that Denik cleanser</w:t>
      </w:r>
      <w:r>
        <w:rPr>
          <w:color w:val="000000" w:themeColor="text1"/>
          <w:vertAlign w:val="superscript"/>
        </w:rPr>
        <w:sym w:font="Symbol" w:char="F0D2"/>
      </w:r>
      <w:r>
        <w:rPr>
          <w:color w:val="000000" w:themeColor="text1"/>
        </w:rPr>
        <w:t xml:space="preserve">  creates a significant drug interaction that could lead to serious adverse health</w:t>
      </w:r>
      <w:r>
        <w:rPr>
          <w:color w:val="000000" w:themeColor="text1"/>
        </w:rPr>
        <w:t xml:space="preserve"> such as hepatotoxicity. However, this is subject to validation via pharmacokinetic study.  Nevertheless, caution is strongly advised against its casual, non-medically supervised usage.</w:t>
      </w:r>
    </w:p>
    <w:p w:rsidR="007F1E55" w:rsidRDefault="007F1E55" w:rsidP="007F1E55">
      <w:pPr>
        <w:pStyle w:val="ListParagraph"/>
        <w:spacing w:line="276" w:lineRule="auto"/>
        <w:ind w:left="0"/>
        <w:jc w:val="both"/>
        <w:rPr>
          <w:color w:val="000000" w:themeColor="text1"/>
        </w:rPr>
      </w:pPr>
    </w:p>
    <w:p w:rsidR="007F1E55" w:rsidRDefault="007F1E55" w:rsidP="007F1E55">
      <w:pPr>
        <w:spacing w:line="276" w:lineRule="auto"/>
        <w:rPr>
          <w:rFonts w:ascii="Times New Roman" w:hAnsi="Times New Roman" w:cs="Times New Roman"/>
          <w:b/>
          <w:color w:val="000000" w:themeColor="text1"/>
        </w:rPr>
      </w:pPr>
      <w:r>
        <w:rPr>
          <w:rFonts w:ascii="Times New Roman" w:hAnsi="Times New Roman" w:cs="Times New Roman"/>
          <w:b/>
          <w:color w:val="000000" w:themeColor="text1"/>
        </w:rPr>
        <w:t>REFERENCES</w:t>
      </w:r>
    </w:p>
    <w:p w:rsidR="007F1E55" w:rsidRDefault="007F1E55" w:rsidP="007F1E55">
      <w:pPr>
        <w:pStyle w:val="ListParagraph"/>
        <w:spacing w:line="276" w:lineRule="auto"/>
        <w:ind w:left="0"/>
        <w:jc w:val="both"/>
        <w:rPr>
          <w:color w:val="000000" w:themeColor="text1"/>
        </w:rPr>
      </w:pP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w:t>
      </w:r>
      <w:r>
        <w:rPr>
          <w:rFonts w:ascii="Times New Roman" w:hAnsi="Times New Roman" w:cs="Times New Roman"/>
        </w:rPr>
        <w:t>1</w:t>
      </w:r>
      <w:r w:rsidRPr="007F1E55">
        <w:rPr>
          <w:rFonts w:ascii="Times New Roman" w:hAnsi="Times New Roman" w:cs="Times New Roman"/>
        </w:rPr>
        <w:t>]</w:t>
      </w:r>
      <w:r>
        <w:rPr>
          <w:rFonts w:ascii="Times New Roman" w:hAnsi="Times New Roman" w:cs="Times New Roman"/>
        </w:rPr>
        <w:t xml:space="preserve"> </w:t>
      </w:r>
      <w:r w:rsidRPr="007F1E55">
        <w:rPr>
          <w:rFonts w:ascii="Times New Roman" w:hAnsi="Times New Roman" w:cs="Times New Roman"/>
        </w:rPr>
        <w:t xml:space="preserve">Amadi CN, Mgbahurike AA. Selected Food/Herb–Drug Interactions: Mechanisms and Clinical Relevance. American journal of therapeutics. 2018;25(4):e423-e33.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[2]</w:t>
      </w:r>
      <w:r w:rsidRPr="007F1E55">
        <w:rPr>
          <w:rFonts w:ascii="Times New Roman" w:hAnsi="Times New Roman" w:cs="Times New Roman"/>
        </w:rPr>
        <w:tab/>
        <w:t xml:space="preserve">Volak LP, Hanley MJ, Masse G, Hazarika S, Harmatz JS, Badmaev V et al. Effect of a herbal extract containing curcumin and piperine on midazolam, flurbiprofen and paracetamol (acetaminophen) pharmacokinetics in healthy volunteers. British journal of clinical pharmacology. 2013;75(2):450-62.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[3]</w:t>
      </w:r>
      <w:r w:rsidRPr="007F1E55">
        <w:rPr>
          <w:rFonts w:ascii="Times New Roman" w:hAnsi="Times New Roman" w:cs="Times New Roman"/>
        </w:rPr>
        <w:tab/>
        <w:t xml:space="preserve">Amadi C, Orisakwe O. Herb-induced liver injuries in developing nations: An update. Toxics. 2018;6(2):24.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[4]</w:t>
      </w:r>
      <w:r w:rsidRPr="007F1E55">
        <w:rPr>
          <w:rFonts w:ascii="Times New Roman" w:hAnsi="Times New Roman" w:cs="Times New Roman"/>
        </w:rPr>
        <w:tab/>
        <w:t xml:space="preserve">Auerbach BJ, Reynolds SJ, Lamorde M, Merry C, Kukunda-Byobona C, Ocama P et al. Traditional herbal medicine use associated with liver fibrosis in rural Rakai, Uganda. PLoS One. 2012;7(11):e41737.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[5]</w:t>
      </w:r>
      <w:r w:rsidRPr="007F1E55">
        <w:rPr>
          <w:rFonts w:ascii="Times New Roman" w:hAnsi="Times New Roman" w:cs="Times New Roman"/>
        </w:rPr>
        <w:tab/>
        <w:t xml:space="preserve">Amadi C, Orisakwe O, Roberts I. Elemental impurities in registered herbal supplements in Nigeria: a look at mercury, antimony and tin. Rasayan J Chem. 2012;5(2):220-8.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[6]</w:t>
      </w:r>
      <w:r w:rsidRPr="007F1E55">
        <w:rPr>
          <w:rFonts w:ascii="Times New Roman" w:hAnsi="Times New Roman" w:cs="Times New Roman"/>
        </w:rPr>
        <w:tab/>
        <w:t xml:space="preserve">Van den Ende W, Valluru R. Sucrose, sucrosyl oligosaccharides, and oxidative stress: scavenging and salvaging? Journal of experimental botany. 2009;60(1):9-18.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[7]</w:t>
      </w:r>
      <w:r w:rsidRPr="007F1E55">
        <w:rPr>
          <w:rFonts w:ascii="Times New Roman" w:hAnsi="Times New Roman" w:cs="Times New Roman"/>
        </w:rPr>
        <w:tab/>
        <w:t xml:space="preserve">Amadi CN, Aghalibe PO. Evaluation of Drug-diet interaction between Psidium guajava (Guava) fruit and Metoclopramide. Journal of Drug Delivery and Therapeutics. 2019;9(2):144-7.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[8]</w:t>
      </w:r>
      <w:r w:rsidRPr="007F1E55">
        <w:rPr>
          <w:rFonts w:ascii="Times New Roman" w:hAnsi="Times New Roman" w:cs="Times New Roman"/>
        </w:rPr>
        <w:tab/>
        <w:t xml:space="preserve">Amadi CN, Nwachukwu WI. The effects of oral administration of Cola nitida on the pharmacokinetic profile of metoclopramide in rabbits. BMC Pharmacology and Toxicology. 2020;21(1):1-6.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[9]</w:t>
      </w:r>
      <w:r w:rsidRPr="007F1E55">
        <w:rPr>
          <w:rFonts w:ascii="Times New Roman" w:hAnsi="Times New Roman" w:cs="Times New Roman"/>
        </w:rPr>
        <w:tab/>
        <w:t xml:space="preserve">Teschke R, Genthner A, Wolff A, Frenzel C, Schulze J, Eickhoff A. Herbal hepatotoxicity: Analysis of cases with initially reported positive re-exposure tests. Digestive and Liver Disease. 2014;46(3):264-9.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lastRenderedPageBreak/>
        <w:t>[10]</w:t>
      </w:r>
      <w:r w:rsidRPr="007F1E55">
        <w:rPr>
          <w:rFonts w:ascii="Times New Roman" w:hAnsi="Times New Roman" w:cs="Times New Roman"/>
        </w:rPr>
        <w:tab/>
        <w:t xml:space="preserve">Teschke R, Frenzel C, Glass X, Schulze J, Eickhoff A. Herbal hepatotoxicity: a critical review. British Journal of Clinical Pharmacology. 2013;75(3):630-6.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[11]</w:t>
      </w:r>
      <w:r w:rsidRPr="007F1E55">
        <w:rPr>
          <w:rFonts w:ascii="Times New Roman" w:hAnsi="Times New Roman" w:cs="Times New Roman"/>
        </w:rPr>
        <w:tab/>
        <w:t xml:space="preserve">Karbownik A, Szałek E, Sobańska K, Grabowski T, Klupczynska A, Plewa S et al. The concomitant use of lapatinib and paracetamol-the risk of interaction. Investigational new drugs. 2018;36(5):819-27.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[12]</w:t>
      </w:r>
      <w:r w:rsidRPr="007F1E55">
        <w:rPr>
          <w:rFonts w:ascii="Times New Roman" w:hAnsi="Times New Roman" w:cs="Times New Roman"/>
        </w:rPr>
        <w:tab/>
        <w:t xml:space="preserve">Tan SC, New LS, Chan EC. Prevention of acetaminophen (APAP)-induced hepatotoxicity by leflunomide via inhibition of APAP biotransformation to N-acetyl-p-benzoquinone imine. Toxicology letters. 2008;180(3):174-81.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[13]</w:t>
      </w:r>
      <w:r w:rsidRPr="007F1E55">
        <w:rPr>
          <w:rFonts w:ascii="Times New Roman" w:hAnsi="Times New Roman" w:cs="Times New Roman"/>
        </w:rPr>
        <w:tab/>
        <w:t>Hinson JA, Roberts DW, James LP. Mechanisms of acetaminophen-induced liver necrosis.  Adverse drug reactions. Springer; 2010. p. 369-405.</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[14]</w:t>
      </w:r>
      <w:r w:rsidRPr="007F1E55">
        <w:rPr>
          <w:rFonts w:ascii="Times New Roman" w:hAnsi="Times New Roman" w:cs="Times New Roman"/>
        </w:rPr>
        <w:tab/>
        <w:t xml:space="preserve">Mohebbati R, Paseban M, Beheshti F, Soukhtanloo M, Shafei MN, Rakhshandeh H et al. The Preventive Effects of Standardized Extract of Zataria multiflora and Carvacrol on Acetaminophen-Induced Hepatotoxicity in Rat:-Zataria multiflora and Carvacrol and Hepatotoxicity. Journal of Pharmacopuncture. 2018;21(4):249.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[15]</w:t>
      </w:r>
      <w:r w:rsidRPr="007F1E55">
        <w:rPr>
          <w:rFonts w:ascii="Times New Roman" w:hAnsi="Times New Roman" w:cs="Times New Roman"/>
        </w:rPr>
        <w:tab/>
        <w:t xml:space="preserve">Jóźwiak-Bebenista M, Nowak JZ. Paracetamol: mechanism of action, applications and safety concern. Acta poloniae pharmaceutica. 2014;71(1):11-23.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[16]</w:t>
      </w:r>
      <w:r w:rsidRPr="007F1E55">
        <w:rPr>
          <w:rFonts w:ascii="Times New Roman" w:hAnsi="Times New Roman" w:cs="Times New Roman"/>
        </w:rPr>
        <w:tab/>
        <w:t xml:space="preserve">Graham GG, Scott KF, Day RO. Tolerability of paracetamol. Drug Safety. 2005;28(3):227-40.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[17]</w:t>
      </w:r>
      <w:r w:rsidRPr="007F1E55">
        <w:rPr>
          <w:rFonts w:ascii="Times New Roman" w:hAnsi="Times New Roman" w:cs="Times New Roman"/>
        </w:rPr>
        <w:tab/>
        <w:t xml:space="preserve">Ewing LE, McGill MR, Yee EU, Quick CM, Skinner CM, Kennon-McGill S et al. Paradoxical Patterns of Sinusoidal Obstruction Syndrome-Like Liver Injury in Aged Female CD-1 Mice Triggered by Cannabidiol-Rich Cannabis Extract and Acetaminophen Co-Administration. Molecules. 2019;24(12):2256.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[18]</w:t>
      </w:r>
      <w:r w:rsidRPr="007F1E55">
        <w:rPr>
          <w:rFonts w:ascii="Times New Roman" w:hAnsi="Times New Roman" w:cs="Times New Roman"/>
        </w:rPr>
        <w:tab/>
        <w:t xml:space="preserve">Preeti C, Shamim A, Khan NA. Herbal plants-a boon for hepatotoxicity. AJPCR. 2016;9(10):37-40.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[19]</w:t>
      </w:r>
      <w:r w:rsidRPr="007F1E55">
        <w:rPr>
          <w:rFonts w:ascii="Times New Roman" w:hAnsi="Times New Roman" w:cs="Times New Roman"/>
        </w:rPr>
        <w:tab/>
        <w:t xml:space="preserve">Mekjaruskul C, Sripanidkulchai B. In vivo effect of Kaempferia parviflora extract on pharmacokinetics of acetaminophen. Drug and chemical toxicology. 2019:1-7. </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[20]</w:t>
      </w:r>
      <w:r w:rsidRPr="007F1E55">
        <w:rPr>
          <w:rFonts w:ascii="Times New Roman" w:hAnsi="Times New Roman" w:cs="Times New Roman"/>
        </w:rPr>
        <w:tab/>
        <w:t>Zendulka O, Dovrtělová G, Nosková K, Turjap M, Šulcová A, Hanuš L et al. Cannabinoids and Cytochrome P450 Interactions. Curr Drug Metab. 2016;17(3):206-26. doi:10.2174/1389200217666151210142051.</w:t>
      </w:r>
    </w:p>
    <w:p w:rsidR="007F1E55" w:rsidRPr="007F1E55" w:rsidRDefault="007F1E55" w:rsidP="007F1E55">
      <w:pPr>
        <w:spacing w:after="160" w:line="276" w:lineRule="auto"/>
        <w:jc w:val="both"/>
        <w:rPr>
          <w:rFonts w:ascii="Times New Roman" w:hAnsi="Times New Roman" w:cs="Times New Roman"/>
        </w:rPr>
      </w:pPr>
      <w:r w:rsidRPr="007F1E55">
        <w:rPr>
          <w:rFonts w:ascii="Times New Roman" w:hAnsi="Times New Roman" w:cs="Times New Roman"/>
        </w:rPr>
        <w:t>[21]</w:t>
      </w:r>
      <w:r w:rsidRPr="007F1E55">
        <w:rPr>
          <w:rFonts w:ascii="Times New Roman" w:hAnsi="Times New Roman" w:cs="Times New Roman"/>
        </w:rPr>
        <w:tab/>
        <w:t xml:space="preserve">Ganetsky M, Böhlke M, Pereira L, Williams D, LeDuc B, Guatam S et al. Effect of excipients on acetaminophen metabolism and its implications for prevention of liver injury. The Journal of Clinical Pharmacology. 2013;53(4):413-20. </w:t>
      </w:r>
    </w:p>
    <w:p w:rsidR="00A7773E" w:rsidRDefault="00A7773E" w:rsidP="007F1E55">
      <w:pPr>
        <w:spacing w:after="160" w:line="276" w:lineRule="auto"/>
        <w:jc w:val="both"/>
        <w:rPr>
          <w:b/>
        </w:rPr>
      </w:pPr>
    </w:p>
    <w:p w:rsidR="00A7773E" w:rsidRDefault="00A7773E" w:rsidP="007F1E55">
      <w:pPr>
        <w:spacing w:line="276" w:lineRule="auto"/>
        <w:rPr>
          <w:rFonts w:ascii="Times New Roman" w:hAnsi="Times New Roman" w:cs="Times New Roman"/>
          <w:b/>
          <w:color w:val="000000" w:themeColor="text1"/>
        </w:rPr>
      </w:pPr>
    </w:p>
    <w:p w:rsidR="00A7773E" w:rsidRDefault="00A7773E" w:rsidP="007F1E55">
      <w:pPr>
        <w:spacing w:line="276" w:lineRule="auto"/>
        <w:rPr>
          <w:rFonts w:ascii="Times New Roman" w:hAnsi="Times New Roman" w:cs="Times New Roman"/>
          <w:b/>
          <w:color w:val="000000" w:themeColor="text1"/>
        </w:rPr>
      </w:pPr>
    </w:p>
    <w:p w:rsidR="00A7773E" w:rsidRDefault="00A7773E" w:rsidP="007F1E55">
      <w:pPr>
        <w:spacing w:line="276" w:lineRule="auto"/>
        <w:rPr>
          <w:rFonts w:ascii="Times New Roman" w:hAnsi="Times New Roman" w:cs="Times New Roman"/>
          <w:color w:val="000000" w:themeColor="text1"/>
        </w:rPr>
      </w:pPr>
    </w:p>
    <w:sectPr w:rsidR="00A7773E" w:rsidSect="00546446">
      <w:headerReference w:type="even" r:id="rId11"/>
      <w:headerReference w:type="default" r:id="rId12"/>
      <w:footerReference w:type="even" r:id="rId13"/>
      <w:footerReference w:type="default" r:id="rId14"/>
      <w:headerReference w:type="first" r:id="rId15"/>
      <w:pgSz w:w="11900" w:h="16840"/>
      <w:pgMar w:top="284" w:right="1440" w:bottom="568" w:left="1440" w:header="277" w:footer="10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C2D" w:rsidRDefault="00221C2D" w:rsidP="00A7773E">
      <w:r>
        <w:separator/>
      </w:r>
    </w:p>
  </w:endnote>
  <w:endnote w:type="continuationSeparator" w:id="1">
    <w:p w:rsidR="00221C2D" w:rsidRDefault="00221C2D" w:rsidP="00A7773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E" w:rsidRDefault="00A7773E">
    <w:pPr>
      <w:pStyle w:val="Footer"/>
      <w:framePr w:wrap="auto" w:vAnchor="text" w:hAnchor="margin" w:xAlign="right" w:y="1"/>
      <w:rPr>
        <w:rStyle w:val="PageNumber"/>
      </w:rPr>
    </w:pPr>
    <w:r>
      <w:rPr>
        <w:rStyle w:val="PageNumber"/>
      </w:rPr>
      <w:fldChar w:fldCharType="begin"/>
    </w:r>
    <w:r w:rsidR="00221C2D">
      <w:rPr>
        <w:rStyle w:val="PageNumber"/>
      </w:rPr>
      <w:instrText xml:space="preserve">PAGE  </w:instrText>
    </w:r>
    <w:r>
      <w:rPr>
        <w:rStyle w:val="PageNumber"/>
      </w:rPr>
      <w:fldChar w:fldCharType="end"/>
    </w:r>
  </w:p>
  <w:p w:rsidR="00A7773E" w:rsidRDefault="00A7773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E" w:rsidRDefault="00A7773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C2D" w:rsidRDefault="00221C2D" w:rsidP="00A7773E">
      <w:r>
        <w:separator/>
      </w:r>
    </w:p>
  </w:footnote>
  <w:footnote w:type="continuationSeparator" w:id="1">
    <w:p w:rsidR="00221C2D" w:rsidRDefault="00221C2D" w:rsidP="00A777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46" w:rsidRDefault="005464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251" o:spid="_x0000_s2050" type="#_x0000_t136" style="position:absolute;margin-left:0;margin-top:0;width:264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46" w:rsidRDefault="005464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252" o:spid="_x0000_s2051" type="#_x0000_t136" style="position:absolute;margin-left:0;margin-top:0;width:264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446" w:rsidRDefault="005464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250" o:spid="_x0000_s2049" type="#_x0000_t136" style="position:absolute;margin-left:0;margin-top:0;width:264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DARU JOURNAL OF PHARMACEUTICAL SCIENCE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e9e2296d2s5dea9t95edp025t5fd5tpxw0&quot;&gt;My AUTHENTIC  EndNote Library&lt;record-ids&gt;&lt;item&gt;107&lt;/item&gt;&lt;item&gt;381&lt;/item&gt;&lt;item&gt;422&lt;/item&gt;&lt;item&gt;502&lt;/item&gt;&lt;item&gt;517&lt;/item&gt;&lt;item&gt;1113&lt;/item&gt;&lt;item&gt;1135&lt;/item&gt;&lt;item&gt;1139&lt;/item&gt;&lt;item&gt;1141&lt;/item&gt;&lt;item&gt;1142&lt;/item&gt;&lt;item&gt;1143&lt;/item&gt;&lt;item&gt;1144&lt;/item&gt;&lt;item&gt;1145&lt;/item&gt;&lt;item&gt;1147&lt;/item&gt;&lt;item&gt;1148&lt;/item&gt;&lt;item&gt;1149&lt;/item&gt;&lt;item&gt;1150&lt;/item&gt;&lt;item&gt;1151&lt;/item&gt;&lt;item&gt;1156&lt;/item&gt;&lt;item&gt;1159&lt;/item&gt;&lt;item&gt;1160&lt;/item&gt;&lt;/record-ids&gt;&lt;/item&gt;&lt;/Libraries&gt;"/>
  </w:docVars>
  <w:rsids>
    <w:rsidRoot w:val="003A3CCC"/>
    <w:rsid w:val="0000664B"/>
    <w:rsid w:val="00011D00"/>
    <w:rsid w:val="000131F1"/>
    <w:rsid w:val="0001416C"/>
    <w:rsid w:val="00024196"/>
    <w:rsid w:val="00030299"/>
    <w:rsid w:val="00032AC2"/>
    <w:rsid w:val="00032EB5"/>
    <w:rsid w:val="00075EC9"/>
    <w:rsid w:val="00091AF5"/>
    <w:rsid w:val="000A4EA2"/>
    <w:rsid w:val="000C189D"/>
    <w:rsid w:val="000C2515"/>
    <w:rsid w:val="000C7E29"/>
    <w:rsid w:val="000D059B"/>
    <w:rsid w:val="000F7C03"/>
    <w:rsid w:val="0010211E"/>
    <w:rsid w:val="001038A2"/>
    <w:rsid w:val="00105311"/>
    <w:rsid w:val="00105608"/>
    <w:rsid w:val="00133E45"/>
    <w:rsid w:val="001364AA"/>
    <w:rsid w:val="00167610"/>
    <w:rsid w:val="0019274B"/>
    <w:rsid w:val="0019474F"/>
    <w:rsid w:val="001C1D84"/>
    <w:rsid w:val="001C2FC8"/>
    <w:rsid w:val="001D4754"/>
    <w:rsid w:val="001D5DA1"/>
    <w:rsid w:val="001D5F9C"/>
    <w:rsid w:val="001E3F83"/>
    <w:rsid w:val="001F35B9"/>
    <w:rsid w:val="00203C51"/>
    <w:rsid w:val="00204C83"/>
    <w:rsid w:val="00206A82"/>
    <w:rsid w:val="002071B9"/>
    <w:rsid w:val="002101F9"/>
    <w:rsid w:val="0021304B"/>
    <w:rsid w:val="00221C2D"/>
    <w:rsid w:val="00223519"/>
    <w:rsid w:val="002328B7"/>
    <w:rsid w:val="00235C01"/>
    <w:rsid w:val="002461D7"/>
    <w:rsid w:val="00250744"/>
    <w:rsid w:val="0026045B"/>
    <w:rsid w:val="002644A4"/>
    <w:rsid w:val="00267F1E"/>
    <w:rsid w:val="002929A9"/>
    <w:rsid w:val="002A29B8"/>
    <w:rsid w:val="002A37B9"/>
    <w:rsid w:val="002A7C8D"/>
    <w:rsid w:val="002C047E"/>
    <w:rsid w:val="002C51AC"/>
    <w:rsid w:val="002C69DF"/>
    <w:rsid w:val="002D1A6E"/>
    <w:rsid w:val="002D7631"/>
    <w:rsid w:val="002E45F9"/>
    <w:rsid w:val="0032007E"/>
    <w:rsid w:val="00327FBC"/>
    <w:rsid w:val="00332B59"/>
    <w:rsid w:val="0033674B"/>
    <w:rsid w:val="00341CB0"/>
    <w:rsid w:val="00344876"/>
    <w:rsid w:val="00345062"/>
    <w:rsid w:val="003536EC"/>
    <w:rsid w:val="0036189E"/>
    <w:rsid w:val="00365311"/>
    <w:rsid w:val="00383E81"/>
    <w:rsid w:val="00386B15"/>
    <w:rsid w:val="00387404"/>
    <w:rsid w:val="00387CFA"/>
    <w:rsid w:val="00397F75"/>
    <w:rsid w:val="003A3CCC"/>
    <w:rsid w:val="003B0412"/>
    <w:rsid w:val="003B5610"/>
    <w:rsid w:val="003C5848"/>
    <w:rsid w:val="003D33BF"/>
    <w:rsid w:val="003D6CE4"/>
    <w:rsid w:val="003E072A"/>
    <w:rsid w:val="003E6139"/>
    <w:rsid w:val="0040781E"/>
    <w:rsid w:val="00410EF8"/>
    <w:rsid w:val="004141B4"/>
    <w:rsid w:val="004155D5"/>
    <w:rsid w:val="00433FF6"/>
    <w:rsid w:val="0043531B"/>
    <w:rsid w:val="0045115C"/>
    <w:rsid w:val="0046022E"/>
    <w:rsid w:val="00464B1A"/>
    <w:rsid w:val="00474DD1"/>
    <w:rsid w:val="004A0B18"/>
    <w:rsid w:val="004C2932"/>
    <w:rsid w:val="004F051B"/>
    <w:rsid w:val="0050554D"/>
    <w:rsid w:val="00524313"/>
    <w:rsid w:val="005340F5"/>
    <w:rsid w:val="005361C2"/>
    <w:rsid w:val="005463A7"/>
    <w:rsid w:val="00546446"/>
    <w:rsid w:val="0055775E"/>
    <w:rsid w:val="005761BA"/>
    <w:rsid w:val="0059090B"/>
    <w:rsid w:val="005B784F"/>
    <w:rsid w:val="005C53BC"/>
    <w:rsid w:val="005C6560"/>
    <w:rsid w:val="005D3039"/>
    <w:rsid w:val="005E5081"/>
    <w:rsid w:val="005F1A48"/>
    <w:rsid w:val="005F3458"/>
    <w:rsid w:val="0061087C"/>
    <w:rsid w:val="006136AD"/>
    <w:rsid w:val="006140D8"/>
    <w:rsid w:val="00627865"/>
    <w:rsid w:val="00632787"/>
    <w:rsid w:val="00636F08"/>
    <w:rsid w:val="00641AFE"/>
    <w:rsid w:val="00644390"/>
    <w:rsid w:val="00654DCA"/>
    <w:rsid w:val="00665EAA"/>
    <w:rsid w:val="00673373"/>
    <w:rsid w:val="0067338B"/>
    <w:rsid w:val="0069796D"/>
    <w:rsid w:val="006A395E"/>
    <w:rsid w:val="006C1F6E"/>
    <w:rsid w:val="006D131A"/>
    <w:rsid w:val="006E304E"/>
    <w:rsid w:val="006F5AAE"/>
    <w:rsid w:val="007131E4"/>
    <w:rsid w:val="00723123"/>
    <w:rsid w:val="0074685D"/>
    <w:rsid w:val="00754FFA"/>
    <w:rsid w:val="00775EE6"/>
    <w:rsid w:val="00781291"/>
    <w:rsid w:val="00782224"/>
    <w:rsid w:val="00791C63"/>
    <w:rsid w:val="007923F6"/>
    <w:rsid w:val="0079608F"/>
    <w:rsid w:val="00796F88"/>
    <w:rsid w:val="007C26AF"/>
    <w:rsid w:val="007E229E"/>
    <w:rsid w:val="007E2F10"/>
    <w:rsid w:val="007F164B"/>
    <w:rsid w:val="007F1E55"/>
    <w:rsid w:val="0080312E"/>
    <w:rsid w:val="0083002C"/>
    <w:rsid w:val="00837E30"/>
    <w:rsid w:val="00840965"/>
    <w:rsid w:val="008426B7"/>
    <w:rsid w:val="00847CFA"/>
    <w:rsid w:val="00871A87"/>
    <w:rsid w:val="0088413F"/>
    <w:rsid w:val="00885363"/>
    <w:rsid w:val="008934BE"/>
    <w:rsid w:val="008B6D41"/>
    <w:rsid w:val="008D0265"/>
    <w:rsid w:val="008E072F"/>
    <w:rsid w:val="008E129C"/>
    <w:rsid w:val="008F14DF"/>
    <w:rsid w:val="008F208F"/>
    <w:rsid w:val="00902965"/>
    <w:rsid w:val="009050C4"/>
    <w:rsid w:val="00923D63"/>
    <w:rsid w:val="009245CC"/>
    <w:rsid w:val="00924FD1"/>
    <w:rsid w:val="009261BC"/>
    <w:rsid w:val="009261E4"/>
    <w:rsid w:val="009278FE"/>
    <w:rsid w:val="009358B8"/>
    <w:rsid w:val="00941002"/>
    <w:rsid w:val="00947C38"/>
    <w:rsid w:val="00952FBE"/>
    <w:rsid w:val="00961FF9"/>
    <w:rsid w:val="00963153"/>
    <w:rsid w:val="00972DA2"/>
    <w:rsid w:val="00981F1B"/>
    <w:rsid w:val="00983910"/>
    <w:rsid w:val="00987E77"/>
    <w:rsid w:val="009A10D9"/>
    <w:rsid w:val="009A720F"/>
    <w:rsid w:val="009A7C0D"/>
    <w:rsid w:val="009B3EFB"/>
    <w:rsid w:val="009C18F4"/>
    <w:rsid w:val="009C35FE"/>
    <w:rsid w:val="009D17AF"/>
    <w:rsid w:val="009D24C7"/>
    <w:rsid w:val="009E0766"/>
    <w:rsid w:val="009E63D1"/>
    <w:rsid w:val="00A03452"/>
    <w:rsid w:val="00A206FB"/>
    <w:rsid w:val="00A423B3"/>
    <w:rsid w:val="00A4564B"/>
    <w:rsid w:val="00A54113"/>
    <w:rsid w:val="00A7182A"/>
    <w:rsid w:val="00A7773E"/>
    <w:rsid w:val="00A84D52"/>
    <w:rsid w:val="00A851EE"/>
    <w:rsid w:val="00A95A33"/>
    <w:rsid w:val="00AA6649"/>
    <w:rsid w:val="00AC2238"/>
    <w:rsid w:val="00AD0BFB"/>
    <w:rsid w:val="00AD10D2"/>
    <w:rsid w:val="00AD7266"/>
    <w:rsid w:val="00AD7F60"/>
    <w:rsid w:val="00AF1864"/>
    <w:rsid w:val="00AF3F86"/>
    <w:rsid w:val="00AF60D2"/>
    <w:rsid w:val="00B02848"/>
    <w:rsid w:val="00B03ADC"/>
    <w:rsid w:val="00B162C6"/>
    <w:rsid w:val="00B1777B"/>
    <w:rsid w:val="00B22AD3"/>
    <w:rsid w:val="00B54FFB"/>
    <w:rsid w:val="00B637ED"/>
    <w:rsid w:val="00B70561"/>
    <w:rsid w:val="00B70896"/>
    <w:rsid w:val="00B7118F"/>
    <w:rsid w:val="00B721EE"/>
    <w:rsid w:val="00B84CE0"/>
    <w:rsid w:val="00BC2BE2"/>
    <w:rsid w:val="00BD0A61"/>
    <w:rsid w:val="00BD2A2B"/>
    <w:rsid w:val="00BE5E90"/>
    <w:rsid w:val="00BF629B"/>
    <w:rsid w:val="00C20398"/>
    <w:rsid w:val="00C234C7"/>
    <w:rsid w:val="00C37D81"/>
    <w:rsid w:val="00C41CE0"/>
    <w:rsid w:val="00C664AA"/>
    <w:rsid w:val="00C7728D"/>
    <w:rsid w:val="00C9669A"/>
    <w:rsid w:val="00C9688A"/>
    <w:rsid w:val="00CA7022"/>
    <w:rsid w:val="00CC275E"/>
    <w:rsid w:val="00CC543C"/>
    <w:rsid w:val="00CE25B3"/>
    <w:rsid w:val="00CE7031"/>
    <w:rsid w:val="00CF1BBF"/>
    <w:rsid w:val="00CF5DDE"/>
    <w:rsid w:val="00D2224B"/>
    <w:rsid w:val="00D27101"/>
    <w:rsid w:val="00D4054C"/>
    <w:rsid w:val="00D65674"/>
    <w:rsid w:val="00D91117"/>
    <w:rsid w:val="00D972B9"/>
    <w:rsid w:val="00DA791D"/>
    <w:rsid w:val="00DB4C51"/>
    <w:rsid w:val="00DB611D"/>
    <w:rsid w:val="00DD169E"/>
    <w:rsid w:val="00DD4FB4"/>
    <w:rsid w:val="00DD6DA0"/>
    <w:rsid w:val="00DE19A8"/>
    <w:rsid w:val="00DE5440"/>
    <w:rsid w:val="00E02986"/>
    <w:rsid w:val="00E10E22"/>
    <w:rsid w:val="00E113A3"/>
    <w:rsid w:val="00E21BD8"/>
    <w:rsid w:val="00E233F8"/>
    <w:rsid w:val="00E23518"/>
    <w:rsid w:val="00E2779B"/>
    <w:rsid w:val="00E379AE"/>
    <w:rsid w:val="00E40619"/>
    <w:rsid w:val="00E4708A"/>
    <w:rsid w:val="00E51728"/>
    <w:rsid w:val="00E55864"/>
    <w:rsid w:val="00E76582"/>
    <w:rsid w:val="00E77B75"/>
    <w:rsid w:val="00E949BC"/>
    <w:rsid w:val="00EA076C"/>
    <w:rsid w:val="00EA590F"/>
    <w:rsid w:val="00EA6824"/>
    <w:rsid w:val="00ED2650"/>
    <w:rsid w:val="00ED32E1"/>
    <w:rsid w:val="00ED3895"/>
    <w:rsid w:val="00ED6544"/>
    <w:rsid w:val="00ED7BD5"/>
    <w:rsid w:val="00EE4597"/>
    <w:rsid w:val="00EF11A8"/>
    <w:rsid w:val="00F00958"/>
    <w:rsid w:val="00F0255C"/>
    <w:rsid w:val="00F02F8A"/>
    <w:rsid w:val="00F072A9"/>
    <w:rsid w:val="00F11FBA"/>
    <w:rsid w:val="00F14BCE"/>
    <w:rsid w:val="00F40F48"/>
    <w:rsid w:val="00F41BF7"/>
    <w:rsid w:val="00F53AC4"/>
    <w:rsid w:val="00F65164"/>
    <w:rsid w:val="00F67781"/>
    <w:rsid w:val="00F971F3"/>
    <w:rsid w:val="00F97959"/>
    <w:rsid w:val="00FA6B08"/>
    <w:rsid w:val="00FB07D8"/>
    <w:rsid w:val="00FB4708"/>
    <w:rsid w:val="00FC2ACA"/>
    <w:rsid w:val="00FC36CF"/>
    <w:rsid w:val="00FC3846"/>
    <w:rsid w:val="00FC42D7"/>
    <w:rsid w:val="00FD0073"/>
    <w:rsid w:val="00FD26F3"/>
    <w:rsid w:val="00FD3D13"/>
    <w:rsid w:val="00FD4159"/>
    <w:rsid w:val="00FF4553"/>
    <w:rsid w:val="081E58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page number"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73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773E"/>
    <w:pPr>
      <w:tabs>
        <w:tab w:val="center" w:pos="4680"/>
        <w:tab w:val="right" w:pos="9360"/>
      </w:tabs>
    </w:pPr>
  </w:style>
  <w:style w:type="paragraph" w:styleId="NormalWeb">
    <w:name w:val="Normal (Web)"/>
    <w:basedOn w:val="Normal"/>
    <w:link w:val="NormalWebChar"/>
    <w:uiPriority w:val="99"/>
    <w:rsid w:val="00A7773E"/>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qFormat/>
    <w:rsid w:val="00A7773E"/>
  </w:style>
  <w:style w:type="paragraph" w:styleId="ListParagraph">
    <w:name w:val="List Paragraph"/>
    <w:basedOn w:val="Normal"/>
    <w:uiPriority w:val="34"/>
    <w:qFormat/>
    <w:rsid w:val="00A7773E"/>
    <w:pPr>
      <w:ind w:left="720"/>
      <w:contextualSpacing/>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A7773E"/>
    <w:rPr>
      <w:rFonts w:ascii="Times New Roman" w:eastAsia="Times New Roman" w:hAnsi="Times New Roman" w:cs="Times New Roman"/>
    </w:rPr>
  </w:style>
  <w:style w:type="paragraph" w:customStyle="1" w:styleId="EndNoteBibliographyTitle">
    <w:name w:val="EndNote Bibliography Title"/>
    <w:basedOn w:val="Normal"/>
    <w:rsid w:val="00A7773E"/>
    <w:pPr>
      <w:jc w:val="center"/>
    </w:pPr>
    <w:rPr>
      <w:rFonts w:ascii="Calibri" w:hAnsi="Calibri" w:cs="Calibri"/>
    </w:rPr>
  </w:style>
  <w:style w:type="paragraph" w:customStyle="1" w:styleId="EndNoteBibliography">
    <w:name w:val="EndNote Bibliography"/>
    <w:basedOn w:val="Normal"/>
    <w:rsid w:val="00A7773E"/>
    <w:rPr>
      <w:rFonts w:ascii="Calibri" w:hAnsi="Calibri" w:cs="Calibri"/>
    </w:rPr>
  </w:style>
  <w:style w:type="paragraph" w:customStyle="1" w:styleId="p1">
    <w:name w:val="p1"/>
    <w:basedOn w:val="Normal"/>
    <w:rsid w:val="00A7773E"/>
    <w:rPr>
      <w:rFonts w:ascii="Helvetica" w:hAnsi="Helvetica" w:cs="Times New Roman"/>
      <w:sz w:val="15"/>
      <w:szCs w:val="15"/>
      <w:lang w:val="en-GB" w:eastAsia="en-GB"/>
    </w:rPr>
  </w:style>
  <w:style w:type="character" w:customStyle="1" w:styleId="s1">
    <w:name w:val="s1"/>
    <w:basedOn w:val="DefaultParagraphFont"/>
    <w:rsid w:val="00A7773E"/>
    <w:rPr>
      <w:color w:val="0875B8"/>
    </w:rPr>
  </w:style>
  <w:style w:type="character" w:customStyle="1" w:styleId="FooterChar">
    <w:name w:val="Footer Char"/>
    <w:basedOn w:val="DefaultParagraphFont"/>
    <w:link w:val="Footer"/>
    <w:uiPriority w:val="99"/>
    <w:qFormat/>
    <w:rsid w:val="00A7773E"/>
  </w:style>
  <w:style w:type="table" w:customStyle="1" w:styleId="ListTable6Colorful">
    <w:name w:val="List Table 6 Colorful"/>
    <w:basedOn w:val="TableNormal"/>
    <w:uiPriority w:val="51"/>
    <w:rsid w:val="00A7773E"/>
    <w:rPr>
      <w:color w:val="000000" w:themeColor="text1"/>
      <w:sz w:val="22"/>
      <w:szCs w:val="22"/>
      <w:lang w:val="en-GB"/>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neA">
    <w:name w:val="None A"/>
    <w:rsid w:val="00A7773E"/>
  </w:style>
  <w:style w:type="character" w:customStyle="1" w:styleId="apple-converted-space">
    <w:name w:val="apple-converted-space"/>
    <w:basedOn w:val="DefaultParagraphFont"/>
    <w:rsid w:val="00A7773E"/>
  </w:style>
  <w:style w:type="paragraph" w:styleId="BalloonText">
    <w:name w:val="Balloon Text"/>
    <w:basedOn w:val="Normal"/>
    <w:link w:val="BalloonTextChar"/>
    <w:uiPriority w:val="99"/>
    <w:semiHidden/>
    <w:unhideWhenUsed/>
    <w:rsid w:val="007F1E55"/>
    <w:rPr>
      <w:rFonts w:ascii="Tahoma" w:hAnsi="Tahoma" w:cs="Tahoma"/>
      <w:sz w:val="16"/>
      <w:szCs w:val="16"/>
    </w:rPr>
  </w:style>
  <w:style w:type="character" w:customStyle="1" w:styleId="BalloonTextChar">
    <w:name w:val="Balloon Text Char"/>
    <w:basedOn w:val="DefaultParagraphFont"/>
    <w:link w:val="BalloonText"/>
    <w:uiPriority w:val="99"/>
    <w:semiHidden/>
    <w:rsid w:val="007F1E55"/>
    <w:rPr>
      <w:rFonts w:ascii="Tahoma" w:hAnsi="Tahoma" w:cs="Tahoma"/>
      <w:sz w:val="16"/>
      <w:szCs w:val="16"/>
    </w:rPr>
  </w:style>
  <w:style w:type="paragraph" w:styleId="Header">
    <w:name w:val="header"/>
    <w:basedOn w:val="Normal"/>
    <w:link w:val="HeaderChar"/>
    <w:uiPriority w:val="99"/>
    <w:semiHidden/>
    <w:unhideWhenUsed/>
    <w:rsid w:val="007F1E55"/>
    <w:pPr>
      <w:tabs>
        <w:tab w:val="center" w:pos="4680"/>
        <w:tab w:val="right" w:pos="9360"/>
      </w:tabs>
    </w:pPr>
  </w:style>
  <w:style w:type="character" w:customStyle="1" w:styleId="HeaderChar">
    <w:name w:val="Header Char"/>
    <w:basedOn w:val="DefaultParagraphFont"/>
    <w:link w:val="Header"/>
    <w:uiPriority w:val="99"/>
    <w:semiHidden/>
    <w:rsid w:val="007F1E55"/>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7734</Words>
  <Characters>44084</Characters>
  <Application>Microsoft Office Word</Application>
  <DocSecurity>0</DocSecurity>
  <Lines>367</Lines>
  <Paragraphs>103</Paragraphs>
  <ScaleCrop>false</ScaleCrop>
  <Company/>
  <LinksUpToDate>false</LinksUpToDate>
  <CharactersWithSpaces>51715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Kapil Kumar</cp:lastModifiedBy>
  <cp:revision>5</cp:revision>
  <dcterms:created xsi:type="dcterms:W3CDTF">2022-12-24T04:31:00Z</dcterms:created>
  <dcterms:modified xsi:type="dcterms:W3CDTF">2022-12-25T08:47:00Z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1EF6381DB6994E8E9F95A57A637E0578</vt:lpwstr>
  </property>
</Properties>
</file>