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52F" w:rsidRPr="006C1E68" w:rsidRDefault="00E8152F" w:rsidP="00E8152F">
      <w:pPr>
        <w:shd w:val="clear" w:color="auto" w:fill="00B050"/>
        <w:spacing w:after="0" w:line="276" w:lineRule="auto"/>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E8152F" w:rsidRDefault="00E8152F" w:rsidP="00E8152F">
      <w:pPr>
        <w:spacing w:after="0" w:line="276" w:lineRule="auto"/>
        <w:jc w:val="center"/>
        <w:rPr>
          <w:rFonts w:ascii="Times New Roman" w:hAnsi="Times New Roman" w:cs="Times New Roman"/>
          <w:b/>
          <w:bCs/>
          <w:sz w:val="24"/>
          <w:szCs w:val="24"/>
        </w:rPr>
      </w:pPr>
    </w:p>
    <w:p w:rsidR="005D7C7D" w:rsidRDefault="0079476A" w:rsidP="00E8152F">
      <w:pPr>
        <w:spacing w:after="0" w:line="276" w:lineRule="auto"/>
        <w:jc w:val="center"/>
        <w:rPr>
          <w:rFonts w:ascii="Times New Roman" w:hAnsi="Times New Roman" w:cs="Times New Roman"/>
          <w:b/>
          <w:bCs/>
          <w:sz w:val="24"/>
          <w:szCs w:val="24"/>
          <w:lang w:val="id-ID"/>
        </w:rPr>
      </w:pPr>
      <w:commentRangeStart w:id="0"/>
      <w:r>
        <w:rPr>
          <w:rFonts w:ascii="Times New Roman" w:hAnsi="Times New Roman" w:cs="Times New Roman"/>
          <w:b/>
          <w:bCs/>
          <w:noProof/>
          <w:sz w:val="24"/>
          <w:szCs w:val="24"/>
        </w:rPr>
        <w:drawing>
          <wp:inline distT="0" distB="0" distL="0" distR="0">
            <wp:extent cx="5943600" cy="2286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2286000"/>
                    </a:xfrm>
                    <a:prstGeom prst="rect">
                      <a:avLst/>
                    </a:prstGeom>
                    <a:noFill/>
                    <a:ln w="9525">
                      <a:noFill/>
                      <a:miter lim="800000"/>
                      <a:headEnd/>
                      <a:tailEnd/>
                    </a:ln>
                  </pic:spPr>
                </pic:pic>
              </a:graphicData>
            </a:graphic>
          </wp:inline>
        </w:drawing>
      </w:r>
      <w:commentRangeEnd w:id="0"/>
      <w:r>
        <w:rPr>
          <w:rStyle w:val="CommentReference"/>
        </w:rPr>
        <w:commentReference w:id="0"/>
      </w:r>
      <w:commentRangeStart w:id="1"/>
      <w:r w:rsidR="000B7682" w:rsidRPr="000B7682">
        <w:rPr>
          <w:rFonts w:ascii="Times New Roman" w:hAnsi="Times New Roman" w:cs="Times New Roman"/>
          <w:b/>
          <w:bCs/>
          <w:sz w:val="24"/>
          <w:szCs w:val="24"/>
        </w:rPr>
        <w:t xml:space="preserve">EVALUATION OF THE </w:t>
      </w:r>
      <w:r w:rsidR="000B7682">
        <w:rPr>
          <w:rFonts w:ascii="Times New Roman" w:hAnsi="Times New Roman" w:cs="Times New Roman"/>
          <w:b/>
          <w:bCs/>
          <w:sz w:val="24"/>
          <w:szCs w:val="24"/>
        </w:rPr>
        <w:t>FREE RADICAL SCAVENGING</w:t>
      </w:r>
      <w:r w:rsidR="000B7682" w:rsidRPr="000B7682">
        <w:rPr>
          <w:rFonts w:ascii="Times New Roman" w:hAnsi="Times New Roman" w:cs="Times New Roman"/>
          <w:b/>
          <w:bCs/>
          <w:sz w:val="24"/>
          <w:szCs w:val="24"/>
        </w:rPr>
        <w:t xml:space="preserve"> OF TECTOQUINONE COMPOUND ISOLATED</w:t>
      </w:r>
      <w:r w:rsidR="000B7682">
        <w:rPr>
          <w:rFonts w:ascii="Times New Roman" w:hAnsi="Times New Roman" w:cs="Times New Roman"/>
          <w:b/>
          <w:bCs/>
          <w:sz w:val="24"/>
          <w:szCs w:val="24"/>
        </w:rPr>
        <w:t xml:space="preserve"> </w:t>
      </w:r>
      <w:commentRangeEnd w:id="1"/>
      <w:r>
        <w:rPr>
          <w:rStyle w:val="CommentReference"/>
        </w:rPr>
        <w:commentReference w:id="1"/>
      </w:r>
      <w:r w:rsidR="000B7682">
        <w:rPr>
          <w:rFonts w:ascii="Times New Roman" w:hAnsi="Times New Roman" w:cs="Times New Roman"/>
          <w:b/>
          <w:bCs/>
          <w:sz w:val="24"/>
          <w:szCs w:val="24"/>
        </w:rPr>
        <w:t xml:space="preserve">FROM </w:t>
      </w:r>
      <w:r w:rsidR="00E8152F" w:rsidRPr="00E8152F">
        <w:rPr>
          <w:rFonts w:ascii="Times New Roman" w:hAnsi="Times New Roman" w:cs="Times New Roman"/>
          <w:b/>
          <w:bCs/>
          <w:i/>
          <w:iCs/>
          <w:sz w:val="24"/>
          <w:szCs w:val="24"/>
          <w:lang w:val="id-ID"/>
        </w:rPr>
        <w:t>SYZYGIUM OBLANCEOLATUM</w:t>
      </w:r>
      <w:r w:rsidR="000B7682" w:rsidRPr="000B7682">
        <w:rPr>
          <w:rFonts w:ascii="Times New Roman" w:hAnsi="Times New Roman" w:cs="Times New Roman"/>
          <w:b/>
          <w:bCs/>
          <w:i/>
          <w:iCs/>
          <w:sz w:val="24"/>
          <w:szCs w:val="24"/>
          <w:lang w:val="id-ID"/>
        </w:rPr>
        <w:t xml:space="preserve"> </w:t>
      </w:r>
      <w:r w:rsidR="000B7682" w:rsidRPr="000B7682">
        <w:rPr>
          <w:rFonts w:ascii="Times New Roman" w:hAnsi="Times New Roman" w:cs="Times New Roman"/>
          <w:b/>
          <w:bCs/>
          <w:sz w:val="24"/>
          <w:szCs w:val="24"/>
          <w:lang w:val="id-ID"/>
        </w:rPr>
        <w:t>(C.B.ROB.)MERR</w:t>
      </w:r>
    </w:p>
    <w:p w:rsidR="000B7682" w:rsidRDefault="000B7682" w:rsidP="00E8152F">
      <w:pPr>
        <w:spacing w:after="0" w:line="276" w:lineRule="auto"/>
        <w:jc w:val="center"/>
        <w:rPr>
          <w:rStyle w:val="Hyperlink"/>
          <w:rFonts w:ascii="Times New Roman" w:hAnsi="Times New Roman" w:cs="Times New Roman"/>
        </w:rPr>
      </w:pPr>
      <w:commentRangeStart w:id="2"/>
    </w:p>
    <w:p w:rsidR="000B7682" w:rsidRDefault="000B7682" w:rsidP="00E8152F">
      <w:pPr>
        <w:spacing w:after="0" w:line="276" w:lineRule="auto"/>
        <w:rPr>
          <w:rFonts w:ascii="Times New Roman" w:hAnsi="Times New Roman" w:cs="Times New Roman"/>
          <w:b/>
          <w:bCs/>
          <w:sz w:val="24"/>
          <w:szCs w:val="24"/>
        </w:rPr>
      </w:pPr>
      <w:r w:rsidRPr="000B7682">
        <w:rPr>
          <w:rFonts w:ascii="Times New Roman" w:hAnsi="Times New Roman" w:cs="Times New Roman"/>
          <w:b/>
          <w:bCs/>
          <w:sz w:val="24"/>
          <w:szCs w:val="24"/>
        </w:rPr>
        <w:t>ABSTRACT</w:t>
      </w:r>
    </w:p>
    <w:commentRangeEnd w:id="2"/>
    <w:p w:rsidR="000B7682" w:rsidRDefault="0079476A" w:rsidP="00E8152F">
      <w:pPr>
        <w:spacing w:after="0" w:line="276" w:lineRule="auto"/>
        <w:jc w:val="both"/>
        <w:rPr>
          <w:rFonts w:ascii="Times New Roman" w:hAnsi="Times New Roman" w:cs="Times New Roman"/>
          <w:sz w:val="24"/>
          <w:szCs w:val="24"/>
        </w:rPr>
      </w:pPr>
      <w:r>
        <w:rPr>
          <w:rStyle w:val="CommentReference"/>
        </w:rPr>
        <w:commentReference w:id="2"/>
      </w:r>
      <w:r w:rsidR="000B7682" w:rsidRPr="000B7682">
        <w:rPr>
          <w:rFonts w:ascii="Times New Roman" w:hAnsi="Times New Roman" w:cs="Times New Roman"/>
          <w:sz w:val="24"/>
          <w:szCs w:val="24"/>
        </w:rPr>
        <w:t xml:space="preserve">In this study, the free radical scavenging of tectoquinone compound </w:t>
      </w:r>
      <w:r w:rsidR="000B7682">
        <w:rPr>
          <w:rFonts w:ascii="Times New Roman" w:hAnsi="Times New Roman" w:cs="Times New Roman"/>
          <w:sz w:val="24"/>
          <w:szCs w:val="24"/>
        </w:rPr>
        <w:t>isolated</w:t>
      </w:r>
      <w:r w:rsidR="000B7682" w:rsidRPr="000B7682">
        <w:rPr>
          <w:rFonts w:ascii="Times New Roman" w:hAnsi="Times New Roman" w:cs="Times New Roman"/>
          <w:sz w:val="24"/>
          <w:szCs w:val="24"/>
        </w:rPr>
        <w:t xml:space="preserve"> </w:t>
      </w:r>
      <w:commentRangeStart w:id="3"/>
      <w:r w:rsidR="000B7682" w:rsidRPr="000B7682">
        <w:rPr>
          <w:rFonts w:ascii="Times New Roman" w:hAnsi="Times New Roman" w:cs="Times New Roman"/>
          <w:sz w:val="24"/>
          <w:szCs w:val="24"/>
        </w:rPr>
        <w:t xml:space="preserve">from </w:t>
      </w:r>
      <w:r w:rsidRPr="0079476A">
        <w:rPr>
          <w:rFonts w:ascii="Times New Roman" w:hAnsi="Times New Roman" w:cs="Times New Roman"/>
          <w:i/>
          <w:iCs/>
          <w:sz w:val="24"/>
          <w:szCs w:val="24"/>
        </w:rPr>
        <w:t>Syzygium oblanceolatum</w:t>
      </w:r>
      <w:r w:rsidR="000B7682" w:rsidRPr="000B7682">
        <w:rPr>
          <w:rFonts w:ascii="Times New Roman" w:hAnsi="Times New Roman" w:cs="Times New Roman"/>
          <w:sz w:val="24"/>
          <w:szCs w:val="24"/>
        </w:rPr>
        <w:t xml:space="preserve"> </w:t>
      </w:r>
      <w:commentRangeEnd w:id="3"/>
      <w:r>
        <w:rPr>
          <w:rStyle w:val="CommentReference"/>
        </w:rPr>
        <w:commentReference w:id="3"/>
      </w:r>
      <w:r w:rsidR="000B7682" w:rsidRPr="000B7682">
        <w:rPr>
          <w:rFonts w:ascii="Times New Roman" w:hAnsi="Times New Roman" w:cs="Times New Roman"/>
          <w:sz w:val="24"/>
          <w:szCs w:val="24"/>
        </w:rPr>
        <w:t>(C.B. Rob.) Merr was investigated by assessing their capacity to scavenge free radicals using the DPPH (2,2-diphenyl-1-picrylhydrazyl) assay. The quantitative assessment of antioxidant activity was conducted using a UV-Vis spectrophotometric approach, with measurements taken at a wavelength of 516 nm.The IC</w:t>
      </w:r>
      <w:r w:rsidR="000B7682" w:rsidRPr="000B7682">
        <w:rPr>
          <w:rFonts w:ascii="Times New Roman" w:hAnsi="Times New Roman" w:cs="Times New Roman"/>
          <w:sz w:val="24"/>
          <w:szCs w:val="24"/>
          <w:vertAlign w:val="subscript"/>
        </w:rPr>
        <w:t>50</w:t>
      </w:r>
      <w:r w:rsidR="000B7682" w:rsidRPr="000B7682">
        <w:rPr>
          <w:rFonts w:ascii="Times New Roman" w:hAnsi="Times New Roman" w:cs="Times New Roman"/>
          <w:sz w:val="24"/>
          <w:szCs w:val="24"/>
        </w:rPr>
        <w:t xml:space="preserve"> value, representing the concentration required to inhibit 50% of the DPPH radicals, was determined to be 66.362 μg/mL, indicating a moderate free radical-scavenging activity. These findings suggest that tectoquinone compounds possess a discernible ability to </w:t>
      </w:r>
      <w:r w:rsidR="000B7682">
        <w:rPr>
          <w:rFonts w:ascii="Times New Roman" w:hAnsi="Times New Roman" w:cs="Times New Roman"/>
          <w:sz w:val="24"/>
          <w:szCs w:val="24"/>
        </w:rPr>
        <w:t>against free radical</w:t>
      </w:r>
      <w:r w:rsidR="000B7682" w:rsidRPr="000B7682">
        <w:rPr>
          <w:rFonts w:ascii="Times New Roman" w:hAnsi="Times New Roman" w:cs="Times New Roman"/>
          <w:sz w:val="24"/>
          <w:szCs w:val="24"/>
        </w:rPr>
        <w:t>, though further research may be necessary to optimize their potential applications in health and medicine.</w:t>
      </w:r>
    </w:p>
    <w:p w:rsidR="000B7682" w:rsidRPr="000B7682" w:rsidRDefault="000B7682" w:rsidP="00E8152F">
      <w:pPr>
        <w:spacing w:after="0" w:line="276" w:lineRule="auto"/>
        <w:jc w:val="both"/>
        <w:rPr>
          <w:rFonts w:ascii="Times New Roman" w:hAnsi="Times New Roman" w:cs="Times New Roman"/>
          <w:sz w:val="24"/>
          <w:szCs w:val="24"/>
        </w:rPr>
      </w:pPr>
      <w:commentRangeStart w:id="4"/>
      <w:r>
        <w:rPr>
          <w:rFonts w:ascii="Times New Roman" w:hAnsi="Times New Roman" w:cs="Times New Roman"/>
          <w:b/>
          <w:bCs/>
          <w:sz w:val="24"/>
          <w:szCs w:val="24"/>
        </w:rPr>
        <w:t xml:space="preserve">Keywords: </w:t>
      </w:r>
      <w:commentRangeEnd w:id="4"/>
      <w:r w:rsidR="0079476A">
        <w:rPr>
          <w:rStyle w:val="CommentReference"/>
        </w:rPr>
        <w:commentReference w:id="4"/>
      </w:r>
      <w:r w:rsidRPr="000B7682">
        <w:rPr>
          <w:rFonts w:ascii="Times New Roman" w:hAnsi="Times New Roman" w:cs="Times New Roman"/>
          <w:sz w:val="24"/>
          <w:szCs w:val="24"/>
        </w:rPr>
        <w:t xml:space="preserve">Tectoquinone, </w:t>
      </w:r>
      <w:r w:rsidR="0079476A" w:rsidRPr="0079476A">
        <w:rPr>
          <w:rFonts w:ascii="Times New Roman" w:hAnsi="Times New Roman" w:cs="Times New Roman"/>
          <w:i/>
          <w:iCs/>
          <w:sz w:val="24"/>
          <w:szCs w:val="24"/>
        </w:rPr>
        <w:t>Syzygium oblanceolatum</w:t>
      </w:r>
      <w:r w:rsidRPr="000B7682">
        <w:rPr>
          <w:rFonts w:ascii="Times New Roman" w:hAnsi="Times New Roman" w:cs="Times New Roman"/>
          <w:sz w:val="24"/>
          <w:szCs w:val="24"/>
        </w:rPr>
        <w:t>, DPPH assay, IC</w:t>
      </w:r>
      <w:r w:rsidRPr="000B7682">
        <w:rPr>
          <w:rFonts w:ascii="Times New Roman" w:hAnsi="Times New Roman" w:cs="Times New Roman"/>
          <w:sz w:val="24"/>
          <w:szCs w:val="24"/>
          <w:vertAlign w:val="subscript"/>
        </w:rPr>
        <w:t>50</w:t>
      </w:r>
      <w:r w:rsidRPr="000B7682">
        <w:rPr>
          <w:rFonts w:ascii="Times New Roman" w:hAnsi="Times New Roman" w:cs="Times New Roman"/>
          <w:sz w:val="24"/>
          <w:szCs w:val="24"/>
        </w:rPr>
        <w:t xml:space="preserve"> value, free radical</w:t>
      </w:r>
    </w:p>
    <w:p w:rsidR="000B7682" w:rsidRDefault="000B7682" w:rsidP="00E8152F">
      <w:pPr>
        <w:spacing w:after="0" w:line="276" w:lineRule="auto"/>
        <w:rPr>
          <w:rFonts w:ascii="Times New Roman" w:hAnsi="Times New Roman" w:cs="Times New Roman"/>
          <w:b/>
          <w:sz w:val="24"/>
          <w:szCs w:val="24"/>
        </w:rPr>
      </w:pPr>
    </w:p>
    <w:p w:rsidR="000B7682" w:rsidRDefault="000B7682" w:rsidP="00E8152F">
      <w:pPr>
        <w:spacing w:after="0" w:line="276" w:lineRule="auto"/>
        <w:rPr>
          <w:rFonts w:ascii="Times New Roman" w:hAnsi="Times New Roman" w:cs="Times New Roman"/>
          <w:b/>
          <w:sz w:val="24"/>
          <w:szCs w:val="24"/>
        </w:rPr>
      </w:pPr>
      <w:r w:rsidRPr="00EB6034">
        <w:rPr>
          <w:rFonts w:ascii="Times New Roman" w:hAnsi="Times New Roman" w:cs="Times New Roman"/>
          <w:b/>
          <w:sz w:val="24"/>
          <w:szCs w:val="24"/>
        </w:rPr>
        <w:t>INTRODUCTION</w:t>
      </w:r>
    </w:p>
    <w:p w:rsidR="000B7682" w:rsidRDefault="000B7682" w:rsidP="00E8152F">
      <w:pPr>
        <w:spacing w:after="0" w:line="276" w:lineRule="auto"/>
        <w:jc w:val="both"/>
        <w:rPr>
          <w:rFonts w:ascii="Times New Roman" w:hAnsi="Times New Roman" w:cs="Times New Roman"/>
          <w:bCs/>
        </w:rPr>
      </w:pPr>
      <w:commentRangeStart w:id="5"/>
      <w:r w:rsidRPr="000B7682">
        <w:rPr>
          <w:rFonts w:ascii="Times New Roman" w:hAnsi="Times New Roman" w:cs="Times New Roman"/>
          <w:bCs/>
        </w:rPr>
        <w:t>Oxidative stress is a fundamental contributor to various health disorders and is primarily associated with the detrimental effects of reactive oxygen species (ROS) on biological systems</w:t>
      </w:r>
      <w:r w:rsidR="00D50E1E">
        <w:rPr>
          <w:rFonts w:ascii="Times New Roman" w:hAnsi="Times New Roman" w:cs="Times New Roman"/>
          <w:bCs/>
        </w:rPr>
        <w:fldChar w:fldCharType="begin" w:fldLock="1"/>
      </w:r>
      <w:r>
        <w:rPr>
          <w:rFonts w:ascii="Times New Roman" w:hAnsi="Times New Roman" w:cs="Times New Roman"/>
          <w:bCs/>
        </w:rPr>
        <w:instrText>ADDIN CSL_CITATION {"citationItems":[{"id":"ITEM-1","itemData":{"DOI":"10.1021/acsabm.2c00411","author":[{"dropping-particle":"","family":"Anik","given":"Muzahidul I","non-dropping-particle":"","parse-names":false,"suffix":""},{"dropping-particle":"","family":"Mahmud","given":"Niaz","non-dropping-particle":"","parse-names":false,"suffix":""},{"dropping-particle":"Al","family":"Masud","given":"Abdullah","non-dropping-particle":"","parse-names":false,"suffix":""},{"dropping-particle":"","family":"Khan","given":"Md Ishak","non-dropping-particle":"","parse-names":false,"suffix":""},{"dropping-particle":"","family":"Islam","given":"Md Nurul","non-dropping-particle":"","parse-names":false,"suffix":""},{"dropping-particle":"","family":"Uddin","given":"Shihab","non-dropping-particle":"","parse-names":false,"suffix":""},{"dropping-particle":"","family":"Hossain","given":"M Khalid","non-dropping-particle":"","parse-names":false,"suffix":""}],"container-title":"ACS Applied Bio Materials","id":"ITEM-1","issue":"9","issued":{"date-parts":[["2022"]]},"page":"4028-4054","publisher":"ACS Publications","title":"Role of reactive oxygen species in aging and age-related diseases: a review","type":"article-journal","volume":"5"},"uris":["http://www.mendeley.com/documents/?uuid=22d65079-1a63-4207-83a9-11f5b003ac05"]}],"mendeley":{"formattedCitation":"&lt;sup&gt;1&lt;/sup&gt;","plainTextFormattedCitation":"1","previouslyFormattedCitation":"&lt;sup&gt;1&lt;/sup&gt;"},"properties":{"noteIndex":0},"schema":"https://github.com/citation-style-language/schema/raw/master/csl-citation.json"}</w:instrText>
      </w:r>
      <w:r w:rsidR="00D50E1E">
        <w:rPr>
          <w:rFonts w:ascii="Times New Roman" w:hAnsi="Times New Roman" w:cs="Times New Roman"/>
          <w:bCs/>
        </w:rPr>
        <w:fldChar w:fldCharType="separate"/>
      </w:r>
      <w:r w:rsidRPr="000B7682">
        <w:rPr>
          <w:rFonts w:ascii="Times New Roman" w:hAnsi="Times New Roman" w:cs="Times New Roman"/>
          <w:bCs/>
          <w:noProof/>
          <w:vertAlign w:val="superscript"/>
        </w:rPr>
        <w:t>1</w:t>
      </w:r>
      <w:r w:rsidR="00D50E1E">
        <w:rPr>
          <w:rFonts w:ascii="Times New Roman" w:hAnsi="Times New Roman" w:cs="Times New Roman"/>
          <w:bCs/>
        </w:rPr>
        <w:fldChar w:fldCharType="end"/>
      </w:r>
      <w:r w:rsidRPr="000B7682">
        <w:rPr>
          <w:rFonts w:ascii="Times New Roman" w:hAnsi="Times New Roman" w:cs="Times New Roman"/>
          <w:bCs/>
        </w:rPr>
        <w:t>. Consequently, the exploration of natural compounds with antioxidant properties has become a focal point in scientific research, as these compounds have the potential to mitigate the adverse effects of free radical compounds</w:t>
      </w:r>
      <w:r w:rsidR="00D50E1E">
        <w:rPr>
          <w:rFonts w:ascii="Times New Roman" w:hAnsi="Times New Roman" w:cs="Times New Roman"/>
          <w:bCs/>
        </w:rPr>
        <w:fldChar w:fldCharType="begin" w:fldLock="1"/>
      </w:r>
      <w:r>
        <w:rPr>
          <w:rFonts w:ascii="Times New Roman" w:hAnsi="Times New Roman" w:cs="Times New Roman"/>
          <w:bCs/>
        </w:rPr>
        <w:instrText>ADDIN CSL_CITATION {"citationItems":[{"id":"ITEM-1","itemData":{"DOI":"https://doi.org/10.1016/j.fochx.2022.100558","author":[{"dropping-particle":"","family":"Jia","given":"Wei","non-dropping-particle":"","parse-names":false,"suffix":""},{"dropping-particle":"","family":"Wu","given":"Xinyu","non-dropping-particle":"","parse-names":false,"suffix":""},{"dropping-particle":"","family":"Kang","given":"Xin","non-dropping-particle":"","parse-names":false,"suffix":""}],"container-title":"Food Chemistry: X","id":"ITEM-1","issued":{"date-parts":[["2023"]]},"page":"100558","publisher":"Elsevier","title":"Integrated the embedding delivery system and targeted oxygen scavenger enhances free radical scavenging capacity","type":"article-journal"},"uris":["http://www.mendeley.com/documents/?uuid=f14c03f9-6964-451d-b619-9d350ed48a0a"]}],"mendeley":{"formattedCitation":"&lt;sup&gt;2&lt;/sup&gt;","plainTextFormattedCitation":"2","previouslyFormattedCitation":"&lt;sup&gt;2&lt;/sup&gt;"},"properties":{"noteIndex":0},"schema":"https://github.com/citation-style-language/schema/raw/master/csl-citation.json"}</w:instrText>
      </w:r>
      <w:r w:rsidR="00D50E1E">
        <w:rPr>
          <w:rFonts w:ascii="Times New Roman" w:hAnsi="Times New Roman" w:cs="Times New Roman"/>
          <w:bCs/>
        </w:rPr>
        <w:fldChar w:fldCharType="separate"/>
      </w:r>
      <w:r w:rsidRPr="000B7682">
        <w:rPr>
          <w:rFonts w:ascii="Times New Roman" w:hAnsi="Times New Roman" w:cs="Times New Roman"/>
          <w:bCs/>
          <w:noProof/>
          <w:vertAlign w:val="superscript"/>
        </w:rPr>
        <w:t>2</w:t>
      </w:r>
      <w:r w:rsidR="00D50E1E">
        <w:rPr>
          <w:rFonts w:ascii="Times New Roman" w:hAnsi="Times New Roman" w:cs="Times New Roman"/>
          <w:bCs/>
        </w:rPr>
        <w:fldChar w:fldCharType="end"/>
      </w:r>
      <w:r w:rsidRPr="000B7682">
        <w:rPr>
          <w:rFonts w:ascii="Times New Roman" w:hAnsi="Times New Roman" w:cs="Times New Roman"/>
          <w:bCs/>
        </w:rPr>
        <w:t>.</w:t>
      </w:r>
      <w:commentRangeEnd w:id="5"/>
      <w:r w:rsidR="00714958">
        <w:rPr>
          <w:rStyle w:val="CommentReference"/>
        </w:rPr>
        <w:commentReference w:id="5"/>
      </w:r>
    </w:p>
    <w:p w:rsidR="000B7682" w:rsidRPr="000B7682" w:rsidRDefault="000B7682" w:rsidP="00E8152F">
      <w:pPr>
        <w:spacing w:after="0" w:line="276" w:lineRule="auto"/>
        <w:jc w:val="both"/>
      </w:pPr>
      <w:r w:rsidRPr="000B7682">
        <w:rPr>
          <w:rFonts w:ascii="Times New Roman" w:hAnsi="Times New Roman" w:cs="Times New Roman"/>
          <w:bCs/>
        </w:rPr>
        <w:t xml:space="preserve">Tectoquinone </w:t>
      </w:r>
      <w:commentRangeStart w:id="6"/>
      <w:r w:rsidRPr="000B7682">
        <w:rPr>
          <w:rFonts w:ascii="Times New Roman" w:hAnsi="Times New Roman" w:cs="Times New Roman"/>
          <w:bCs/>
        </w:rPr>
        <w:t xml:space="preserve">compound, isolated from the plant </w:t>
      </w:r>
      <w:r w:rsidRPr="000B7682">
        <w:rPr>
          <w:rFonts w:ascii="Times New Roman" w:hAnsi="Times New Roman" w:cs="Times New Roman"/>
          <w:bCs/>
          <w:i/>
          <w:iCs/>
        </w:rPr>
        <w:t>Syzygium</w:t>
      </w:r>
      <w:r w:rsidR="0079476A">
        <w:rPr>
          <w:rFonts w:ascii="Times New Roman" w:hAnsi="Times New Roman" w:cs="Times New Roman"/>
          <w:bCs/>
          <w:i/>
          <w:iCs/>
        </w:rPr>
        <w:t xml:space="preserve"> </w:t>
      </w:r>
      <w:r w:rsidRPr="000B7682">
        <w:rPr>
          <w:rFonts w:ascii="Times New Roman" w:hAnsi="Times New Roman" w:cs="Times New Roman"/>
          <w:bCs/>
          <w:i/>
          <w:iCs/>
        </w:rPr>
        <w:t>oblanceolatum</w:t>
      </w:r>
      <w:r w:rsidRPr="000B7682">
        <w:rPr>
          <w:rFonts w:ascii="Times New Roman" w:hAnsi="Times New Roman" w:cs="Times New Roman"/>
          <w:bCs/>
        </w:rPr>
        <w:t xml:space="preserve"> (C.B. Rob.) Merr, represents a group of compounds that have attracted attention for their potential as free radical scavenging. </w:t>
      </w:r>
      <w:r w:rsidRPr="000B7682">
        <w:rPr>
          <w:rFonts w:ascii="Times New Roman" w:hAnsi="Times New Roman" w:cs="Times New Roman"/>
          <w:bCs/>
          <w:i/>
          <w:iCs/>
        </w:rPr>
        <w:t>S. oblanceolatum</w:t>
      </w:r>
      <w:r w:rsidRPr="000B7682">
        <w:rPr>
          <w:rFonts w:ascii="Times New Roman" w:hAnsi="Times New Roman" w:cs="Times New Roman"/>
          <w:bCs/>
        </w:rPr>
        <w:t xml:space="preserve"> represents the first documented report of its existence in Sulawesi, previously known to occur only in Eastern Philippines and Kalimantan</w:t>
      </w:r>
      <w:r w:rsidR="00D50E1E">
        <w:rPr>
          <w:rFonts w:ascii="Times New Roman" w:hAnsi="Times New Roman" w:cs="Times New Roman"/>
          <w:bCs/>
        </w:rPr>
        <w:fldChar w:fldCharType="begin" w:fldLock="1"/>
      </w:r>
      <w:r>
        <w:rPr>
          <w:rFonts w:ascii="Times New Roman" w:hAnsi="Times New Roman" w:cs="Times New Roman"/>
          <w:bCs/>
        </w:rPr>
        <w:instrText>ADDIN CSL_CITATION {"citationItems":[{"id":"ITEM-1","itemData":{"author":[{"dropping-particle":"","family":"Ashton","given":"Peter","non-dropping-particle":"","parse-names":false,"suffix":""}],"container-title":"Sandakania","id":"ITEM-1","issued":{"date-parts":[["2016"]]},"page":"55-75","title":"Notes on northern Borneo Myrtaceae","type":"article-journal","volume":"22"},"uris":["http://www.mendeley.com/documents/?uuid=dda42f14-3adb-3c9b-b15e-cfcd2bb59652"]}],"mendeley":{"formattedCitation":"&lt;sup&gt;3&lt;/sup&gt;","plainTextFormattedCitation":"3","previouslyFormattedCitation":"&lt;sup&gt;3&lt;/sup&gt;"},"properties":{"noteIndex":0},"schema":"https://github.com/citation-style-language/schema/raw/master/csl-citation.json"}</w:instrText>
      </w:r>
      <w:r w:rsidR="00D50E1E">
        <w:rPr>
          <w:rFonts w:ascii="Times New Roman" w:hAnsi="Times New Roman" w:cs="Times New Roman"/>
          <w:bCs/>
        </w:rPr>
        <w:fldChar w:fldCharType="separate"/>
      </w:r>
      <w:r w:rsidRPr="000B7682">
        <w:rPr>
          <w:rFonts w:ascii="Times New Roman" w:hAnsi="Times New Roman" w:cs="Times New Roman"/>
          <w:bCs/>
          <w:noProof/>
          <w:vertAlign w:val="superscript"/>
        </w:rPr>
        <w:t>3</w:t>
      </w:r>
      <w:r w:rsidR="00D50E1E">
        <w:rPr>
          <w:rFonts w:ascii="Times New Roman" w:hAnsi="Times New Roman" w:cs="Times New Roman"/>
          <w:bCs/>
        </w:rPr>
        <w:fldChar w:fldCharType="end"/>
      </w:r>
      <w:r w:rsidRPr="000B7682">
        <w:rPr>
          <w:rFonts w:ascii="Times New Roman" w:hAnsi="Times New Roman" w:cs="Times New Roman"/>
          <w:bCs/>
        </w:rPr>
        <w:t>. The presence of this plant in Sulawesi, particularly in South Sulawesi, is intriguing and warrants further investigation.</w:t>
      </w:r>
      <w:r w:rsidRPr="000B7682">
        <w:rPr>
          <w:rFonts w:ascii="Times New Roman" w:hAnsi="Times New Roman" w:cs="Times New Roman"/>
          <w:bCs/>
          <w:i/>
          <w:iCs/>
        </w:rPr>
        <w:t>S. oblanceolatum</w:t>
      </w:r>
      <w:r w:rsidR="0079476A">
        <w:rPr>
          <w:rFonts w:ascii="Times New Roman" w:hAnsi="Times New Roman" w:cs="Times New Roman"/>
          <w:bCs/>
          <w:i/>
          <w:iCs/>
        </w:rPr>
        <w:t xml:space="preserve"> </w:t>
      </w:r>
      <w:r w:rsidRPr="000B7682">
        <w:rPr>
          <w:rFonts w:ascii="Times New Roman" w:hAnsi="Times New Roman" w:cs="Times New Roman"/>
          <w:bCs/>
        </w:rPr>
        <w:t>from a family of Myrtaceae is a well-known family of vascular dicot plants</w:t>
      </w:r>
      <w:r w:rsidR="00D50E1E">
        <w:rPr>
          <w:rFonts w:ascii="Times New Roman" w:hAnsi="Times New Roman" w:cs="Times New Roman"/>
          <w:bCs/>
        </w:rPr>
        <w:fldChar w:fldCharType="begin" w:fldLock="1"/>
      </w:r>
      <w:r>
        <w:rPr>
          <w:rFonts w:ascii="Times New Roman" w:hAnsi="Times New Roman" w:cs="Times New Roman"/>
          <w:bCs/>
        </w:rPr>
        <w:instrText>ADDIN CSL_CITATION {"citationItems":[{"id":"ITEM-1","itemData":{"DOI":"https://doi.org/10.3390/plants11121590","author":[{"dropping-particle":"","family":"Armijos","given":"Chabaco","non-dropping-particle":"","parse-names":false,"suffix":""},{"dropping-particle":"","family":"Ram\\'\\irez","given":"Jorge","non-dropping-particle":"","parse-names":false,"suffix":""},{"dropping-particle":"","family":"Vidari","given":"Giovanni","non-dropping-particle":"","parse-names":false,"suffix":""}],"container-title":"Plants","id":"ITEM-1","issue":"12","issued":{"date-parts":[["2022"]]},"page":"1590","publisher":"MDPI","title":"Poorly Investigated Ecuadorian Medicinal Plants","type":"article-journal","volume":"11"},"uris":["http://www.mendeley.com/documents/?uuid=93ec9b8b-6728-4792-818c-d6b0d4e8bcdc"]}],"mendeley":{"formattedCitation":"&lt;sup&gt;4&lt;/sup&gt;","plainTextFormattedCitation":"4","previouslyFormattedCitation":"&lt;sup&gt;4&lt;/sup&gt;"},"properties":{"noteIndex":0},"schema":"https://github.com/citation-style-language/schema/raw/master/csl-citation.json"}</w:instrText>
      </w:r>
      <w:r w:rsidR="00D50E1E">
        <w:rPr>
          <w:rFonts w:ascii="Times New Roman" w:hAnsi="Times New Roman" w:cs="Times New Roman"/>
          <w:bCs/>
        </w:rPr>
        <w:fldChar w:fldCharType="separate"/>
      </w:r>
      <w:r w:rsidRPr="000B7682">
        <w:rPr>
          <w:rFonts w:ascii="Times New Roman" w:hAnsi="Times New Roman" w:cs="Times New Roman"/>
          <w:bCs/>
          <w:noProof/>
          <w:vertAlign w:val="superscript"/>
        </w:rPr>
        <w:t>4</w:t>
      </w:r>
      <w:r w:rsidR="00D50E1E">
        <w:rPr>
          <w:rFonts w:ascii="Times New Roman" w:hAnsi="Times New Roman" w:cs="Times New Roman"/>
          <w:bCs/>
        </w:rPr>
        <w:fldChar w:fldCharType="end"/>
      </w:r>
      <w:r>
        <w:rPr>
          <w:rFonts w:ascii="Times New Roman" w:hAnsi="Times New Roman" w:cs="Times New Roman"/>
          <w:bCs/>
        </w:rPr>
        <w:t xml:space="preserve"> (figure 1)</w:t>
      </w:r>
      <w:r w:rsidRPr="000B7682">
        <w:rPr>
          <w:rFonts w:ascii="Times New Roman" w:hAnsi="Times New Roman" w:cs="Times New Roman"/>
          <w:bCs/>
        </w:rPr>
        <w:t>. As the eighth-largest dicot plant family, it comprises approximately 5,650 species grouped into 130-150 generad</w:t>
      </w:r>
      <w:r w:rsidR="00D50E1E">
        <w:rPr>
          <w:rFonts w:ascii="Times New Roman" w:hAnsi="Times New Roman" w:cs="Times New Roman"/>
          <w:bCs/>
        </w:rPr>
        <w:fldChar w:fldCharType="begin" w:fldLock="1"/>
      </w:r>
      <w:r>
        <w:rPr>
          <w:rFonts w:ascii="Times New Roman" w:hAnsi="Times New Roman" w:cs="Times New Roman"/>
          <w:bCs/>
        </w:rPr>
        <w:instrText>ADDIN CSL_CITATION {"citationItems":[{"id":"ITEM-1","itemData":{"DOI":"10.1016/j.foodres.2019.108715","ISSN":"18737145","PMID":"31732075","abstract":"Untargeted metabolomics was used in this study to discriminate the phenolic fingerprints of six Syzygium species. This approach resulted in the annotation of 441 compounds that belong to different phenolic classes, such as flavonoids, lignans, stilbenes, tyrosols, alkylphenols, and phenolic acids. Multivariate data analysis unraveled the main differences between the studied species. S. paniculatum and S. aqueum were the richest sources in terms of phenolic compounds, cumulatively amounting to 355.3 and 266.4 mg/g dry matter, respectively. Nevertheless, S. jambos showed reduced amounts of phenolics, when compared with other species. The biological activity of Syzygium leaf extracts was assessed on MCF-7 breast adenocarcinoma and MDA-MB-231 breast cancer cell lines. Potent estrogenic activity was detected using the SRB assay on MCF-7. This activity may be ascribable to the presence of phenolic compounds miming phytoestrogens such as lignans, stilbenes, and isoflavonoids in the investigated Syzygium extracts. By examining the biological effect of Syzygium extracts against MDA-MB-231 cell lines, the Syzygium gratum leaf extract exhibited the strongest inhibition, with IC50 = 19.4 µg/mL, followed by S. paniculatum (IC50 = 50.9 µg/mL). However, the Syzygium gratum leaf extract showed a potent cytotoxic effect on normal human skin fibroblasts, HSF (IC50 = 1.24 µg/mL), assuming a nonselective cytotoxic effect. On the other hand, other studied Syzygium leaves proved as safe nutraceuticals (IC50 ≥ 100 µg/mL) on HSF cell lines. Our study suggested a possible implication of Syzygium malaccense and Syzygium aqueum leaves as potential estrogenic candidates in relation to their health-promoting phenolic constituents.","author":[{"dropping-particle":"","family":"Rocchetti","given":"Gabriele","non-dropping-particle":"","parse-names":false,"suffix":""},{"dropping-particle":"","family":"Lucini","given":"Luigi","non-dropping-particle":"","parse-names":false,"suffix":""},{"dropping-particle":"","family":"Ahmed","given":"Shaimaa R.","non-dropping-particle":"","parse-names":false,"suffix":""},{"dropping-particle":"","family":"Saber","given":"Fatema R.","non-dropping-particle":"","parse-names":false,"suffix":""}],"container-title":"Food Research International","id":"ITEM-1","issue":"August","issued":{"date-parts":[["2019"]]},"page":"108715","publisher":"Elsevier","title":"In vitro cytotoxic activity of six Syzygium leaf extracts as related to their phenolic profiles: An untargeted UHPLC-QTOF-MS approach","type":"article-journal","volume":"126"},"uris":["http://www.mendeley.com/documents/?uuid=3c2d1614-2007-4b0e-8f8a-1daeb9f3ea5c"]}],"mendeley":{"formattedCitation":"&lt;sup&gt;5&lt;/sup&gt;","plainTextFormattedCitation":"5","previouslyFormattedCitation":"&lt;sup&gt;5&lt;/sup&gt;"},"properties":{"noteIndex":0},"schema":"https://github.com/citation-style-language/schema/raw/master/csl-citation.json"}</w:instrText>
      </w:r>
      <w:r w:rsidR="00D50E1E">
        <w:rPr>
          <w:rFonts w:ascii="Times New Roman" w:hAnsi="Times New Roman" w:cs="Times New Roman"/>
          <w:bCs/>
        </w:rPr>
        <w:fldChar w:fldCharType="separate"/>
      </w:r>
      <w:r w:rsidRPr="000B7682">
        <w:rPr>
          <w:rFonts w:ascii="Times New Roman" w:hAnsi="Times New Roman" w:cs="Times New Roman"/>
          <w:bCs/>
          <w:noProof/>
          <w:vertAlign w:val="superscript"/>
        </w:rPr>
        <w:t>5</w:t>
      </w:r>
      <w:r w:rsidR="00D50E1E">
        <w:rPr>
          <w:rFonts w:ascii="Times New Roman" w:hAnsi="Times New Roman" w:cs="Times New Roman"/>
          <w:bCs/>
        </w:rPr>
        <w:fldChar w:fldCharType="end"/>
      </w:r>
      <w:r w:rsidR="0016635C">
        <w:rPr>
          <w:rFonts w:ascii="Times New Roman" w:hAnsi="Times New Roman" w:cs="Times New Roman"/>
          <w:bCs/>
        </w:rPr>
        <w:t xml:space="preserve">and </w:t>
      </w:r>
      <w:r w:rsidRPr="000B7682">
        <w:rPr>
          <w:rFonts w:ascii="Times New Roman" w:hAnsi="Times New Roman" w:cs="Times New Roman"/>
          <w:bCs/>
        </w:rPr>
        <w:t>is widely distributed across Africa, extending into South Asia and tropical Southeast Asian countries</w:t>
      </w:r>
      <w:r w:rsidR="00D50E1E">
        <w:rPr>
          <w:rFonts w:ascii="Times New Roman" w:hAnsi="Times New Roman" w:cs="Times New Roman"/>
          <w:bCs/>
        </w:rPr>
        <w:fldChar w:fldCharType="begin" w:fldLock="1"/>
      </w:r>
      <w:r>
        <w:rPr>
          <w:rFonts w:ascii="Times New Roman" w:hAnsi="Times New Roman" w:cs="Times New Roman"/>
          <w:bCs/>
        </w:rPr>
        <w:instrText>ADDIN CSL_CITATION {"citationItems":[{"id":"ITEM-1","itemData":{"DOI":"10.1080/14786419.2019.1644508","ISSN":"14786427","PMID":"31328549","abstract":"From the leaves of Sterculia foetida L., one new oleanane-type triterpenoid, named stercufoetin A (1) together with four known ones, vergatic acid (2), β-amyrin (3), oleanolic acid (4) and maslinic acid (5) were purified by diversely chromatographic methods. Their structures were proposed by HR-APCI-MS and NMR experiments. Compounds (2–5) were notified for the first time from this species. Compound 1 showed weak cytotoxic effect against three human cancer cell lines (MCF-7, HepG2 and HeLa) using SRB assay.","author":[{"dropping-particle":"","family":"Pham","given":"Nguyen Kim Tuyen","non-dropping-particle":"","parse-names":false,"suffix":""},{"dropping-particle":"","family":"Nguyen","given":"Trung Duan","non-dropping-particle":"","parse-names":false,"suffix":""},{"dropping-particle":"","family":"Doan","given":"Tran Duy Cuong","non-dropping-particle":"","parse-names":false,"suffix":""},{"dropping-particle":"","family":"Ha","given":"Tuan Dat","non-dropping-particle":"","parse-names":false,"suffix":""},{"dropping-particle":"","family":"Tran","given":"Nguyen Minh An","non-dropping-particle":"","parse-names":false,"suffix":""},{"dropping-particle":"","family":"Tran","given":"Trong Duc","non-dropping-particle":"","parse-names":false,"suffix":""},{"dropping-particle":"","family":"Mai","given":"Dinh Tri","non-dropping-particle":"","parse-names":false,"suffix":""},{"dropping-particle":"","family":"Nguyen","given":"Tan Phat","non-dropping-particle":"","parse-names":false,"suffix":""}],"container-title":"Natural Product Research","id":"ITEM-1","issue":"7","issued":{"date-parts":[["2021"]]},"page":"1226-1231","publisher":"Taylor &amp; Francis","title":"Stercufoetin A, new oleanane-type triterpenoid from the leaves of Sterculia foetida L.","type":"article-journal","volume":"35"},"uris":["http://www.mendeley.com/documents/?uuid=baf62b37-4d0e-4a0c-b18c-733cfdbca75c"]}],"mendeley":{"formattedCitation":"&lt;sup&gt;6&lt;/sup&gt;","plainTextFormattedCitation":"6","previouslyFormattedCitation":"&lt;sup&gt;6&lt;/sup&gt;"},"properties":{"noteIndex":0},"schema":"https://github.com/citation-style-language/schema/raw/master/csl-citation.json"}</w:instrText>
      </w:r>
      <w:r w:rsidR="00D50E1E">
        <w:rPr>
          <w:rFonts w:ascii="Times New Roman" w:hAnsi="Times New Roman" w:cs="Times New Roman"/>
          <w:bCs/>
        </w:rPr>
        <w:fldChar w:fldCharType="separate"/>
      </w:r>
      <w:r w:rsidRPr="000B7682">
        <w:rPr>
          <w:rFonts w:ascii="Times New Roman" w:hAnsi="Times New Roman" w:cs="Times New Roman"/>
          <w:bCs/>
          <w:noProof/>
          <w:vertAlign w:val="superscript"/>
        </w:rPr>
        <w:t>6</w:t>
      </w:r>
      <w:r w:rsidR="00D50E1E">
        <w:rPr>
          <w:rFonts w:ascii="Times New Roman" w:hAnsi="Times New Roman" w:cs="Times New Roman"/>
          <w:bCs/>
        </w:rPr>
        <w:fldChar w:fldCharType="end"/>
      </w:r>
      <w:r w:rsidRPr="000B7682">
        <w:rPr>
          <w:rFonts w:ascii="Times New Roman" w:hAnsi="Times New Roman" w:cs="Times New Roman"/>
          <w:bCs/>
        </w:rPr>
        <w:t xml:space="preserve">. Due to their phytochemical content and health-promoting properties, several </w:t>
      </w:r>
      <w:r w:rsidRPr="000B7682">
        <w:rPr>
          <w:rFonts w:ascii="Times New Roman" w:hAnsi="Times New Roman" w:cs="Times New Roman"/>
          <w:bCs/>
          <w:i/>
          <w:iCs/>
        </w:rPr>
        <w:t>Syzygium</w:t>
      </w:r>
      <w:r w:rsidRPr="000B7682">
        <w:rPr>
          <w:rFonts w:ascii="Times New Roman" w:hAnsi="Times New Roman" w:cs="Times New Roman"/>
          <w:bCs/>
        </w:rPr>
        <w:t xml:space="preserve"> species have garnered significant interest</w:t>
      </w:r>
      <w:r w:rsidR="00D50E1E">
        <w:rPr>
          <w:rFonts w:ascii="Times New Roman" w:hAnsi="Times New Roman" w:cs="Times New Roman"/>
          <w:bCs/>
        </w:rPr>
        <w:fldChar w:fldCharType="begin" w:fldLock="1"/>
      </w:r>
      <w:r>
        <w:rPr>
          <w:rFonts w:ascii="Times New Roman" w:hAnsi="Times New Roman" w:cs="Times New Roman"/>
          <w:bCs/>
        </w:rPr>
        <w:instrText>ADDIN CSL_CITATION {"citationItems":[{"id":"ITEM-1","itemData":{"DOI":"https://doi.org/10.3390/pr10112169","author":[{"dropping-particle":"","family":"Kumar","given":"Manoj","non-dropping-particle":"","parse-names":false,"suffix":""},{"dropping-particle":"","family":"Zhang","given":"Baohong","non-dropping-particle":"","parse-names":false,"suffix":""},{"dropping-particle":"","family":"Nishad","given":"Jyoti","non-dropping-particle":"","parse-names":false,"suffix":""},{"dropping-particle":"","family":"Verma","given":"Aman","non-dropping-particle":"","parse-names":false,"suffix":""},{"dropping-particle":"","family":"Sheri","given":"Vijay","non-dropping-particle":"","parse-names":false,"suffix":""},{"dropping-particle":"","family":"Dhumal","given":"Sangram","non-dropping-particle":"","parse-names":false,"suffix":""},{"dropping-particle":"","family":"Radha","given":"","non-dropping-particle":"","parse-names":false,"suffix":""},{"dropping-particle":"","family":"Sharma","given":"Niharika","non-dropping-particle":"","parse-names":false,"suffix":""},{"dropping-particle":"","family":"Chandran","given":"Deepak","non-dropping-particle":"","parse-names":false,"suffix":""},{"dropping-particle":"","family":"Senapathy","given":"Marisennayya","non-dropping-particle":"","parse-names":false,"suffix":""},{"dropping-particle":"","family":"others","given":"","non-dropping-particle":"","parse-names":false,"suffix":""}],"container-title":"Processes","id":"ITEM-1","issue":"11","issued":{"date-parts":[["2022"]]},"page":"2169","publisher":"MDPI","title":"Jamun (Syzygium cumini (L.) Skeels) Seed: A Review on Nutritional Profile, Functional food properties, health-promoting applications, and safety aspects","type":"article-journal","volume":"10"},"uris":["http://www.mendeley.com/documents/?uuid=8a57f675-283d-4f4c-a046-1dd9c47de3d5"]}],"mendeley":{"formattedCitation":"&lt;sup&gt;7&lt;/sup&gt;","plainTextFormattedCitation":"7","previouslyFormattedCitation":"&lt;sup&gt;7&lt;/sup&gt;"},"properties":{"noteIndex":0},"schema":"https://github.com/citation-style-language/schema/raw/master/csl-citation.json"}</w:instrText>
      </w:r>
      <w:r w:rsidR="00D50E1E">
        <w:rPr>
          <w:rFonts w:ascii="Times New Roman" w:hAnsi="Times New Roman" w:cs="Times New Roman"/>
          <w:bCs/>
        </w:rPr>
        <w:fldChar w:fldCharType="separate"/>
      </w:r>
      <w:r w:rsidRPr="000B7682">
        <w:rPr>
          <w:rFonts w:ascii="Times New Roman" w:hAnsi="Times New Roman" w:cs="Times New Roman"/>
          <w:bCs/>
          <w:noProof/>
          <w:vertAlign w:val="superscript"/>
        </w:rPr>
        <w:t>7</w:t>
      </w:r>
      <w:r w:rsidR="00D50E1E">
        <w:rPr>
          <w:rFonts w:ascii="Times New Roman" w:hAnsi="Times New Roman" w:cs="Times New Roman"/>
          <w:bCs/>
        </w:rPr>
        <w:fldChar w:fldCharType="end"/>
      </w:r>
      <w:r w:rsidRPr="000B7682">
        <w:rPr>
          <w:rFonts w:ascii="Times New Roman" w:hAnsi="Times New Roman" w:cs="Times New Roman"/>
          <w:bCs/>
          <w:vertAlign w:val="superscript"/>
        </w:rPr>
        <w:t>,</w:t>
      </w:r>
      <w:r w:rsidR="00D50E1E">
        <w:rPr>
          <w:rFonts w:ascii="Times New Roman" w:hAnsi="Times New Roman" w:cs="Times New Roman"/>
          <w:bCs/>
        </w:rPr>
        <w:fldChar w:fldCharType="begin" w:fldLock="1"/>
      </w:r>
      <w:r>
        <w:rPr>
          <w:rFonts w:ascii="Times New Roman" w:hAnsi="Times New Roman" w:cs="Times New Roman"/>
          <w:bCs/>
        </w:rPr>
        <w:instrText>ADDIN CSL_CITATION {"citationItems":[{"id":"ITEM-1","itemData":{"DOI":"https://doi.org/10.3390/plants11111476","author":[{"dropping-particle":"","family":"Amir Rawa","given":"Mira Syahfriena","non-dropping-particle":"","parse-names":false,"suffix":""},{"dropping-particle":"","family":"Mazlan","given":"Mohd Khairul Nizam","non-dropping-particle":"","parse-names":false,"suffix":""},{"dropping-particle":"","family":"Ahmad","given":"Rosliza","non-dropping-particle":"","parse-names":false,"suffix":""},{"dropping-particle":"","family":"Nogawa","given":"Toshihiko","non-dropping-particle":"","parse-names":false,"suffix":""},{"dropping-particle":"","family":"Wahab","given":"Habibah A","non-dropping-particle":"","parse-names":false,"suffix":""}],"container-title":"Plants","id":"ITEM-1","issue":"11","issued":{"date-parts":[["2022"]]},"page":"1476","publisher":"MDPI","title":"Roles of Syzygium in Anti-Cholinesterase, Anti-Diabetic, Anti-Inflammatory, and Antioxidant: From Alzheimer’s Perspective","type":"article-journal","volume":"11"},"uris":["http://www.mendeley.com/documents/?uuid=7191a24a-7734-4eb4-8004-084f413aa068"]}],"mendeley":{"formattedCitation":"&lt;sup&gt;8&lt;/sup&gt;","plainTextFormattedCitation":"8","previouslyFormattedCitation":"&lt;sup&gt;8&lt;/sup&gt;"},"properties":{"noteIndex":0},"schema":"https://github.com/citation-style-language/schema/raw/master/csl-citation.json"}</w:instrText>
      </w:r>
      <w:r w:rsidR="00D50E1E">
        <w:rPr>
          <w:rFonts w:ascii="Times New Roman" w:hAnsi="Times New Roman" w:cs="Times New Roman"/>
          <w:bCs/>
        </w:rPr>
        <w:fldChar w:fldCharType="separate"/>
      </w:r>
      <w:r w:rsidRPr="000B7682">
        <w:rPr>
          <w:rFonts w:ascii="Times New Roman" w:hAnsi="Times New Roman" w:cs="Times New Roman"/>
          <w:bCs/>
          <w:noProof/>
          <w:vertAlign w:val="superscript"/>
        </w:rPr>
        <w:t>8</w:t>
      </w:r>
      <w:r w:rsidR="00D50E1E">
        <w:rPr>
          <w:rFonts w:ascii="Times New Roman" w:hAnsi="Times New Roman" w:cs="Times New Roman"/>
          <w:bCs/>
        </w:rPr>
        <w:fldChar w:fldCharType="end"/>
      </w:r>
      <w:r w:rsidRPr="000B7682">
        <w:rPr>
          <w:rFonts w:ascii="Times New Roman" w:hAnsi="Times New Roman" w:cs="Times New Roman"/>
          <w:bCs/>
        </w:rPr>
        <w:t xml:space="preserve">. On the other hand, many other </w:t>
      </w:r>
      <w:r w:rsidRPr="000B7682">
        <w:rPr>
          <w:rFonts w:ascii="Times New Roman" w:hAnsi="Times New Roman" w:cs="Times New Roman"/>
          <w:bCs/>
          <w:i/>
          <w:iCs/>
        </w:rPr>
        <w:t>Syzygium</w:t>
      </w:r>
      <w:r w:rsidRPr="000B7682">
        <w:rPr>
          <w:rFonts w:ascii="Times New Roman" w:hAnsi="Times New Roman" w:cs="Times New Roman"/>
          <w:bCs/>
        </w:rPr>
        <w:t xml:space="preserve"> species remain relatively unexplored</w:t>
      </w:r>
      <w:r w:rsidR="00D50E1E">
        <w:rPr>
          <w:rFonts w:ascii="Times New Roman" w:hAnsi="Times New Roman" w:cs="Times New Roman"/>
          <w:bCs/>
        </w:rPr>
        <w:fldChar w:fldCharType="begin" w:fldLock="1"/>
      </w:r>
      <w:r>
        <w:rPr>
          <w:rFonts w:ascii="Times New Roman" w:hAnsi="Times New Roman" w:cs="Times New Roman"/>
          <w:bCs/>
        </w:rPr>
        <w:instrText>ADDIN CSL_CITATION {"citationItems":[{"id":"ITEM-1","itemData":{"DOI":"https://doi.org/10.3390/agronomy12102380","author":[{"dropping-particle":"","family":"Pesiu","given":"Elizabeth","non-dropping-particle":"","parse-names":false,"suffix":""},{"dropping-particle":"","family":"Lee","given":"Gaik Ee","non-dropping-particle":"","parse-names":false,"suffix":""},{"dropping-particle":"","family":"Salam","given":"Muhammad Razali","non-dropping-particle":"","parse-names":false,"suffix":""},{"dropping-particle":"","family":"Salim","given":"Jamilah Mohd","non-dropping-particle":"","parse-names":false,"suffix":""},{"dropping-particle":"","family":"Lau","given":"Kah Hoo","non-dropping-particle":"","parse-names":false,"suffix":""},{"dropping-particle":"","family":"Yong","given":"Jean Wan Hong","non-dropping-particle":"","parse-names":false,"suffix":""},{"dropping-particle":"","family":"Abdullah","given":"Mohd Tajuddin","non-dropping-particle":"","parse-names":false,"suffix":""}],"container-title":"Agronomy","id":"ITEM-1","issue":"10","issued":{"date-parts":[["2022"]]},"page":"2380","publisher":"MDPI","title":"Species composition, diversity, and biomass estimation in coastal and marine protected areas of Terengganu, Peninsular Malaysia","type":"article-journal","volume":"12"},"uris":["http://www.mendeley.com/documents/?uuid=fba7c8b4-ee77-4c14-9df1-3e16d2a3d901"]}],"mendeley":{"formattedCitation":"&lt;sup&gt;9&lt;/sup&gt;","plainTextFormattedCitation":"9","previouslyFormattedCitation":"&lt;sup&gt;9&lt;/sup&gt;"},"properties":{"noteIndex":0},"schema":"https://github.com/citation-style-language/schema/raw/master/csl-citation.json"}</w:instrText>
      </w:r>
      <w:r w:rsidR="00D50E1E">
        <w:rPr>
          <w:rFonts w:ascii="Times New Roman" w:hAnsi="Times New Roman" w:cs="Times New Roman"/>
          <w:bCs/>
        </w:rPr>
        <w:fldChar w:fldCharType="separate"/>
      </w:r>
      <w:r w:rsidRPr="000B7682">
        <w:rPr>
          <w:rFonts w:ascii="Times New Roman" w:hAnsi="Times New Roman" w:cs="Times New Roman"/>
          <w:bCs/>
          <w:noProof/>
          <w:vertAlign w:val="superscript"/>
        </w:rPr>
        <w:t>9</w:t>
      </w:r>
      <w:r w:rsidR="00D50E1E">
        <w:rPr>
          <w:rFonts w:ascii="Times New Roman" w:hAnsi="Times New Roman" w:cs="Times New Roman"/>
          <w:bCs/>
        </w:rPr>
        <w:fldChar w:fldCharType="end"/>
      </w:r>
      <w:r w:rsidRPr="000B7682">
        <w:rPr>
          <w:rFonts w:ascii="Times New Roman" w:hAnsi="Times New Roman" w:cs="Times New Roman"/>
          <w:bCs/>
        </w:rPr>
        <w:t xml:space="preserve">, and their chemical and biological </w:t>
      </w:r>
      <w:commentRangeEnd w:id="6"/>
      <w:r w:rsidR="00714958">
        <w:rPr>
          <w:rStyle w:val="CommentReference"/>
        </w:rPr>
        <w:commentReference w:id="6"/>
      </w:r>
      <w:r w:rsidRPr="000B7682">
        <w:rPr>
          <w:rFonts w:ascii="Times New Roman" w:hAnsi="Times New Roman" w:cs="Times New Roman"/>
          <w:bCs/>
        </w:rPr>
        <w:t>activities continue to be of interest including the class of quinones compound</w:t>
      </w:r>
      <w:r w:rsidR="00D50E1E">
        <w:rPr>
          <w:rFonts w:ascii="Times New Roman" w:hAnsi="Times New Roman" w:cs="Times New Roman"/>
          <w:bCs/>
        </w:rPr>
        <w:fldChar w:fldCharType="begin" w:fldLock="1"/>
      </w:r>
      <w:r>
        <w:rPr>
          <w:rFonts w:ascii="Times New Roman" w:hAnsi="Times New Roman" w:cs="Times New Roman"/>
          <w:bCs/>
        </w:rPr>
        <w:instrText>ADDIN CSL_CITATION {"citationItems":[{"id":"ITEM-1","itemData":{"DOI":"https://doi.org/10.3390/biom13071144","author":[{"dropping-particle":"","family":"Sousa","given":"Damião P","non-dropping-particle":"de","parse-names":false,"suffix":""},{"dropping-particle":"","family":"Damasceno","given":"Renan Oliveira S","non-dropping-particle":"","parse-names":false,"suffix":""},{"dropping-particle":"","family":"Amorati","given":"Riccardo","non-dropping-particle":"","parse-names":false,"suffix":""},{"dropping-particle":"","family":"Elshabrawy","given":"Hatem A","non-dropping-particle":"","parse-names":false,"suffix":""},{"dropping-particle":"","family":"Castro","given":"Ricardo D","non-dropping-particle":"de","parse-names":false,"suffix":""},{"dropping-particle":"","family":"Bezerra","given":"Daniel P","non-dropping-particle":"","parse-names":false,"suffix":""},{"dropping-particle":"V","family":"Nunes","given":"Vitória Regina","non-dropping-particle":"","parse-names":false,"suffix":""},{"dropping-particle":"","family":"Gomes","given":"Rebeca C","non-dropping-particle":"","parse-names":false,"suffix":""},{"dropping-particle":"","family":"Lima","given":"Tamires C","non-dropping-particle":"","parse-names":false,"suffix":""}],"container-title":"Biomolecules","id":"ITEM-1","issue":"7","issued":{"date-parts":[["2023"]]},"page":"1144","publisher":"MDPI","title":"Essential Oils: Chemistry and Pharmacological Activities","type":"article-journal","volume":"13"},"uris":["http://www.mendeley.com/documents/?uuid=0e73a8af-a0da-4db7-9079-8bc3f7158990"]}],"mendeley":{"formattedCitation":"&lt;sup&gt;10&lt;/sup&gt;","plainTextFormattedCitation":"10","previouslyFormattedCitation":"&lt;sup&gt;10&lt;/sup&gt;"},"properties":{"noteIndex":0},"schema":"https://github.com/citation-style-language/schema/raw/master/csl-citation.json"}</w:instrText>
      </w:r>
      <w:r w:rsidR="00D50E1E">
        <w:rPr>
          <w:rFonts w:ascii="Times New Roman" w:hAnsi="Times New Roman" w:cs="Times New Roman"/>
          <w:bCs/>
        </w:rPr>
        <w:fldChar w:fldCharType="separate"/>
      </w:r>
      <w:r w:rsidRPr="000B7682">
        <w:rPr>
          <w:rFonts w:ascii="Times New Roman" w:hAnsi="Times New Roman" w:cs="Times New Roman"/>
          <w:bCs/>
          <w:noProof/>
          <w:vertAlign w:val="superscript"/>
        </w:rPr>
        <w:t>10</w:t>
      </w:r>
      <w:r w:rsidR="00D50E1E">
        <w:rPr>
          <w:rFonts w:ascii="Times New Roman" w:hAnsi="Times New Roman" w:cs="Times New Roman"/>
          <w:bCs/>
        </w:rPr>
        <w:fldChar w:fldCharType="end"/>
      </w:r>
      <w:r w:rsidRPr="000B7682">
        <w:rPr>
          <w:rFonts w:ascii="Times New Roman" w:hAnsi="Times New Roman" w:cs="Times New Roman"/>
          <w:bCs/>
        </w:rPr>
        <w:t>.</w:t>
      </w:r>
    </w:p>
    <w:p w:rsid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Quinones, a class of organic compounds, exhibit diverse medical properties</w:t>
      </w:r>
      <w:r w:rsidR="00D50E1E">
        <w:rPr>
          <w:rFonts w:ascii="Times New Roman" w:hAnsi="Times New Roman" w:cs="Times New Roman"/>
          <w:bCs/>
        </w:rPr>
        <w:fldChar w:fldCharType="begin" w:fldLock="1"/>
      </w:r>
      <w:r>
        <w:rPr>
          <w:rFonts w:ascii="Times New Roman" w:hAnsi="Times New Roman" w:cs="Times New Roman"/>
          <w:bCs/>
        </w:rPr>
        <w:instrText>ADDIN CSL_CITATION {"citationItems":[{"id":"ITEM-1","itemData":{"DOI":"https://doi.org/10.3390/ijms232214108","author":[{"dropping-particle":"","family":"Dahlem Junior","given":"Marcos Aurelio","non-dropping-particle":"","parse-names":false,"suffix":""},{"dropping-particle":"","family":"Nguema Edzang","given":"Ronald W","non-dropping-particle":"","parse-names":false,"suffix":""},{"dropping-particle":"","family":"Catto","given":"André Luis","non-dropping-particle":"","parse-names":false,"suffix":""},{"dropping-particle":"","family":"Raimundo","given":"Jean-Manuel","non-dropping-particle":"","parse-names":false,"suffix":""}],"container-title":"International Journal of Molecular Sciences","id":"ITEM-1","issue":"22","issued":{"date-parts":[["2022"]]},"page":"14108","publisher":"MDPI","title":"Quinones as an efficient molecular scaffold in the antibacterial, antifungal or antitumoral arsenal","type":"article-journal","volume":"23"},"uris":["http://www.mendeley.com/documents/?uuid=41d1bae2-c4b1-451e-afc7-0e37f4489481"]}],"mendeley":{"formattedCitation":"&lt;sup&gt;11&lt;/sup&gt;","plainTextFormattedCitation":"11","previouslyFormattedCitation":"&lt;sup&gt;11&lt;/sup&gt;"},"properties":{"noteIndex":0},"schema":"https://github.com/citation-style-language/schema/raw/master/csl-citation.json"}</w:instrText>
      </w:r>
      <w:r w:rsidR="00D50E1E">
        <w:rPr>
          <w:rFonts w:ascii="Times New Roman" w:hAnsi="Times New Roman" w:cs="Times New Roman"/>
          <w:bCs/>
        </w:rPr>
        <w:fldChar w:fldCharType="separate"/>
      </w:r>
      <w:r w:rsidRPr="000B7682">
        <w:rPr>
          <w:rFonts w:ascii="Times New Roman" w:hAnsi="Times New Roman" w:cs="Times New Roman"/>
          <w:bCs/>
          <w:noProof/>
          <w:vertAlign w:val="superscript"/>
        </w:rPr>
        <w:t>11</w:t>
      </w:r>
      <w:r w:rsidR="00D50E1E">
        <w:rPr>
          <w:rFonts w:ascii="Times New Roman" w:hAnsi="Times New Roman" w:cs="Times New Roman"/>
          <w:bCs/>
        </w:rPr>
        <w:fldChar w:fldCharType="end"/>
      </w:r>
      <w:r w:rsidRPr="000B7682">
        <w:rPr>
          <w:rFonts w:ascii="Times New Roman" w:hAnsi="Times New Roman" w:cs="Times New Roman"/>
          <w:bCs/>
        </w:rPr>
        <w:t>. They are recognized for their antioxidant capabilities</w:t>
      </w:r>
      <w:r w:rsidR="00D50E1E">
        <w:rPr>
          <w:rFonts w:ascii="Times New Roman" w:hAnsi="Times New Roman" w:cs="Times New Roman"/>
          <w:bCs/>
        </w:rPr>
        <w:fldChar w:fldCharType="begin" w:fldLock="1"/>
      </w:r>
      <w:r w:rsidR="00AE3443">
        <w:rPr>
          <w:rFonts w:ascii="Times New Roman" w:hAnsi="Times New Roman" w:cs="Times New Roman"/>
          <w:bCs/>
        </w:rPr>
        <w:instrText>ADDIN CSL_CITATION {"citationItems":[{"id":"ITEM-1","itemData":{"DOI":"https://doi.org/10.1080/14786419.2023.2187795","author":[{"dropping-particle":"","family":"Prokopiev","given":"Ilya","non-dropping-particle":"","parse-names":false,"suffix":""},{"dropping-particle":"","family":"Sleptsov","given":"Igor","non-dropping-particle":"","parse-names":false,"suffix":""},{"dropping-particle":"","family":"Serebryakov","given":"Evgeny","non-dropping-particle":"","parse-names":false,"suffix":""},{"dropping-particle":"","family":"Sharoyko","given":"Vladimir","non-dropping-particle":"","parse-names":false,"suffix":""}],"container-title":"Natural Product Research","id":"ITEM-1","issued":{"date-parts":[["2023"]]},"page":"1-5","publisher":"Taylor \\&amp; Francis","title":"Antioxidant and cytotoxic activities of quinones from Cetraria laevigata","type":"article-journal"},"uris":["http://www.mendeley.com/documents/?uuid=86747808-f90b-4f5e-9f22-a77261165096"]}],"mendeley":{"formattedCitation":"&lt;sup&gt;12&lt;/sup&gt;","plainTextFormattedCitation":"12","previouslyFormattedCitation":"&lt;sup&gt;12&lt;/sup&gt;"},"properties":{"noteIndex":0},"schema":"https://github.com/citation-style-language/schema/raw/master/csl-citation.json"}</w:instrText>
      </w:r>
      <w:r w:rsidR="00D50E1E">
        <w:rPr>
          <w:rFonts w:ascii="Times New Roman" w:hAnsi="Times New Roman" w:cs="Times New Roman"/>
          <w:bCs/>
        </w:rPr>
        <w:fldChar w:fldCharType="separate"/>
      </w:r>
      <w:r w:rsidRPr="000B7682">
        <w:rPr>
          <w:rFonts w:ascii="Times New Roman" w:hAnsi="Times New Roman" w:cs="Times New Roman"/>
          <w:bCs/>
          <w:noProof/>
          <w:vertAlign w:val="superscript"/>
        </w:rPr>
        <w:t>12</w:t>
      </w:r>
      <w:r w:rsidR="00D50E1E">
        <w:rPr>
          <w:rFonts w:ascii="Times New Roman" w:hAnsi="Times New Roman" w:cs="Times New Roman"/>
          <w:bCs/>
        </w:rPr>
        <w:fldChar w:fldCharType="end"/>
      </w:r>
      <w:r w:rsidRPr="000B7682">
        <w:rPr>
          <w:rFonts w:ascii="Times New Roman" w:hAnsi="Times New Roman" w:cs="Times New Roman"/>
          <w:bCs/>
        </w:rPr>
        <w:t xml:space="preserve">, with compounds like Coenzyme Q10 and Vitamin K helping combat </w:t>
      </w:r>
      <w:r w:rsidRPr="000B7682">
        <w:rPr>
          <w:rFonts w:ascii="Times New Roman" w:hAnsi="Times New Roman" w:cs="Times New Roman"/>
          <w:bCs/>
        </w:rPr>
        <w:lastRenderedPageBreak/>
        <w:t>oxidative stress</w:t>
      </w:r>
      <w:r w:rsidR="00D50E1E">
        <w:rPr>
          <w:rFonts w:ascii="Times New Roman" w:hAnsi="Times New Roman" w:cs="Times New Roman"/>
          <w:bCs/>
        </w:rPr>
        <w:fldChar w:fldCharType="begin" w:fldLock="1"/>
      </w:r>
      <w:r w:rsidR="00AE37ED">
        <w:rPr>
          <w:rFonts w:ascii="Times New Roman" w:hAnsi="Times New Roman" w:cs="Times New Roman"/>
          <w:bCs/>
        </w:rPr>
        <w:instrText>ADDIN CSL_CITATION {"citationItems":[{"id":"ITEM-1","itemData":{"author":[{"dropping-particle":"","family":"Cores","given":"Ángel","non-dropping-particle":"","parse-names":false,"suffix":""},{"dropping-particle":"","family":"Carmona-Zafra","given":"Noelia","non-dropping-particle":"","parse-names":false,"suffix":""},{"dropping-particle":"","family":"Clerigué","given":"José","non-dropping-particle":"","parse-names":false,"suffix":""},{"dropping-particle":"","family":"Villacampa","given":"Mercedes","non-dropping-particle":"","parse-names":false,"suffix":""},{"dropping-particle":"","family":"Menéndez","given":"J Carlos","non-dropping-particle":"","parse-names":false,"suffix":""}],"container-title":"Antioxidants","id":"ITEM-1","issue":"7","issued":{"date-parts":[["2023"]]},"page":"1464","publisher":"MDPI","title":"Quinones as Neuroprotective Agents","type":"article-journal","volume":"12"},"uris":["http://www.mendeley.com/documents/?uuid=c9a40b65-0162-4922-aff6-29bde0966b1e"]}],"mendeley":{"formattedCitation":"&lt;sup&gt;13&lt;/sup&gt;","plainTextFormattedCitation":"13","previouslyFormattedCitation":"&lt;sup&gt;13&lt;/sup&gt;"},"properties":{"noteIndex":0},"schema":"https://github.com/citation-style-language/schema/raw/master/csl-citation.json"}</w:instrText>
      </w:r>
      <w:r w:rsidR="00D50E1E">
        <w:rPr>
          <w:rFonts w:ascii="Times New Roman" w:hAnsi="Times New Roman" w:cs="Times New Roman"/>
          <w:bCs/>
        </w:rPr>
        <w:fldChar w:fldCharType="separate"/>
      </w:r>
      <w:r w:rsidR="00AE3443" w:rsidRPr="00AE3443">
        <w:rPr>
          <w:rFonts w:ascii="Times New Roman" w:hAnsi="Times New Roman" w:cs="Times New Roman"/>
          <w:bCs/>
          <w:noProof/>
          <w:vertAlign w:val="superscript"/>
        </w:rPr>
        <w:t>13</w:t>
      </w:r>
      <w:r w:rsidR="00D50E1E">
        <w:rPr>
          <w:rFonts w:ascii="Times New Roman" w:hAnsi="Times New Roman" w:cs="Times New Roman"/>
          <w:bCs/>
        </w:rPr>
        <w:fldChar w:fldCharType="end"/>
      </w:r>
      <w:r w:rsidRPr="000B7682">
        <w:rPr>
          <w:rFonts w:ascii="Times New Roman" w:hAnsi="Times New Roman" w:cs="Times New Roman"/>
          <w:bCs/>
        </w:rPr>
        <w:t>. In cancer treatment, specific quinones, such as anthracyclines, interfere with cancer cell growth</w:t>
      </w:r>
      <w:r w:rsidR="00D50E1E">
        <w:rPr>
          <w:rFonts w:ascii="Times New Roman" w:hAnsi="Times New Roman" w:cs="Times New Roman"/>
          <w:bCs/>
        </w:rPr>
        <w:fldChar w:fldCharType="begin" w:fldLock="1"/>
      </w:r>
      <w:r w:rsidR="00AE37ED">
        <w:rPr>
          <w:rFonts w:ascii="Times New Roman" w:hAnsi="Times New Roman" w:cs="Times New Roman"/>
          <w:bCs/>
        </w:rPr>
        <w:instrText>ADDIN CSL_CITATION {"citationItems":[{"id":"ITEM-1","itemData":{"author":[{"dropping-particle":"","family":"Kiran","given":"Pallavi","non-dropping-particle":"","parse-names":false,"suffix":""},{"dropping-particle":"","family":"Ghosh","given":"Arnab","non-dropping-particle":"","parse-names":false,"suffix":""},{"dropping-particle":"","family":"Pawar","given":"Vaishali","non-dropping-particle":"","parse-names":false,"suffix":""},{"dropping-particle":"","family":"Maske","given":"Priyanka","non-dropping-particle":"","parse-names":false,"suffix":""},{"dropping-particle":"","family":"Khan","given":"Amreen","non-dropping-particle":"","parse-names":false,"suffix":""},{"dropping-particle":"","family":"Srivastava","given":"Rohit","non-dropping-particle":"","parse-names":false,"suffix":""}],"container-title":"Hypoxia in Cancer: Significance and Impact on Cancer Therapy","id":"ITEM-1","issued":{"date-parts":[["2023"]]},"page":"351-368","publisher":"Springer","title":"Hypoxia-Targeting Drugs as New Cancer Chemotherapy Agents: Molecular Insights","type":"chapter"},"uris":["http://www.mendeley.com/documents/?uuid=c6aa7e0a-9f98-45dc-b294-22da9d93d47f"]}],"mendeley":{"formattedCitation":"&lt;sup&gt;14&lt;/sup&gt;","plainTextFormattedCitation":"14","previouslyFormattedCitation":"&lt;sup&gt;14&lt;/sup&gt;"},"properties":{"noteIndex":0},"schema":"https://github.com/citation-style-language/schema/raw/master/csl-citation.json"}</w:instrText>
      </w:r>
      <w:r w:rsidR="00D50E1E">
        <w:rPr>
          <w:rFonts w:ascii="Times New Roman" w:hAnsi="Times New Roman" w:cs="Times New Roman"/>
          <w:bCs/>
        </w:rPr>
        <w:fldChar w:fldCharType="separate"/>
      </w:r>
      <w:r w:rsidR="009F711B" w:rsidRPr="009F711B">
        <w:rPr>
          <w:rFonts w:ascii="Times New Roman" w:hAnsi="Times New Roman" w:cs="Times New Roman"/>
          <w:bCs/>
          <w:noProof/>
          <w:vertAlign w:val="superscript"/>
        </w:rPr>
        <w:t>14</w:t>
      </w:r>
      <w:r w:rsidR="00D50E1E">
        <w:rPr>
          <w:rFonts w:ascii="Times New Roman" w:hAnsi="Times New Roman" w:cs="Times New Roman"/>
          <w:bCs/>
        </w:rPr>
        <w:fldChar w:fldCharType="end"/>
      </w:r>
      <w:r w:rsidRPr="000B7682">
        <w:rPr>
          <w:rFonts w:ascii="Times New Roman" w:hAnsi="Times New Roman" w:cs="Times New Roman"/>
          <w:bCs/>
        </w:rPr>
        <w:t>. Quinones also play a role in skincare, blood clotting</w:t>
      </w:r>
      <w:r w:rsidR="00D50E1E">
        <w:rPr>
          <w:rFonts w:ascii="Times New Roman" w:hAnsi="Times New Roman" w:cs="Times New Roman"/>
          <w:bCs/>
        </w:rPr>
        <w:fldChar w:fldCharType="begin" w:fldLock="1"/>
      </w:r>
      <w:r w:rsidR="004C767B">
        <w:rPr>
          <w:rFonts w:ascii="Times New Roman" w:hAnsi="Times New Roman" w:cs="Times New Roman"/>
          <w:bCs/>
        </w:rPr>
        <w:instrText>ADDIN CSL_CITATION {"citationItems":[{"id":"ITEM-1","itemData":{"author":[{"dropping-particle":"","family":"Mishima","given":"Eikan","non-dropping-particle":"","parse-names":false,"suffix":""},{"dropping-particle":"","family":"Wahida","given":"Adam","non-dropping-particle":"","parse-names":false,"suffix":""},{"dropping-particle":"","family":"Seibt","given":"Tobias","non-dropping-particle":"","parse-names":false,"suffix":""},{"dropping-particle":"","family":"Conrad","given":"Marcus","non-dropping-particle":"","parse-names":false,"suffix":""}],"container-title":"Nature Metabolism","id":"ITEM-1","issued":{"date-parts":[["2023"]]},"page":"1-9","publisher":"Nature Publishing Group UK London","title":"Diverse biological functions of vitamin K: from coagulation to ferroptosis","type":"article-journal"},"uris":["http://www.mendeley.com/documents/?uuid=ca722179-c20f-4bf0-8105-de66572ce5b4"]}],"mendeley":{"formattedCitation":"&lt;sup&gt;15&lt;/sup&gt;","plainTextFormattedCitation":"15","previouslyFormattedCitation":"&lt;sup&gt;15&lt;/sup&gt;"},"properties":{"noteIndex":0},"schema":"https://github.com/citation-style-language/schema/raw/master/csl-citation.json"}</w:instrText>
      </w:r>
      <w:r w:rsidR="00D50E1E">
        <w:rPr>
          <w:rFonts w:ascii="Times New Roman" w:hAnsi="Times New Roman" w:cs="Times New Roman"/>
          <w:bCs/>
        </w:rPr>
        <w:fldChar w:fldCharType="separate"/>
      </w:r>
      <w:r w:rsidR="00AE37ED" w:rsidRPr="00AE37ED">
        <w:rPr>
          <w:rFonts w:ascii="Times New Roman" w:hAnsi="Times New Roman" w:cs="Times New Roman"/>
          <w:bCs/>
          <w:noProof/>
          <w:vertAlign w:val="superscript"/>
        </w:rPr>
        <w:t>15</w:t>
      </w:r>
      <w:r w:rsidR="00D50E1E">
        <w:rPr>
          <w:rFonts w:ascii="Times New Roman" w:hAnsi="Times New Roman" w:cs="Times New Roman"/>
          <w:bCs/>
        </w:rPr>
        <w:fldChar w:fldCharType="end"/>
      </w:r>
      <w:r w:rsidRPr="000B7682">
        <w:rPr>
          <w:rFonts w:ascii="Times New Roman" w:hAnsi="Times New Roman" w:cs="Times New Roman"/>
          <w:bCs/>
        </w:rPr>
        <w:t>, and neurological disorders</w:t>
      </w:r>
      <w:r w:rsidR="00D50E1E">
        <w:rPr>
          <w:rFonts w:ascii="Times New Roman" w:hAnsi="Times New Roman" w:cs="Times New Roman"/>
          <w:bCs/>
        </w:rPr>
        <w:fldChar w:fldCharType="begin" w:fldLock="1"/>
      </w:r>
      <w:r w:rsidR="000E7B9E">
        <w:rPr>
          <w:rFonts w:ascii="Times New Roman" w:hAnsi="Times New Roman" w:cs="Times New Roman"/>
          <w:bCs/>
        </w:rPr>
        <w:instrText>ADDIN CSL_CITATION {"citationItems":[{"id":"ITEM-1","itemData":{"DOI":"https://doi.org/10.1016/j.neuro.2020.02.005","author":[{"dropping-particle":"","family":"Peng","given":"Ying","non-dropping-particle":"","parse-names":false,"suffix":""},{"dropping-particle":"","family":"Xu","given":"Dong","non-dropping-particle":"","parse-names":false,"suffix":""},{"dropping-particle":"","family":"Mao","given":"Shishi","non-dropping-particle":"","parse-names":false,"suffix":""},{"dropping-particle":"","family":"Zhou","given":"Xingqin","non-dropping-particle":"","parse-names":false,"suffix":""}],"container-title":"Neurotoxicology","id":"ITEM-1","issued":{"date-parts":[["2020"]]},"page":"47-56","publisher":"Elsevier","title":"Neurotoxicity and apoptosis induced by pyrroloquinoline quinone and its ester derivative on primary cortical neurons","type":"article-journal","volume":"78"},"uris":["http://www.mendeley.com/documents/?uuid=91346afc-35b3-4103-ab52-6db70f49a318"]}],"mendeley":{"formattedCitation":"&lt;sup&gt;16&lt;/sup&gt;","plainTextFormattedCitation":"16","previouslyFormattedCitation":"&lt;sup&gt;16&lt;/sup&gt;"},"properties":{"noteIndex":0},"schema":"https://github.com/citation-style-language/schema/raw/master/csl-citation.json"}</w:instrText>
      </w:r>
      <w:r w:rsidR="00D50E1E">
        <w:rPr>
          <w:rFonts w:ascii="Times New Roman" w:hAnsi="Times New Roman" w:cs="Times New Roman"/>
          <w:bCs/>
        </w:rPr>
        <w:fldChar w:fldCharType="separate"/>
      </w:r>
      <w:r w:rsidR="004C767B" w:rsidRPr="004C767B">
        <w:rPr>
          <w:rFonts w:ascii="Times New Roman" w:hAnsi="Times New Roman" w:cs="Times New Roman"/>
          <w:bCs/>
          <w:noProof/>
          <w:vertAlign w:val="superscript"/>
        </w:rPr>
        <w:t>16</w:t>
      </w:r>
      <w:r w:rsidR="00D50E1E">
        <w:rPr>
          <w:rFonts w:ascii="Times New Roman" w:hAnsi="Times New Roman" w:cs="Times New Roman"/>
          <w:bCs/>
        </w:rPr>
        <w:fldChar w:fldCharType="end"/>
      </w:r>
      <w:r w:rsidRPr="000B7682">
        <w:rPr>
          <w:rFonts w:ascii="Times New Roman" w:hAnsi="Times New Roman" w:cs="Times New Roman"/>
          <w:bCs/>
        </w:rPr>
        <w:t>. Some quinones demonstrate antibacterial</w:t>
      </w:r>
      <w:r w:rsidR="00D50E1E">
        <w:rPr>
          <w:rFonts w:ascii="Times New Roman" w:hAnsi="Times New Roman" w:cs="Times New Roman"/>
          <w:bCs/>
        </w:rPr>
        <w:fldChar w:fldCharType="begin" w:fldLock="1"/>
      </w:r>
      <w:r w:rsidR="00CE767E">
        <w:rPr>
          <w:rFonts w:ascii="Times New Roman" w:hAnsi="Times New Roman" w:cs="Times New Roman"/>
          <w:bCs/>
        </w:rPr>
        <w:instrText>ADDIN CSL_CITATION {"citationItems":[{"id":"ITEM-1","itemData":{"DOI":"https://doi.org/10.33263/BRIAC123.32473258","author":[{"dropping-particle":"","family":"Sahoo","given":"Patitapaban Mohanty Subhasmita","non-dropping-particle":"","parse-names":false,"suffix":""},{"dropping-particle":"","family":"Behera","given":"Sunita","non-dropping-particle":"","parse-names":false,"suffix":""},{"dropping-particle":"","family":"Behura","given":"Rubi","non-dropping-particle":"","parse-names":false,"suffix":""},{"dropping-particle":"","family":"Acharya","given":"Anantjyoti","non-dropping-particle":"","parse-names":false,"suffix":""},{"dropping-particle":"","family":"Biswal","given":"Debajyoti","non-dropping-particle":"","parse-names":false,"suffix":""},{"dropping-particle":"","family":"Suna","given":"Sameer Kumar","non-dropping-particle":"","parse-names":false,"suffix":""},{"dropping-particle":"","family":"Sahoo","given":"Rojalin","non-dropping-particle":"","parse-names":false,"suffix":""},{"dropping-particle":"","family":"Soren","given":"Ram Chandra","non-dropping-particle":"","parse-names":false,"suffix":""},{"dropping-particle":"","family":"Jali","given":"Bigyan Ranjan","non-dropping-particle":"","parse-names":false,"suffix":""}],"container-title":"Biointerface Research in Applied Chemistry","id":"ITEM-1","issued":{"date-parts":[["2022"]]},"page":"3247-3258","title":"A brief review: Antibacterial activity of Quinone derivatives","type":"article-journal","volume":"12"},"uris":["http://www.mendeley.com/documents/?uuid=a791c6ef-b2ca-4e57-b197-a30c01f65db2"]}],"mendeley":{"formattedCitation":"&lt;sup&gt;17&lt;/sup&gt;","plainTextFormattedCitation":"17","previouslyFormattedCitation":"&lt;sup&gt;17&lt;/sup&gt;"},"properties":{"noteIndex":0},"schema":"https://github.com/citation-style-language/schema/raw/master/csl-citation.json"}</w:instrText>
      </w:r>
      <w:r w:rsidR="00D50E1E">
        <w:rPr>
          <w:rFonts w:ascii="Times New Roman" w:hAnsi="Times New Roman" w:cs="Times New Roman"/>
          <w:bCs/>
        </w:rPr>
        <w:fldChar w:fldCharType="separate"/>
      </w:r>
      <w:r w:rsidR="000E7B9E" w:rsidRPr="000E7B9E">
        <w:rPr>
          <w:rFonts w:ascii="Times New Roman" w:hAnsi="Times New Roman" w:cs="Times New Roman"/>
          <w:bCs/>
          <w:noProof/>
          <w:vertAlign w:val="superscript"/>
        </w:rPr>
        <w:t>17</w:t>
      </w:r>
      <w:r w:rsidR="00D50E1E">
        <w:rPr>
          <w:rFonts w:ascii="Times New Roman" w:hAnsi="Times New Roman" w:cs="Times New Roman"/>
          <w:bCs/>
        </w:rPr>
        <w:fldChar w:fldCharType="end"/>
      </w:r>
      <w:r w:rsidRPr="000B7682">
        <w:rPr>
          <w:rFonts w:ascii="Times New Roman" w:hAnsi="Times New Roman" w:cs="Times New Roman"/>
          <w:bCs/>
        </w:rPr>
        <w:t>, antifungal</w:t>
      </w:r>
      <w:r w:rsidR="00D50E1E">
        <w:rPr>
          <w:rFonts w:ascii="Times New Roman" w:hAnsi="Times New Roman" w:cs="Times New Roman"/>
          <w:bCs/>
        </w:rPr>
        <w:fldChar w:fldCharType="begin" w:fldLock="1"/>
      </w:r>
      <w:r w:rsidR="007E4962">
        <w:rPr>
          <w:rFonts w:ascii="Times New Roman" w:hAnsi="Times New Roman" w:cs="Times New Roman"/>
          <w:bCs/>
        </w:rPr>
        <w:instrText>ADDIN CSL_CITATION {"citationItems":[{"id":"ITEM-1","itemData":{"DOI":"https://doi.org/10.1002/tqem.22065","author":[{"dropping-particle":"","family":"Pacios-Michelena","given":"Sandra","non-dropping-particle":"","parse-names":false,"suffix":""},{"dropping-particle":"","family":"González","given":"Cristóbal N Aguilar","non-dropping-particle":"","parse-names":false,"suffix":""},{"dropping-particle":"","family":"Herrera","given":"Raúl Rodr\\'\\iguez","non-dropping-particle":"","parse-names":false,"suffix":""},{"dropping-particle":"","family":"Alvarez-Perez","given":"Olga B","non-dropping-particle":"","parse-names":false,"suffix":""},{"dropping-particle":"","family":"González","given":"Mónica L Chávez","non-dropping-particle":"","parse-names":false,"suffix":""},{"dropping-particle":"","family":"Valdés","given":"Roberto Arredondo","non-dropping-particle":"","parse-names":false,"suffix":""},{"dropping-particle":"","family":"Valdés","given":"Juan A Ascacio","non-dropping-particle":"","parse-names":false,"suffix":""},{"dropping-particle":"","family":"Salas","given":"Mayela Govea","non-dropping-particle":"","parse-names":false,"suffix":""},{"dropping-particle":"","family":"Iliná","given":"Anna","non-dropping-particle":"","parse-names":false,"suffix":""}],"container-title":"Environmental Quality Management","id":"ITEM-1","issue":"1","issued":{"date-parts":[["2023"]]},"page":"349-358","publisher":"Wiley Online Library","title":"Biomass from phytopathogens and culture conditions improve Penicillium chrysogenum antimicrobial activity and antifungal compounds production","type":"article-journal","volume":"33"},"uris":["http://www.mendeley.com/documents/?uuid=1d36cf92-eeba-4c50-b68f-a64ef9a21dd9"]}],"mendeley":{"formattedCitation":"&lt;sup&gt;18&lt;/sup&gt;","plainTextFormattedCitation":"18","previouslyFormattedCitation":"&lt;sup&gt;18&lt;/sup&gt;"},"properties":{"noteIndex":0},"schema":"https://github.com/citation-style-language/schema/raw/master/csl-citation.json"}</w:instrText>
      </w:r>
      <w:r w:rsidR="00D50E1E">
        <w:rPr>
          <w:rFonts w:ascii="Times New Roman" w:hAnsi="Times New Roman" w:cs="Times New Roman"/>
          <w:bCs/>
        </w:rPr>
        <w:fldChar w:fldCharType="separate"/>
      </w:r>
      <w:r w:rsidR="00CE767E" w:rsidRPr="00CE767E">
        <w:rPr>
          <w:rFonts w:ascii="Times New Roman" w:hAnsi="Times New Roman" w:cs="Times New Roman"/>
          <w:bCs/>
          <w:noProof/>
          <w:vertAlign w:val="superscript"/>
        </w:rPr>
        <w:t>18</w:t>
      </w:r>
      <w:r w:rsidR="00D50E1E">
        <w:rPr>
          <w:rFonts w:ascii="Times New Roman" w:hAnsi="Times New Roman" w:cs="Times New Roman"/>
          <w:bCs/>
        </w:rPr>
        <w:fldChar w:fldCharType="end"/>
      </w:r>
      <w:r w:rsidRPr="000B7682">
        <w:rPr>
          <w:rFonts w:ascii="Times New Roman" w:hAnsi="Times New Roman" w:cs="Times New Roman"/>
          <w:bCs/>
        </w:rPr>
        <w:t>, and anti-inflammatory effects</w:t>
      </w:r>
      <w:r w:rsidR="00D50E1E">
        <w:rPr>
          <w:rFonts w:ascii="Times New Roman" w:hAnsi="Times New Roman" w:cs="Times New Roman"/>
          <w:bCs/>
        </w:rPr>
        <w:fldChar w:fldCharType="begin" w:fldLock="1"/>
      </w:r>
      <w:r w:rsidR="00ED7BF2">
        <w:rPr>
          <w:rFonts w:ascii="Times New Roman" w:hAnsi="Times New Roman" w:cs="Times New Roman"/>
          <w:bCs/>
        </w:rPr>
        <w:instrText>ADDIN CSL_CITATION {"citationItems":[{"id":"ITEM-1","itemData":{"DOI":"https://doi.org/10.3389/fmolb.2023.1200025","author":[{"dropping-particle":"","family":"Mohamad Ishak","given":"Nur Syafiqah","non-dropping-particle":"","parse-names":false,"suffix":""},{"dropping-particle":"","family":"Ikemoto","given":"Kazuto","non-dropping-particle":"","parse-names":false,"suffix":""}],"container-title":"Frontiers in Molecular Biosciences","id":"ITEM-1","issued":{"date-parts":[["2023"]]},"page":"1200025","publisher":"Frontiers","title":"Pyrroloquinoline-quinone to reduce fat accumulation and ameliorate obesity progression","type":"article-journal","volume":"10"},"uris":["http://www.mendeley.com/documents/?uuid=4110ec4a-7bef-462f-80b9-7e866b266f6d"]}],"mendeley":{"formattedCitation":"&lt;sup&gt;19&lt;/sup&gt;","plainTextFormattedCitation":"19","previouslyFormattedCitation":"&lt;sup&gt;19&lt;/sup&gt;"},"properties":{"noteIndex":0},"schema":"https://github.com/citation-style-language/schema/raw/master/csl-citation.json"}</w:instrText>
      </w:r>
      <w:r w:rsidR="00D50E1E">
        <w:rPr>
          <w:rFonts w:ascii="Times New Roman" w:hAnsi="Times New Roman" w:cs="Times New Roman"/>
          <w:bCs/>
        </w:rPr>
        <w:fldChar w:fldCharType="separate"/>
      </w:r>
      <w:r w:rsidR="007E4962" w:rsidRPr="007E4962">
        <w:rPr>
          <w:rFonts w:ascii="Times New Roman" w:hAnsi="Times New Roman" w:cs="Times New Roman"/>
          <w:bCs/>
          <w:noProof/>
          <w:vertAlign w:val="superscript"/>
        </w:rPr>
        <w:t>19</w:t>
      </w:r>
      <w:r w:rsidR="00D50E1E">
        <w:rPr>
          <w:rFonts w:ascii="Times New Roman" w:hAnsi="Times New Roman" w:cs="Times New Roman"/>
          <w:bCs/>
        </w:rPr>
        <w:fldChar w:fldCharType="end"/>
      </w:r>
      <w:r w:rsidRPr="000B7682">
        <w:rPr>
          <w:rFonts w:ascii="Times New Roman" w:hAnsi="Times New Roman" w:cs="Times New Roman"/>
          <w:bCs/>
        </w:rPr>
        <w:t>. CoQ10, in particular, is studied for mitochondrial function and cardiovascular health</w:t>
      </w:r>
      <w:r w:rsidR="00D50E1E">
        <w:rPr>
          <w:rFonts w:ascii="Times New Roman" w:hAnsi="Times New Roman" w:cs="Times New Roman"/>
          <w:bCs/>
        </w:rPr>
        <w:fldChar w:fldCharType="begin" w:fldLock="1"/>
      </w:r>
      <w:r w:rsidR="00E641F1">
        <w:rPr>
          <w:rFonts w:ascii="Times New Roman" w:hAnsi="Times New Roman" w:cs="Times New Roman"/>
          <w:bCs/>
        </w:rPr>
        <w:instrText>ADDIN CSL_CITATION {"citationItems":[{"id":"ITEM-1","itemData":{"DOI":"https://doi.org/10.3390/antiox11091698","author":[{"dropping-particle":"","family":"Pu","given":"Tian-Tian","non-dropping-particle":"","parse-names":false,"suffix":""},{"dropping-particle":"","family":"Wu","given":"Wei","non-dropping-particle":"","parse-names":false,"suffix":""},{"dropping-particle":"","family":"Liang","given":"Pei-Da","non-dropping-particle":"","parse-names":false,"suffix":""},{"dropping-particle":"","family":"Du","given":"Jin-Chan","non-dropping-particle":"","parse-names":false,"suffix":""},{"dropping-particle":"","family":"Han","given":"Sheng-Li","non-dropping-particle":"","parse-names":false,"suffix":""},{"dropping-particle":"","family":"Deng","given":"Xiu-Ling","non-dropping-particle":"","parse-names":false,"suffix":""},{"dropping-particle":"","family":"Du","given":"Xiao-Jun","non-dropping-particle":"","parse-names":false,"suffix":""}],"container-title":"Journal of Cardiovascular Pharmacology","id":"ITEM-1","issued":{"date-parts":[["2022"]]},"page":"10-1097","publisher":"LWW","title":"Evaluation of coenzyme Q10 (CoQ10) deficiency and therapy in mouse models of cardiomyopathy","type":"article-journal"},"uris":["http://www.mendeley.com/documents/?uuid=d210a980-e830-4071-9ce0-6d82c2baec88"]}],"mendeley":{"formattedCitation":"&lt;sup&gt;20&lt;/sup&gt;","plainTextFormattedCitation":"20","previouslyFormattedCitation":"&lt;sup&gt;20&lt;/sup&gt;"},"properties":{"noteIndex":0},"schema":"https://github.com/citation-style-language/schema/raw/master/csl-citation.json"}</w:instrText>
      </w:r>
      <w:r w:rsidR="00D50E1E">
        <w:rPr>
          <w:rFonts w:ascii="Times New Roman" w:hAnsi="Times New Roman" w:cs="Times New Roman"/>
          <w:bCs/>
        </w:rPr>
        <w:fldChar w:fldCharType="separate"/>
      </w:r>
      <w:r w:rsidR="00ED7BF2" w:rsidRPr="00ED7BF2">
        <w:rPr>
          <w:rFonts w:ascii="Times New Roman" w:hAnsi="Times New Roman" w:cs="Times New Roman"/>
          <w:bCs/>
          <w:noProof/>
          <w:vertAlign w:val="superscript"/>
        </w:rPr>
        <w:t>20</w:t>
      </w:r>
      <w:r w:rsidR="00D50E1E">
        <w:rPr>
          <w:rFonts w:ascii="Times New Roman" w:hAnsi="Times New Roman" w:cs="Times New Roman"/>
          <w:bCs/>
        </w:rPr>
        <w:fldChar w:fldCharType="end"/>
      </w:r>
      <w:r w:rsidRPr="000B7682">
        <w:rPr>
          <w:rFonts w:ascii="Times New Roman" w:hAnsi="Times New Roman" w:cs="Times New Roman"/>
          <w:bCs/>
        </w:rPr>
        <w:t>. While promising, the use of quinone-based treatments should always involve consultation with healthcare professionals due to potential side effects and interactions with other medications.</w:t>
      </w:r>
    </w:p>
    <w:p w:rsidR="000B7682" w:rsidRPr="00E8152F" w:rsidRDefault="000B7682" w:rsidP="00E8152F">
      <w:pPr>
        <w:spacing w:after="0" w:line="276" w:lineRule="auto"/>
        <w:jc w:val="center"/>
        <w:rPr>
          <w:rFonts w:ascii="Times New Roman" w:hAnsi="Times New Roman" w:cs="Times New Roman"/>
          <w:bCs/>
        </w:rPr>
      </w:pPr>
      <w:commentRangeStart w:id="7"/>
      <w:r>
        <w:rPr>
          <w:rFonts w:ascii="Arial" w:hAnsi="Arial" w:cs="Arial"/>
          <w:noProof/>
          <w:sz w:val="24"/>
          <w:szCs w:val="24"/>
        </w:rPr>
        <w:drawing>
          <wp:inline distT="0" distB="0" distL="0" distR="0">
            <wp:extent cx="3648710" cy="1627135"/>
            <wp:effectExtent l="19050" t="0" r="8890" b="0"/>
            <wp:docPr id="937408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08079" name="Picture 937408079"/>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8351"/>
                    <a:stretch/>
                  </pic:blipFill>
                  <pic:spPr bwMode="auto">
                    <a:xfrm>
                      <a:off x="0" y="0"/>
                      <a:ext cx="3648710" cy="162713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commentRangeEnd w:id="7"/>
      <w:r w:rsidR="0079476A">
        <w:rPr>
          <w:rStyle w:val="CommentReference"/>
        </w:rPr>
        <w:commentReference w:id="7"/>
      </w:r>
    </w:p>
    <w:p w:rsidR="000B7682" w:rsidRPr="000B7682" w:rsidRDefault="000B7682" w:rsidP="00E8152F">
      <w:pPr>
        <w:spacing w:after="0" w:line="276" w:lineRule="auto"/>
        <w:jc w:val="center"/>
        <w:rPr>
          <w:rFonts w:ascii="Times New Roman" w:hAnsi="Times New Roman" w:cs="Times New Roman"/>
          <w:b/>
        </w:rPr>
      </w:pPr>
      <w:r>
        <w:rPr>
          <w:rFonts w:ascii="Times New Roman" w:hAnsi="Times New Roman" w:cs="Times New Roman"/>
          <w:b/>
        </w:rPr>
        <w:t xml:space="preserve">Figure 1: Plant of </w:t>
      </w:r>
      <w:r w:rsidR="00E8152F" w:rsidRPr="00E8152F">
        <w:rPr>
          <w:rFonts w:ascii="Times New Roman" w:hAnsi="Times New Roman" w:cs="Times New Roman"/>
          <w:b/>
          <w:bCs/>
          <w:i/>
          <w:iCs/>
          <w:sz w:val="24"/>
          <w:szCs w:val="24"/>
        </w:rPr>
        <w:t>Syzygium oblanceolatum</w:t>
      </w:r>
      <w:r w:rsidRPr="000B7682">
        <w:rPr>
          <w:rFonts w:ascii="Times New Roman" w:hAnsi="Times New Roman" w:cs="Times New Roman"/>
          <w:b/>
          <w:bCs/>
          <w:sz w:val="24"/>
          <w:szCs w:val="24"/>
        </w:rPr>
        <w:t xml:space="preserve"> (C.B. Rob.) Merr</w:t>
      </w:r>
    </w:p>
    <w:p w:rsidR="000B7682" w:rsidRDefault="000B7682" w:rsidP="00E8152F">
      <w:pPr>
        <w:spacing w:after="0" w:line="276" w:lineRule="auto"/>
        <w:jc w:val="both"/>
        <w:rPr>
          <w:rFonts w:ascii="Times New Roman" w:hAnsi="Times New Roman" w:cs="Times New Roman"/>
          <w:bCs/>
        </w:rPr>
      </w:pPr>
    </w:p>
    <w:p w:rsidR="000B7682" w:rsidRPr="000B7682" w:rsidRDefault="000B7682" w:rsidP="00E8152F">
      <w:pPr>
        <w:spacing w:after="0" w:line="276" w:lineRule="auto"/>
        <w:jc w:val="both"/>
        <w:rPr>
          <w:rFonts w:ascii="Times New Roman" w:hAnsi="Times New Roman" w:cs="Times New Roman"/>
          <w:bCs/>
        </w:rPr>
      </w:pPr>
      <w:commentRangeStart w:id="8"/>
      <w:r w:rsidRPr="000B7682">
        <w:rPr>
          <w:rFonts w:ascii="Times New Roman" w:hAnsi="Times New Roman" w:cs="Times New Roman"/>
          <w:bCs/>
        </w:rPr>
        <w:t>Tectoquinone (as a member of the class of quinones compound)</w:t>
      </w:r>
      <w:r w:rsidR="00D50E1E">
        <w:rPr>
          <w:rFonts w:ascii="Times New Roman" w:hAnsi="Times New Roman" w:cs="Times New Roman"/>
          <w:bCs/>
        </w:rPr>
        <w:fldChar w:fldCharType="begin" w:fldLock="1"/>
      </w:r>
      <w:r w:rsidR="002B7B40">
        <w:rPr>
          <w:rFonts w:ascii="Times New Roman" w:hAnsi="Times New Roman" w:cs="Times New Roman"/>
          <w:bCs/>
        </w:rPr>
        <w:instrText>ADDIN CSL_CITATION {"citationItems":[{"id":"ITEM-1","itemData":{"DOI":"https://doi.org/10.3390/f14020283","author":[{"dropping-particle":"","family":"Mart\\'\\in","given":"Juan A","non-dropping-particle":"","parse-names":false,"suffix":""},{"dropping-particle":"","family":"López","given":"Rosana","non-dropping-particle":"","parse-names":false,"suffix":""}],"container-title":"Forests","id":"ITEM-1","issue":"2","issued":{"date-parts":[["2023"]]},"page":"283","publisher":"MDPI","title":"Biological Deterioration and Natural Durability of Wood in Europe","type":"article-journal","volume":"14"},"uris":["http://www.mendeley.com/documents/?uuid=a4793fe7-f21c-44ab-bd5d-c8ea2670272d"]}],"mendeley":{"formattedCitation":"&lt;sup&gt;21&lt;/sup&gt;","plainTextFormattedCitation":"21","previouslyFormattedCitation":"&lt;sup&gt;21&lt;/sup&gt;"},"properties":{"noteIndex":0},"schema":"https://github.com/citation-style-language/schema/raw/master/csl-citation.json"}</w:instrText>
      </w:r>
      <w:r w:rsidR="00D50E1E">
        <w:rPr>
          <w:rFonts w:ascii="Times New Roman" w:hAnsi="Times New Roman" w:cs="Times New Roman"/>
          <w:bCs/>
        </w:rPr>
        <w:fldChar w:fldCharType="separate"/>
      </w:r>
      <w:r w:rsidR="00E641F1" w:rsidRPr="00E641F1">
        <w:rPr>
          <w:rFonts w:ascii="Times New Roman" w:hAnsi="Times New Roman" w:cs="Times New Roman"/>
          <w:bCs/>
          <w:noProof/>
          <w:vertAlign w:val="superscript"/>
        </w:rPr>
        <w:t>21</w:t>
      </w:r>
      <w:r w:rsidR="00D50E1E">
        <w:rPr>
          <w:rFonts w:ascii="Times New Roman" w:hAnsi="Times New Roman" w:cs="Times New Roman"/>
          <w:bCs/>
        </w:rPr>
        <w:fldChar w:fldCharType="end"/>
      </w:r>
      <w:r w:rsidRPr="000B7682">
        <w:rPr>
          <w:rFonts w:ascii="Times New Roman" w:hAnsi="Times New Roman" w:cs="Times New Roman"/>
          <w:bCs/>
        </w:rPr>
        <w:t>is a naturally occurring compound that has attracted attention due to its potential antioxidant properties. It is often found in certain plant species, and researchers have been investigating its ability to scavenge free radicals, which are harmful molecules associated with oxidative stress and various health issues.</w:t>
      </w:r>
    </w:p>
    <w:p w:rsidR="000B7682" w:rsidRP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Tectoquinone is a type of organic compound. Specifically, it belongs to the class of compounds known as quinones. Quinones are a class of organic compounds characterized by a six-membered aromatic ring containing two carbonyl (C=O) functional groups</w:t>
      </w:r>
      <w:r w:rsidR="00D50E1E">
        <w:rPr>
          <w:rFonts w:ascii="Times New Roman" w:hAnsi="Times New Roman" w:cs="Times New Roman"/>
          <w:bCs/>
        </w:rPr>
        <w:fldChar w:fldCharType="begin" w:fldLock="1"/>
      </w:r>
      <w:r w:rsidR="000B772B">
        <w:rPr>
          <w:rFonts w:ascii="Times New Roman" w:hAnsi="Times New Roman" w:cs="Times New Roman"/>
          <w:bCs/>
        </w:rPr>
        <w:instrText>ADDIN CSL_CITATION {"citationItems":[{"id":"ITEM-1","itemData":{"DOI":"https://doi.org/10.1021/jacs.3c04657","author":[{"dropping-particle":"","family":"Zhang","given":"Siqi","non-dropping-particle":"","parse-names":false,"suffix":""},{"dropping-particle":"","family":"Zhu","given":"You-Liang","non-dropping-particle":"","parse-names":false,"suffix":""},{"dropping-particle":"","family":"Ren","given":"Siyuan","non-dropping-particle":"","parse-names":false,"suffix":""},{"dropping-particle":"","family":"Li","given":"Chunguang","non-dropping-particle":"","parse-names":false,"suffix":""},{"dropping-particle":"","family":"Chen","given":"Xiao-Bo","non-dropping-particle":"","parse-names":false,"suffix":""},{"dropping-particle":"","family":"Li","given":"Zhenjiang","non-dropping-particle":"","parse-names":false,"suffix":""},{"dropping-particle":"","family":"Han","given":"Yu","non-dropping-particle":"","parse-names":false,"suffix":""},{"dropping-particle":"","family":"Shi","given":"Zhan","non-dropping-particle":"","parse-names":false,"suffix":""},{"dropping-particle":"","family":"Feng","given":"Shouhua","non-dropping-particle":"","parse-names":false,"suffix":""}],"container-title":"Journal of the American Chemical Society","id":"ITEM-1","issue":"31","issued":{"date-parts":[["2023"]]},"page":"17309-17320","publisher":"ACS Publications","title":"Covalent Organic Framework with Multiple Redox Active Sites for High-Performance Aqueous Calcium Ion Batteries","type":"article-journal","volume":"145"},"uris":["http://www.mendeley.com/documents/?uuid=1a15ca4f-c4e3-4e79-a78f-0e8b365e02d4"]}],"mendeley":{"formattedCitation":"&lt;sup&gt;22&lt;/sup&gt;","plainTextFormattedCitation":"22","previouslyFormattedCitation":"&lt;sup&gt;22&lt;/sup&gt;"},"properties":{"noteIndex":0},"schema":"https://github.com/citation-style-language/schema/raw/master/csl-citation.json"}</w:instrText>
      </w:r>
      <w:r w:rsidR="00D50E1E">
        <w:rPr>
          <w:rFonts w:ascii="Times New Roman" w:hAnsi="Times New Roman" w:cs="Times New Roman"/>
          <w:bCs/>
        </w:rPr>
        <w:fldChar w:fldCharType="separate"/>
      </w:r>
      <w:r w:rsidR="002B7B40" w:rsidRPr="002B7B40">
        <w:rPr>
          <w:rFonts w:ascii="Times New Roman" w:hAnsi="Times New Roman" w:cs="Times New Roman"/>
          <w:bCs/>
          <w:noProof/>
          <w:vertAlign w:val="superscript"/>
        </w:rPr>
        <w:t>22</w:t>
      </w:r>
      <w:r w:rsidR="00D50E1E">
        <w:rPr>
          <w:rFonts w:ascii="Times New Roman" w:hAnsi="Times New Roman" w:cs="Times New Roman"/>
          <w:bCs/>
        </w:rPr>
        <w:fldChar w:fldCharType="end"/>
      </w:r>
      <w:r w:rsidRPr="000B7682">
        <w:rPr>
          <w:rFonts w:ascii="Times New Roman" w:hAnsi="Times New Roman" w:cs="Times New Roman"/>
          <w:bCs/>
        </w:rPr>
        <w:t>. Tectoquinone, like other quinones, is known for its chemical structure that includes this characteristic aromatic ring with carbonyl groups, which contributes to its reactivity and potential biological activities, including its antioxidant properties</w:t>
      </w:r>
      <w:r w:rsidR="00D50E1E">
        <w:rPr>
          <w:rFonts w:ascii="Times New Roman" w:hAnsi="Times New Roman" w:cs="Times New Roman"/>
          <w:bCs/>
        </w:rPr>
        <w:fldChar w:fldCharType="begin" w:fldLock="1"/>
      </w:r>
      <w:r w:rsidR="00A43A1D">
        <w:rPr>
          <w:rFonts w:ascii="Times New Roman" w:hAnsi="Times New Roman" w:cs="Times New Roman"/>
          <w:bCs/>
        </w:rPr>
        <w:instrText>ADDIN CSL_CITATION {"citationItems":[{"id":"ITEM-1","itemData":{"DOI":"https://doi.org/10.32604/phyton.2022.020578","author":[{"dropping-particle":"","family":"Cárcamo-Ibarra","given":"Enrique","non-dropping-particle":"","parse-names":false,"suffix":""},{"dropping-particle":"","family":"Manuel Martinez-Pacheco","given":"Mauro","non-dropping-particle":"","parse-names":false,"suffix":""},{"dropping-particle":"","family":"Munro-Rojas","given":"Abril","non-dropping-particle":"","parse-names":false,"suffix":""},{"dropping-particle":"","family":"Enrique Ambriz-Parra","given":"Jorge","non-dropping-particle":"","parse-names":false,"suffix":""},{"dropping-particle":"","family":"Velázquez-Becerra","given":"Crisanto","non-dropping-particle":"","parse-names":false,"suffix":""}],"container-title":"Phyton (0031-9457)","id":"ITEM-1","issue":"8","issued":{"date-parts":[["2022"]]},"title":"Antifungal Activity of Crude Extracts of Tectona grandis Lf against Wood Decay Fungi.","type":"article-journal","volume":"91"},"uris":["http://www.mendeley.com/documents/?uuid=a6aa4d41-dab8-498e-b561-39243f89cb4d"]}],"mendeley":{"formattedCitation":"&lt;sup&gt;23&lt;/sup&gt;","plainTextFormattedCitation":"23","previouslyFormattedCitation":"&lt;sup&gt;23&lt;/sup&gt;"},"properties":{"noteIndex":0},"schema":"https://github.com/citation-style-language/schema/raw/master/csl-citation.json"}</w:instrText>
      </w:r>
      <w:r w:rsidR="00D50E1E">
        <w:rPr>
          <w:rFonts w:ascii="Times New Roman" w:hAnsi="Times New Roman" w:cs="Times New Roman"/>
          <w:bCs/>
        </w:rPr>
        <w:fldChar w:fldCharType="separate"/>
      </w:r>
      <w:r w:rsidR="000B772B" w:rsidRPr="000B772B">
        <w:rPr>
          <w:rFonts w:ascii="Times New Roman" w:hAnsi="Times New Roman" w:cs="Times New Roman"/>
          <w:bCs/>
          <w:noProof/>
          <w:vertAlign w:val="superscript"/>
        </w:rPr>
        <w:t>23</w:t>
      </w:r>
      <w:r w:rsidR="00D50E1E">
        <w:rPr>
          <w:rFonts w:ascii="Times New Roman" w:hAnsi="Times New Roman" w:cs="Times New Roman"/>
          <w:bCs/>
        </w:rPr>
        <w:fldChar w:fldCharType="end"/>
      </w:r>
      <w:r w:rsidRPr="000B7682">
        <w:rPr>
          <w:rFonts w:ascii="Times New Roman" w:hAnsi="Times New Roman" w:cs="Times New Roman"/>
          <w:bCs/>
        </w:rPr>
        <w:t>.</w:t>
      </w:r>
    </w:p>
    <w:commentRangeEnd w:id="8"/>
    <w:p w:rsidR="000B7682" w:rsidRPr="000B7682" w:rsidRDefault="00714958" w:rsidP="00E8152F">
      <w:pPr>
        <w:spacing w:after="0" w:line="276" w:lineRule="auto"/>
        <w:jc w:val="both"/>
        <w:rPr>
          <w:rFonts w:ascii="Times New Roman" w:hAnsi="Times New Roman" w:cs="Times New Roman"/>
          <w:bCs/>
        </w:rPr>
      </w:pPr>
      <w:r>
        <w:rPr>
          <w:rStyle w:val="CommentReference"/>
        </w:rPr>
        <w:commentReference w:id="8"/>
      </w:r>
      <w:r w:rsidR="000B7682" w:rsidRPr="000B7682">
        <w:rPr>
          <w:rFonts w:ascii="Times New Roman" w:hAnsi="Times New Roman" w:cs="Times New Roman"/>
          <w:bCs/>
        </w:rPr>
        <w:t>In this study, we investigate the capacity of tectoquinone compounds to scavenge free radicals, a critical aspect of their antioxidant activity. The widely recognized DPPH (2,2-diphenyl-1-picrylhydrazyl) assay was employed for this purpose, offering a reliable means to assess the radical-scavenging abilities of compounds.</w:t>
      </w:r>
    </w:p>
    <w:p w:rsidR="000B7682" w:rsidRP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 xml:space="preserve">To provide a quantitative assessment of the </w:t>
      </w:r>
      <w:r>
        <w:rPr>
          <w:rFonts w:ascii="Times New Roman" w:hAnsi="Times New Roman" w:cs="Times New Roman"/>
          <w:bCs/>
        </w:rPr>
        <w:t>free radical scavenging</w:t>
      </w:r>
      <w:r w:rsidRPr="000B7682">
        <w:rPr>
          <w:rFonts w:ascii="Times New Roman" w:hAnsi="Times New Roman" w:cs="Times New Roman"/>
          <w:bCs/>
        </w:rPr>
        <w:t xml:space="preserve"> activity, we utilized a UV-Vis spectrophotometric approach, enabling precise measurements at a specific wavelength. This method allowed us to obtain valuable data on the antioxidant potential of the tectoquinone compound.</w:t>
      </w:r>
    </w:p>
    <w:p w:rsidR="000B7682" w:rsidRPr="000B7682" w:rsidRDefault="000B7682" w:rsidP="00E8152F">
      <w:pPr>
        <w:spacing w:after="0" w:line="276" w:lineRule="auto"/>
        <w:jc w:val="both"/>
        <w:rPr>
          <w:rFonts w:ascii="Times New Roman" w:hAnsi="Times New Roman" w:cs="Times New Roman"/>
          <w:bCs/>
          <w:sz w:val="24"/>
          <w:szCs w:val="24"/>
        </w:rPr>
      </w:pPr>
    </w:p>
    <w:p w:rsidR="000B7682" w:rsidRPr="00EB6034" w:rsidRDefault="000B7682" w:rsidP="00E8152F">
      <w:pPr>
        <w:spacing w:after="0" w:line="276" w:lineRule="auto"/>
        <w:rPr>
          <w:rFonts w:ascii="Times New Roman" w:hAnsi="Times New Roman" w:cs="Times New Roman"/>
        </w:rPr>
      </w:pPr>
      <w:r w:rsidRPr="00EB6034">
        <w:rPr>
          <w:rFonts w:ascii="Times New Roman" w:hAnsi="Times New Roman" w:cs="Times New Roman"/>
          <w:b/>
        </w:rPr>
        <w:t xml:space="preserve">MATERIALS AND </w:t>
      </w:r>
      <w:commentRangeStart w:id="9"/>
      <w:r w:rsidRPr="00EB6034">
        <w:rPr>
          <w:rFonts w:ascii="Times New Roman" w:hAnsi="Times New Roman" w:cs="Times New Roman"/>
          <w:b/>
        </w:rPr>
        <w:t>METHODS</w:t>
      </w:r>
      <w:commentRangeEnd w:id="9"/>
      <w:r w:rsidR="0079476A">
        <w:rPr>
          <w:rStyle w:val="CommentReference"/>
        </w:rPr>
        <w:commentReference w:id="9"/>
      </w:r>
    </w:p>
    <w:p w:rsidR="000B7682" w:rsidRPr="00EB6034" w:rsidRDefault="000B7682" w:rsidP="00E8152F">
      <w:pPr>
        <w:spacing w:after="0" w:line="276" w:lineRule="auto"/>
        <w:jc w:val="both"/>
        <w:rPr>
          <w:rFonts w:ascii="Times New Roman" w:hAnsi="Times New Roman" w:cs="Times New Roman"/>
        </w:rPr>
      </w:pPr>
      <w:r w:rsidRPr="00EB6034">
        <w:rPr>
          <w:rFonts w:ascii="Times New Roman" w:hAnsi="Times New Roman" w:cs="Times New Roman"/>
          <w:b/>
        </w:rPr>
        <w:t>Materials</w:t>
      </w:r>
    </w:p>
    <w:p w:rsid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 xml:space="preserve">The samples used in this research are tectoquinone compound previously isolated from </w:t>
      </w:r>
      <w:commentRangeStart w:id="10"/>
      <w:r w:rsidRPr="000B7682">
        <w:rPr>
          <w:rFonts w:ascii="Times New Roman" w:hAnsi="Times New Roman" w:cs="Times New Roman"/>
          <w:bCs/>
          <w:i/>
          <w:iCs/>
        </w:rPr>
        <w:t>Syzygium</w:t>
      </w:r>
      <w:r w:rsidR="00E8152F">
        <w:rPr>
          <w:rFonts w:ascii="Times New Roman" w:hAnsi="Times New Roman" w:cs="Times New Roman"/>
          <w:bCs/>
          <w:i/>
          <w:iCs/>
        </w:rPr>
        <w:t xml:space="preserve"> </w:t>
      </w:r>
      <w:r w:rsidRPr="000B7682">
        <w:rPr>
          <w:rFonts w:ascii="Times New Roman" w:hAnsi="Times New Roman" w:cs="Times New Roman"/>
          <w:bCs/>
          <w:i/>
          <w:iCs/>
        </w:rPr>
        <w:t>oblanceolatum</w:t>
      </w:r>
      <w:r w:rsidRPr="000B7682">
        <w:rPr>
          <w:rFonts w:ascii="Times New Roman" w:hAnsi="Times New Roman" w:cs="Times New Roman"/>
          <w:bCs/>
        </w:rPr>
        <w:t xml:space="preserve"> </w:t>
      </w:r>
      <w:commentRangeEnd w:id="10"/>
      <w:r w:rsidR="0079476A">
        <w:rPr>
          <w:rStyle w:val="CommentReference"/>
        </w:rPr>
        <w:commentReference w:id="10"/>
      </w:r>
      <w:r w:rsidRPr="000B7682">
        <w:rPr>
          <w:rFonts w:ascii="Times New Roman" w:hAnsi="Times New Roman" w:cs="Times New Roman"/>
          <w:bCs/>
        </w:rPr>
        <w:t>(C.B.Rob.) Merr.</w:t>
      </w:r>
      <w:r>
        <w:rPr>
          <w:rFonts w:ascii="Times New Roman" w:hAnsi="Times New Roman" w:cs="Times New Roman"/>
          <w:bCs/>
        </w:rPr>
        <w:t xml:space="preserve">, </w:t>
      </w:r>
      <w:r w:rsidRPr="000B7682">
        <w:rPr>
          <w:rFonts w:ascii="Times New Roman" w:hAnsi="Times New Roman" w:cs="Times New Roman"/>
          <w:bCs/>
        </w:rPr>
        <w:t>DPPH (Sigma Aldrich)</w:t>
      </w:r>
      <w:r>
        <w:rPr>
          <w:rFonts w:ascii="Times New Roman" w:hAnsi="Times New Roman" w:cs="Times New Roman"/>
          <w:bCs/>
        </w:rPr>
        <w:t xml:space="preserve">, Quercetin </w:t>
      </w:r>
      <w:r w:rsidRPr="000B7682">
        <w:rPr>
          <w:rFonts w:ascii="Times New Roman" w:hAnsi="Times New Roman" w:cs="Times New Roman"/>
          <w:bCs/>
        </w:rPr>
        <w:t>(Sigma Aldrich)</w:t>
      </w:r>
      <w:r>
        <w:rPr>
          <w:rFonts w:ascii="Times New Roman" w:hAnsi="Times New Roman" w:cs="Times New Roman"/>
          <w:bCs/>
        </w:rPr>
        <w:t>.</w:t>
      </w:r>
    </w:p>
    <w:p w:rsidR="000B7682" w:rsidRDefault="000B7682" w:rsidP="00E8152F">
      <w:pPr>
        <w:spacing w:after="0" w:line="276" w:lineRule="auto"/>
        <w:jc w:val="both"/>
        <w:rPr>
          <w:rFonts w:ascii="Times New Roman" w:hAnsi="Times New Roman" w:cs="Times New Roman"/>
          <w:b/>
        </w:rPr>
      </w:pPr>
      <w:commentRangeStart w:id="11"/>
      <w:r w:rsidRPr="000B7682">
        <w:rPr>
          <w:rFonts w:ascii="Times New Roman" w:hAnsi="Times New Roman" w:cs="Times New Roman"/>
          <w:b/>
        </w:rPr>
        <w:t>Methods</w:t>
      </w:r>
      <w:commentRangeEnd w:id="11"/>
      <w:r w:rsidR="0079476A">
        <w:rPr>
          <w:rStyle w:val="CommentReference"/>
        </w:rPr>
        <w:commentReference w:id="11"/>
      </w:r>
    </w:p>
    <w:p w:rsidR="000B7682" w:rsidRP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The study was carried out through experimental procedures conducted in a laboratory setting, employing the free radical scavenging method</w:t>
      </w:r>
    </w:p>
    <w:p w:rsidR="000B7682" w:rsidRDefault="000B7682" w:rsidP="00E8152F">
      <w:pPr>
        <w:spacing w:after="0" w:line="276" w:lineRule="auto"/>
        <w:jc w:val="both"/>
        <w:rPr>
          <w:rFonts w:ascii="Times New Roman" w:hAnsi="Times New Roman" w:cs="Times New Roman"/>
          <w:b/>
        </w:rPr>
      </w:pPr>
      <w:r>
        <w:rPr>
          <w:rFonts w:ascii="Times New Roman" w:hAnsi="Times New Roman" w:cs="Times New Roman"/>
          <w:b/>
        </w:rPr>
        <w:t>Preparation of DPPH Stock Solution</w:t>
      </w:r>
    </w:p>
    <w:p w:rsidR="000B7682" w:rsidRP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To prepare a DPPH solution with a concentration of 30 ppm, 1.5 mg of DPPH powder was dissolved in 50 mL of high-quality analytical methanol within a volumetric flask. Following this, the measurement of the DPPH's maximum wavelength was conducted within the range of 450 nm to 550 nm.</w:t>
      </w:r>
    </w:p>
    <w:p w:rsidR="000B7682" w:rsidRDefault="000B7682" w:rsidP="00E8152F">
      <w:pPr>
        <w:spacing w:after="0" w:line="276" w:lineRule="auto"/>
        <w:jc w:val="both"/>
        <w:rPr>
          <w:rFonts w:ascii="Times New Roman" w:hAnsi="Times New Roman" w:cs="Times New Roman"/>
          <w:b/>
        </w:rPr>
      </w:pPr>
      <w:r>
        <w:rPr>
          <w:rFonts w:ascii="Times New Roman" w:hAnsi="Times New Roman" w:cs="Times New Roman"/>
          <w:b/>
        </w:rPr>
        <w:t xml:space="preserve">Preparation Quercetin Standard Solution </w:t>
      </w:r>
    </w:p>
    <w:p w:rsidR="000B7682" w:rsidRP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 xml:space="preserve">To prepare a reference quercetin solution, a concentration of 1,000 ppm was initially established. Subsequently, various concentrations, including 0.2 ppm, 0.4 ppm, 0.6 ppm, 0.8 ppm, and 1 ppm, were derived from this primary solution, with each variant comprising a 5 mL volume. A 2 mL aliquot of each quercetin solution series was then measured and transferred to separate vials. Next, 2 mL of DPPH solution was introduced into each vial. Following thorough mixing, the vials were left to incubate in a </w:t>
      </w:r>
      <w:r w:rsidRPr="000B7682">
        <w:rPr>
          <w:rFonts w:ascii="Times New Roman" w:hAnsi="Times New Roman" w:cs="Times New Roman"/>
          <w:bCs/>
        </w:rPr>
        <w:lastRenderedPageBreak/>
        <w:t>dark environment for 30 minutes. After this incubation period, the absorption at the maximum wavelength was determined using a UV-Vis spectrophotometer, namely 516 nm</w:t>
      </w:r>
      <w:r>
        <w:rPr>
          <w:rFonts w:ascii="Times New Roman" w:hAnsi="Times New Roman" w:cs="Times New Roman"/>
          <w:bCs/>
        </w:rPr>
        <w:t>.</w:t>
      </w:r>
    </w:p>
    <w:p w:rsidR="000B7682" w:rsidRDefault="000B7682" w:rsidP="00E8152F">
      <w:pPr>
        <w:spacing w:after="0" w:line="276" w:lineRule="auto"/>
        <w:jc w:val="both"/>
        <w:rPr>
          <w:rFonts w:ascii="Times New Roman" w:hAnsi="Times New Roman" w:cs="Times New Roman"/>
          <w:b/>
        </w:rPr>
      </w:pPr>
      <w:r>
        <w:rPr>
          <w:rFonts w:ascii="Times New Roman" w:hAnsi="Times New Roman" w:cs="Times New Roman"/>
          <w:b/>
        </w:rPr>
        <w:t>Preparation of Tectoquinone</w:t>
      </w:r>
    </w:p>
    <w:p w:rsidR="000B7682" w:rsidRP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Weighing 0.7 mg of the tectoquinone compound, we then dissolved it in 2.5 mL of high-quality analytical methanol, resulting in a stock solution with a concentration of 280 ppm. Following that, a range of concentrations was created by diluting 4 mL of this solution to produce concentrations of 10 ppm, 20 ppm, 30 ppm, 40 ppm, and 50 ppm.</w:t>
      </w:r>
    </w:p>
    <w:p w:rsidR="000B7682" w:rsidRDefault="000B7682" w:rsidP="00E8152F">
      <w:pPr>
        <w:spacing w:after="0" w:line="276" w:lineRule="auto"/>
        <w:jc w:val="both"/>
        <w:rPr>
          <w:rFonts w:ascii="Times New Roman" w:hAnsi="Times New Roman" w:cs="Times New Roman"/>
          <w:b/>
        </w:rPr>
      </w:pPr>
      <w:r>
        <w:rPr>
          <w:rFonts w:ascii="Times New Roman" w:hAnsi="Times New Roman" w:cs="Times New Roman"/>
          <w:b/>
        </w:rPr>
        <w:t>Examination of Free Radical</w:t>
      </w:r>
      <w:r w:rsidRPr="000B7682">
        <w:rPr>
          <w:rFonts w:ascii="Times New Roman" w:hAnsi="Times New Roman" w:cs="Times New Roman"/>
          <w:b/>
        </w:rPr>
        <w:t xml:space="preserve"> Scavenging</w:t>
      </w:r>
    </w:p>
    <w:p w:rsidR="000B7682" w:rsidRP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 xml:space="preserve">To assess the </w:t>
      </w:r>
      <w:r>
        <w:rPr>
          <w:rFonts w:ascii="Times New Roman" w:hAnsi="Times New Roman" w:cs="Times New Roman"/>
          <w:bCs/>
        </w:rPr>
        <w:t xml:space="preserve">radical scavenging </w:t>
      </w:r>
      <w:r w:rsidRPr="000B7682">
        <w:rPr>
          <w:rFonts w:ascii="Times New Roman" w:hAnsi="Times New Roman" w:cs="Times New Roman"/>
          <w:bCs/>
        </w:rPr>
        <w:t>of tectoquinone compound, 2 mL of test solutions with concentrations ranging from 10 ppm to 50 ppm were mixed with an equal volume of DPPH solution in vials and left to incubate in darkness for 30 minutes. Following this incubation period, their absorbance was measured at the maximum wavelength, namely 516 nm.</w:t>
      </w:r>
    </w:p>
    <w:p w:rsidR="000B7682" w:rsidRP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The percentage of DPPH radical inhibition was determined using the formula: % inhibition = (A1 - A2) / A1 x 100%, where A1 represents the absorbance of the control and A2 denotes the absorbance of the sample.</w:t>
      </w:r>
    </w:p>
    <w:p w:rsidR="000B7682" w:rsidRP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To find the IC</w:t>
      </w:r>
      <w:r w:rsidRPr="000B7682">
        <w:rPr>
          <w:rFonts w:ascii="Times New Roman" w:hAnsi="Times New Roman" w:cs="Times New Roman"/>
          <w:bCs/>
          <w:vertAlign w:val="subscript"/>
        </w:rPr>
        <w:t>50</w:t>
      </w:r>
      <w:r w:rsidRPr="000B7682">
        <w:rPr>
          <w:rFonts w:ascii="Times New Roman" w:hAnsi="Times New Roman" w:cs="Times New Roman"/>
          <w:bCs/>
        </w:rPr>
        <w:t xml:space="preserve"> value, a linear curve was established by plotting the test solution concentrations (x-axis) against the corresponding % inhibition (y-axis) using the equation y = a + bx. The IC</w:t>
      </w:r>
      <w:r w:rsidRPr="000B7682">
        <w:rPr>
          <w:rFonts w:ascii="Times New Roman" w:hAnsi="Times New Roman" w:cs="Times New Roman"/>
          <w:bCs/>
          <w:vertAlign w:val="subscript"/>
        </w:rPr>
        <w:t>50</w:t>
      </w:r>
      <w:r w:rsidRPr="000B7682">
        <w:rPr>
          <w:rFonts w:ascii="Times New Roman" w:hAnsi="Times New Roman" w:cs="Times New Roman"/>
          <w:bCs/>
        </w:rPr>
        <w:t xml:space="preserve"> value was then calculated as IC</w:t>
      </w:r>
      <w:r w:rsidRPr="000B7682">
        <w:rPr>
          <w:rFonts w:ascii="Times New Roman" w:hAnsi="Times New Roman" w:cs="Times New Roman"/>
          <w:bCs/>
          <w:vertAlign w:val="subscript"/>
        </w:rPr>
        <w:t>50</w:t>
      </w:r>
      <w:r w:rsidRPr="000B7682">
        <w:rPr>
          <w:rFonts w:ascii="Times New Roman" w:hAnsi="Times New Roman" w:cs="Times New Roman"/>
          <w:bCs/>
        </w:rPr>
        <w:t xml:space="preserve"> = (50 - a)/b.</w:t>
      </w:r>
    </w:p>
    <w:p w:rsidR="00714958" w:rsidRPr="007D5955" w:rsidRDefault="00714958" w:rsidP="00714958">
      <w:pPr>
        <w:spacing w:after="0"/>
        <w:rPr>
          <w:rFonts w:ascii="Bookman Old Style" w:hAnsi="Bookman Old Style" w:cs="Times New Roman"/>
          <w:b/>
        </w:rPr>
      </w:pPr>
      <w:commentRangeStart w:id="12"/>
      <w:r w:rsidRPr="007D5955">
        <w:rPr>
          <w:rFonts w:ascii="Bookman Old Style" w:hAnsi="Bookman Old Style" w:cs="Times New Roman"/>
          <w:b/>
        </w:rPr>
        <w:t>Statistical analysis</w:t>
      </w:r>
      <w:commentRangeEnd w:id="12"/>
      <w:r>
        <w:rPr>
          <w:rStyle w:val="CommentReference"/>
          <w:rFonts w:ascii="Courier" w:eastAsia="Times New Roman" w:hAnsi="Courier" w:cs="Courier"/>
          <w:snapToGrid w:val="0"/>
        </w:rPr>
        <w:commentReference w:id="12"/>
      </w:r>
    </w:p>
    <w:p w:rsidR="000B7682" w:rsidRPr="000B7682" w:rsidRDefault="000B7682" w:rsidP="00E8152F">
      <w:pPr>
        <w:spacing w:after="0" w:line="276" w:lineRule="auto"/>
        <w:jc w:val="both"/>
        <w:rPr>
          <w:rFonts w:ascii="Times New Roman" w:hAnsi="Times New Roman" w:cs="Times New Roman"/>
          <w:bCs/>
        </w:rPr>
      </w:pPr>
    </w:p>
    <w:p w:rsidR="000B7682" w:rsidRDefault="000B7682" w:rsidP="00E8152F">
      <w:pPr>
        <w:spacing w:after="0" w:line="276" w:lineRule="auto"/>
        <w:rPr>
          <w:rFonts w:ascii="Times New Roman" w:hAnsi="Times New Roman" w:cs="Times New Roman"/>
          <w:b/>
        </w:rPr>
      </w:pPr>
      <w:r w:rsidRPr="000B7682">
        <w:rPr>
          <w:rFonts w:ascii="Times New Roman" w:hAnsi="Times New Roman" w:cs="Times New Roman"/>
          <w:b/>
          <w:sz w:val="24"/>
          <w:szCs w:val="24"/>
        </w:rPr>
        <w:t>RESULTS</w:t>
      </w:r>
      <w:r>
        <w:rPr>
          <w:rFonts w:ascii="Times New Roman" w:hAnsi="Times New Roman" w:cs="Times New Roman"/>
          <w:b/>
        </w:rPr>
        <w:t xml:space="preserve"> AND</w:t>
      </w:r>
      <w:commentRangeStart w:id="13"/>
      <w:r>
        <w:rPr>
          <w:rFonts w:ascii="Times New Roman" w:hAnsi="Times New Roman" w:cs="Times New Roman"/>
          <w:b/>
        </w:rPr>
        <w:t xml:space="preserve"> DISCUSSION</w:t>
      </w:r>
      <w:commentRangeEnd w:id="13"/>
      <w:r w:rsidR="0079476A">
        <w:rPr>
          <w:rStyle w:val="CommentReference"/>
        </w:rPr>
        <w:commentReference w:id="13"/>
      </w:r>
    </w:p>
    <w:p w:rsid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In the quantitative assessment of antioxidant potential, the DPPH scavenging method relies on the IC50 value. This value indicates the concentration of the test sample required to achieve a 50% inhibition of oxidative processes (effectively reducing or inhibiting oxidation by 50%). The outcomes of absorbance measurements, percentage inhibition, and IC</w:t>
      </w:r>
      <w:r w:rsidRPr="000B7682">
        <w:rPr>
          <w:rFonts w:ascii="Times New Roman" w:hAnsi="Times New Roman" w:cs="Times New Roman"/>
          <w:bCs/>
          <w:vertAlign w:val="subscript"/>
        </w:rPr>
        <w:t>50</w:t>
      </w:r>
      <w:r w:rsidRPr="000B7682">
        <w:rPr>
          <w:rFonts w:ascii="Times New Roman" w:hAnsi="Times New Roman" w:cs="Times New Roman"/>
          <w:bCs/>
        </w:rPr>
        <w:t xml:space="preserve"> values for both tectoquinone compound and the reference quercetin are provided in the table presented below as Table 1.</w:t>
      </w:r>
    </w:p>
    <w:p w:rsidR="000B7682" w:rsidRDefault="000B7682" w:rsidP="00E8152F">
      <w:pPr>
        <w:spacing w:after="0" w:line="276" w:lineRule="auto"/>
        <w:rPr>
          <w:rFonts w:ascii="Times New Roman" w:hAnsi="Times New Roman" w:cs="Times New Roman"/>
          <w:bCs/>
        </w:rPr>
      </w:pPr>
    </w:p>
    <w:p w:rsidR="000B7682" w:rsidRDefault="000B7682" w:rsidP="00E8152F">
      <w:pPr>
        <w:spacing w:after="0" w:line="276" w:lineRule="auto"/>
        <w:rPr>
          <w:rFonts w:ascii="Times New Roman" w:hAnsi="Times New Roman" w:cs="Times New Roman"/>
          <w:b/>
        </w:rPr>
      </w:pPr>
      <w:r w:rsidRPr="000B7682">
        <w:rPr>
          <w:rFonts w:ascii="Times New Roman" w:hAnsi="Times New Roman" w:cs="Times New Roman"/>
          <w:b/>
        </w:rPr>
        <w:t>Table 1. Results of absorbance measurements, percentage inhibition, and IC</w:t>
      </w:r>
      <w:r w:rsidRPr="000B7682">
        <w:rPr>
          <w:rFonts w:ascii="Times New Roman" w:hAnsi="Times New Roman" w:cs="Times New Roman"/>
          <w:b/>
          <w:vertAlign w:val="subscript"/>
        </w:rPr>
        <w:t>50</w:t>
      </w:r>
      <w:r w:rsidRPr="000B7682">
        <w:rPr>
          <w:rFonts w:ascii="Times New Roman" w:hAnsi="Times New Roman" w:cs="Times New Roman"/>
          <w:b/>
        </w:rPr>
        <w:t xml:space="preserve"> values</w:t>
      </w:r>
    </w:p>
    <w:tbl>
      <w:tblPr>
        <w:tblStyle w:val="ListTable2"/>
        <w:tblW w:w="0" w:type="auto"/>
        <w:tblLayout w:type="fixed"/>
        <w:tblLook w:val="04A0"/>
      </w:tblPr>
      <w:tblGrid>
        <w:gridCol w:w="1418"/>
        <w:gridCol w:w="992"/>
        <w:gridCol w:w="284"/>
        <w:gridCol w:w="1275"/>
        <w:gridCol w:w="137"/>
        <w:gridCol w:w="1418"/>
        <w:gridCol w:w="1280"/>
        <w:gridCol w:w="1123"/>
      </w:tblGrid>
      <w:tr w:rsidR="000B7682" w:rsidRPr="000B7682" w:rsidTr="00347B96">
        <w:trPr>
          <w:cnfStyle w:val="100000000000"/>
        </w:trPr>
        <w:tc>
          <w:tcPr>
            <w:cnfStyle w:val="001000000000"/>
            <w:tcW w:w="1418" w:type="dxa"/>
          </w:tcPr>
          <w:p w:rsidR="000B7682" w:rsidRPr="000B7682" w:rsidRDefault="000B7682" w:rsidP="00E8152F">
            <w:pPr>
              <w:spacing w:line="276" w:lineRule="auto"/>
              <w:rPr>
                <w:rFonts w:ascii="Times New Roman" w:hAnsi="Times New Roman" w:cs="Times New Roman"/>
                <w:b w:val="0"/>
                <w:bCs w:val="0"/>
              </w:rPr>
            </w:pPr>
            <w:r w:rsidRPr="000B7682">
              <w:rPr>
                <w:rFonts w:ascii="Times New Roman" w:hAnsi="Times New Roman" w:cs="Times New Roman"/>
                <w:b w:val="0"/>
                <w:bCs w:val="0"/>
              </w:rPr>
              <w:t>Samp</w:t>
            </w:r>
            <w:r>
              <w:rPr>
                <w:rFonts w:ascii="Times New Roman" w:hAnsi="Times New Roman" w:cs="Times New Roman"/>
                <w:b w:val="0"/>
                <w:bCs w:val="0"/>
              </w:rPr>
              <w:t>le</w:t>
            </w:r>
          </w:p>
        </w:tc>
        <w:tc>
          <w:tcPr>
            <w:tcW w:w="992" w:type="dxa"/>
          </w:tcPr>
          <w:p w:rsidR="000B7682" w:rsidRPr="000B7682" w:rsidRDefault="000B7682" w:rsidP="00E8152F">
            <w:pPr>
              <w:spacing w:line="276" w:lineRule="auto"/>
              <w:cnfStyle w:val="100000000000"/>
              <w:rPr>
                <w:rFonts w:ascii="Times New Roman" w:hAnsi="Times New Roman" w:cs="Times New Roman"/>
                <w:b w:val="0"/>
                <w:bCs w:val="0"/>
              </w:rPr>
            </w:pPr>
            <w:r>
              <w:rPr>
                <w:rFonts w:ascii="Times New Roman" w:hAnsi="Times New Roman" w:cs="Times New Roman"/>
                <w:b w:val="0"/>
                <w:bCs w:val="0"/>
              </w:rPr>
              <w:t xml:space="preserve">Concertation </w:t>
            </w:r>
            <w:r w:rsidRPr="000B7682">
              <w:rPr>
                <w:rFonts w:ascii="Times New Roman" w:hAnsi="Times New Roman" w:cs="Times New Roman"/>
                <w:b w:val="0"/>
                <w:bCs w:val="0"/>
              </w:rPr>
              <w:t>(ppm)</w:t>
            </w:r>
          </w:p>
        </w:tc>
        <w:tc>
          <w:tcPr>
            <w:tcW w:w="1559" w:type="dxa"/>
            <w:gridSpan w:val="2"/>
          </w:tcPr>
          <w:p w:rsidR="000B7682" w:rsidRPr="000B7682" w:rsidRDefault="000B7682" w:rsidP="00E8152F">
            <w:pPr>
              <w:spacing w:line="276" w:lineRule="auto"/>
              <w:cnfStyle w:val="100000000000"/>
              <w:rPr>
                <w:rFonts w:ascii="Times New Roman" w:hAnsi="Times New Roman" w:cs="Times New Roman"/>
                <w:b w:val="0"/>
                <w:bCs w:val="0"/>
              </w:rPr>
            </w:pPr>
            <w:r w:rsidRPr="000B7682">
              <w:rPr>
                <w:rFonts w:ascii="Times New Roman" w:hAnsi="Times New Roman" w:cs="Times New Roman"/>
                <w:b w:val="0"/>
                <w:bCs w:val="0"/>
              </w:rPr>
              <w:t>Blank Absorbance</w:t>
            </w:r>
          </w:p>
        </w:tc>
        <w:tc>
          <w:tcPr>
            <w:tcW w:w="1555" w:type="dxa"/>
            <w:gridSpan w:val="2"/>
          </w:tcPr>
          <w:p w:rsidR="000B7682" w:rsidRPr="000B7682" w:rsidRDefault="000B7682" w:rsidP="00E8152F">
            <w:pPr>
              <w:spacing w:line="276" w:lineRule="auto"/>
              <w:cnfStyle w:val="100000000000"/>
              <w:rPr>
                <w:rFonts w:ascii="Times New Roman" w:hAnsi="Times New Roman" w:cs="Times New Roman"/>
                <w:b w:val="0"/>
                <w:bCs w:val="0"/>
              </w:rPr>
            </w:pPr>
            <w:r>
              <w:rPr>
                <w:rFonts w:ascii="Times New Roman" w:hAnsi="Times New Roman" w:cs="Times New Roman"/>
                <w:b w:val="0"/>
                <w:bCs w:val="0"/>
              </w:rPr>
              <w:t xml:space="preserve">    Sample  </w:t>
            </w:r>
            <w:r w:rsidRPr="000B7682">
              <w:rPr>
                <w:rFonts w:ascii="Times New Roman" w:hAnsi="Times New Roman" w:cs="Times New Roman"/>
                <w:b w:val="0"/>
                <w:bCs w:val="0"/>
              </w:rPr>
              <w:t>Absorbance</w:t>
            </w:r>
          </w:p>
        </w:tc>
        <w:tc>
          <w:tcPr>
            <w:tcW w:w="1280" w:type="dxa"/>
          </w:tcPr>
          <w:p w:rsidR="000B7682" w:rsidRDefault="000B7682" w:rsidP="00E8152F">
            <w:pPr>
              <w:spacing w:line="276" w:lineRule="auto"/>
              <w:cnfStyle w:val="100000000000"/>
              <w:rPr>
                <w:rFonts w:ascii="Times New Roman" w:hAnsi="Times New Roman" w:cs="Times New Roman"/>
              </w:rPr>
            </w:pPr>
            <w:r w:rsidRPr="000B7682">
              <w:rPr>
                <w:rFonts w:ascii="Times New Roman" w:hAnsi="Times New Roman" w:cs="Times New Roman"/>
                <w:b w:val="0"/>
                <w:bCs w:val="0"/>
              </w:rPr>
              <w:t>Inhibi</w:t>
            </w:r>
            <w:r>
              <w:rPr>
                <w:rFonts w:ascii="Times New Roman" w:hAnsi="Times New Roman" w:cs="Times New Roman"/>
                <w:b w:val="0"/>
                <w:bCs w:val="0"/>
              </w:rPr>
              <w:t>tion</w:t>
            </w:r>
          </w:p>
          <w:p w:rsidR="000B7682" w:rsidRPr="000B7682" w:rsidRDefault="000B7682" w:rsidP="00E8152F">
            <w:pPr>
              <w:spacing w:line="276" w:lineRule="auto"/>
              <w:cnfStyle w:val="100000000000"/>
              <w:rPr>
                <w:rFonts w:ascii="Times New Roman" w:hAnsi="Times New Roman" w:cs="Times New Roman"/>
                <w:b w:val="0"/>
                <w:bCs w:val="0"/>
              </w:rPr>
            </w:pPr>
            <w:r w:rsidRPr="000B7682">
              <w:rPr>
                <w:rFonts w:ascii="Times New Roman" w:hAnsi="Times New Roman" w:cs="Times New Roman"/>
                <w:b w:val="0"/>
                <w:bCs w:val="0"/>
              </w:rPr>
              <w:t>(%)</w:t>
            </w:r>
          </w:p>
        </w:tc>
        <w:tc>
          <w:tcPr>
            <w:tcW w:w="1123" w:type="dxa"/>
          </w:tcPr>
          <w:p w:rsidR="000B7682" w:rsidRPr="000B7682" w:rsidRDefault="000B7682" w:rsidP="00E8152F">
            <w:pPr>
              <w:spacing w:line="276" w:lineRule="auto"/>
              <w:cnfStyle w:val="100000000000"/>
              <w:rPr>
                <w:rFonts w:ascii="Times New Roman" w:hAnsi="Times New Roman" w:cs="Times New Roman"/>
                <w:b w:val="0"/>
                <w:bCs w:val="0"/>
              </w:rPr>
            </w:pPr>
            <w:r w:rsidRPr="000B7682">
              <w:rPr>
                <w:rFonts w:ascii="Times New Roman" w:hAnsi="Times New Roman" w:cs="Times New Roman"/>
                <w:b w:val="0"/>
                <w:bCs w:val="0"/>
              </w:rPr>
              <w:t>IC</w:t>
            </w:r>
            <w:r w:rsidRPr="000B7682">
              <w:rPr>
                <w:rFonts w:ascii="Times New Roman" w:hAnsi="Times New Roman" w:cs="Times New Roman"/>
                <w:b w:val="0"/>
                <w:bCs w:val="0"/>
                <w:vertAlign w:val="subscript"/>
              </w:rPr>
              <w:t>50</w:t>
            </w:r>
            <w:r w:rsidRPr="000B7682">
              <w:rPr>
                <w:rFonts w:ascii="Times New Roman" w:hAnsi="Times New Roman" w:cs="Times New Roman"/>
                <w:b w:val="0"/>
                <w:bCs w:val="0"/>
              </w:rPr>
              <w:t xml:space="preserve"> (μg/mL)</w:t>
            </w:r>
          </w:p>
        </w:tc>
      </w:tr>
      <w:tr w:rsidR="000B7682" w:rsidRPr="000B7682" w:rsidTr="00347B96">
        <w:trPr>
          <w:cnfStyle w:val="000000100000"/>
        </w:trPr>
        <w:tc>
          <w:tcPr>
            <w:cnfStyle w:val="001000000000"/>
            <w:tcW w:w="1418" w:type="dxa"/>
            <w:vMerge w:val="restart"/>
            <w:shd w:val="clear" w:color="auto" w:fill="auto"/>
          </w:tcPr>
          <w:p w:rsidR="000B7682" w:rsidRPr="000B7682" w:rsidRDefault="000B7682" w:rsidP="00E8152F">
            <w:pPr>
              <w:spacing w:line="276" w:lineRule="auto"/>
              <w:rPr>
                <w:rFonts w:ascii="Times New Roman" w:hAnsi="Times New Roman" w:cs="Times New Roman"/>
                <w:b w:val="0"/>
                <w:bCs w:val="0"/>
                <w:lang w:val="id-ID"/>
              </w:rPr>
            </w:pPr>
          </w:p>
          <w:p w:rsidR="000B7682" w:rsidRPr="000B7682" w:rsidRDefault="000B7682" w:rsidP="00E8152F">
            <w:pPr>
              <w:spacing w:line="276" w:lineRule="auto"/>
              <w:rPr>
                <w:rFonts w:ascii="Times New Roman" w:hAnsi="Times New Roman" w:cs="Times New Roman"/>
                <w:b w:val="0"/>
                <w:bCs w:val="0"/>
              </w:rPr>
            </w:pPr>
            <w:r w:rsidRPr="000B7682">
              <w:rPr>
                <w:rFonts w:ascii="Times New Roman" w:hAnsi="Times New Roman" w:cs="Times New Roman"/>
                <w:b w:val="0"/>
                <w:bCs w:val="0"/>
              </w:rPr>
              <w:t>Tectoquinone</w:t>
            </w:r>
          </w:p>
        </w:tc>
        <w:tc>
          <w:tcPr>
            <w:tcW w:w="1276" w:type="dxa"/>
            <w:gridSpan w:val="2"/>
            <w:shd w:val="clear" w:color="auto" w:fill="auto"/>
          </w:tcPr>
          <w:p w:rsidR="000B7682" w:rsidRPr="000B7682" w:rsidRDefault="000B7682" w:rsidP="00E8152F">
            <w:pPr>
              <w:spacing w:line="276" w:lineRule="auto"/>
              <w:cnfStyle w:val="000000100000"/>
              <w:rPr>
                <w:rFonts w:ascii="Times New Roman" w:hAnsi="Times New Roman" w:cs="Times New Roman"/>
              </w:rPr>
            </w:pPr>
            <w:r w:rsidRPr="000B7682">
              <w:rPr>
                <w:rFonts w:ascii="Times New Roman" w:hAnsi="Times New Roman" w:cs="Times New Roman"/>
              </w:rPr>
              <w:t>10</w:t>
            </w:r>
          </w:p>
        </w:tc>
        <w:tc>
          <w:tcPr>
            <w:tcW w:w="1412" w:type="dxa"/>
            <w:gridSpan w:val="2"/>
            <w:shd w:val="clear" w:color="auto" w:fill="auto"/>
          </w:tcPr>
          <w:p w:rsidR="000B7682" w:rsidRPr="000B7682" w:rsidRDefault="000B7682" w:rsidP="00E8152F">
            <w:pPr>
              <w:spacing w:line="276" w:lineRule="auto"/>
              <w:cnfStyle w:val="000000100000"/>
              <w:rPr>
                <w:rFonts w:ascii="Times New Roman" w:hAnsi="Times New Roman" w:cs="Times New Roman"/>
              </w:rPr>
            </w:pPr>
            <w:commentRangeStart w:id="14"/>
            <w:r w:rsidRPr="000B7682">
              <w:rPr>
                <w:rFonts w:ascii="Times New Roman" w:hAnsi="Times New Roman" w:cs="Times New Roman"/>
              </w:rPr>
              <w:t>0,596</w:t>
            </w:r>
            <w:commentRangeEnd w:id="14"/>
            <w:r w:rsidR="00714958">
              <w:rPr>
                <w:rStyle w:val="CommentReference"/>
              </w:rPr>
              <w:commentReference w:id="14"/>
            </w:r>
          </w:p>
        </w:tc>
        <w:tc>
          <w:tcPr>
            <w:tcW w:w="1418" w:type="dxa"/>
            <w:shd w:val="clear" w:color="auto" w:fill="auto"/>
          </w:tcPr>
          <w:p w:rsidR="000B7682" w:rsidRPr="000B7682" w:rsidRDefault="000B7682" w:rsidP="00E8152F">
            <w:pPr>
              <w:spacing w:line="276" w:lineRule="auto"/>
              <w:cnfStyle w:val="000000100000"/>
              <w:rPr>
                <w:rFonts w:ascii="Times New Roman" w:hAnsi="Times New Roman" w:cs="Times New Roman"/>
              </w:rPr>
            </w:pPr>
            <w:r w:rsidRPr="000B7682">
              <w:rPr>
                <w:rFonts w:ascii="Times New Roman" w:hAnsi="Times New Roman" w:cs="Times New Roman"/>
              </w:rPr>
              <w:t>0,346</w:t>
            </w:r>
          </w:p>
        </w:tc>
        <w:tc>
          <w:tcPr>
            <w:tcW w:w="1280" w:type="dxa"/>
            <w:shd w:val="clear" w:color="auto" w:fill="auto"/>
          </w:tcPr>
          <w:p w:rsidR="000B7682" w:rsidRPr="000B7682" w:rsidRDefault="000B7682" w:rsidP="00E8152F">
            <w:pPr>
              <w:spacing w:line="276" w:lineRule="auto"/>
              <w:cnfStyle w:val="000000100000"/>
              <w:rPr>
                <w:rFonts w:ascii="Times New Roman" w:hAnsi="Times New Roman" w:cs="Times New Roman"/>
              </w:rPr>
            </w:pPr>
            <w:r w:rsidRPr="000B7682">
              <w:rPr>
                <w:rFonts w:ascii="Times New Roman" w:hAnsi="Times New Roman" w:cs="Times New Roman"/>
              </w:rPr>
              <w:t>41,750</w:t>
            </w:r>
          </w:p>
        </w:tc>
        <w:tc>
          <w:tcPr>
            <w:tcW w:w="1123" w:type="dxa"/>
            <w:vMerge w:val="restart"/>
            <w:shd w:val="clear" w:color="auto" w:fill="auto"/>
          </w:tcPr>
          <w:p w:rsidR="000B7682" w:rsidRPr="000B7682" w:rsidRDefault="000B7682" w:rsidP="00E8152F">
            <w:pPr>
              <w:spacing w:line="276" w:lineRule="auto"/>
              <w:cnfStyle w:val="000000100000"/>
              <w:rPr>
                <w:rFonts w:ascii="Times New Roman" w:hAnsi="Times New Roman" w:cs="Times New Roman"/>
                <w:bCs/>
              </w:rPr>
            </w:pPr>
          </w:p>
          <w:p w:rsidR="000B7682" w:rsidRPr="000B7682" w:rsidRDefault="000B7682" w:rsidP="00E8152F">
            <w:pPr>
              <w:spacing w:line="276" w:lineRule="auto"/>
              <w:cnfStyle w:val="000000100000"/>
              <w:rPr>
                <w:rFonts w:ascii="Times New Roman" w:hAnsi="Times New Roman" w:cs="Times New Roman"/>
                <w:bCs/>
                <w:lang w:val="id-ID"/>
              </w:rPr>
            </w:pPr>
          </w:p>
          <w:p w:rsidR="000B7682" w:rsidRPr="000B7682" w:rsidRDefault="000B7682" w:rsidP="00E8152F">
            <w:pPr>
              <w:spacing w:line="276" w:lineRule="auto"/>
              <w:cnfStyle w:val="000000100000"/>
              <w:rPr>
                <w:rFonts w:ascii="Times New Roman" w:hAnsi="Times New Roman" w:cs="Times New Roman"/>
                <w:bCs/>
                <w:lang w:val="id-ID"/>
              </w:rPr>
            </w:pPr>
            <w:r w:rsidRPr="000B7682">
              <w:rPr>
                <w:rFonts w:ascii="Times New Roman" w:hAnsi="Times New Roman" w:cs="Times New Roman"/>
                <w:bCs/>
                <w:lang w:val="id-ID"/>
              </w:rPr>
              <w:t>66,362</w:t>
            </w:r>
          </w:p>
        </w:tc>
      </w:tr>
      <w:tr w:rsidR="000B7682" w:rsidRPr="000B7682" w:rsidTr="00347B96">
        <w:tc>
          <w:tcPr>
            <w:cnfStyle w:val="001000000000"/>
            <w:tcW w:w="1418" w:type="dxa"/>
            <w:vMerge/>
            <w:shd w:val="clear" w:color="auto" w:fill="auto"/>
          </w:tcPr>
          <w:p w:rsidR="000B7682" w:rsidRPr="000B7682" w:rsidRDefault="000B7682" w:rsidP="00E8152F">
            <w:pPr>
              <w:spacing w:line="276" w:lineRule="auto"/>
              <w:rPr>
                <w:rFonts w:ascii="Times New Roman" w:hAnsi="Times New Roman" w:cs="Times New Roman"/>
                <w:b w:val="0"/>
                <w:bCs w:val="0"/>
                <w:lang w:val="id-ID"/>
              </w:rPr>
            </w:pPr>
          </w:p>
        </w:tc>
        <w:tc>
          <w:tcPr>
            <w:tcW w:w="1276" w:type="dxa"/>
            <w:gridSpan w:val="2"/>
            <w:shd w:val="clear" w:color="auto" w:fill="auto"/>
          </w:tcPr>
          <w:p w:rsidR="000B7682" w:rsidRPr="000B7682" w:rsidRDefault="000B7682" w:rsidP="00E8152F">
            <w:pPr>
              <w:spacing w:line="276" w:lineRule="auto"/>
              <w:cnfStyle w:val="000000000000"/>
              <w:rPr>
                <w:rFonts w:ascii="Times New Roman" w:hAnsi="Times New Roman" w:cs="Times New Roman"/>
              </w:rPr>
            </w:pPr>
            <w:r w:rsidRPr="000B7682">
              <w:rPr>
                <w:rFonts w:ascii="Times New Roman" w:hAnsi="Times New Roman" w:cs="Times New Roman"/>
              </w:rPr>
              <w:t>20</w:t>
            </w:r>
          </w:p>
        </w:tc>
        <w:tc>
          <w:tcPr>
            <w:tcW w:w="1412" w:type="dxa"/>
            <w:gridSpan w:val="2"/>
            <w:shd w:val="clear" w:color="auto" w:fill="auto"/>
          </w:tcPr>
          <w:p w:rsidR="000B7682" w:rsidRPr="000B7682" w:rsidRDefault="000B7682" w:rsidP="00E8152F">
            <w:pPr>
              <w:spacing w:line="276" w:lineRule="auto"/>
              <w:cnfStyle w:val="000000000000"/>
              <w:rPr>
                <w:rFonts w:ascii="Times New Roman" w:hAnsi="Times New Roman" w:cs="Times New Roman"/>
                <w:lang w:val="id-ID"/>
              </w:rPr>
            </w:pPr>
            <w:r w:rsidRPr="000B7682">
              <w:rPr>
                <w:rFonts w:ascii="Times New Roman" w:hAnsi="Times New Roman" w:cs="Times New Roman"/>
              </w:rPr>
              <w:t>0,596</w:t>
            </w:r>
          </w:p>
        </w:tc>
        <w:tc>
          <w:tcPr>
            <w:tcW w:w="1418" w:type="dxa"/>
            <w:shd w:val="clear" w:color="auto" w:fill="auto"/>
          </w:tcPr>
          <w:p w:rsidR="000B7682" w:rsidRPr="000B7682" w:rsidRDefault="000B7682" w:rsidP="00E8152F">
            <w:pPr>
              <w:spacing w:line="276" w:lineRule="auto"/>
              <w:cnfStyle w:val="000000000000"/>
              <w:rPr>
                <w:rFonts w:ascii="Times New Roman" w:hAnsi="Times New Roman" w:cs="Times New Roman"/>
              </w:rPr>
            </w:pPr>
            <w:r w:rsidRPr="000B7682">
              <w:rPr>
                <w:rFonts w:ascii="Times New Roman" w:hAnsi="Times New Roman" w:cs="Times New Roman"/>
              </w:rPr>
              <w:t>0,335</w:t>
            </w:r>
          </w:p>
        </w:tc>
        <w:tc>
          <w:tcPr>
            <w:tcW w:w="1280" w:type="dxa"/>
            <w:shd w:val="clear" w:color="auto" w:fill="auto"/>
          </w:tcPr>
          <w:p w:rsidR="000B7682" w:rsidRPr="000B7682" w:rsidRDefault="000B7682" w:rsidP="00E8152F">
            <w:pPr>
              <w:spacing w:line="276" w:lineRule="auto"/>
              <w:cnfStyle w:val="000000000000"/>
              <w:rPr>
                <w:rFonts w:ascii="Times New Roman" w:hAnsi="Times New Roman" w:cs="Times New Roman"/>
              </w:rPr>
            </w:pPr>
            <w:r w:rsidRPr="000B7682">
              <w:rPr>
                <w:rFonts w:ascii="Times New Roman" w:hAnsi="Times New Roman" w:cs="Times New Roman"/>
              </w:rPr>
              <w:t>43,602</w:t>
            </w:r>
          </w:p>
        </w:tc>
        <w:tc>
          <w:tcPr>
            <w:tcW w:w="1123" w:type="dxa"/>
            <w:vMerge/>
            <w:shd w:val="clear" w:color="auto" w:fill="auto"/>
          </w:tcPr>
          <w:p w:rsidR="000B7682" w:rsidRPr="000B7682" w:rsidRDefault="000B7682" w:rsidP="00E8152F">
            <w:pPr>
              <w:spacing w:line="276" w:lineRule="auto"/>
              <w:cnfStyle w:val="000000000000"/>
              <w:rPr>
                <w:rFonts w:ascii="Times New Roman" w:hAnsi="Times New Roman" w:cs="Times New Roman"/>
                <w:bCs/>
                <w:lang w:val="id-ID"/>
              </w:rPr>
            </w:pPr>
          </w:p>
        </w:tc>
      </w:tr>
      <w:tr w:rsidR="000B7682" w:rsidRPr="000B7682" w:rsidTr="00347B96">
        <w:trPr>
          <w:cnfStyle w:val="000000100000"/>
        </w:trPr>
        <w:tc>
          <w:tcPr>
            <w:cnfStyle w:val="001000000000"/>
            <w:tcW w:w="1418" w:type="dxa"/>
            <w:vMerge/>
            <w:shd w:val="clear" w:color="auto" w:fill="auto"/>
          </w:tcPr>
          <w:p w:rsidR="000B7682" w:rsidRPr="000B7682" w:rsidRDefault="000B7682" w:rsidP="00E8152F">
            <w:pPr>
              <w:spacing w:line="276" w:lineRule="auto"/>
              <w:rPr>
                <w:rFonts w:ascii="Times New Roman" w:hAnsi="Times New Roman" w:cs="Times New Roman"/>
                <w:b w:val="0"/>
                <w:bCs w:val="0"/>
                <w:lang w:val="id-ID"/>
              </w:rPr>
            </w:pPr>
          </w:p>
        </w:tc>
        <w:tc>
          <w:tcPr>
            <w:tcW w:w="1276" w:type="dxa"/>
            <w:gridSpan w:val="2"/>
            <w:shd w:val="clear" w:color="auto" w:fill="auto"/>
          </w:tcPr>
          <w:p w:rsidR="000B7682" w:rsidRPr="000B7682" w:rsidRDefault="000B7682" w:rsidP="00E8152F">
            <w:pPr>
              <w:spacing w:line="276" w:lineRule="auto"/>
              <w:cnfStyle w:val="000000100000"/>
              <w:rPr>
                <w:rFonts w:ascii="Times New Roman" w:hAnsi="Times New Roman" w:cs="Times New Roman"/>
              </w:rPr>
            </w:pPr>
            <w:r w:rsidRPr="000B7682">
              <w:rPr>
                <w:rFonts w:ascii="Times New Roman" w:hAnsi="Times New Roman" w:cs="Times New Roman"/>
              </w:rPr>
              <w:t>30</w:t>
            </w:r>
          </w:p>
        </w:tc>
        <w:tc>
          <w:tcPr>
            <w:tcW w:w="1412" w:type="dxa"/>
            <w:gridSpan w:val="2"/>
            <w:shd w:val="clear" w:color="auto" w:fill="auto"/>
          </w:tcPr>
          <w:p w:rsidR="000B7682" w:rsidRPr="000B7682" w:rsidRDefault="000B7682" w:rsidP="00E8152F">
            <w:pPr>
              <w:spacing w:line="276" w:lineRule="auto"/>
              <w:cnfStyle w:val="000000100000"/>
              <w:rPr>
                <w:rFonts w:ascii="Times New Roman" w:hAnsi="Times New Roman" w:cs="Times New Roman"/>
                <w:lang w:val="id-ID"/>
              </w:rPr>
            </w:pPr>
            <w:r w:rsidRPr="000B7682">
              <w:rPr>
                <w:rFonts w:ascii="Times New Roman" w:hAnsi="Times New Roman" w:cs="Times New Roman"/>
              </w:rPr>
              <w:t>0,596</w:t>
            </w:r>
          </w:p>
        </w:tc>
        <w:tc>
          <w:tcPr>
            <w:tcW w:w="1418" w:type="dxa"/>
            <w:shd w:val="clear" w:color="auto" w:fill="auto"/>
          </w:tcPr>
          <w:p w:rsidR="000B7682" w:rsidRPr="000B7682" w:rsidRDefault="000B7682" w:rsidP="00E8152F">
            <w:pPr>
              <w:spacing w:line="276" w:lineRule="auto"/>
              <w:cnfStyle w:val="000000100000"/>
              <w:rPr>
                <w:rFonts w:ascii="Times New Roman" w:hAnsi="Times New Roman" w:cs="Times New Roman"/>
              </w:rPr>
            </w:pPr>
            <w:r w:rsidRPr="000B7682">
              <w:rPr>
                <w:rFonts w:ascii="Times New Roman" w:hAnsi="Times New Roman" w:cs="Times New Roman"/>
              </w:rPr>
              <w:t>0,321</w:t>
            </w:r>
          </w:p>
        </w:tc>
        <w:tc>
          <w:tcPr>
            <w:tcW w:w="1280" w:type="dxa"/>
            <w:shd w:val="clear" w:color="auto" w:fill="auto"/>
          </w:tcPr>
          <w:p w:rsidR="000B7682" w:rsidRPr="000B7682" w:rsidRDefault="000B7682" w:rsidP="00E8152F">
            <w:pPr>
              <w:spacing w:line="276" w:lineRule="auto"/>
              <w:cnfStyle w:val="000000100000"/>
              <w:rPr>
                <w:rFonts w:ascii="Times New Roman" w:hAnsi="Times New Roman" w:cs="Times New Roman"/>
              </w:rPr>
            </w:pPr>
            <w:r w:rsidRPr="000B7682">
              <w:rPr>
                <w:rFonts w:ascii="Times New Roman" w:hAnsi="Times New Roman" w:cs="Times New Roman"/>
              </w:rPr>
              <w:t>45,959</w:t>
            </w:r>
          </w:p>
        </w:tc>
        <w:tc>
          <w:tcPr>
            <w:tcW w:w="1123" w:type="dxa"/>
            <w:vMerge/>
            <w:shd w:val="clear" w:color="auto" w:fill="auto"/>
          </w:tcPr>
          <w:p w:rsidR="000B7682" w:rsidRPr="000B7682" w:rsidRDefault="000B7682" w:rsidP="00E8152F">
            <w:pPr>
              <w:spacing w:line="276" w:lineRule="auto"/>
              <w:cnfStyle w:val="000000100000"/>
              <w:rPr>
                <w:rFonts w:ascii="Times New Roman" w:hAnsi="Times New Roman" w:cs="Times New Roman"/>
                <w:bCs/>
                <w:lang w:val="id-ID"/>
              </w:rPr>
            </w:pPr>
          </w:p>
        </w:tc>
      </w:tr>
      <w:tr w:rsidR="000B7682" w:rsidRPr="000B7682" w:rsidTr="00347B96">
        <w:tc>
          <w:tcPr>
            <w:cnfStyle w:val="001000000000"/>
            <w:tcW w:w="1418" w:type="dxa"/>
            <w:vMerge/>
            <w:shd w:val="clear" w:color="auto" w:fill="auto"/>
          </w:tcPr>
          <w:p w:rsidR="000B7682" w:rsidRPr="000B7682" w:rsidRDefault="000B7682" w:rsidP="00E8152F">
            <w:pPr>
              <w:spacing w:line="276" w:lineRule="auto"/>
              <w:rPr>
                <w:rFonts w:ascii="Times New Roman" w:hAnsi="Times New Roman" w:cs="Times New Roman"/>
                <w:b w:val="0"/>
                <w:bCs w:val="0"/>
                <w:lang w:val="id-ID"/>
              </w:rPr>
            </w:pPr>
          </w:p>
        </w:tc>
        <w:tc>
          <w:tcPr>
            <w:tcW w:w="1276" w:type="dxa"/>
            <w:gridSpan w:val="2"/>
            <w:shd w:val="clear" w:color="auto" w:fill="auto"/>
          </w:tcPr>
          <w:p w:rsidR="000B7682" w:rsidRPr="000B7682" w:rsidRDefault="000B7682" w:rsidP="00E8152F">
            <w:pPr>
              <w:spacing w:line="276" w:lineRule="auto"/>
              <w:cnfStyle w:val="000000000000"/>
              <w:rPr>
                <w:rFonts w:ascii="Times New Roman" w:hAnsi="Times New Roman" w:cs="Times New Roman"/>
              </w:rPr>
            </w:pPr>
            <w:r w:rsidRPr="000B7682">
              <w:rPr>
                <w:rFonts w:ascii="Times New Roman" w:hAnsi="Times New Roman" w:cs="Times New Roman"/>
              </w:rPr>
              <w:t>40</w:t>
            </w:r>
          </w:p>
        </w:tc>
        <w:tc>
          <w:tcPr>
            <w:tcW w:w="1412" w:type="dxa"/>
            <w:gridSpan w:val="2"/>
            <w:shd w:val="clear" w:color="auto" w:fill="auto"/>
          </w:tcPr>
          <w:p w:rsidR="000B7682" w:rsidRPr="000B7682" w:rsidRDefault="000B7682" w:rsidP="00E8152F">
            <w:pPr>
              <w:spacing w:line="276" w:lineRule="auto"/>
              <w:cnfStyle w:val="000000000000"/>
              <w:rPr>
                <w:rFonts w:ascii="Times New Roman" w:hAnsi="Times New Roman" w:cs="Times New Roman"/>
                <w:lang w:val="id-ID"/>
              </w:rPr>
            </w:pPr>
            <w:r w:rsidRPr="000B7682">
              <w:rPr>
                <w:rFonts w:ascii="Times New Roman" w:hAnsi="Times New Roman" w:cs="Times New Roman"/>
              </w:rPr>
              <w:t>0,596</w:t>
            </w:r>
          </w:p>
        </w:tc>
        <w:tc>
          <w:tcPr>
            <w:tcW w:w="1418" w:type="dxa"/>
            <w:shd w:val="clear" w:color="auto" w:fill="auto"/>
          </w:tcPr>
          <w:p w:rsidR="000B7682" w:rsidRPr="000B7682" w:rsidRDefault="000B7682" w:rsidP="00E8152F">
            <w:pPr>
              <w:spacing w:line="276" w:lineRule="auto"/>
              <w:cnfStyle w:val="000000000000"/>
              <w:rPr>
                <w:rFonts w:ascii="Times New Roman" w:hAnsi="Times New Roman" w:cs="Times New Roman"/>
              </w:rPr>
            </w:pPr>
            <w:r w:rsidRPr="000B7682">
              <w:rPr>
                <w:rFonts w:ascii="Times New Roman" w:hAnsi="Times New Roman" w:cs="Times New Roman"/>
              </w:rPr>
              <w:t>0,319</w:t>
            </w:r>
          </w:p>
        </w:tc>
        <w:tc>
          <w:tcPr>
            <w:tcW w:w="1280" w:type="dxa"/>
            <w:shd w:val="clear" w:color="auto" w:fill="auto"/>
          </w:tcPr>
          <w:p w:rsidR="000B7682" w:rsidRPr="000B7682" w:rsidRDefault="000B7682" w:rsidP="00E8152F">
            <w:pPr>
              <w:spacing w:line="276" w:lineRule="auto"/>
              <w:cnfStyle w:val="000000000000"/>
              <w:rPr>
                <w:rFonts w:ascii="Times New Roman" w:hAnsi="Times New Roman" w:cs="Times New Roman"/>
              </w:rPr>
            </w:pPr>
            <w:r w:rsidRPr="000B7682">
              <w:rPr>
                <w:rFonts w:ascii="Times New Roman" w:hAnsi="Times New Roman" w:cs="Times New Roman"/>
              </w:rPr>
              <w:t>46,296</w:t>
            </w:r>
          </w:p>
        </w:tc>
        <w:tc>
          <w:tcPr>
            <w:tcW w:w="1123" w:type="dxa"/>
            <w:vMerge/>
            <w:shd w:val="clear" w:color="auto" w:fill="auto"/>
          </w:tcPr>
          <w:p w:rsidR="000B7682" w:rsidRPr="000B7682" w:rsidRDefault="000B7682" w:rsidP="00E8152F">
            <w:pPr>
              <w:spacing w:line="276" w:lineRule="auto"/>
              <w:cnfStyle w:val="000000000000"/>
              <w:rPr>
                <w:rFonts w:ascii="Times New Roman" w:hAnsi="Times New Roman" w:cs="Times New Roman"/>
                <w:bCs/>
                <w:lang w:val="id-ID"/>
              </w:rPr>
            </w:pPr>
          </w:p>
        </w:tc>
      </w:tr>
      <w:tr w:rsidR="000B7682" w:rsidRPr="000B7682" w:rsidTr="00347B96">
        <w:trPr>
          <w:cnfStyle w:val="000000100000"/>
        </w:trPr>
        <w:tc>
          <w:tcPr>
            <w:cnfStyle w:val="001000000000"/>
            <w:tcW w:w="1418" w:type="dxa"/>
            <w:vMerge/>
            <w:shd w:val="clear" w:color="auto" w:fill="auto"/>
          </w:tcPr>
          <w:p w:rsidR="000B7682" w:rsidRPr="000B7682" w:rsidRDefault="000B7682" w:rsidP="00E8152F">
            <w:pPr>
              <w:spacing w:line="276" w:lineRule="auto"/>
              <w:rPr>
                <w:rFonts w:ascii="Times New Roman" w:hAnsi="Times New Roman" w:cs="Times New Roman"/>
                <w:b w:val="0"/>
                <w:bCs w:val="0"/>
                <w:lang w:val="id-ID"/>
              </w:rPr>
            </w:pPr>
          </w:p>
        </w:tc>
        <w:tc>
          <w:tcPr>
            <w:tcW w:w="1276" w:type="dxa"/>
            <w:gridSpan w:val="2"/>
            <w:shd w:val="clear" w:color="auto" w:fill="auto"/>
          </w:tcPr>
          <w:p w:rsidR="000B7682" w:rsidRPr="000B7682" w:rsidRDefault="000B7682" w:rsidP="00E8152F">
            <w:pPr>
              <w:spacing w:line="276" w:lineRule="auto"/>
              <w:cnfStyle w:val="000000100000"/>
              <w:rPr>
                <w:rFonts w:ascii="Times New Roman" w:hAnsi="Times New Roman" w:cs="Times New Roman"/>
              </w:rPr>
            </w:pPr>
            <w:r w:rsidRPr="000B7682">
              <w:rPr>
                <w:rFonts w:ascii="Times New Roman" w:hAnsi="Times New Roman" w:cs="Times New Roman"/>
              </w:rPr>
              <w:t>50</w:t>
            </w:r>
          </w:p>
        </w:tc>
        <w:tc>
          <w:tcPr>
            <w:tcW w:w="1412" w:type="dxa"/>
            <w:gridSpan w:val="2"/>
            <w:shd w:val="clear" w:color="auto" w:fill="auto"/>
          </w:tcPr>
          <w:p w:rsidR="000B7682" w:rsidRPr="000B7682" w:rsidRDefault="000B7682" w:rsidP="00E8152F">
            <w:pPr>
              <w:spacing w:line="276" w:lineRule="auto"/>
              <w:cnfStyle w:val="000000100000"/>
              <w:rPr>
                <w:rFonts w:ascii="Times New Roman" w:hAnsi="Times New Roman" w:cs="Times New Roman"/>
                <w:lang w:val="id-ID"/>
              </w:rPr>
            </w:pPr>
            <w:r w:rsidRPr="000B7682">
              <w:rPr>
                <w:rFonts w:ascii="Times New Roman" w:hAnsi="Times New Roman" w:cs="Times New Roman"/>
              </w:rPr>
              <w:t>0,596</w:t>
            </w:r>
          </w:p>
        </w:tc>
        <w:tc>
          <w:tcPr>
            <w:tcW w:w="1418" w:type="dxa"/>
            <w:shd w:val="clear" w:color="auto" w:fill="auto"/>
          </w:tcPr>
          <w:p w:rsidR="000B7682" w:rsidRPr="000B7682" w:rsidRDefault="000B7682" w:rsidP="00E8152F">
            <w:pPr>
              <w:spacing w:line="276" w:lineRule="auto"/>
              <w:cnfStyle w:val="000000100000"/>
              <w:rPr>
                <w:rFonts w:ascii="Times New Roman" w:hAnsi="Times New Roman" w:cs="Times New Roman"/>
              </w:rPr>
            </w:pPr>
            <w:r w:rsidRPr="000B7682">
              <w:rPr>
                <w:rFonts w:ascii="Times New Roman" w:hAnsi="Times New Roman" w:cs="Times New Roman"/>
              </w:rPr>
              <w:t>0,313</w:t>
            </w:r>
          </w:p>
        </w:tc>
        <w:tc>
          <w:tcPr>
            <w:tcW w:w="1280" w:type="dxa"/>
            <w:shd w:val="clear" w:color="auto" w:fill="auto"/>
          </w:tcPr>
          <w:p w:rsidR="000B7682" w:rsidRPr="000B7682" w:rsidRDefault="000B7682" w:rsidP="00E8152F">
            <w:pPr>
              <w:spacing w:line="276" w:lineRule="auto"/>
              <w:cnfStyle w:val="000000100000"/>
              <w:rPr>
                <w:rFonts w:ascii="Times New Roman" w:hAnsi="Times New Roman" w:cs="Times New Roman"/>
              </w:rPr>
            </w:pPr>
            <w:r w:rsidRPr="000B7682">
              <w:rPr>
                <w:rFonts w:ascii="Times New Roman" w:hAnsi="Times New Roman" w:cs="Times New Roman"/>
              </w:rPr>
              <w:t>47,306</w:t>
            </w:r>
          </w:p>
        </w:tc>
        <w:tc>
          <w:tcPr>
            <w:tcW w:w="1123" w:type="dxa"/>
            <w:vMerge/>
            <w:shd w:val="clear" w:color="auto" w:fill="auto"/>
          </w:tcPr>
          <w:p w:rsidR="000B7682" w:rsidRPr="000B7682" w:rsidRDefault="000B7682" w:rsidP="00E8152F">
            <w:pPr>
              <w:spacing w:line="276" w:lineRule="auto"/>
              <w:cnfStyle w:val="000000100000"/>
              <w:rPr>
                <w:rFonts w:ascii="Times New Roman" w:hAnsi="Times New Roman" w:cs="Times New Roman"/>
                <w:bCs/>
              </w:rPr>
            </w:pPr>
          </w:p>
        </w:tc>
      </w:tr>
      <w:tr w:rsidR="000B7682" w:rsidRPr="000B7682" w:rsidTr="00347B96">
        <w:tc>
          <w:tcPr>
            <w:cnfStyle w:val="001000000000"/>
            <w:tcW w:w="1418" w:type="dxa"/>
            <w:vMerge w:val="restart"/>
            <w:shd w:val="clear" w:color="auto" w:fill="auto"/>
          </w:tcPr>
          <w:p w:rsidR="000B7682" w:rsidRPr="000B7682" w:rsidRDefault="000B7682" w:rsidP="00E8152F">
            <w:pPr>
              <w:spacing w:line="276" w:lineRule="auto"/>
              <w:rPr>
                <w:rFonts w:ascii="Times New Roman" w:hAnsi="Times New Roman" w:cs="Times New Roman"/>
                <w:b w:val="0"/>
                <w:bCs w:val="0"/>
                <w:lang w:val="id-ID"/>
              </w:rPr>
            </w:pPr>
          </w:p>
          <w:p w:rsidR="000B7682" w:rsidRPr="000B7682" w:rsidRDefault="000B7682" w:rsidP="00E8152F">
            <w:pPr>
              <w:spacing w:line="276" w:lineRule="auto"/>
              <w:rPr>
                <w:rFonts w:ascii="Times New Roman" w:hAnsi="Times New Roman" w:cs="Times New Roman"/>
                <w:b w:val="0"/>
                <w:bCs w:val="0"/>
                <w:lang w:val="id-ID"/>
              </w:rPr>
            </w:pPr>
          </w:p>
          <w:p w:rsidR="000B7682" w:rsidRPr="000B7682" w:rsidRDefault="000B7682" w:rsidP="00E8152F">
            <w:pPr>
              <w:spacing w:line="276" w:lineRule="auto"/>
              <w:rPr>
                <w:rFonts w:ascii="Times New Roman" w:hAnsi="Times New Roman" w:cs="Times New Roman"/>
                <w:b w:val="0"/>
                <w:bCs w:val="0"/>
              </w:rPr>
            </w:pPr>
            <w:r>
              <w:rPr>
                <w:rFonts w:ascii="Times New Roman" w:hAnsi="Times New Roman" w:cs="Times New Roman"/>
                <w:b w:val="0"/>
                <w:bCs w:val="0"/>
              </w:rPr>
              <w:t>Q</w:t>
            </w:r>
            <w:r w:rsidRPr="000B7682">
              <w:rPr>
                <w:rFonts w:ascii="Times New Roman" w:hAnsi="Times New Roman" w:cs="Times New Roman"/>
                <w:b w:val="0"/>
                <w:bCs w:val="0"/>
              </w:rPr>
              <w:t>uercetin</w:t>
            </w:r>
          </w:p>
        </w:tc>
        <w:tc>
          <w:tcPr>
            <w:tcW w:w="1276" w:type="dxa"/>
            <w:gridSpan w:val="2"/>
            <w:shd w:val="clear" w:color="auto" w:fill="auto"/>
          </w:tcPr>
          <w:p w:rsidR="000B7682" w:rsidRPr="000B7682" w:rsidRDefault="000B7682" w:rsidP="00E8152F">
            <w:pPr>
              <w:spacing w:line="276" w:lineRule="auto"/>
              <w:cnfStyle w:val="000000000000"/>
              <w:rPr>
                <w:rFonts w:ascii="Times New Roman" w:hAnsi="Times New Roman" w:cs="Times New Roman"/>
              </w:rPr>
            </w:pPr>
            <w:r w:rsidRPr="000B7682">
              <w:rPr>
                <w:rFonts w:ascii="Times New Roman" w:hAnsi="Times New Roman" w:cs="Times New Roman"/>
              </w:rPr>
              <w:t>0,2</w:t>
            </w:r>
          </w:p>
        </w:tc>
        <w:tc>
          <w:tcPr>
            <w:tcW w:w="1412" w:type="dxa"/>
            <w:gridSpan w:val="2"/>
            <w:shd w:val="clear" w:color="auto" w:fill="auto"/>
          </w:tcPr>
          <w:p w:rsidR="000B7682" w:rsidRPr="000B7682" w:rsidRDefault="000B7682" w:rsidP="00E8152F">
            <w:pPr>
              <w:spacing w:line="276" w:lineRule="auto"/>
              <w:cnfStyle w:val="000000000000"/>
              <w:rPr>
                <w:rFonts w:ascii="Times New Roman" w:hAnsi="Times New Roman" w:cs="Times New Roman"/>
                <w:lang w:val="id-ID"/>
              </w:rPr>
            </w:pPr>
            <w:r w:rsidRPr="000B7682">
              <w:rPr>
                <w:rFonts w:ascii="Times New Roman" w:hAnsi="Times New Roman" w:cs="Times New Roman"/>
              </w:rPr>
              <w:t>0,596</w:t>
            </w:r>
          </w:p>
        </w:tc>
        <w:tc>
          <w:tcPr>
            <w:tcW w:w="1418" w:type="dxa"/>
            <w:shd w:val="clear" w:color="auto" w:fill="auto"/>
          </w:tcPr>
          <w:p w:rsidR="000B7682" w:rsidRPr="000B7682" w:rsidRDefault="000B7682" w:rsidP="00E8152F">
            <w:pPr>
              <w:spacing w:line="276" w:lineRule="auto"/>
              <w:cnfStyle w:val="000000000000"/>
              <w:rPr>
                <w:rFonts w:ascii="Times New Roman" w:hAnsi="Times New Roman" w:cs="Times New Roman"/>
              </w:rPr>
            </w:pPr>
            <w:r w:rsidRPr="000B7682">
              <w:rPr>
                <w:rFonts w:ascii="Times New Roman" w:hAnsi="Times New Roman" w:cs="Times New Roman"/>
              </w:rPr>
              <w:t>0,310</w:t>
            </w:r>
          </w:p>
        </w:tc>
        <w:tc>
          <w:tcPr>
            <w:tcW w:w="1280" w:type="dxa"/>
            <w:shd w:val="clear" w:color="auto" w:fill="auto"/>
          </w:tcPr>
          <w:p w:rsidR="000B7682" w:rsidRPr="000B7682" w:rsidRDefault="000B7682" w:rsidP="00E8152F">
            <w:pPr>
              <w:spacing w:line="276" w:lineRule="auto"/>
              <w:cnfStyle w:val="000000000000"/>
              <w:rPr>
                <w:rFonts w:ascii="Times New Roman" w:hAnsi="Times New Roman" w:cs="Times New Roman"/>
                <w:lang w:val="id-ID"/>
              </w:rPr>
            </w:pPr>
            <w:r w:rsidRPr="000B7682">
              <w:rPr>
                <w:rFonts w:ascii="Times New Roman" w:hAnsi="Times New Roman" w:cs="Times New Roman"/>
              </w:rPr>
              <w:t>47.986</w:t>
            </w:r>
          </w:p>
        </w:tc>
        <w:tc>
          <w:tcPr>
            <w:tcW w:w="1123" w:type="dxa"/>
            <w:vMerge w:val="restart"/>
          </w:tcPr>
          <w:p w:rsidR="000B7682" w:rsidRPr="000B7682" w:rsidRDefault="000B7682" w:rsidP="00E8152F">
            <w:pPr>
              <w:spacing w:line="276" w:lineRule="auto"/>
              <w:cnfStyle w:val="000000000000"/>
              <w:rPr>
                <w:rFonts w:ascii="Times New Roman" w:hAnsi="Times New Roman" w:cs="Times New Roman"/>
                <w:bCs/>
                <w:lang w:val="id-ID"/>
              </w:rPr>
            </w:pPr>
          </w:p>
          <w:p w:rsidR="000B7682" w:rsidRPr="000B7682" w:rsidRDefault="000B7682" w:rsidP="00E8152F">
            <w:pPr>
              <w:spacing w:line="276" w:lineRule="auto"/>
              <w:cnfStyle w:val="000000000000"/>
              <w:rPr>
                <w:rFonts w:ascii="Times New Roman" w:hAnsi="Times New Roman" w:cs="Times New Roman"/>
                <w:bCs/>
                <w:lang w:val="id-ID"/>
              </w:rPr>
            </w:pPr>
          </w:p>
          <w:p w:rsidR="000B7682" w:rsidRPr="000B7682" w:rsidRDefault="000B7682" w:rsidP="00E8152F">
            <w:pPr>
              <w:spacing w:line="276" w:lineRule="auto"/>
              <w:cnfStyle w:val="000000000000"/>
              <w:rPr>
                <w:rFonts w:ascii="Times New Roman" w:hAnsi="Times New Roman" w:cs="Times New Roman"/>
                <w:bCs/>
              </w:rPr>
            </w:pPr>
            <w:r w:rsidRPr="000B7682">
              <w:rPr>
                <w:rFonts w:ascii="Times New Roman" w:hAnsi="Times New Roman" w:cs="Times New Roman"/>
                <w:bCs/>
              </w:rPr>
              <w:t>0,237</w:t>
            </w:r>
          </w:p>
        </w:tc>
      </w:tr>
      <w:tr w:rsidR="000B7682" w:rsidRPr="000B7682" w:rsidTr="00347B96">
        <w:trPr>
          <w:cnfStyle w:val="000000100000"/>
        </w:trPr>
        <w:tc>
          <w:tcPr>
            <w:cnfStyle w:val="001000000000"/>
            <w:tcW w:w="1418" w:type="dxa"/>
            <w:vMerge/>
            <w:shd w:val="clear" w:color="auto" w:fill="auto"/>
          </w:tcPr>
          <w:p w:rsidR="000B7682" w:rsidRPr="000B7682" w:rsidRDefault="000B7682" w:rsidP="00E8152F">
            <w:pPr>
              <w:spacing w:line="276" w:lineRule="auto"/>
              <w:rPr>
                <w:rFonts w:ascii="Times New Roman" w:hAnsi="Times New Roman" w:cs="Times New Roman"/>
                <w:b w:val="0"/>
                <w:bCs w:val="0"/>
                <w:lang w:val="id-ID"/>
              </w:rPr>
            </w:pPr>
          </w:p>
        </w:tc>
        <w:tc>
          <w:tcPr>
            <w:tcW w:w="1276" w:type="dxa"/>
            <w:gridSpan w:val="2"/>
            <w:shd w:val="clear" w:color="auto" w:fill="auto"/>
          </w:tcPr>
          <w:p w:rsidR="000B7682" w:rsidRPr="000B7682" w:rsidRDefault="000B7682" w:rsidP="00E8152F">
            <w:pPr>
              <w:spacing w:line="276" w:lineRule="auto"/>
              <w:cnfStyle w:val="000000100000"/>
              <w:rPr>
                <w:rFonts w:ascii="Times New Roman" w:hAnsi="Times New Roman" w:cs="Times New Roman"/>
              </w:rPr>
            </w:pPr>
            <w:r w:rsidRPr="000B7682">
              <w:rPr>
                <w:rFonts w:ascii="Times New Roman" w:hAnsi="Times New Roman" w:cs="Times New Roman"/>
              </w:rPr>
              <w:t>0,4</w:t>
            </w:r>
          </w:p>
        </w:tc>
        <w:tc>
          <w:tcPr>
            <w:tcW w:w="1412" w:type="dxa"/>
            <w:gridSpan w:val="2"/>
            <w:shd w:val="clear" w:color="auto" w:fill="auto"/>
          </w:tcPr>
          <w:p w:rsidR="000B7682" w:rsidRPr="000B7682" w:rsidRDefault="000B7682" w:rsidP="00E8152F">
            <w:pPr>
              <w:spacing w:line="276" w:lineRule="auto"/>
              <w:cnfStyle w:val="000000100000"/>
              <w:rPr>
                <w:rFonts w:ascii="Times New Roman" w:hAnsi="Times New Roman" w:cs="Times New Roman"/>
                <w:lang w:val="id-ID"/>
              </w:rPr>
            </w:pPr>
            <w:r w:rsidRPr="000B7682">
              <w:rPr>
                <w:rFonts w:ascii="Times New Roman" w:hAnsi="Times New Roman" w:cs="Times New Roman"/>
              </w:rPr>
              <w:t>0,596</w:t>
            </w:r>
          </w:p>
        </w:tc>
        <w:tc>
          <w:tcPr>
            <w:tcW w:w="1418" w:type="dxa"/>
            <w:shd w:val="clear" w:color="auto" w:fill="auto"/>
          </w:tcPr>
          <w:p w:rsidR="000B7682" w:rsidRPr="000B7682" w:rsidRDefault="000B7682" w:rsidP="00E8152F">
            <w:pPr>
              <w:spacing w:line="276" w:lineRule="auto"/>
              <w:cnfStyle w:val="000000100000"/>
              <w:rPr>
                <w:rFonts w:ascii="Times New Roman" w:hAnsi="Times New Roman" w:cs="Times New Roman"/>
              </w:rPr>
            </w:pPr>
            <w:r w:rsidRPr="000B7682">
              <w:rPr>
                <w:rFonts w:ascii="Times New Roman" w:hAnsi="Times New Roman" w:cs="Times New Roman"/>
              </w:rPr>
              <w:t>0,264</w:t>
            </w:r>
          </w:p>
        </w:tc>
        <w:tc>
          <w:tcPr>
            <w:tcW w:w="1280" w:type="dxa"/>
            <w:shd w:val="clear" w:color="auto" w:fill="auto"/>
          </w:tcPr>
          <w:p w:rsidR="000B7682" w:rsidRPr="000B7682" w:rsidRDefault="000B7682" w:rsidP="00E8152F">
            <w:pPr>
              <w:spacing w:line="276" w:lineRule="auto"/>
              <w:cnfStyle w:val="000000100000"/>
              <w:rPr>
                <w:rFonts w:ascii="Times New Roman" w:hAnsi="Times New Roman" w:cs="Times New Roman"/>
              </w:rPr>
            </w:pPr>
            <w:r w:rsidRPr="000B7682">
              <w:rPr>
                <w:rFonts w:ascii="Times New Roman" w:hAnsi="Times New Roman" w:cs="Times New Roman"/>
              </w:rPr>
              <w:t>55,704</w:t>
            </w:r>
          </w:p>
        </w:tc>
        <w:tc>
          <w:tcPr>
            <w:tcW w:w="1123" w:type="dxa"/>
            <w:vMerge/>
          </w:tcPr>
          <w:p w:rsidR="000B7682" w:rsidRPr="000B7682" w:rsidRDefault="000B7682" w:rsidP="00E8152F">
            <w:pPr>
              <w:spacing w:line="276" w:lineRule="auto"/>
              <w:cnfStyle w:val="000000100000"/>
              <w:rPr>
                <w:rFonts w:ascii="Times New Roman" w:hAnsi="Times New Roman" w:cs="Times New Roman"/>
                <w:bCs/>
                <w:lang w:val="id-ID"/>
              </w:rPr>
            </w:pPr>
          </w:p>
        </w:tc>
      </w:tr>
      <w:tr w:rsidR="000B7682" w:rsidRPr="000B7682" w:rsidTr="00347B96">
        <w:tc>
          <w:tcPr>
            <w:cnfStyle w:val="001000000000"/>
            <w:tcW w:w="1418" w:type="dxa"/>
            <w:vMerge/>
            <w:shd w:val="clear" w:color="auto" w:fill="auto"/>
          </w:tcPr>
          <w:p w:rsidR="000B7682" w:rsidRPr="000B7682" w:rsidRDefault="000B7682" w:rsidP="00E8152F">
            <w:pPr>
              <w:spacing w:line="276" w:lineRule="auto"/>
              <w:rPr>
                <w:rFonts w:ascii="Times New Roman" w:hAnsi="Times New Roman" w:cs="Times New Roman"/>
                <w:b w:val="0"/>
                <w:bCs w:val="0"/>
                <w:lang w:val="id-ID"/>
              </w:rPr>
            </w:pPr>
          </w:p>
        </w:tc>
        <w:tc>
          <w:tcPr>
            <w:tcW w:w="1276" w:type="dxa"/>
            <w:gridSpan w:val="2"/>
            <w:shd w:val="clear" w:color="auto" w:fill="auto"/>
          </w:tcPr>
          <w:p w:rsidR="000B7682" w:rsidRPr="000B7682" w:rsidRDefault="000B7682" w:rsidP="00E8152F">
            <w:pPr>
              <w:spacing w:line="276" w:lineRule="auto"/>
              <w:cnfStyle w:val="000000000000"/>
              <w:rPr>
                <w:rFonts w:ascii="Times New Roman" w:hAnsi="Times New Roman" w:cs="Times New Roman"/>
              </w:rPr>
            </w:pPr>
            <w:r w:rsidRPr="000B7682">
              <w:rPr>
                <w:rFonts w:ascii="Times New Roman" w:hAnsi="Times New Roman" w:cs="Times New Roman"/>
              </w:rPr>
              <w:t>0,6</w:t>
            </w:r>
          </w:p>
        </w:tc>
        <w:tc>
          <w:tcPr>
            <w:tcW w:w="1412" w:type="dxa"/>
            <w:gridSpan w:val="2"/>
            <w:shd w:val="clear" w:color="auto" w:fill="auto"/>
          </w:tcPr>
          <w:p w:rsidR="000B7682" w:rsidRPr="000B7682" w:rsidRDefault="000B7682" w:rsidP="00E8152F">
            <w:pPr>
              <w:spacing w:line="276" w:lineRule="auto"/>
              <w:cnfStyle w:val="000000000000"/>
              <w:rPr>
                <w:rFonts w:ascii="Times New Roman" w:hAnsi="Times New Roman" w:cs="Times New Roman"/>
                <w:lang w:val="id-ID"/>
              </w:rPr>
            </w:pPr>
            <w:r w:rsidRPr="000B7682">
              <w:rPr>
                <w:rFonts w:ascii="Times New Roman" w:hAnsi="Times New Roman" w:cs="Times New Roman"/>
              </w:rPr>
              <w:t>0,596</w:t>
            </w:r>
          </w:p>
        </w:tc>
        <w:tc>
          <w:tcPr>
            <w:tcW w:w="1418" w:type="dxa"/>
            <w:shd w:val="clear" w:color="auto" w:fill="auto"/>
          </w:tcPr>
          <w:p w:rsidR="000B7682" w:rsidRPr="000B7682" w:rsidRDefault="000B7682" w:rsidP="00E8152F">
            <w:pPr>
              <w:spacing w:line="276" w:lineRule="auto"/>
              <w:cnfStyle w:val="000000000000"/>
              <w:rPr>
                <w:rFonts w:ascii="Times New Roman" w:hAnsi="Times New Roman" w:cs="Times New Roman"/>
              </w:rPr>
            </w:pPr>
            <w:r w:rsidRPr="000B7682">
              <w:rPr>
                <w:rFonts w:ascii="Times New Roman" w:hAnsi="Times New Roman" w:cs="Times New Roman"/>
              </w:rPr>
              <w:t>0,252</w:t>
            </w:r>
          </w:p>
        </w:tc>
        <w:tc>
          <w:tcPr>
            <w:tcW w:w="1280" w:type="dxa"/>
            <w:shd w:val="clear" w:color="auto" w:fill="auto"/>
          </w:tcPr>
          <w:p w:rsidR="000B7682" w:rsidRPr="000B7682" w:rsidRDefault="000B7682" w:rsidP="00E8152F">
            <w:pPr>
              <w:spacing w:line="276" w:lineRule="auto"/>
              <w:cnfStyle w:val="000000000000"/>
              <w:rPr>
                <w:rFonts w:ascii="Times New Roman" w:hAnsi="Times New Roman" w:cs="Times New Roman"/>
              </w:rPr>
            </w:pPr>
            <w:r w:rsidRPr="000B7682">
              <w:rPr>
                <w:rFonts w:ascii="Times New Roman" w:hAnsi="Times New Roman" w:cs="Times New Roman"/>
              </w:rPr>
              <w:t>57,718</w:t>
            </w:r>
          </w:p>
        </w:tc>
        <w:tc>
          <w:tcPr>
            <w:tcW w:w="1123" w:type="dxa"/>
            <w:vMerge/>
          </w:tcPr>
          <w:p w:rsidR="000B7682" w:rsidRPr="000B7682" w:rsidRDefault="000B7682" w:rsidP="00E8152F">
            <w:pPr>
              <w:spacing w:line="276" w:lineRule="auto"/>
              <w:cnfStyle w:val="000000000000"/>
              <w:rPr>
                <w:rFonts w:ascii="Times New Roman" w:hAnsi="Times New Roman" w:cs="Times New Roman"/>
                <w:bCs/>
                <w:lang w:val="id-ID"/>
              </w:rPr>
            </w:pPr>
          </w:p>
        </w:tc>
      </w:tr>
      <w:tr w:rsidR="000B7682" w:rsidRPr="000B7682" w:rsidTr="00347B96">
        <w:trPr>
          <w:cnfStyle w:val="000000100000"/>
        </w:trPr>
        <w:tc>
          <w:tcPr>
            <w:cnfStyle w:val="001000000000"/>
            <w:tcW w:w="1418" w:type="dxa"/>
            <w:vMerge/>
            <w:shd w:val="clear" w:color="auto" w:fill="auto"/>
          </w:tcPr>
          <w:p w:rsidR="000B7682" w:rsidRPr="000B7682" w:rsidRDefault="000B7682" w:rsidP="00E8152F">
            <w:pPr>
              <w:spacing w:line="276" w:lineRule="auto"/>
              <w:rPr>
                <w:rFonts w:ascii="Times New Roman" w:hAnsi="Times New Roman" w:cs="Times New Roman"/>
                <w:b w:val="0"/>
                <w:bCs w:val="0"/>
                <w:lang w:val="id-ID"/>
              </w:rPr>
            </w:pPr>
          </w:p>
        </w:tc>
        <w:tc>
          <w:tcPr>
            <w:tcW w:w="1276" w:type="dxa"/>
            <w:gridSpan w:val="2"/>
            <w:shd w:val="clear" w:color="auto" w:fill="auto"/>
          </w:tcPr>
          <w:p w:rsidR="000B7682" w:rsidRPr="000B7682" w:rsidRDefault="000B7682" w:rsidP="00E8152F">
            <w:pPr>
              <w:spacing w:line="276" w:lineRule="auto"/>
              <w:cnfStyle w:val="000000100000"/>
              <w:rPr>
                <w:rFonts w:ascii="Times New Roman" w:hAnsi="Times New Roman" w:cs="Times New Roman"/>
              </w:rPr>
            </w:pPr>
            <w:r w:rsidRPr="000B7682">
              <w:rPr>
                <w:rFonts w:ascii="Times New Roman" w:hAnsi="Times New Roman" w:cs="Times New Roman"/>
              </w:rPr>
              <w:t>0,8</w:t>
            </w:r>
          </w:p>
        </w:tc>
        <w:tc>
          <w:tcPr>
            <w:tcW w:w="1412" w:type="dxa"/>
            <w:gridSpan w:val="2"/>
            <w:shd w:val="clear" w:color="auto" w:fill="auto"/>
          </w:tcPr>
          <w:p w:rsidR="000B7682" w:rsidRPr="000B7682" w:rsidRDefault="000B7682" w:rsidP="00E8152F">
            <w:pPr>
              <w:spacing w:line="276" w:lineRule="auto"/>
              <w:cnfStyle w:val="000000100000"/>
              <w:rPr>
                <w:rFonts w:ascii="Times New Roman" w:hAnsi="Times New Roman" w:cs="Times New Roman"/>
                <w:lang w:val="id-ID"/>
              </w:rPr>
            </w:pPr>
            <w:r w:rsidRPr="000B7682">
              <w:rPr>
                <w:rFonts w:ascii="Times New Roman" w:hAnsi="Times New Roman" w:cs="Times New Roman"/>
              </w:rPr>
              <w:t>0,596</w:t>
            </w:r>
          </w:p>
        </w:tc>
        <w:tc>
          <w:tcPr>
            <w:tcW w:w="1418" w:type="dxa"/>
            <w:shd w:val="clear" w:color="auto" w:fill="auto"/>
          </w:tcPr>
          <w:p w:rsidR="000B7682" w:rsidRPr="000B7682" w:rsidRDefault="000B7682" w:rsidP="00E8152F">
            <w:pPr>
              <w:spacing w:line="276" w:lineRule="auto"/>
              <w:cnfStyle w:val="000000100000"/>
              <w:rPr>
                <w:rFonts w:ascii="Times New Roman" w:hAnsi="Times New Roman" w:cs="Times New Roman"/>
              </w:rPr>
            </w:pPr>
            <w:r w:rsidRPr="000B7682">
              <w:rPr>
                <w:rFonts w:ascii="Times New Roman" w:hAnsi="Times New Roman" w:cs="Times New Roman"/>
              </w:rPr>
              <w:t>0,245</w:t>
            </w:r>
          </w:p>
        </w:tc>
        <w:tc>
          <w:tcPr>
            <w:tcW w:w="1280" w:type="dxa"/>
            <w:shd w:val="clear" w:color="auto" w:fill="auto"/>
          </w:tcPr>
          <w:p w:rsidR="000B7682" w:rsidRPr="000B7682" w:rsidRDefault="000B7682" w:rsidP="00E8152F">
            <w:pPr>
              <w:spacing w:line="276" w:lineRule="auto"/>
              <w:cnfStyle w:val="000000100000"/>
              <w:rPr>
                <w:rFonts w:ascii="Times New Roman" w:hAnsi="Times New Roman" w:cs="Times New Roman"/>
              </w:rPr>
            </w:pPr>
            <w:r w:rsidRPr="000B7682">
              <w:rPr>
                <w:rFonts w:ascii="Times New Roman" w:hAnsi="Times New Roman" w:cs="Times New Roman"/>
              </w:rPr>
              <w:t>58,892</w:t>
            </w:r>
          </w:p>
        </w:tc>
        <w:tc>
          <w:tcPr>
            <w:tcW w:w="1123" w:type="dxa"/>
            <w:vMerge/>
          </w:tcPr>
          <w:p w:rsidR="000B7682" w:rsidRPr="000B7682" w:rsidRDefault="000B7682" w:rsidP="00E8152F">
            <w:pPr>
              <w:spacing w:line="276" w:lineRule="auto"/>
              <w:cnfStyle w:val="000000100000"/>
              <w:rPr>
                <w:rFonts w:ascii="Times New Roman" w:hAnsi="Times New Roman" w:cs="Times New Roman"/>
                <w:bCs/>
                <w:lang w:val="id-ID"/>
              </w:rPr>
            </w:pPr>
          </w:p>
        </w:tc>
      </w:tr>
      <w:tr w:rsidR="000B7682" w:rsidRPr="000B7682" w:rsidTr="00347B96">
        <w:tc>
          <w:tcPr>
            <w:cnfStyle w:val="001000000000"/>
            <w:tcW w:w="1418" w:type="dxa"/>
            <w:vMerge/>
          </w:tcPr>
          <w:p w:rsidR="000B7682" w:rsidRPr="000B7682" w:rsidRDefault="000B7682" w:rsidP="00E8152F">
            <w:pPr>
              <w:spacing w:line="276" w:lineRule="auto"/>
              <w:rPr>
                <w:rFonts w:ascii="Times New Roman" w:hAnsi="Times New Roman" w:cs="Times New Roman"/>
                <w:b w:val="0"/>
                <w:bCs w:val="0"/>
                <w:lang w:val="id-ID"/>
              </w:rPr>
            </w:pPr>
          </w:p>
        </w:tc>
        <w:tc>
          <w:tcPr>
            <w:tcW w:w="1276" w:type="dxa"/>
            <w:gridSpan w:val="2"/>
          </w:tcPr>
          <w:p w:rsidR="000B7682" w:rsidRPr="000B7682" w:rsidRDefault="000B7682" w:rsidP="00E8152F">
            <w:pPr>
              <w:spacing w:line="276" w:lineRule="auto"/>
              <w:cnfStyle w:val="000000000000"/>
              <w:rPr>
                <w:rFonts w:ascii="Times New Roman" w:hAnsi="Times New Roman" w:cs="Times New Roman"/>
              </w:rPr>
            </w:pPr>
            <w:r w:rsidRPr="000B7682">
              <w:rPr>
                <w:rFonts w:ascii="Times New Roman" w:hAnsi="Times New Roman" w:cs="Times New Roman"/>
              </w:rPr>
              <w:t>1,0</w:t>
            </w:r>
          </w:p>
        </w:tc>
        <w:tc>
          <w:tcPr>
            <w:tcW w:w="1412" w:type="dxa"/>
            <w:gridSpan w:val="2"/>
          </w:tcPr>
          <w:p w:rsidR="000B7682" w:rsidRPr="000B7682" w:rsidRDefault="000B7682" w:rsidP="00E8152F">
            <w:pPr>
              <w:spacing w:line="276" w:lineRule="auto"/>
              <w:cnfStyle w:val="000000000000"/>
              <w:rPr>
                <w:rFonts w:ascii="Times New Roman" w:hAnsi="Times New Roman" w:cs="Times New Roman"/>
                <w:lang w:val="id-ID"/>
              </w:rPr>
            </w:pPr>
            <w:r w:rsidRPr="000B7682">
              <w:rPr>
                <w:rFonts w:ascii="Times New Roman" w:hAnsi="Times New Roman" w:cs="Times New Roman"/>
              </w:rPr>
              <w:t>0,596</w:t>
            </w:r>
          </w:p>
        </w:tc>
        <w:tc>
          <w:tcPr>
            <w:tcW w:w="1418" w:type="dxa"/>
          </w:tcPr>
          <w:p w:rsidR="000B7682" w:rsidRPr="000B7682" w:rsidRDefault="000B7682" w:rsidP="00E8152F">
            <w:pPr>
              <w:spacing w:line="276" w:lineRule="auto"/>
              <w:cnfStyle w:val="000000000000"/>
              <w:rPr>
                <w:rFonts w:ascii="Times New Roman" w:hAnsi="Times New Roman" w:cs="Times New Roman"/>
              </w:rPr>
            </w:pPr>
            <w:r w:rsidRPr="000B7682">
              <w:rPr>
                <w:rFonts w:ascii="Times New Roman" w:hAnsi="Times New Roman" w:cs="Times New Roman"/>
              </w:rPr>
              <w:t>0,204</w:t>
            </w:r>
          </w:p>
        </w:tc>
        <w:tc>
          <w:tcPr>
            <w:tcW w:w="1280" w:type="dxa"/>
          </w:tcPr>
          <w:p w:rsidR="000B7682" w:rsidRPr="000B7682" w:rsidRDefault="000B7682" w:rsidP="00E8152F">
            <w:pPr>
              <w:spacing w:line="276" w:lineRule="auto"/>
              <w:cnfStyle w:val="000000000000"/>
              <w:rPr>
                <w:rFonts w:ascii="Times New Roman" w:hAnsi="Times New Roman" w:cs="Times New Roman"/>
              </w:rPr>
            </w:pPr>
            <w:r w:rsidRPr="000B7682">
              <w:rPr>
                <w:rFonts w:ascii="Times New Roman" w:hAnsi="Times New Roman" w:cs="Times New Roman"/>
              </w:rPr>
              <w:t>65,771</w:t>
            </w:r>
          </w:p>
        </w:tc>
        <w:tc>
          <w:tcPr>
            <w:tcW w:w="1123" w:type="dxa"/>
            <w:vMerge/>
          </w:tcPr>
          <w:p w:rsidR="000B7682" w:rsidRPr="000B7682" w:rsidRDefault="000B7682" w:rsidP="00E8152F">
            <w:pPr>
              <w:spacing w:line="276" w:lineRule="auto"/>
              <w:cnfStyle w:val="000000000000"/>
              <w:rPr>
                <w:rFonts w:ascii="Times New Roman" w:hAnsi="Times New Roman" w:cs="Times New Roman"/>
                <w:bCs/>
                <w:lang w:val="id-ID"/>
              </w:rPr>
            </w:pPr>
          </w:p>
        </w:tc>
      </w:tr>
    </w:tbl>
    <w:p w:rsidR="000B7682" w:rsidRDefault="000B7682" w:rsidP="00E8152F">
      <w:pPr>
        <w:spacing w:after="0" w:line="276" w:lineRule="auto"/>
        <w:rPr>
          <w:rFonts w:ascii="Times New Roman" w:hAnsi="Times New Roman" w:cs="Times New Roman"/>
          <w:bCs/>
        </w:rPr>
      </w:pPr>
    </w:p>
    <w:p w:rsidR="000B7682" w:rsidRP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 xml:space="preserve">Based on the data above the relationship between % inhibition and the concentration of tectoquinone compounds is depicted in </w:t>
      </w:r>
      <w:r>
        <w:rPr>
          <w:rFonts w:ascii="Times New Roman" w:hAnsi="Times New Roman" w:cs="Times New Roman"/>
          <w:bCs/>
        </w:rPr>
        <w:t>f</w:t>
      </w:r>
      <w:r w:rsidRPr="000B7682">
        <w:rPr>
          <w:rFonts w:ascii="Times New Roman" w:hAnsi="Times New Roman" w:cs="Times New Roman"/>
          <w:bCs/>
        </w:rPr>
        <w:t>igure 1. Linear regression equations were established on the graphs, where concentration is plotted on the x-axis, and % inhibition is on the y-axis. Consequently, the IC</w:t>
      </w:r>
      <w:r w:rsidRPr="000B7682">
        <w:rPr>
          <w:rFonts w:ascii="Times New Roman" w:hAnsi="Times New Roman" w:cs="Times New Roman"/>
          <w:bCs/>
          <w:vertAlign w:val="subscript"/>
        </w:rPr>
        <w:t>50</w:t>
      </w:r>
      <w:r w:rsidRPr="000B7682">
        <w:rPr>
          <w:rFonts w:ascii="Times New Roman" w:hAnsi="Times New Roman" w:cs="Times New Roman"/>
          <w:bCs/>
        </w:rPr>
        <w:t xml:space="preserve"> value for tectoquinone compounds can be determined from the regression equation.</w:t>
      </w:r>
    </w:p>
    <w:p w:rsidR="000B7682" w:rsidRP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The linear regression obtained from the quercetin reference is y = 3.8758x + 45.587 with an R</w:t>
      </w:r>
      <w:r w:rsidRPr="000B7682">
        <w:rPr>
          <w:rFonts w:ascii="Times New Roman" w:hAnsi="Times New Roman" w:cs="Times New Roman"/>
          <w:bCs/>
          <w:vertAlign w:val="superscript"/>
        </w:rPr>
        <w:t>2</w:t>
      </w:r>
      <w:r w:rsidRPr="000B7682">
        <w:rPr>
          <w:rFonts w:ascii="Times New Roman" w:hAnsi="Times New Roman" w:cs="Times New Roman"/>
          <w:bCs/>
        </w:rPr>
        <w:t xml:space="preserve"> value of 0.9175, and for tectoquinone compounds, it is y = 0.138x + 40.842 with an R</w:t>
      </w:r>
      <w:r w:rsidRPr="000B7682">
        <w:rPr>
          <w:rFonts w:ascii="Times New Roman" w:hAnsi="Times New Roman" w:cs="Times New Roman"/>
          <w:bCs/>
          <w:vertAlign w:val="superscript"/>
        </w:rPr>
        <w:t>2</w:t>
      </w:r>
      <w:r w:rsidRPr="000B7682">
        <w:rPr>
          <w:rFonts w:ascii="Times New Roman" w:hAnsi="Times New Roman" w:cs="Times New Roman"/>
          <w:bCs/>
        </w:rPr>
        <w:t xml:space="preserve"> value of 0.9329. These equations can then be rearranged into the form y = bx + a, where y represents 50% inhibition, and x is the IC</w:t>
      </w:r>
      <w:r w:rsidRPr="000B7682">
        <w:rPr>
          <w:rFonts w:ascii="Times New Roman" w:hAnsi="Times New Roman" w:cs="Times New Roman"/>
          <w:bCs/>
          <w:vertAlign w:val="subscript"/>
        </w:rPr>
        <w:t>50</w:t>
      </w:r>
      <w:r w:rsidRPr="000B7682">
        <w:rPr>
          <w:rFonts w:ascii="Times New Roman" w:hAnsi="Times New Roman" w:cs="Times New Roman"/>
          <w:bCs/>
        </w:rPr>
        <w:t xml:space="preserve"> value. </w:t>
      </w:r>
      <w:r w:rsidR="009540CE">
        <w:rPr>
          <w:rFonts w:ascii="Times New Roman" w:hAnsi="Times New Roman" w:cs="Times New Roman"/>
          <w:bCs/>
        </w:rPr>
        <w:t>A</w:t>
      </w:r>
      <w:r w:rsidRPr="000B7682">
        <w:rPr>
          <w:rFonts w:ascii="Times New Roman" w:hAnsi="Times New Roman" w:cs="Times New Roman"/>
          <w:bCs/>
        </w:rPr>
        <w:t xml:space="preserve"> compound is considered a very strong antioxidant if the IC</w:t>
      </w:r>
      <w:r w:rsidRPr="000B7682">
        <w:rPr>
          <w:rFonts w:ascii="Times New Roman" w:hAnsi="Times New Roman" w:cs="Times New Roman"/>
          <w:bCs/>
          <w:vertAlign w:val="subscript"/>
        </w:rPr>
        <w:t>50</w:t>
      </w:r>
      <w:r w:rsidRPr="000B7682">
        <w:rPr>
          <w:rFonts w:ascii="Times New Roman" w:hAnsi="Times New Roman" w:cs="Times New Roman"/>
          <w:bCs/>
        </w:rPr>
        <w:t xml:space="preserve"> value is &lt;10 µg/mL, strong if it </w:t>
      </w:r>
      <w:r w:rsidRPr="000B7682">
        <w:rPr>
          <w:rFonts w:ascii="Times New Roman" w:hAnsi="Times New Roman" w:cs="Times New Roman"/>
          <w:bCs/>
        </w:rPr>
        <w:lastRenderedPageBreak/>
        <w:t>falls between 10-50 µg/mL, moderate if it ranges between 50-100 µg/mL, weak if it falls between 100-250 µg/mL, and inactive if the IC</w:t>
      </w:r>
      <w:r w:rsidRPr="000B7682">
        <w:rPr>
          <w:rFonts w:ascii="Times New Roman" w:hAnsi="Times New Roman" w:cs="Times New Roman"/>
          <w:bCs/>
          <w:vertAlign w:val="subscript"/>
        </w:rPr>
        <w:t>50</w:t>
      </w:r>
      <w:r w:rsidRPr="000B7682">
        <w:rPr>
          <w:rFonts w:ascii="Times New Roman" w:hAnsi="Times New Roman" w:cs="Times New Roman"/>
          <w:bCs/>
        </w:rPr>
        <w:t xml:space="preserve"> value is above 250 µg/mL</w:t>
      </w:r>
      <w:r w:rsidR="00D50E1E">
        <w:rPr>
          <w:rFonts w:ascii="Times New Roman" w:hAnsi="Times New Roman" w:cs="Times New Roman"/>
          <w:bCs/>
        </w:rPr>
        <w:fldChar w:fldCharType="begin" w:fldLock="1"/>
      </w:r>
      <w:r w:rsidR="005E4AA4">
        <w:rPr>
          <w:rFonts w:ascii="Times New Roman" w:hAnsi="Times New Roman" w:cs="Times New Roman"/>
          <w:bCs/>
        </w:rPr>
        <w:instrText>ADDIN CSL_CITATION {"citationItems":[{"id":"ITEM-1","itemData":{"DOI":"https://doi.org/10.1063/5.0123987","author":[{"dropping-particle":"","family":"Dahlia","given":"Andi Amaliah","non-dropping-particle":"","parse-names":false,"suffix":""},{"dropping-particle":"","family":"Daim","given":"Muhammad","non-dropping-particle":"","parse-names":false,"suffix":""},{"dropping-particle":"","family":"Najib","given":"Ahmad","non-dropping-particle":"","parse-names":false,"suffix":""}],"container-title":"AIP Conference Proceedings","id":"ITEM-1","issue":"1","issued":{"date-parts":[["2023"]]},"title":"Comparative study of antioxidant activity of turmeric ethanol extract (Curcuma longa L.) and ethanol extract of curcuma (Curcuma xanthorrhiza Roxb.) using the 1.1-diphenyl-2-picrylhydrazil (DPPH) radical scavenging method","type":"paper-conference","volume":"2595"},"uris":["http://www.mendeley.com/documents/?uuid=8a11a933-f2e0-4ac8-aefd-a2a13e6751df"]}],"mendeley":{"formattedCitation":"&lt;sup&gt;24&lt;/sup&gt;","plainTextFormattedCitation":"24","previouslyFormattedCitation":"&lt;sup&gt;24&lt;/sup&gt;"},"properties":{"noteIndex":0},"schema":"https://github.com/citation-style-language/schema/raw/master/csl-citation.json"}</w:instrText>
      </w:r>
      <w:r w:rsidR="00D50E1E">
        <w:rPr>
          <w:rFonts w:ascii="Times New Roman" w:hAnsi="Times New Roman" w:cs="Times New Roman"/>
          <w:bCs/>
        </w:rPr>
        <w:fldChar w:fldCharType="separate"/>
      </w:r>
      <w:r w:rsidR="005E4AA4" w:rsidRPr="00A43A1D">
        <w:rPr>
          <w:rFonts w:ascii="Times New Roman" w:hAnsi="Times New Roman" w:cs="Times New Roman"/>
          <w:bCs/>
          <w:noProof/>
          <w:vertAlign w:val="superscript"/>
        </w:rPr>
        <w:t>24</w:t>
      </w:r>
      <w:r w:rsidR="00D50E1E">
        <w:rPr>
          <w:rFonts w:ascii="Times New Roman" w:hAnsi="Times New Roman" w:cs="Times New Roman"/>
          <w:bCs/>
        </w:rPr>
        <w:fldChar w:fldCharType="end"/>
      </w:r>
      <w:r w:rsidRPr="000B7682">
        <w:rPr>
          <w:rFonts w:ascii="Times New Roman" w:hAnsi="Times New Roman" w:cs="Times New Roman"/>
          <w:bCs/>
        </w:rPr>
        <w:t>.</w:t>
      </w:r>
    </w:p>
    <w:p w:rsid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From the results obtained in Table 1, the IC</w:t>
      </w:r>
      <w:r w:rsidRPr="000B7682">
        <w:rPr>
          <w:rFonts w:ascii="Times New Roman" w:hAnsi="Times New Roman" w:cs="Times New Roman"/>
          <w:bCs/>
          <w:vertAlign w:val="subscript"/>
        </w:rPr>
        <w:t>50</w:t>
      </w:r>
      <w:r w:rsidRPr="000B7682">
        <w:rPr>
          <w:rFonts w:ascii="Times New Roman" w:hAnsi="Times New Roman" w:cs="Times New Roman"/>
          <w:bCs/>
        </w:rPr>
        <w:t xml:space="preserve"> value for the quercetin reference is 0.237 µg/mL, classifying it as a very strong antioxidant because it falls within the IC</w:t>
      </w:r>
      <w:r w:rsidRPr="000B7682">
        <w:rPr>
          <w:rFonts w:ascii="Times New Roman" w:hAnsi="Times New Roman" w:cs="Times New Roman"/>
          <w:bCs/>
          <w:vertAlign w:val="subscript"/>
        </w:rPr>
        <w:t>50</w:t>
      </w:r>
      <w:r w:rsidRPr="000B7682">
        <w:rPr>
          <w:rFonts w:ascii="Times New Roman" w:hAnsi="Times New Roman" w:cs="Times New Roman"/>
          <w:bCs/>
        </w:rPr>
        <w:t xml:space="preserve"> range of &lt;10 µg/mL. Meanwhile, the IC</w:t>
      </w:r>
      <w:r w:rsidRPr="000B7682">
        <w:rPr>
          <w:rFonts w:ascii="Times New Roman" w:hAnsi="Times New Roman" w:cs="Times New Roman"/>
          <w:bCs/>
          <w:vertAlign w:val="subscript"/>
        </w:rPr>
        <w:t>50</w:t>
      </w:r>
      <w:r w:rsidRPr="000B7682">
        <w:rPr>
          <w:rFonts w:ascii="Times New Roman" w:hAnsi="Times New Roman" w:cs="Times New Roman"/>
          <w:bCs/>
        </w:rPr>
        <w:t xml:space="preserve"> value for tectoquinone compounds is 66.362 µg/mL, categorizing it as a moderate antioxidant within the 50-100 µg/mL range.</w:t>
      </w:r>
    </w:p>
    <w:p w:rsidR="005E4AA4" w:rsidRDefault="005E4AA4" w:rsidP="00E8152F">
      <w:pPr>
        <w:spacing w:after="0" w:line="276" w:lineRule="auto"/>
        <w:jc w:val="both"/>
        <w:rPr>
          <w:rFonts w:ascii="Times New Roman" w:hAnsi="Times New Roman" w:cs="Times New Roman"/>
          <w:bCs/>
        </w:rPr>
      </w:pPr>
    </w:p>
    <w:p w:rsidR="005E4AA4" w:rsidRPr="000B7682" w:rsidRDefault="005E4AA4" w:rsidP="00E8152F">
      <w:pPr>
        <w:spacing w:after="0" w:line="276" w:lineRule="auto"/>
        <w:jc w:val="both"/>
        <w:rPr>
          <w:rFonts w:ascii="Times New Roman" w:hAnsi="Times New Roman" w:cs="Times New Roman"/>
          <w:bCs/>
        </w:rPr>
      </w:pPr>
    </w:p>
    <w:p w:rsidR="000B7682" w:rsidRDefault="00D50E1E" w:rsidP="00E8152F">
      <w:pPr>
        <w:pStyle w:val="ListParagraph"/>
        <w:spacing w:after="0" w:line="276" w:lineRule="auto"/>
        <w:ind w:left="0"/>
        <w:jc w:val="center"/>
        <w:rPr>
          <w:rFonts w:ascii="Times New Roman" w:hAnsi="Times New Roman" w:cs="Times New Roman"/>
          <w:bCs/>
        </w:rPr>
      </w:pPr>
      <w:r w:rsidRPr="00D50E1E">
        <w:rPr>
          <w:rFonts w:ascii="Arial" w:hAnsi="Arial" w:cs="Arial"/>
          <w:b/>
          <w:bCs/>
          <w:noProof/>
          <w:sz w:val="24"/>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264.5pt;margin-top:6.05pt;width:84.9pt;height:35.3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" stroked="f">
            <v:textbox>
              <w:txbxContent>
                <w:p w:rsidR="000B7682" w:rsidRPr="003511C2" w:rsidRDefault="000B7682" w:rsidP="000B7682">
                  <w:pPr>
                    <w:rPr>
                      <w:sz w:val="16"/>
                      <w:szCs w:val="16"/>
                    </w:rPr>
                  </w:pPr>
                  <w:r w:rsidRPr="003511C2">
                    <w:rPr>
                      <w:sz w:val="16"/>
                      <w:szCs w:val="16"/>
                    </w:rPr>
                    <w:t>y = 0.138x + 40.842</w:t>
                  </w:r>
                  <w:r w:rsidRPr="003511C2">
                    <w:rPr>
                      <w:sz w:val="16"/>
                      <w:szCs w:val="16"/>
                    </w:rPr>
                    <w:br/>
                    <w:t>R² = 0.9329</w:t>
                  </w:r>
                </w:p>
                <w:p w:rsidR="000B7682" w:rsidRDefault="000B7682" w:rsidP="000B7682"/>
              </w:txbxContent>
            </v:textbox>
          </v:shape>
        </w:pict>
      </w:r>
      <w:r w:rsidR="000B7682">
        <w:rPr>
          <w:noProof/>
          <w:lang w:val="en-US"/>
        </w:rPr>
        <w:drawing>
          <wp:inline distT="0" distB="0" distL="0" distR="0">
            <wp:extent cx="4398229" cy="2380593"/>
            <wp:effectExtent l="0" t="0" r="2540" b="1270"/>
            <wp:docPr id="614598546"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A4A1C3E-19DA-79A8-1D7B-0925360813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7682" w:rsidRPr="000B7682" w:rsidRDefault="000B7682" w:rsidP="00E8152F">
      <w:pPr>
        <w:pStyle w:val="ListParagraph"/>
        <w:spacing w:after="0" w:line="276" w:lineRule="auto"/>
        <w:ind w:left="0"/>
        <w:jc w:val="center"/>
        <w:rPr>
          <w:rFonts w:ascii="Times New Roman" w:hAnsi="Times New Roman" w:cs="Times New Roman"/>
          <w:b/>
        </w:rPr>
      </w:pPr>
      <w:r w:rsidRPr="000B7682">
        <w:rPr>
          <w:rFonts w:ascii="Times New Roman" w:hAnsi="Times New Roman" w:cs="Times New Roman"/>
          <w:b/>
        </w:rPr>
        <w:t xml:space="preserve">Figure </w:t>
      </w:r>
      <w:r>
        <w:rPr>
          <w:rFonts w:ascii="Times New Roman" w:hAnsi="Times New Roman" w:cs="Times New Roman"/>
          <w:b/>
          <w:lang w:val="en-US"/>
        </w:rPr>
        <w:t>2</w:t>
      </w:r>
      <w:r w:rsidRPr="000B7682">
        <w:rPr>
          <w:rFonts w:ascii="Times New Roman" w:hAnsi="Times New Roman" w:cs="Times New Roman"/>
          <w:b/>
          <w:lang w:val="en-US"/>
        </w:rPr>
        <w:t>:</w:t>
      </w:r>
      <w:r>
        <w:rPr>
          <w:rFonts w:ascii="Times New Roman" w:hAnsi="Times New Roman" w:cs="Times New Roman"/>
          <w:b/>
          <w:lang w:val="en-US"/>
        </w:rPr>
        <w:t>R</w:t>
      </w:r>
      <w:r w:rsidRPr="000B7682">
        <w:rPr>
          <w:rFonts w:ascii="Times New Roman" w:hAnsi="Times New Roman" w:cs="Times New Roman"/>
          <w:b/>
        </w:rPr>
        <w:t>elationship between tectoquinone concentrations and % inhibition</w:t>
      </w:r>
    </w:p>
    <w:p w:rsid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As explained previously mention that tectoquinone belongs to the quinone class compound. Quinone compounds inhibit free radicals through their unique redox properties, enabling them to participate in electron transfer reactions. When quinones encounter free radicals, they donate electrons to neutralize these highly reactive species, rendering them less harmful. This process transforms quinones into semiquinone radicals, which are relatively stable and less reactive. In some cases, semiquinone radicals can further react to regenerate the original quinone molecule, allowing quinones to continue their antioxidant action through multiple redox cycles. This mechanism makes quinones effective antioxidants, protecting cells and biomolecules from the damaging effects of oxidative stress caused by free radicals.</w:t>
      </w:r>
    </w:p>
    <w:p w:rsidR="00497F11" w:rsidRDefault="00497F11" w:rsidP="00497F11">
      <w:pPr>
        <w:spacing w:after="0"/>
        <w:rPr>
          <w:rFonts w:ascii="Bookman Old Style" w:hAnsi="Bookman Old Style" w:cs="Times New Roman"/>
          <w:b/>
          <w:color w:val="FF0000"/>
          <w:highlight w:val="yellow"/>
        </w:rPr>
      </w:pPr>
      <w:commentRangeStart w:id="15"/>
      <w:r>
        <w:rPr>
          <w:rFonts w:ascii="Bookman Old Style" w:hAnsi="Bookman Old Style" w:cs="Times New Roman"/>
          <w:b/>
          <w:color w:val="FF0000"/>
          <w:highlight w:val="yellow"/>
        </w:rPr>
        <w:t>LIMITATIONS OF THE STUDY</w:t>
      </w:r>
      <w:commentRangeEnd w:id="15"/>
      <w:r>
        <w:rPr>
          <w:rStyle w:val="CommentReference"/>
          <w:rFonts w:ascii="Courier" w:eastAsia="Times New Roman" w:hAnsi="Courier" w:cs="Courier"/>
          <w:snapToGrid w:val="0"/>
        </w:rPr>
        <w:commentReference w:id="15"/>
      </w:r>
    </w:p>
    <w:p w:rsidR="00497F11" w:rsidRDefault="00497F11" w:rsidP="00E8152F">
      <w:pPr>
        <w:spacing w:after="0" w:line="276" w:lineRule="auto"/>
        <w:jc w:val="both"/>
        <w:rPr>
          <w:rFonts w:ascii="Times New Roman" w:hAnsi="Times New Roman" w:cs="Times New Roman"/>
          <w:bCs/>
        </w:rPr>
      </w:pPr>
    </w:p>
    <w:p w:rsidR="000B7682" w:rsidRPr="000B7682" w:rsidRDefault="000B7682" w:rsidP="00E8152F">
      <w:pPr>
        <w:spacing w:after="0" w:line="276" w:lineRule="auto"/>
        <w:jc w:val="both"/>
        <w:rPr>
          <w:rFonts w:ascii="Times New Roman" w:hAnsi="Times New Roman" w:cs="Times New Roman"/>
          <w:bCs/>
        </w:rPr>
      </w:pPr>
    </w:p>
    <w:p w:rsidR="000B7682" w:rsidRDefault="000B7682" w:rsidP="00E8152F">
      <w:pPr>
        <w:spacing w:after="0" w:line="276" w:lineRule="auto"/>
        <w:rPr>
          <w:rFonts w:ascii="Times New Roman" w:hAnsi="Times New Roman" w:cs="Times New Roman"/>
          <w:b/>
          <w:sz w:val="24"/>
          <w:szCs w:val="24"/>
        </w:rPr>
      </w:pPr>
      <w:commentRangeStart w:id="16"/>
      <w:r w:rsidRPr="000B7682">
        <w:rPr>
          <w:rFonts w:ascii="Times New Roman" w:hAnsi="Times New Roman" w:cs="Times New Roman"/>
          <w:b/>
          <w:sz w:val="24"/>
          <w:szCs w:val="24"/>
        </w:rPr>
        <w:t>CONCLUSION</w:t>
      </w:r>
    </w:p>
    <w:p w:rsidR="000B7682" w:rsidRDefault="000B7682" w:rsidP="00E8152F">
      <w:pPr>
        <w:spacing w:after="0" w:line="276" w:lineRule="auto"/>
        <w:jc w:val="both"/>
        <w:rPr>
          <w:rFonts w:ascii="Times New Roman" w:hAnsi="Times New Roman" w:cs="Times New Roman"/>
          <w:bCs/>
        </w:rPr>
      </w:pPr>
      <w:r w:rsidRPr="000B7682">
        <w:rPr>
          <w:rFonts w:ascii="Times New Roman" w:hAnsi="Times New Roman" w:cs="Times New Roman"/>
          <w:bCs/>
        </w:rPr>
        <w:t>T</w:t>
      </w:r>
      <w:r>
        <w:rPr>
          <w:rFonts w:ascii="Times New Roman" w:hAnsi="Times New Roman" w:cs="Times New Roman"/>
          <w:bCs/>
        </w:rPr>
        <w:t xml:space="preserve">he </w:t>
      </w:r>
      <w:r w:rsidRPr="000B7682">
        <w:rPr>
          <w:rFonts w:ascii="Times New Roman" w:hAnsi="Times New Roman" w:cs="Times New Roman"/>
          <w:bCs/>
        </w:rPr>
        <w:t>results indicate that tectoquinone compounds exhibit a noticeable capability against free radicals</w:t>
      </w:r>
      <w:r>
        <w:rPr>
          <w:rFonts w:ascii="Times New Roman" w:hAnsi="Times New Roman" w:cs="Times New Roman"/>
          <w:bCs/>
        </w:rPr>
        <w:t xml:space="preserve"> with moderate potential activity, h</w:t>
      </w:r>
      <w:r w:rsidRPr="000B7682">
        <w:rPr>
          <w:rFonts w:ascii="Times New Roman" w:hAnsi="Times New Roman" w:cs="Times New Roman"/>
          <w:bCs/>
        </w:rPr>
        <w:t xml:space="preserve">owever, additional research might be needed to enhance their potential uses in the field of health </w:t>
      </w:r>
      <w:commentRangeEnd w:id="16"/>
      <w:r w:rsidR="00714958">
        <w:rPr>
          <w:rStyle w:val="CommentReference"/>
        </w:rPr>
        <w:commentReference w:id="16"/>
      </w:r>
      <w:r w:rsidRPr="000B7682">
        <w:rPr>
          <w:rFonts w:ascii="Times New Roman" w:hAnsi="Times New Roman" w:cs="Times New Roman"/>
          <w:bCs/>
        </w:rPr>
        <w:t>and medicine.</w:t>
      </w:r>
    </w:p>
    <w:p w:rsidR="000B7682" w:rsidRPr="000B7682" w:rsidRDefault="000B7682" w:rsidP="00E8152F">
      <w:pPr>
        <w:spacing w:after="0" w:line="276" w:lineRule="auto"/>
        <w:jc w:val="both"/>
        <w:rPr>
          <w:rFonts w:ascii="Times New Roman" w:hAnsi="Times New Roman" w:cs="Times New Roman"/>
          <w:bCs/>
        </w:rPr>
      </w:pPr>
    </w:p>
    <w:p w:rsidR="000B7682" w:rsidRDefault="000B7682" w:rsidP="00E8152F">
      <w:pPr>
        <w:spacing w:after="0" w:line="276" w:lineRule="auto"/>
        <w:rPr>
          <w:rFonts w:ascii="Times New Roman" w:hAnsi="Times New Roman" w:cs="Times New Roman"/>
          <w:b/>
        </w:rPr>
      </w:pPr>
      <w:r w:rsidRPr="000B7682">
        <w:rPr>
          <w:rFonts w:ascii="Times New Roman" w:hAnsi="Times New Roman" w:cs="Times New Roman"/>
          <w:b/>
          <w:sz w:val="24"/>
          <w:szCs w:val="24"/>
        </w:rPr>
        <w:t>AUTHOR'S</w:t>
      </w:r>
      <w:r w:rsidRPr="000B7682">
        <w:rPr>
          <w:rFonts w:ascii="Times New Roman" w:hAnsi="Times New Roman" w:cs="Times New Roman"/>
          <w:b/>
        </w:rPr>
        <w:t xml:space="preserve"> CONTRIB</w:t>
      </w:r>
      <w:r>
        <w:rPr>
          <w:rFonts w:ascii="Times New Roman" w:hAnsi="Times New Roman" w:cs="Times New Roman"/>
          <w:b/>
        </w:rPr>
        <w:t>U</w:t>
      </w:r>
      <w:r w:rsidRPr="000B7682">
        <w:rPr>
          <w:rFonts w:ascii="Times New Roman" w:hAnsi="Times New Roman" w:cs="Times New Roman"/>
          <w:b/>
        </w:rPr>
        <w:t>TION</w:t>
      </w:r>
    </w:p>
    <w:p w:rsidR="000B7682" w:rsidRDefault="000B7682" w:rsidP="00E8152F">
      <w:pPr>
        <w:spacing w:after="0" w:line="276" w:lineRule="auto"/>
        <w:rPr>
          <w:rFonts w:ascii="Times New Roman" w:hAnsi="Times New Roman" w:cs="Times New Roman"/>
          <w:bCs/>
        </w:rPr>
      </w:pPr>
      <w:r w:rsidRPr="000B7682">
        <w:rPr>
          <w:rFonts w:ascii="Times New Roman" w:hAnsi="Times New Roman" w:cs="Times New Roman"/>
          <w:bCs/>
        </w:rPr>
        <w:t>All authors have worked equally in this study.</w:t>
      </w:r>
    </w:p>
    <w:p w:rsidR="000B7682" w:rsidRDefault="000B7682" w:rsidP="00E8152F">
      <w:pPr>
        <w:spacing w:after="0" w:line="276" w:lineRule="auto"/>
        <w:rPr>
          <w:rFonts w:ascii="Times New Roman" w:hAnsi="Times New Roman" w:cs="Times New Roman"/>
          <w:bCs/>
        </w:rPr>
      </w:pPr>
    </w:p>
    <w:p w:rsidR="000B7682" w:rsidRPr="000B7682" w:rsidRDefault="000B7682" w:rsidP="00E8152F">
      <w:pPr>
        <w:spacing w:after="0" w:line="276" w:lineRule="auto"/>
        <w:rPr>
          <w:rFonts w:ascii="Times New Roman" w:hAnsi="Times New Roman" w:cs="Times New Roman"/>
          <w:bCs/>
        </w:rPr>
      </w:pPr>
    </w:p>
    <w:p w:rsidR="000B7682" w:rsidRDefault="000B7682" w:rsidP="00E8152F">
      <w:pPr>
        <w:spacing w:after="0" w:line="276" w:lineRule="auto"/>
        <w:rPr>
          <w:rFonts w:ascii="Times New Roman" w:hAnsi="Times New Roman" w:cs="Times New Roman"/>
          <w:b/>
          <w:sz w:val="24"/>
          <w:szCs w:val="24"/>
          <w:shd w:val="clear" w:color="auto" w:fill="FFFFFF"/>
        </w:rPr>
      </w:pPr>
      <w:r w:rsidRPr="000B7682">
        <w:rPr>
          <w:rFonts w:ascii="Times New Roman" w:hAnsi="Times New Roman" w:cs="Times New Roman"/>
          <w:b/>
          <w:sz w:val="24"/>
          <w:szCs w:val="24"/>
          <w:shd w:val="clear" w:color="auto" w:fill="FFFFFF"/>
        </w:rPr>
        <w:t>ACKNOWLEDGEMENTS</w:t>
      </w:r>
    </w:p>
    <w:p w:rsidR="000B7682" w:rsidRDefault="000B7682" w:rsidP="00E8152F">
      <w:pPr>
        <w:spacing w:after="0" w:line="276" w:lineRule="auto"/>
        <w:jc w:val="both"/>
        <w:rPr>
          <w:rFonts w:ascii="Times New Roman" w:hAnsi="Times New Roman" w:cs="Times New Roman"/>
          <w:bCs/>
          <w:shd w:val="clear" w:color="auto" w:fill="FFFFFF"/>
        </w:rPr>
      </w:pPr>
      <w:r w:rsidRPr="000B7682">
        <w:rPr>
          <w:rFonts w:ascii="Times New Roman" w:hAnsi="Times New Roman" w:cs="Times New Roman"/>
          <w:bCs/>
          <w:shd w:val="clear" w:color="auto" w:fill="FFFFFF"/>
        </w:rPr>
        <w:t>The author would like to extend the</w:t>
      </w:r>
      <w:r w:rsidR="009B2C2D">
        <w:rPr>
          <w:rFonts w:ascii="Times New Roman" w:hAnsi="Times New Roman" w:cs="Times New Roman"/>
          <w:bCs/>
          <w:shd w:val="clear" w:color="auto" w:fill="FFFFFF"/>
        </w:rPr>
        <w:t>ir</w:t>
      </w:r>
      <w:r w:rsidRPr="000B7682">
        <w:rPr>
          <w:rFonts w:ascii="Times New Roman" w:hAnsi="Times New Roman" w:cs="Times New Roman"/>
          <w:bCs/>
          <w:shd w:val="clear" w:color="auto" w:fill="FFFFFF"/>
        </w:rPr>
        <w:t xml:space="preserve"> thanks to the Research and Development Institute of Resources (LP2S) at the Muslim University of Indonesia</w:t>
      </w:r>
      <w:r>
        <w:rPr>
          <w:rFonts w:ascii="Times New Roman" w:hAnsi="Times New Roman" w:cs="Times New Roman"/>
          <w:bCs/>
          <w:shd w:val="clear" w:color="auto" w:fill="FFFFFF"/>
        </w:rPr>
        <w:t xml:space="preserve"> (UMI)</w:t>
      </w:r>
      <w:r w:rsidRPr="000B7682">
        <w:rPr>
          <w:rFonts w:ascii="Times New Roman" w:hAnsi="Times New Roman" w:cs="Times New Roman"/>
          <w:bCs/>
          <w:shd w:val="clear" w:color="auto" w:fill="FFFFFF"/>
        </w:rPr>
        <w:t xml:space="preserve"> for financially supporting this study. Additionally, gratitude is also expressed to Associate Professor Kyoko Nakagawa-Goto from the Laboratory of Natural Products and Medicinal Chemistry at Kanazawa University, Japan, for granting access to NMR facilities for the identification of tectoquinone compounds.</w:t>
      </w:r>
    </w:p>
    <w:p w:rsidR="000B7682" w:rsidRPr="000B7682" w:rsidRDefault="000B7682" w:rsidP="00E8152F">
      <w:pPr>
        <w:spacing w:after="0" w:line="276" w:lineRule="auto"/>
        <w:jc w:val="both"/>
        <w:rPr>
          <w:rFonts w:ascii="Times New Roman" w:hAnsi="Times New Roman" w:cs="Times New Roman"/>
          <w:bCs/>
          <w:shd w:val="clear" w:color="auto" w:fill="FFFFFF"/>
        </w:rPr>
      </w:pPr>
    </w:p>
    <w:p w:rsidR="00497F11" w:rsidRDefault="00497F11" w:rsidP="00E8152F">
      <w:pPr>
        <w:spacing w:after="0" w:line="276" w:lineRule="auto"/>
        <w:rPr>
          <w:rFonts w:ascii="Times New Roman" w:hAnsi="Times New Roman" w:cs="Times New Roman"/>
          <w:b/>
          <w:sz w:val="24"/>
          <w:szCs w:val="24"/>
          <w:shd w:val="clear" w:color="auto" w:fill="FFFFFF"/>
        </w:rPr>
      </w:pPr>
    </w:p>
    <w:p w:rsidR="000B7682" w:rsidRDefault="000B7682" w:rsidP="00E8152F">
      <w:pPr>
        <w:spacing w:after="0" w:line="276" w:lineRule="auto"/>
        <w:rPr>
          <w:rFonts w:ascii="Times New Roman" w:hAnsi="Times New Roman" w:cs="Times New Roman"/>
          <w:b/>
          <w:shd w:val="clear" w:color="auto" w:fill="FFFFFF"/>
        </w:rPr>
      </w:pPr>
      <w:r w:rsidRPr="000B7682">
        <w:rPr>
          <w:rFonts w:ascii="Times New Roman" w:hAnsi="Times New Roman" w:cs="Times New Roman"/>
          <w:b/>
          <w:sz w:val="24"/>
          <w:szCs w:val="24"/>
          <w:shd w:val="clear" w:color="auto" w:fill="FFFFFF"/>
        </w:rPr>
        <w:lastRenderedPageBreak/>
        <w:t>CONFLICT</w:t>
      </w:r>
      <w:r>
        <w:rPr>
          <w:rFonts w:ascii="Times New Roman" w:hAnsi="Times New Roman" w:cs="Times New Roman"/>
          <w:b/>
          <w:shd w:val="clear" w:color="auto" w:fill="FFFFFF"/>
        </w:rPr>
        <w:t xml:space="preserve"> OF INTEREST</w:t>
      </w:r>
    </w:p>
    <w:p w:rsidR="000B7682" w:rsidRDefault="000B7682" w:rsidP="00E8152F">
      <w:pPr>
        <w:spacing w:after="0" w:line="276" w:lineRule="auto"/>
        <w:rPr>
          <w:rFonts w:ascii="Times New Roman" w:hAnsi="Times New Roman" w:cs="Times New Roman"/>
          <w:bCs/>
          <w:shd w:val="clear" w:color="auto" w:fill="FFFFFF"/>
        </w:rPr>
      </w:pPr>
      <w:r w:rsidRPr="000B7682">
        <w:rPr>
          <w:rFonts w:ascii="Times New Roman" w:hAnsi="Times New Roman" w:cs="Times New Roman"/>
          <w:bCs/>
          <w:shd w:val="clear" w:color="auto" w:fill="FFFFFF"/>
        </w:rPr>
        <w:t xml:space="preserve">No conflict of interest </w:t>
      </w:r>
      <w:r w:rsidR="00F90B45">
        <w:rPr>
          <w:rFonts w:ascii="Times New Roman" w:hAnsi="Times New Roman" w:cs="Times New Roman"/>
          <w:bCs/>
          <w:shd w:val="clear" w:color="auto" w:fill="FFFFFF"/>
        </w:rPr>
        <w:t xml:space="preserve">is </w:t>
      </w:r>
      <w:r w:rsidRPr="000B7682">
        <w:rPr>
          <w:rFonts w:ascii="Times New Roman" w:hAnsi="Times New Roman" w:cs="Times New Roman"/>
          <w:bCs/>
          <w:shd w:val="clear" w:color="auto" w:fill="FFFFFF"/>
        </w:rPr>
        <w:t>associated with this work</w:t>
      </w:r>
      <w:r w:rsidR="00D01922">
        <w:rPr>
          <w:rFonts w:ascii="Times New Roman" w:hAnsi="Times New Roman" w:cs="Times New Roman"/>
          <w:bCs/>
          <w:shd w:val="clear" w:color="auto" w:fill="FFFFFF"/>
        </w:rPr>
        <w:t xml:space="preserve">. </w:t>
      </w:r>
    </w:p>
    <w:p w:rsidR="000B7682" w:rsidRPr="000B7682" w:rsidRDefault="000B7682" w:rsidP="00E8152F">
      <w:pPr>
        <w:spacing w:after="0" w:line="276" w:lineRule="auto"/>
        <w:rPr>
          <w:rFonts w:ascii="Times New Roman" w:hAnsi="Times New Roman" w:cs="Times New Roman"/>
          <w:bCs/>
          <w:shd w:val="clear" w:color="auto" w:fill="FFFFFF"/>
        </w:rPr>
      </w:pPr>
    </w:p>
    <w:p w:rsidR="00E0700C" w:rsidRDefault="000B7682" w:rsidP="00E8152F">
      <w:pPr>
        <w:widowControl w:val="0"/>
        <w:autoSpaceDE w:val="0"/>
        <w:autoSpaceDN w:val="0"/>
        <w:adjustRightInd w:val="0"/>
        <w:spacing w:after="0" w:line="276" w:lineRule="auto"/>
        <w:ind w:left="709" w:hanging="709"/>
        <w:rPr>
          <w:rFonts w:ascii="Times New Roman" w:hAnsi="Times New Roman" w:cs="Times New Roman"/>
          <w:b/>
        </w:rPr>
      </w:pPr>
      <w:commentRangeStart w:id="17"/>
      <w:r w:rsidRPr="000B7682">
        <w:rPr>
          <w:rFonts w:ascii="Times New Roman" w:hAnsi="Times New Roman" w:cs="Times New Roman"/>
          <w:b/>
          <w:sz w:val="24"/>
          <w:szCs w:val="24"/>
          <w:shd w:val="clear" w:color="auto" w:fill="FFFFFF"/>
        </w:rPr>
        <w:t>REFERENCES</w:t>
      </w:r>
      <w:commentRangeEnd w:id="17"/>
      <w:r w:rsidR="00497F11">
        <w:rPr>
          <w:rStyle w:val="CommentReference"/>
        </w:rPr>
        <w:commentReference w:id="17"/>
      </w:r>
    </w:p>
    <w:p w:rsidR="005E4AA4" w:rsidRPr="005E4AA4" w:rsidRDefault="00D50E1E"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Pr>
          <w:rFonts w:ascii="Times New Roman" w:hAnsi="Times New Roman" w:cs="Times New Roman"/>
          <w:b/>
        </w:rPr>
        <w:fldChar w:fldCharType="begin" w:fldLock="1"/>
      </w:r>
      <w:r w:rsidR="005E4AA4">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5E4AA4" w:rsidRPr="005E4AA4">
        <w:rPr>
          <w:rFonts w:ascii="Times New Roman" w:hAnsi="Times New Roman" w:cs="Times New Roman"/>
          <w:noProof/>
          <w:kern w:val="0"/>
          <w:szCs w:val="24"/>
        </w:rPr>
        <w:t>1.</w:t>
      </w:r>
      <w:r w:rsidR="005E4AA4" w:rsidRPr="005E4AA4">
        <w:rPr>
          <w:rFonts w:ascii="Times New Roman" w:hAnsi="Times New Roman" w:cs="Times New Roman"/>
          <w:noProof/>
          <w:kern w:val="0"/>
          <w:szCs w:val="24"/>
        </w:rPr>
        <w:tab/>
        <w:t>Anik MI., Mahmud N., Masud A Al., Khan MI., Islam MN., Uddin S., et al. Role of reactive oxygen species in aging and age-related diseases: a review. ACS Appl Bio Mater. 2022;5(9):4028–54, https://doi.org/10.1021/acsabm.2c00411.</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2.</w:t>
      </w:r>
      <w:r w:rsidRPr="005E4AA4">
        <w:rPr>
          <w:rFonts w:ascii="Times New Roman" w:hAnsi="Times New Roman" w:cs="Times New Roman"/>
          <w:noProof/>
          <w:kern w:val="0"/>
          <w:szCs w:val="24"/>
        </w:rPr>
        <w:tab/>
        <w:t>Jia W., Wu X., Kang X. Integrated the embedding delivery system and targeted oxygen scavenger enhances free radical scavenging capacity. Food Chem X. 2023:100558, https://doi.org/https://doi.org/10.1016/j.fochx.2022.100558.</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3.</w:t>
      </w:r>
      <w:r w:rsidRPr="005E4AA4">
        <w:rPr>
          <w:rFonts w:ascii="Times New Roman" w:hAnsi="Times New Roman" w:cs="Times New Roman"/>
          <w:noProof/>
          <w:kern w:val="0"/>
          <w:szCs w:val="24"/>
        </w:rPr>
        <w:tab/>
        <w:t>Ashton P. Notes on northern Borneo Myrtaceae. Sandakania. 2016;22:55–75.</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4.</w:t>
      </w:r>
      <w:r w:rsidRPr="005E4AA4">
        <w:rPr>
          <w:rFonts w:ascii="Times New Roman" w:hAnsi="Times New Roman" w:cs="Times New Roman"/>
          <w:noProof/>
          <w:kern w:val="0"/>
          <w:szCs w:val="24"/>
        </w:rPr>
        <w:tab/>
        <w:t>Armijos C., Ram\’\irez J., Vidari G. Poorly Investigated Ecuadorian Medicinal Plants. Plants. 2022;11(12):1590, https://doi.org/https://doi.org/10.3390/plants11121590.</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5.</w:t>
      </w:r>
      <w:r w:rsidRPr="005E4AA4">
        <w:rPr>
          <w:rFonts w:ascii="Times New Roman" w:hAnsi="Times New Roman" w:cs="Times New Roman"/>
          <w:noProof/>
          <w:kern w:val="0"/>
          <w:szCs w:val="24"/>
        </w:rPr>
        <w:tab/>
        <w:t>Rocchetti G., Lucini L., Ahmed SR., Saber FR. In vitro cytotoxic activity of six Syzygium leaf extracts as related to their phenolic profiles: An untargeted UHPLC-QTOF-MS approach. Food Res Int. 2019;126(August):108715, https://doi.org/10.1016/j.foodres.2019.108715.</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6.</w:t>
      </w:r>
      <w:r w:rsidRPr="005E4AA4">
        <w:rPr>
          <w:rFonts w:ascii="Times New Roman" w:hAnsi="Times New Roman" w:cs="Times New Roman"/>
          <w:noProof/>
          <w:kern w:val="0"/>
          <w:szCs w:val="24"/>
        </w:rPr>
        <w:tab/>
        <w:t>Pham NKT., Nguyen TD., Doan TDC., Ha TD., Tran NMA., Tran TD., et al. Stercufoetin A, new oleanane-type triterpenoid from the leaves of Sterculia foetida L. Nat Prod Res. 2021;35(7):1226–31, https://doi.org/10.1080/14786419.2019.1644508.</w:t>
      </w:r>
    </w:p>
    <w:p w:rsidR="005E4AA4" w:rsidRPr="005E4AA4" w:rsidRDefault="005E4AA4" w:rsidP="00E8152F">
      <w:pPr>
        <w:widowControl w:val="0"/>
        <w:autoSpaceDE w:val="0"/>
        <w:autoSpaceDN w:val="0"/>
        <w:adjustRightInd w:val="0"/>
        <w:spacing w:after="0" w:line="276" w:lineRule="auto"/>
        <w:ind w:left="284" w:hanging="284"/>
        <w:rPr>
          <w:rFonts w:ascii="Times New Roman" w:hAnsi="Times New Roman" w:cs="Times New Roman"/>
          <w:noProof/>
          <w:kern w:val="0"/>
          <w:szCs w:val="24"/>
        </w:rPr>
      </w:pPr>
      <w:r w:rsidRPr="005E4AA4">
        <w:rPr>
          <w:rFonts w:ascii="Times New Roman" w:hAnsi="Times New Roman" w:cs="Times New Roman"/>
          <w:noProof/>
          <w:kern w:val="0"/>
          <w:szCs w:val="24"/>
        </w:rPr>
        <w:t>7.</w:t>
      </w:r>
      <w:r w:rsidRPr="005E4AA4">
        <w:rPr>
          <w:rFonts w:ascii="Times New Roman" w:hAnsi="Times New Roman" w:cs="Times New Roman"/>
          <w:noProof/>
          <w:kern w:val="0"/>
          <w:szCs w:val="24"/>
        </w:rPr>
        <w:tab/>
        <w:t>Kumar M., Zhang B., Nishad J., Verma A., Sheri V., Dhumal S., et al. Jamun (Syzygium cumini (L.) Skeels) Seed: A Review on Nutritional Profile, Functional food properties, health-promoting applications, and safety aspects. Processes. 2022;10(11):2169, https://doi.org/https://doi.org/10.3390/pr10112169.</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8.</w:t>
      </w:r>
      <w:r w:rsidRPr="005E4AA4">
        <w:rPr>
          <w:rFonts w:ascii="Times New Roman" w:hAnsi="Times New Roman" w:cs="Times New Roman"/>
          <w:noProof/>
          <w:kern w:val="0"/>
          <w:szCs w:val="24"/>
        </w:rPr>
        <w:tab/>
        <w:t>Amir Rawa MS., Mazlan MKN., Ahmad R., Nogawa T., Wahab HA. Roles of Syzygium in Anti-Cholinesterase, Anti-Diabetic, Anti-Inflammatory, and Antioxidant: From Alzheimer’s Perspective. Plants. 2022;11(11):1476, https://doi.org/https://doi.org/10.3390/plants11111476.</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9.</w:t>
      </w:r>
      <w:r w:rsidRPr="005E4AA4">
        <w:rPr>
          <w:rFonts w:ascii="Times New Roman" w:hAnsi="Times New Roman" w:cs="Times New Roman"/>
          <w:noProof/>
          <w:kern w:val="0"/>
          <w:szCs w:val="24"/>
        </w:rPr>
        <w:tab/>
        <w:t>Pesiu E., Lee GE., Salam MR., Salim JM., Lau KH., Yong JWH., et al. Species composition, diversity, and biomass estimation in coastal and marine protected areas of Terengganu, Peninsular Malaysia. Agronomy. 2022;12(10):2380, https://doi.org/https://doi.org/10.3390/agronomy12102380.</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10.</w:t>
      </w:r>
      <w:r w:rsidRPr="005E4AA4">
        <w:rPr>
          <w:rFonts w:ascii="Times New Roman" w:hAnsi="Times New Roman" w:cs="Times New Roman"/>
          <w:noProof/>
          <w:kern w:val="0"/>
          <w:szCs w:val="24"/>
        </w:rPr>
        <w:tab/>
        <w:t>de Sousa DP., Damasceno ROS., Amorati R., Elshabrawy HA., de Castro RD., Bezerra DP., et al. Essential Oils: Chemistry and Pharmacological Activities. Biomolecules. 2023;13(7):1144, https://doi.org/https://doi.org/10.3390/biom13071144.</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11.</w:t>
      </w:r>
      <w:r w:rsidRPr="005E4AA4">
        <w:rPr>
          <w:rFonts w:ascii="Times New Roman" w:hAnsi="Times New Roman" w:cs="Times New Roman"/>
          <w:noProof/>
          <w:kern w:val="0"/>
          <w:szCs w:val="24"/>
        </w:rPr>
        <w:tab/>
        <w:t>Dahlem Junior MA., Nguema Edzang RW., Catto AL., Raimundo J-M. Quinones as an efficient molecular scaffold in the antibacterial, antifungal or antitumoral arsenal. Int J Mol Sci. 2022;23(22):14108, https://doi.org/https://doi.org/10.3390/ijms232214108.</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12.</w:t>
      </w:r>
      <w:r w:rsidRPr="005E4AA4">
        <w:rPr>
          <w:rFonts w:ascii="Times New Roman" w:hAnsi="Times New Roman" w:cs="Times New Roman"/>
          <w:noProof/>
          <w:kern w:val="0"/>
          <w:szCs w:val="24"/>
        </w:rPr>
        <w:tab/>
        <w:t>Prokopiev I., Sleptsov I., Serebryakov E., Sharoyko V. Antioxidant and cytotoxic activities of quinones from Cetraria laevigata. Nat Prod Res. 2023:1–5, https://doi.org/https://doi.org/10.1080/14786419.2023.2187795.</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13.</w:t>
      </w:r>
      <w:r w:rsidRPr="005E4AA4">
        <w:rPr>
          <w:rFonts w:ascii="Times New Roman" w:hAnsi="Times New Roman" w:cs="Times New Roman"/>
          <w:noProof/>
          <w:kern w:val="0"/>
          <w:szCs w:val="24"/>
        </w:rPr>
        <w:tab/>
        <w:t>Cores Á., Carmona-Zafra N., Clerigué J., Villacampa M., Menéndez JC. Quinones as Neuroprotective Agents. Antioxidants. 2023;12(7):1464.</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14.</w:t>
      </w:r>
      <w:r w:rsidRPr="005E4AA4">
        <w:rPr>
          <w:rFonts w:ascii="Times New Roman" w:hAnsi="Times New Roman" w:cs="Times New Roman"/>
          <w:noProof/>
          <w:kern w:val="0"/>
          <w:szCs w:val="24"/>
        </w:rPr>
        <w:tab/>
        <w:t>Kiran P., Ghosh A., Pawar V., Maske P., Khan A., Srivastava R. Hypoxia-Targeting Drugs as New Cancer Chemotherapy Agents: Molecular Insights. Hypoxia in Cancer: Significance and Impact on Cancer Therapy. Springer; 2023. p. 351–68.</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15.</w:t>
      </w:r>
      <w:r w:rsidRPr="005E4AA4">
        <w:rPr>
          <w:rFonts w:ascii="Times New Roman" w:hAnsi="Times New Roman" w:cs="Times New Roman"/>
          <w:noProof/>
          <w:kern w:val="0"/>
          <w:szCs w:val="24"/>
        </w:rPr>
        <w:tab/>
        <w:t>Mishima E., Wahida A., Seibt T., Conrad M. Diverse biological functions of vitamin K: from coagulation to ferroptosis. Nat Metab. 2023:1–9.</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16.</w:t>
      </w:r>
      <w:r w:rsidRPr="005E4AA4">
        <w:rPr>
          <w:rFonts w:ascii="Times New Roman" w:hAnsi="Times New Roman" w:cs="Times New Roman"/>
          <w:noProof/>
          <w:kern w:val="0"/>
          <w:szCs w:val="24"/>
        </w:rPr>
        <w:tab/>
        <w:t>Peng Y., Xu D., Mao S., Zhou X. Neurotoxicity and apoptosis induced by pyrroloquinoline quinone and its ester derivative on primary cortical neurons. Neurotoxicology. 2020;78:47–56, https://doi.org/https://doi.org/10.1016/j.neuro.2020.02.005.</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17.</w:t>
      </w:r>
      <w:r w:rsidRPr="005E4AA4">
        <w:rPr>
          <w:rFonts w:ascii="Times New Roman" w:hAnsi="Times New Roman" w:cs="Times New Roman"/>
          <w:noProof/>
          <w:kern w:val="0"/>
          <w:szCs w:val="24"/>
        </w:rPr>
        <w:tab/>
        <w:t>Sahoo PMS., Behera S., Behura R., Acharya A., Biswal D., Suna SK., et al. A brief review: Antibacterial activity of Quinone derivatives. Biointerface Res Appl Chem. 2022;12:3247–58, https://doi.org/https://doi.org/10.33263/BRIAC123.32473258.</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lastRenderedPageBreak/>
        <w:t>18.</w:t>
      </w:r>
      <w:r w:rsidRPr="005E4AA4">
        <w:rPr>
          <w:rFonts w:ascii="Times New Roman" w:hAnsi="Times New Roman" w:cs="Times New Roman"/>
          <w:noProof/>
          <w:kern w:val="0"/>
          <w:szCs w:val="24"/>
        </w:rPr>
        <w:tab/>
        <w:t>Pacios-Michelena S., González CNA., Herrera RR., Alvarez-Perez OB., González MLC., Valdés RA., et al. Biomass from phytopathogens and culture conditions improve Penicillium chrysogenum antimicrobial activity and antifungal compounds production. Environ Qual Manag. 2023;33(1):349–58, https://doi.org/https://doi.org/10.1002/tqem.22065.</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19.</w:t>
      </w:r>
      <w:r w:rsidRPr="005E4AA4">
        <w:rPr>
          <w:rFonts w:ascii="Times New Roman" w:hAnsi="Times New Roman" w:cs="Times New Roman"/>
          <w:noProof/>
          <w:kern w:val="0"/>
          <w:szCs w:val="24"/>
        </w:rPr>
        <w:tab/>
        <w:t>Mohamad Ishak NS., Ikemoto K. Pyrroloquinoline-quinone to reduce fat accumulation and ameliorate obesity progression. Front Mol Biosci. 2023;10:1200025, https://doi.org/https://doi.org/10.3389/fmolb.2023.1200025.</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20.</w:t>
      </w:r>
      <w:r w:rsidRPr="005E4AA4">
        <w:rPr>
          <w:rFonts w:ascii="Times New Roman" w:hAnsi="Times New Roman" w:cs="Times New Roman"/>
          <w:noProof/>
          <w:kern w:val="0"/>
          <w:szCs w:val="24"/>
        </w:rPr>
        <w:tab/>
        <w:t>Pu T-T., Wu W., Liang P-D., Du J-C., Han S-L., Deng X-L., et al. Evaluation of coenzyme Q10 (CoQ10) deficiency and therapy in mouse models of cardiomyopathy. J Cardiovasc Pharmacol. 2022:10–1097, https://doi.org/https://doi.org/10.3390/antiox11091698.</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21.</w:t>
      </w:r>
      <w:r w:rsidRPr="005E4AA4">
        <w:rPr>
          <w:rFonts w:ascii="Times New Roman" w:hAnsi="Times New Roman" w:cs="Times New Roman"/>
          <w:noProof/>
          <w:kern w:val="0"/>
          <w:szCs w:val="24"/>
        </w:rPr>
        <w:tab/>
        <w:t>Mart\’\in JA., López R. Biological Deterioration and Natural Durability of Wood in Europe. Forests. 2023;14(2):283, https://doi.org/https://doi.org/10.3390/f14020283.</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22.</w:t>
      </w:r>
      <w:r w:rsidRPr="005E4AA4">
        <w:rPr>
          <w:rFonts w:ascii="Times New Roman" w:hAnsi="Times New Roman" w:cs="Times New Roman"/>
          <w:noProof/>
          <w:kern w:val="0"/>
          <w:szCs w:val="24"/>
        </w:rPr>
        <w:tab/>
        <w:t>Zhang S., Zhu Y-L., Ren S., Li C., Chen X-B., Li Z., et al. Covalent Organic Framework with Multiple Redox Active Sites for High-Performance Aqueous Calcium Ion Batteries. J Am Chem Soc. 2023;145(31):17309–20, https://doi.org/https://doi.org/10.1021/jacs.3c04657.</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kern w:val="0"/>
          <w:szCs w:val="24"/>
        </w:rPr>
      </w:pPr>
      <w:r w:rsidRPr="005E4AA4">
        <w:rPr>
          <w:rFonts w:ascii="Times New Roman" w:hAnsi="Times New Roman" w:cs="Times New Roman"/>
          <w:noProof/>
          <w:kern w:val="0"/>
          <w:szCs w:val="24"/>
        </w:rPr>
        <w:t>23.</w:t>
      </w:r>
      <w:r w:rsidRPr="005E4AA4">
        <w:rPr>
          <w:rFonts w:ascii="Times New Roman" w:hAnsi="Times New Roman" w:cs="Times New Roman"/>
          <w:noProof/>
          <w:kern w:val="0"/>
          <w:szCs w:val="24"/>
        </w:rPr>
        <w:tab/>
        <w:t>Cárcamo-Ibarra E., Manuel Martinez-Pacheco M., Munro-Rojas A., Enrique Ambriz-Parra J., Velázquez-Becerra C. Antifungal Activity of Crude Extracts of Tectona grandis Lf against Wood Decay Fungi. Phyt. 2022;91(8), https://doi.org/https://doi.org/10.32604/phyton.2022.020578.</w:t>
      </w:r>
    </w:p>
    <w:p w:rsidR="005E4AA4" w:rsidRPr="005E4AA4" w:rsidRDefault="005E4AA4" w:rsidP="00E8152F">
      <w:pPr>
        <w:widowControl w:val="0"/>
        <w:autoSpaceDE w:val="0"/>
        <w:autoSpaceDN w:val="0"/>
        <w:adjustRightInd w:val="0"/>
        <w:spacing w:after="0" w:line="276" w:lineRule="auto"/>
        <w:ind w:left="284" w:hanging="284"/>
        <w:jc w:val="both"/>
        <w:rPr>
          <w:rFonts w:ascii="Times New Roman" w:hAnsi="Times New Roman" w:cs="Times New Roman"/>
          <w:noProof/>
        </w:rPr>
      </w:pPr>
      <w:r w:rsidRPr="005E4AA4">
        <w:rPr>
          <w:rFonts w:ascii="Times New Roman" w:hAnsi="Times New Roman" w:cs="Times New Roman"/>
          <w:noProof/>
          <w:kern w:val="0"/>
          <w:szCs w:val="24"/>
        </w:rPr>
        <w:t>24.</w:t>
      </w:r>
      <w:r w:rsidRPr="005E4AA4">
        <w:rPr>
          <w:rFonts w:ascii="Times New Roman" w:hAnsi="Times New Roman" w:cs="Times New Roman"/>
          <w:noProof/>
          <w:kern w:val="0"/>
          <w:szCs w:val="24"/>
        </w:rPr>
        <w:tab/>
        <w:t>Dahlia AA., Daim M., Najib A. Comparative study of antioxidant activity of turmeric ethanol extract (Curcuma longa L.) and ethanol extract of curcuma (Curcuma xanthorrhiza Roxb.) using the 1.1-diphenyl-2-picrylhydrazil (DPPH) radical scavenging method. AIP Conference Proceedings, vol. 2595. 2023.</w:t>
      </w:r>
    </w:p>
    <w:p w:rsidR="000B7682" w:rsidRDefault="00D50E1E" w:rsidP="00E8152F">
      <w:pPr>
        <w:spacing w:after="0" w:line="276" w:lineRule="auto"/>
        <w:ind w:left="284" w:hanging="284"/>
        <w:jc w:val="both"/>
        <w:rPr>
          <w:rFonts w:ascii="Times New Roman" w:hAnsi="Times New Roman" w:cs="Times New Roman"/>
          <w:b/>
        </w:rPr>
      </w:pPr>
      <w:r>
        <w:rPr>
          <w:rFonts w:ascii="Times New Roman" w:hAnsi="Times New Roman" w:cs="Times New Roman"/>
          <w:b/>
        </w:rPr>
        <w:fldChar w:fldCharType="end"/>
      </w:r>
    </w:p>
    <w:p w:rsidR="000B7682" w:rsidRPr="00EB6034" w:rsidRDefault="000B7682" w:rsidP="00E8152F">
      <w:pPr>
        <w:spacing w:after="0" w:line="276" w:lineRule="auto"/>
        <w:jc w:val="both"/>
        <w:rPr>
          <w:rFonts w:ascii="Times New Roman" w:hAnsi="Times New Roman" w:cs="Times New Roman"/>
        </w:rPr>
      </w:pPr>
    </w:p>
    <w:p w:rsidR="000B7682" w:rsidRPr="000B7682" w:rsidRDefault="000B7682" w:rsidP="00E8152F">
      <w:pPr>
        <w:spacing w:after="0" w:line="276" w:lineRule="auto"/>
        <w:rPr>
          <w:rFonts w:ascii="Times New Roman" w:hAnsi="Times New Roman" w:cs="Times New Roman"/>
          <w:b/>
          <w:bCs/>
          <w:sz w:val="24"/>
          <w:szCs w:val="24"/>
        </w:rPr>
      </w:pPr>
    </w:p>
    <w:sectPr w:rsidR="000B7682" w:rsidRPr="000B7682" w:rsidSect="00E8152F">
      <w:headerReference w:type="even" r:id="rId10"/>
      <w:headerReference w:type="default" r:id="rId11"/>
      <w:headerReference w:type="first" r:id="rId12"/>
      <w:pgSz w:w="12240" w:h="15840"/>
      <w:pgMar w:top="284" w:right="1440" w:bottom="426" w:left="1440" w:header="284" w:footer="402"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LL" w:date="2023-10-06T12:08:00Z" w:initials="D">
    <w:p w:rsidR="0079476A" w:rsidRDefault="0079476A" w:rsidP="0079476A">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79476A" w:rsidRPr="00B07E1A" w:rsidRDefault="0079476A" w:rsidP="0079476A">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1</w:t>
      </w:r>
      <w:r>
        <w:rPr>
          <w:rFonts w:ascii="Bookman Old Style" w:hAnsi="Bookman Old Style" w:cs="Times New Roman"/>
          <w:highlight w:val="green"/>
          <w:lang w:val="fr-FR"/>
        </w:rPr>
        <w:t>4</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79476A" w:rsidRDefault="0079476A" w:rsidP="0079476A">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w:t>
      </w:r>
    </w:p>
    <w:p w:rsidR="0079476A" w:rsidRDefault="0079476A">
      <w:pPr>
        <w:pStyle w:val="CommentText"/>
      </w:pPr>
    </w:p>
  </w:comment>
  <w:comment w:id="1" w:author="DELL" w:date="2023-10-06T12:19:00Z" w:initials="D">
    <w:p w:rsidR="0079476A" w:rsidRDefault="0079476A">
      <w:pPr>
        <w:pStyle w:val="CommentText"/>
      </w:pPr>
      <w:r>
        <w:rPr>
          <w:rStyle w:val="CommentReference"/>
        </w:rPr>
        <w:annotationRef/>
      </w:r>
      <w:r>
        <w:t xml:space="preserve">There is need of update in this article at </w:t>
      </w:r>
      <w:r w:rsidRPr="00497F11">
        <w:rPr>
          <w:highlight w:val="yellow"/>
        </w:rPr>
        <w:t>major level</w:t>
      </w:r>
      <w:r>
        <w:t xml:space="preserve">. Discussion section is not satisfactory. </w:t>
      </w:r>
    </w:p>
    <w:p w:rsidR="0079476A" w:rsidRDefault="0079476A">
      <w:pPr>
        <w:pStyle w:val="CommentText"/>
      </w:pPr>
      <w:r>
        <w:t xml:space="preserve">Author should add some more evaluation parameters to this study, </w:t>
      </w:r>
      <w:r w:rsidR="00497F11">
        <w:t xml:space="preserve">without it article is lacking novelty. </w:t>
      </w:r>
    </w:p>
  </w:comment>
  <w:comment w:id="2" w:author="DELL" w:date="2023-10-06T12:08:00Z" w:initials="D">
    <w:p w:rsidR="0079476A" w:rsidRPr="00EE2A57" w:rsidRDefault="0079476A" w:rsidP="0079476A">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79476A" w:rsidRPr="00FF2ACD" w:rsidRDefault="0079476A" w:rsidP="0079476A">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79476A" w:rsidRPr="00FF2ACD" w:rsidRDefault="0079476A" w:rsidP="0079476A">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79476A" w:rsidRPr="00FF2ACD" w:rsidRDefault="0079476A" w:rsidP="0079476A">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79476A" w:rsidRPr="00FF2ACD" w:rsidRDefault="0079476A" w:rsidP="0079476A">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79476A" w:rsidRPr="00EE2A57" w:rsidRDefault="0079476A" w:rsidP="0079476A">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79476A" w:rsidRDefault="0079476A">
      <w:pPr>
        <w:pStyle w:val="CommentText"/>
      </w:pPr>
    </w:p>
  </w:comment>
  <w:comment w:id="3" w:author="DELL" w:date="2023-10-06T12:12:00Z" w:initials="D">
    <w:p w:rsidR="0079476A" w:rsidRDefault="0079476A">
      <w:pPr>
        <w:pStyle w:val="CommentText"/>
      </w:pPr>
      <w:r>
        <w:rPr>
          <w:rStyle w:val="CommentReference"/>
        </w:rPr>
        <w:annotationRef/>
      </w:r>
      <w:r>
        <w:t>Write part of the plant</w:t>
      </w:r>
    </w:p>
  </w:comment>
  <w:comment w:id="4" w:author="DELL" w:date="2023-10-06T12:08:00Z" w:initials="D">
    <w:p w:rsidR="0079476A" w:rsidRPr="003210B9" w:rsidRDefault="0079476A" w:rsidP="0079476A">
      <w:pPr>
        <w:spacing w:after="0"/>
        <w:rPr>
          <w:rFonts w:ascii="Bookman Old Style" w:hAnsi="Bookman Old Style" w:cs="Times New Roman"/>
        </w:rPr>
      </w:pPr>
      <w:r>
        <w:rPr>
          <w:rStyle w:val="CommentReference"/>
        </w:rPr>
        <w:annotationRef/>
      </w:r>
      <w:r w:rsidRPr="003210B9">
        <w:rPr>
          <w:rFonts w:ascii="Bookman Old Style" w:hAnsi="Bookman Old Style" w:cs="Times New Roman"/>
        </w:rPr>
        <w:t>Arrange alphabetically.</w:t>
      </w:r>
    </w:p>
    <w:p w:rsidR="0079476A" w:rsidRDefault="0079476A">
      <w:pPr>
        <w:pStyle w:val="CommentText"/>
      </w:pPr>
    </w:p>
  </w:comment>
  <w:comment w:id="5" w:author="intel" w:date="2023-11-14T16:06:00Z" w:initials="i">
    <w:p w:rsidR="00714958" w:rsidRDefault="00714958" w:rsidP="00714958">
      <w:pPr>
        <w:spacing w:after="0"/>
        <w:rPr>
          <w:rFonts w:ascii="Bookman Old Style" w:eastAsia="Times New Roman" w:hAnsi="Bookman Old Style" w:cs="Times New Roman"/>
          <w:snapToGrid w:val="0"/>
          <w:sz w:val="20"/>
          <w:szCs w:val="20"/>
        </w:rPr>
      </w:pPr>
      <w:r>
        <w:rPr>
          <w:rStyle w:val="CommentReference"/>
        </w:rPr>
        <w:annotationRef/>
      </w:r>
      <w:r w:rsidRPr="00822352">
        <w:rPr>
          <w:rFonts w:ascii="Bookman Old Style" w:eastAsia="Times New Roman" w:hAnsi="Bookman Old Style" w:cs="Times New Roman"/>
          <w:snapToGrid w:val="0"/>
          <w:sz w:val="20"/>
          <w:szCs w:val="20"/>
        </w:rPr>
        <w:t>The reader will notice harmony in the first step of the presentation of the subject and focused easily on the aims of the work.</w:t>
      </w:r>
    </w:p>
    <w:p w:rsidR="00714958" w:rsidRDefault="00714958">
      <w:pPr>
        <w:pStyle w:val="CommentText"/>
      </w:pPr>
    </w:p>
  </w:comment>
  <w:comment w:id="6" w:author="intel" w:date="2023-11-14T16:06:00Z" w:initials="i">
    <w:p w:rsidR="00714958" w:rsidRPr="009A6D46" w:rsidRDefault="00714958" w:rsidP="00714958">
      <w:pPr>
        <w:spacing w:after="0"/>
        <w:rPr>
          <w:rFonts w:ascii="Bookman Old Style" w:eastAsia="Times New Roman" w:hAnsi="Bookman Old Style" w:cs="Times New Roman"/>
          <w:snapToGrid w:val="0"/>
          <w:sz w:val="20"/>
          <w:szCs w:val="20"/>
        </w:rPr>
      </w:pPr>
      <w:r>
        <w:rPr>
          <w:rStyle w:val="CommentReference"/>
        </w:rPr>
        <w:annotationRef/>
      </w:r>
      <w:r w:rsidRPr="009A6D46">
        <w:rPr>
          <w:rFonts w:ascii="Bookman Old Style" w:eastAsia="Times New Roman" w:hAnsi="Bookman Old Style" w:cs="Times New Roman"/>
          <w:snapToGrid w:val="0"/>
          <w:sz w:val="20"/>
          <w:szCs w:val="20"/>
        </w:rPr>
        <w:t>The introduction section adequately explains the framework and problems of the research.</w:t>
      </w:r>
    </w:p>
    <w:p w:rsidR="00714958" w:rsidRDefault="00714958" w:rsidP="00714958">
      <w:pPr>
        <w:spacing w:after="0"/>
        <w:rPr>
          <w:rFonts w:ascii="Bookman Old Style" w:eastAsia="Times New Roman" w:hAnsi="Bookman Old Style" w:cs="Times New Roman"/>
          <w:snapToGrid w:val="0"/>
          <w:sz w:val="20"/>
          <w:szCs w:val="20"/>
        </w:rPr>
      </w:pPr>
      <w:r w:rsidRPr="009A6D46">
        <w:rPr>
          <w:rFonts w:ascii="Bookman Old Style" w:eastAsia="Times New Roman" w:hAnsi="Bookman Old Style" w:cs="Times New Roman"/>
          <w:snapToGrid w:val="0"/>
          <w:sz w:val="20"/>
          <w:szCs w:val="20"/>
        </w:rPr>
        <w:t>Good and properly articulated.</w:t>
      </w:r>
    </w:p>
    <w:p w:rsidR="00714958" w:rsidRDefault="00714958">
      <w:pPr>
        <w:pStyle w:val="CommentText"/>
      </w:pPr>
    </w:p>
  </w:comment>
  <w:comment w:id="7" w:author="DELL" w:date="2023-10-06T12:10:00Z" w:initials="D">
    <w:p w:rsidR="0079476A" w:rsidRDefault="0079476A">
      <w:pPr>
        <w:pStyle w:val="CommentText"/>
      </w:pPr>
      <w:r>
        <w:rPr>
          <w:rStyle w:val="CommentReference"/>
        </w:rPr>
        <w:annotationRef/>
      </w:r>
      <w:r>
        <w:t>Remove this figure, no need</w:t>
      </w:r>
    </w:p>
  </w:comment>
  <w:comment w:id="8" w:author="intel" w:date="2023-11-14T16:06:00Z" w:initials="i">
    <w:p w:rsidR="00714958" w:rsidRDefault="00714958" w:rsidP="00714958">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 It is</w:t>
      </w:r>
      <w:r w:rsidRPr="00AB42B9">
        <w:rPr>
          <w:rFonts w:ascii="Bookman Old Style" w:hAnsi="Bookman Old Style" w:cs="Times New Roman"/>
        </w:rPr>
        <w:t xml:space="preserve"> covered by the researcher very well.</w:t>
      </w:r>
    </w:p>
    <w:p w:rsidR="00714958" w:rsidRDefault="00714958">
      <w:pPr>
        <w:pStyle w:val="CommentText"/>
      </w:pPr>
    </w:p>
  </w:comment>
  <w:comment w:id="9" w:author="DELL" w:date="2023-10-06T12:17:00Z" w:initials="D">
    <w:p w:rsidR="0079476A" w:rsidRDefault="0079476A">
      <w:pPr>
        <w:pStyle w:val="CommentText"/>
      </w:pPr>
      <w:r>
        <w:rPr>
          <w:rStyle w:val="CommentReference"/>
        </w:rPr>
        <w:annotationRef/>
      </w:r>
      <w:r>
        <w:t>It will be more impressive if the author will add some more evaluation parameters</w:t>
      </w:r>
    </w:p>
  </w:comment>
  <w:comment w:id="10" w:author="DELL" w:date="2023-10-06T12:13:00Z" w:initials="D">
    <w:p w:rsidR="0079476A" w:rsidRDefault="0079476A" w:rsidP="0079476A">
      <w:pPr>
        <w:spacing w:after="0"/>
        <w:rPr>
          <w:rFonts w:ascii="Bookman Old Style" w:hAnsi="Bookman Old Style" w:cs="Times New Roman"/>
        </w:rPr>
      </w:pPr>
      <w:r>
        <w:rPr>
          <w:rStyle w:val="CommentReference"/>
        </w:rPr>
        <w:annotationRef/>
      </w:r>
      <w:r w:rsidRPr="00332B81">
        <w:rPr>
          <w:rFonts w:ascii="Bookman Old Style" w:hAnsi="Bookman Old Style" w:cs="Times New Roman"/>
        </w:rPr>
        <w:t>Information of plant material is missing like</w:t>
      </w:r>
      <w:r>
        <w:rPr>
          <w:rFonts w:ascii="Bookman Old Style" w:hAnsi="Bookman Old Style" w:cs="Times New Roman"/>
        </w:rPr>
        <w:t>-</w:t>
      </w:r>
    </w:p>
    <w:p w:rsidR="0079476A" w:rsidRDefault="0079476A" w:rsidP="0079476A">
      <w:pPr>
        <w:spacing w:after="0"/>
        <w:rPr>
          <w:rFonts w:ascii="Bookman Old Style" w:hAnsi="Bookman Old Style" w:cs="Times New Roman"/>
        </w:rPr>
      </w:pPr>
      <w:r>
        <w:rPr>
          <w:rFonts w:ascii="Bookman Old Style" w:hAnsi="Bookman Old Style" w:cs="Times New Roman"/>
        </w:rPr>
        <w:t>-From where plant was obtained(city, country)</w:t>
      </w:r>
    </w:p>
    <w:p w:rsidR="0079476A" w:rsidRDefault="0079476A" w:rsidP="0079476A">
      <w:pPr>
        <w:spacing w:after="0"/>
        <w:rPr>
          <w:rFonts w:ascii="Bookman Old Style" w:hAnsi="Bookman Old Style" w:cs="Times New Roman"/>
        </w:rPr>
      </w:pPr>
      <w:r>
        <w:rPr>
          <w:rFonts w:ascii="Bookman Old Style" w:hAnsi="Bookman Old Style" w:cs="Times New Roman"/>
        </w:rPr>
        <w:t>-Parts used</w:t>
      </w:r>
      <w:r w:rsidRPr="00332B81">
        <w:rPr>
          <w:rFonts w:ascii="Bookman Old Style" w:hAnsi="Bookman Old Style" w:cs="Times New Roman"/>
        </w:rPr>
        <w:t xml:space="preserve"> </w:t>
      </w:r>
    </w:p>
    <w:p w:rsidR="0079476A" w:rsidRDefault="0079476A" w:rsidP="0079476A">
      <w:pPr>
        <w:spacing w:after="0"/>
        <w:rPr>
          <w:rFonts w:ascii="Bookman Old Style" w:hAnsi="Bookman Old Style" w:cs="Times New Roman"/>
        </w:rPr>
      </w:pPr>
      <w:r>
        <w:rPr>
          <w:rFonts w:ascii="Bookman Old Style" w:hAnsi="Bookman Old Style" w:cs="Times New Roman"/>
        </w:rPr>
        <w:t>-V</w:t>
      </w:r>
      <w:r w:rsidRPr="00C619F9">
        <w:rPr>
          <w:rFonts w:ascii="Bookman Old Style" w:hAnsi="Bookman Old Style" w:cs="Times New Roman"/>
        </w:rPr>
        <w:t>oucher specimen number.</w:t>
      </w:r>
      <w:r w:rsidRPr="00332B81">
        <w:rPr>
          <w:rFonts w:ascii="Bookman Old Style" w:hAnsi="Bookman Old Style" w:cs="Times New Roman"/>
        </w:rPr>
        <w:t xml:space="preserve"> </w:t>
      </w:r>
    </w:p>
    <w:p w:rsidR="0079476A" w:rsidRDefault="0079476A" w:rsidP="0079476A">
      <w:pPr>
        <w:spacing w:after="0" w:line="240" w:lineRule="auto"/>
        <w:rPr>
          <w:rFonts w:ascii="Bookman Old Style" w:hAnsi="Bookman Old Style" w:cs="Times New Roman"/>
        </w:rPr>
      </w:pPr>
      <w:r>
        <w:rPr>
          <w:rFonts w:ascii="Bookman Old Style" w:hAnsi="Bookman Old Style" w:cs="Times New Roman"/>
        </w:rPr>
        <w:t>-S</w:t>
      </w:r>
      <w:r w:rsidRPr="0030206F">
        <w:rPr>
          <w:rFonts w:ascii="Bookman Old Style" w:hAnsi="Bookman Old Style" w:cs="Times New Roman"/>
        </w:rPr>
        <w:t xml:space="preserve">eason of collection of </w:t>
      </w:r>
      <w:r>
        <w:rPr>
          <w:rFonts w:ascii="Bookman Old Style" w:hAnsi="Bookman Old Style" w:cs="Times New Roman"/>
        </w:rPr>
        <w:t>plants</w:t>
      </w:r>
      <w:r w:rsidRPr="0030206F">
        <w:rPr>
          <w:rFonts w:ascii="Bookman Old Style" w:hAnsi="Bookman Old Style" w:cs="Times New Roman"/>
        </w:rPr>
        <w:t>.</w:t>
      </w:r>
    </w:p>
    <w:p w:rsidR="0079476A" w:rsidRDefault="0079476A" w:rsidP="0079476A">
      <w:pPr>
        <w:spacing w:after="0"/>
        <w:rPr>
          <w:rFonts w:ascii="Bookman Old Style" w:hAnsi="Bookman Old Style" w:cs="Times New Roman"/>
        </w:rPr>
      </w:pPr>
      <w:r>
        <w:rPr>
          <w:rFonts w:ascii="Bookman Old Style" w:hAnsi="Bookman Old Style" w:cs="Times New Roman"/>
        </w:rPr>
        <w:t>-Botanist details</w:t>
      </w:r>
    </w:p>
    <w:p w:rsidR="0079476A" w:rsidRDefault="0079476A">
      <w:pPr>
        <w:pStyle w:val="CommentText"/>
      </w:pPr>
    </w:p>
  </w:comment>
  <w:comment w:id="11" w:author="DELL" w:date="2023-10-06T12:15:00Z" w:initials="D">
    <w:p w:rsidR="0079476A" w:rsidRDefault="0079476A">
      <w:pPr>
        <w:pStyle w:val="CommentText"/>
      </w:pPr>
      <w:r>
        <w:rPr>
          <w:rStyle w:val="CommentReference"/>
        </w:rPr>
        <w:annotationRef/>
      </w:r>
      <w:r>
        <w:t xml:space="preserve">Procedure to isolate </w:t>
      </w:r>
      <w:r w:rsidRPr="000B7682">
        <w:rPr>
          <w:rFonts w:ascii="Times New Roman" w:hAnsi="Times New Roman" w:cs="Times New Roman"/>
          <w:bCs/>
        </w:rPr>
        <w:t>tectoquinone compound</w:t>
      </w:r>
      <w:r>
        <w:rPr>
          <w:rFonts w:ascii="Times New Roman" w:hAnsi="Times New Roman" w:cs="Times New Roman"/>
          <w:bCs/>
        </w:rPr>
        <w:t>?</w:t>
      </w:r>
    </w:p>
  </w:comment>
  <w:comment w:id="12" w:author="Kapil" w:date="2023-11-14T16:08:00Z" w:initials="K">
    <w:p w:rsidR="00714958" w:rsidRDefault="00714958" w:rsidP="00714958">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714958" w:rsidRDefault="00714958" w:rsidP="00714958">
      <w:pPr>
        <w:pStyle w:val="CommentText"/>
      </w:pPr>
    </w:p>
  </w:comment>
  <w:comment w:id="13" w:author="DELL" w:date="2023-10-06T12:16:00Z" w:initials="D">
    <w:p w:rsidR="0079476A" w:rsidRDefault="0079476A">
      <w:pPr>
        <w:pStyle w:val="CommentText"/>
      </w:pPr>
      <w:r>
        <w:rPr>
          <w:rStyle w:val="CommentReference"/>
        </w:rPr>
        <w:annotationRef/>
      </w:r>
      <w:r>
        <w:t xml:space="preserve"> Not satisfactory</w:t>
      </w:r>
    </w:p>
    <w:p w:rsidR="0079476A" w:rsidRDefault="0079476A">
      <w:pPr>
        <w:pStyle w:val="CommentText"/>
      </w:pPr>
    </w:p>
    <w:p w:rsidR="0079476A" w:rsidRDefault="0079476A">
      <w:pPr>
        <w:pStyle w:val="CommentText"/>
      </w:pPr>
    </w:p>
    <w:p w:rsidR="0079476A" w:rsidRDefault="0079476A">
      <w:pPr>
        <w:pStyle w:val="CommentText"/>
      </w:pPr>
      <w:r>
        <w:t xml:space="preserve">Author should compare the obtained results with some previous studies. </w:t>
      </w:r>
    </w:p>
  </w:comment>
  <w:comment w:id="14" w:author="intel" w:date="2023-11-14T16:05:00Z" w:initials="i">
    <w:p w:rsidR="00714958" w:rsidRDefault="00714958">
      <w:pPr>
        <w:pStyle w:val="CommentText"/>
      </w:pPr>
      <w:r>
        <w:rPr>
          <w:rStyle w:val="CommentReference"/>
        </w:rPr>
        <w:annotationRef/>
      </w:r>
      <w:r>
        <w:t>It is in point?</w:t>
      </w:r>
    </w:p>
  </w:comment>
  <w:comment w:id="15" w:author="Kapil" w:date="2023-10-06T12:20:00Z" w:initials="K">
    <w:p w:rsidR="00497F11" w:rsidRDefault="00497F11" w:rsidP="00497F11">
      <w:pPr>
        <w:pStyle w:val="CommentText"/>
      </w:pPr>
      <w:r>
        <w:rPr>
          <w:rStyle w:val="CommentReference"/>
        </w:rPr>
        <w:annotationRef/>
      </w:r>
      <w:r w:rsidRPr="008E2CB3">
        <w:rPr>
          <w:rFonts w:ascii="Bookman Old Style" w:hAnsi="Bookman Old Style" w:cs="Times New Roman"/>
        </w:rPr>
        <w:t>Please add this section</w:t>
      </w:r>
    </w:p>
  </w:comment>
  <w:comment w:id="16" w:author="intel" w:date="2023-11-14T16:08:00Z" w:initials="i">
    <w:p w:rsidR="00714958" w:rsidRDefault="00714958">
      <w:pPr>
        <w:pStyle w:val="CommentText"/>
      </w:pPr>
      <w:r>
        <w:rPr>
          <w:rStyle w:val="CommentReference"/>
        </w:rPr>
        <w:annotationRef/>
      </w:r>
      <w:r>
        <w:t>Scanty, add some more content to it.</w:t>
      </w:r>
    </w:p>
  </w:comment>
  <w:comment w:id="17" w:author="DELL" w:date="2023-10-06T12:21:00Z" w:initials="D">
    <w:p w:rsidR="00497F11" w:rsidRPr="006212BC" w:rsidRDefault="00497F11" w:rsidP="00497F11">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497F11" w:rsidRDefault="00497F11" w:rsidP="00497F11">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497F11" w:rsidRDefault="00497F11" w:rsidP="00497F11">
      <w:pPr>
        <w:spacing w:after="0"/>
        <w:rPr>
          <w:rFonts w:ascii="Bookman Old Style" w:hAnsi="Bookman Old Style" w:cs="Times New Roman"/>
          <w:b/>
          <w:color w:val="00B050"/>
        </w:rPr>
      </w:pPr>
    </w:p>
    <w:p w:rsidR="00497F11" w:rsidRDefault="00497F11" w:rsidP="00497F11">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497F11" w:rsidRPr="00100B8B" w:rsidRDefault="00497F11" w:rsidP="00497F11">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497F11" w:rsidRDefault="00497F11">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A35" w:rsidRDefault="00020A35" w:rsidP="00E8152F">
      <w:pPr>
        <w:spacing w:after="0" w:line="240" w:lineRule="auto"/>
      </w:pPr>
      <w:r>
        <w:separator/>
      </w:r>
    </w:p>
  </w:endnote>
  <w:endnote w:type="continuationSeparator" w:id="1">
    <w:p w:rsidR="00020A35" w:rsidRDefault="00020A35" w:rsidP="00E81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A35" w:rsidRDefault="00020A35" w:rsidP="00E8152F">
      <w:pPr>
        <w:spacing w:after="0" w:line="240" w:lineRule="auto"/>
      </w:pPr>
      <w:r>
        <w:separator/>
      </w:r>
    </w:p>
  </w:footnote>
  <w:footnote w:type="continuationSeparator" w:id="1">
    <w:p w:rsidR="00020A35" w:rsidRDefault="00020A35" w:rsidP="00E81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52F" w:rsidRDefault="00D50E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162329" o:spid="_x0000_s2050"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52F" w:rsidRDefault="00D50E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162330" o:spid="_x0000_s2051"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52F" w:rsidRDefault="00D50E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162328" o:spid="_x0000_s2049"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TA2NTA2NDMwMzQzsjRS0lEKTi0uzszPAykwrAUAIxgOdSwAAAA="/>
  </w:docVars>
  <w:rsids>
    <w:rsidRoot w:val="000B7682"/>
    <w:rsid w:val="00020A35"/>
    <w:rsid w:val="000B7682"/>
    <w:rsid w:val="000B772B"/>
    <w:rsid w:val="000C4A78"/>
    <w:rsid w:val="000E7B9E"/>
    <w:rsid w:val="0016635C"/>
    <w:rsid w:val="002B7B40"/>
    <w:rsid w:val="00497F11"/>
    <w:rsid w:val="004C767B"/>
    <w:rsid w:val="005D7C7D"/>
    <w:rsid w:val="005E4AA4"/>
    <w:rsid w:val="00602928"/>
    <w:rsid w:val="00714958"/>
    <w:rsid w:val="0079476A"/>
    <w:rsid w:val="007E4962"/>
    <w:rsid w:val="008B7023"/>
    <w:rsid w:val="009540CE"/>
    <w:rsid w:val="009B2C2D"/>
    <w:rsid w:val="009F711B"/>
    <w:rsid w:val="00A43A1D"/>
    <w:rsid w:val="00AE3443"/>
    <w:rsid w:val="00AE37ED"/>
    <w:rsid w:val="00BF0A07"/>
    <w:rsid w:val="00C44643"/>
    <w:rsid w:val="00CA0E94"/>
    <w:rsid w:val="00CE767E"/>
    <w:rsid w:val="00D01922"/>
    <w:rsid w:val="00D50E1E"/>
    <w:rsid w:val="00E0700C"/>
    <w:rsid w:val="00E641F1"/>
    <w:rsid w:val="00E8152F"/>
    <w:rsid w:val="00ED7BF2"/>
    <w:rsid w:val="00F90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7682"/>
    <w:rPr>
      <w:color w:val="0000FF"/>
      <w:u w:val="single"/>
    </w:rPr>
  </w:style>
  <w:style w:type="paragraph" w:customStyle="1" w:styleId="MDPI16affiliation">
    <w:name w:val="MDPI_1.6_affiliation"/>
    <w:qFormat/>
    <w:rsid w:val="000B7682"/>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eastAsia="de-DE" w:bidi="en-US"/>
    </w:rPr>
  </w:style>
  <w:style w:type="table" w:customStyle="1" w:styleId="ListTable2">
    <w:name w:val="List Table 2"/>
    <w:basedOn w:val="TableNormal"/>
    <w:uiPriority w:val="47"/>
    <w:rsid w:val="000B7682"/>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0B7682"/>
    <w:pPr>
      <w:ind w:left="720"/>
      <w:contextualSpacing/>
    </w:pPr>
    <w:rPr>
      <w:kern w:val="0"/>
      <w:lang w:val="id-ID"/>
    </w:rPr>
  </w:style>
  <w:style w:type="paragraph" w:styleId="BalloonText">
    <w:name w:val="Balloon Text"/>
    <w:basedOn w:val="Normal"/>
    <w:link w:val="BalloonTextChar"/>
    <w:uiPriority w:val="99"/>
    <w:semiHidden/>
    <w:unhideWhenUsed/>
    <w:rsid w:val="00E81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52F"/>
    <w:rPr>
      <w:rFonts w:ascii="Tahoma" w:hAnsi="Tahoma" w:cs="Tahoma"/>
      <w:sz w:val="16"/>
      <w:szCs w:val="16"/>
    </w:rPr>
  </w:style>
  <w:style w:type="paragraph" w:styleId="Header">
    <w:name w:val="header"/>
    <w:basedOn w:val="Normal"/>
    <w:link w:val="HeaderChar"/>
    <w:uiPriority w:val="99"/>
    <w:semiHidden/>
    <w:unhideWhenUsed/>
    <w:rsid w:val="00E815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152F"/>
  </w:style>
  <w:style w:type="paragraph" w:styleId="Footer">
    <w:name w:val="footer"/>
    <w:basedOn w:val="Normal"/>
    <w:link w:val="FooterChar"/>
    <w:uiPriority w:val="99"/>
    <w:semiHidden/>
    <w:unhideWhenUsed/>
    <w:rsid w:val="00E815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152F"/>
  </w:style>
  <w:style w:type="character" w:styleId="CommentReference">
    <w:name w:val="annotation reference"/>
    <w:basedOn w:val="DefaultParagraphFont"/>
    <w:uiPriority w:val="99"/>
    <w:unhideWhenUsed/>
    <w:rsid w:val="0079476A"/>
    <w:rPr>
      <w:sz w:val="16"/>
      <w:szCs w:val="16"/>
    </w:rPr>
  </w:style>
  <w:style w:type="paragraph" w:styleId="CommentText">
    <w:name w:val="annotation text"/>
    <w:basedOn w:val="Normal"/>
    <w:link w:val="CommentTextChar"/>
    <w:uiPriority w:val="99"/>
    <w:unhideWhenUsed/>
    <w:rsid w:val="0079476A"/>
    <w:pPr>
      <w:spacing w:line="240" w:lineRule="auto"/>
    </w:pPr>
    <w:rPr>
      <w:sz w:val="20"/>
      <w:szCs w:val="20"/>
    </w:rPr>
  </w:style>
  <w:style w:type="character" w:customStyle="1" w:styleId="CommentTextChar">
    <w:name w:val="Comment Text Char"/>
    <w:basedOn w:val="DefaultParagraphFont"/>
    <w:link w:val="CommentText"/>
    <w:uiPriority w:val="99"/>
    <w:rsid w:val="0079476A"/>
    <w:rPr>
      <w:sz w:val="20"/>
      <w:szCs w:val="20"/>
    </w:rPr>
  </w:style>
  <w:style w:type="paragraph" w:styleId="CommentSubject">
    <w:name w:val="annotation subject"/>
    <w:basedOn w:val="CommentText"/>
    <w:next w:val="CommentText"/>
    <w:link w:val="CommentSubjectChar"/>
    <w:uiPriority w:val="99"/>
    <w:semiHidden/>
    <w:unhideWhenUsed/>
    <w:rsid w:val="0079476A"/>
    <w:rPr>
      <w:b/>
      <w:bCs/>
    </w:rPr>
  </w:style>
  <w:style w:type="character" w:customStyle="1" w:styleId="CommentSubjectChar">
    <w:name w:val="Comment Subject Char"/>
    <w:basedOn w:val="CommentTextChar"/>
    <w:link w:val="CommentSubject"/>
    <w:uiPriority w:val="99"/>
    <w:semiHidden/>
    <w:rsid w:val="0079476A"/>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Downloads\DPPH%20JA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100"/>
              <a:t>TECTOQUINONE</a:t>
            </a:r>
            <a:endParaRPr lang="en-US"/>
          </a:p>
        </c:rich>
      </c:tx>
      <c:layout>
        <c:manualLayout>
          <c:xMode val="edge"/>
          <c:yMode val="edge"/>
          <c:x val="0.32939647704302666"/>
          <c:y val="3.2017075773746032E-2"/>
        </c:manualLayout>
      </c:layout>
      <c:spPr>
        <a:noFill/>
        <a:ln>
          <a:noFill/>
        </a:ln>
        <a:effectLst/>
      </c:spPr>
    </c:title>
    <c:view3D>
      <c:perspective val="30"/>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cked"/>
        <c:ser>
          <c:idx val="0"/>
          <c:order val="0"/>
          <c:spPr>
            <a:solidFill>
              <a:schemeClr val="accent1"/>
            </a:solidFill>
            <a:ln>
              <a:noFill/>
            </a:ln>
            <a:effectLst/>
            <a:sp3d/>
          </c:spPr>
          <c:cat>
            <c:numRef>
              <c:f>Sheet6!$B$19:$B$23</c:f>
              <c:numCache>
                <c:formatCode>General</c:formatCode>
                <c:ptCount val="5"/>
                <c:pt idx="0">
                  <c:v>10</c:v>
                </c:pt>
                <c:pt idx="1">
                  <c:v>20</c:v>
                </c:pt>
                <c:pt idx="2">
                  <c:v>30</c:v>
                </c:pt>
                <c:pt idx="3">
                  <c:v>40</c:v>
                </c:pt>
                <c:pt idx="4">
                  <c:v>50</c:v>
                </c:pt>
              </c:numCache>
            </c:numRef>
          </c:cat>
          <c:val>
            <c:numRef>
              <c:f>Sheet6!$C$19:$C$23</c:f>
              <c:numCache>
                <c:formatCode>General</c:formatCode>
                <c:ptCount val="5"/>
                <c:pt idx="0">
                  <c:v>41.750841750841744</c:v>
                </c:pt>
                <c:pt idx="1">
                  <c:v>43.60269360269357</c:v>
                </c:pt>
                <c:pt idx="2">
                  <c:v>45.959595959595958</c:v>
                </c:pt>
                <c:pt idx="3">
                  <c:v>46.296296296296291</c:v>
                </c:pt>
                <c:pt idx="4">
                  <c:v>47.306397306397294</c:v>
                </c:pt>
              </c:numCache>
            </c:numRef>
          </c:val>
          <c:extLst xmlns:c16r2="http://schemas.microsoft.com/office/drawing/2015/06/chart">
            <c:ext xmlns:c16="http://schemas.microsoft.com/office/drawing/2014/chart" uri="{C3380CC4-5D6E-409C-BE32-E72D297353CC}">
              <c16:uniqueId val="{00000000-F84B-4740-9A8C-96662D9709DE}"/>
            </c:ext>
          </c:extLst>
        </c:ser>
        <c:gapWidth val="188"/>
        <c:gapDepth val="428"/>
        <c:shape val="box"/>
        <c:axId val="83184640"/>
        <c:axId val="83821312"/>
        <c:axId val="0"/>
      </c:bar3DChart>
      <c:catAx>
        <c:axId val="8318464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3821312"/>
        <c:crosses val="autoZero"/>
        <c:auto val="1"/>
        <c:lblAlgn val="ctr"/>
        <c:lblOffset val="100"/>
        <c:noMultiLvlLbl val="1"/>
      </c:catAx>
      <c:valAx>
        <c:axId val="838213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318464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6</Pages>
  <Words>7934</Words>
  <Characters>45228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Najib</dc:creator>
  <cp:keywords/>
  <dc:description/>
  <cp:lastModifiedBy>intel</cp:lastModifiedBy>
  <cp:revision>27</cp:revision>
  <dcterms:created xsi:type="dcterms:W3CDTF">2023-09-28T04:51:00Z</dcterms:created>
  <dcterms:modified xsi:type="dcterms:W3CDTF">2023-11-14T10:38:00Z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http://www.zotero.org/styles/colombian-journal-of-anesthesiology</vt:lpwstr>
  </property>
  <property fmtid="{D5CDD505-2E9C-101B-9397-08002B2CF9AE}" pid="4" name="Mendeley Unique User Id_1">
    <vt:lpwstr>1e52e6cd-a68f-307e-aa07-effb80c0861d</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https://csl.mendeley.com/styles/108773731/Tesis</vt:lpwstr>
  </property>
  <property fmtid="{D5CDD505-2E9C-101B-9397-08002B2CF9AE}" pid="8" name="Mendeley Recent Style Name 1_1">
    <vt:lpwstr>CNS &amp; Neurological Disorders - Drug Targets - Ahmad Najib</vt:lpwstr>
  </property>
  <property fmtid="{D5CDD505-2E9C-101B-9397-08002B2CF9AE}" pid="9" name="Mendeley Recent Style Id 2_1">
    <vt:lpwstr>http://www.zotero.org/styles/colombian-journal-of-anesthesiology</vt:lpwstr>
  </property>
  <property fmtid="{D5CDD505-2E9C-101B-9397-08002B2CF9AE}" pid="10" name="Mendeley Recent Style Name 2_1">
    <vt:lpwstr>Colombian Journal of Anesthesiology</vt:lpwstr>
  </property>
  <property fmtid="{D5CDD505-2E9C-101B-9397-08002B2CF9AE}" pid="11" name="Mendeley Recent Style Id 3_1">
    <vt:lpwstr>https://csl.mendeley.com/styles/108773731/current-proteomics</vt:lpwstr>
  </property>
  <property fmtid="{D5CDD505-2E9C-101B-9397-08002B2CF9AE}" pid="12" name="Mendeley Recent Style Name 3_1">
    <vt:lpwstr>Current Proteomics - Ahmad Najib</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http://www.zotero.org/styles/journal-of-natural-products</vt:lpwstr>
  </property>
  <property fmtid="{D5CDD505-2E9C-101B-9397-08002B2CF9AE}" pid="16" name="Mendeley Recent Style Name 5_1">
    <vt:lpwstr>Journal of Natural Products</vt:lpwstr>
  </property>
  <property fmtid="{D5CDD505-2E9C-101B-9397-08002B2CF9AE}" pid="17" name="Mendeley Recent Style Id 6_1">
    <vt:lpwstr>http://csl.mendeley.com/styles/108773731/lethaia</vt:lpwstr>
  </property>
  <property fmtid="{D5CDD505-2E9C-101B-9397-08002B2CF9AE}" pid="18" name="Mendeley Recent Style Name 6_1">
    <vt:lpwstr>Lethaia - Ahmad Najib</vt:lpwstr>
  </property>
  <property fmtid="{D5CDD505-2E9C-101B-9397-08002B2CF9AE}" pid="19" name="Mendeley Recent Style Id 7_1">
    <vt:lpwstr>http://csl.mendeley.com/styles/108773731/multidisciplinary-digital-publishing-institute</vt:lpwstr>
  </property>
  <property fmtid="{D5CDD505-2E9C-101B-9397-08002B2CF9AE}" pid="20" name="Mendeley Recent Style Name 7_1">
    <vt:lpwstr>Multidisciplinary Digital Publishing Institute - Ahmad Najib</vt:lpwstr>
  </property>
  <property fmtid="{D5CDD505-2E9C-101B-9397-08002B2CF9AE}" pid="21" name="Mendeley Recent Style Id 8_1">
    <vt:lpwstr>http://csl.mendeley.com/styles/485647231/MDPI-LOGAN-FINAL</vt:lpwstr>
  </property>
  <property fmtid="{D5CDD505-2E9C-101B-9397-08002B2CF9AE}" pid="22" name="Mendeley Recent Style Name 8_1">
    <vt:lpwstr>Multidisciplinary Digital Publishing Institute - Logan Ganzen - IJMS IJMS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