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FF" w:rsidRPr="00FD18FF" w:rsidRDefault="00FD18FF" w:rsidP="00FD18FF">
      <w:pPr>
        <w:shd w:val="clear" w:color="auto" w:fill="00B050"/>
        <w:spacing w:after="0" w:line="276" w:lineRule="auto"/>
        <w:ind w:left="429"/>
        <w:jc w:val="center"/>
        <w:rPr>
          <w:rFonts w:ascii="Times New Roman" w:eastAsia="Calibri" w:hAnsi="Times New Roman" w:cs="Times New Roman"/>
          <w:b/>
          <w:bCs/>
          <w:color w:val="FFFFFF"/>
          <w:sz w:val="32"/>
          <w:szCs w:val="32"/>
        </w:rPr>
      </w:pPr>
      <w:r w:rsidRPr="00FD18FF">
        <w:rPr>
          <w:rFonts w:ascii="Times New Roman" w:eastAsia="Calibri" w:hAnsi="Times New Roman" w:cs="Times New Roman"/>
          <w:b/>
          <w:bCs/>
          <w:color w:val="FFFFFF"/>
          <w:sz w:val="32"/>
          <w:szCs w:val="32"/>
        </w:rPr>
        <w:t>Original Research Article</w:t>
      </w:r>
    </w:p>
    <w:p w:rsidR="00FD18FF" w:rsidRPr="00FD18FF" w:rsidRDefault="00FD18FF" w:rsidP="00FD18FF">
      <w:pPr>
        <w:spacing w:line="276" w:lineRule="auto"/>
        <w:jc w:val="center"/>
        <w:rPr>
          <w:rFonts w:ascii="Times New Roman" w:hAnsi="Times New Roman" w:cs="Times New Roman"/>
          <w:b/>
          <w:bCs/>
          <w:sz w:val="32"/>
          <w:szCs w:val="32"/>
        </w:rPr>
      </w:pPr>
    </w:p>
    <w:p w:rsidR="005D7C7D" w:rsidRPr="00FD18FF" w:rsidRDefault="000B7682" w:rsidP="00FD18FF">
      <w:pPr>
        <w:spacing w:line="276" w:lineRule="auto"/>
        <w:jc w:val="center"/>
        <w:rPr>
          <w:rFonts w:ascii="Times New Roman" w:hAnsi="Times New Roman" w:cs="Times New Roman"/>
          <w:b/>
          <w:bCs/>
          <w:sz w:val="32"/>
          <w:szCs w:val="32"/>
          <w:lang w:val="id-ID"/>
        </w:rPr>
      </w:pPr>
      <w:r w:rsidRPr="00FD18FF">
        <w:rPr>
          <w:rFonts w:ascii="Times New Roman" w:hAnsi="Times New Roman" w:cs="Times New Roman"/>
          <w:b/>
          <w:bCs/>
          <w:sz w:val="32"/>
          <w:szCs w:val="32"/>
        </w:rPr>
        <w:t xml:space="preserve">EVALUATION OF THE FREE RADICAL SCAVENGING OF TECTOQUINONE COMPOUND ISOLATED FROM </w:t>
      </w:r>
      <w:r w:rsidRPr="00FD18FF">
        <w:rPr>
          <w:rFonts w:ascii="Times New Roman" w:hAnsi="Times New Roman" w:cs="Times New Roman"/>
          <w:b/>
          <w:bCs/>
          <w:i/>
          <w:iCs/>
          <w:sz w:val="32"/>
          <w:szCs w:val="32"/>
          <w:lang w:val="id-ID"/>
        </w:rPr>
        <w:t xml:space="preserve">SYZYGIUM OBLANCEOLATUM </w:t>
      </w:r>
      <w:r w:rsidRPr="00FD18FF">
        <w:rPr>
          <w:rFonts w:ascii="Times New Roman" w:hAnsi="Times New Roman" w:cs="Times New Roman"/>
          <w:b/>
          <w:bCs/>
          <w:sz w:val="32"/>
          <w:szCs w:val="32"/>
          <w:lang w:val="id-ID"/>
        </w:rPr>
        <w:t>(C.B.ROB.)MERR</w:t>
      </w:r>
    </w:p>
    <w:p w:rsidR="000B7682" w:rsidRPr="00FD18FF" w:rsidRDefault="000B7682" w:rsidP="00FD18FF">
      <w:pPr>
        <w:spacing w:line="276" w:lineRule="auto"/>
        <w:jc w:val="center"/>
        <w:rPr>
          <w:rStyle w:val="Hyperlink"/>
          <w:rFonts w:ascii="Times New Roman" w:hAnsi="Times New Roman" w:cs="Times New Roman"/>
          <w:sz w:val="24"/>
          <w:szCs w:val="24"/>
        </w:rPr>
      </w:pPr>
    </w:p>
    <w:p w:rsidR="000B7682" w:rsidRPr="00FD18FF" w:rsidRDefault="000B7682" w:rsidP="00FD18FF">
      <w:pPr>
        <w:spacing w:line="276" w:lineRule="auto"/>
        <w:rPr>
          <w:rFonts w:ascii="Times New Roman" w:hAnsi="Times New Roman" w:cs="Times New Roman"/>
          <w:b/>
          <w:bCs/>
          <w:sz w:val="24"/>
          <w:szCs w:val="24"/>
        </w:rPr>
      </w:pPr>
      <w:r w:rsidRPr="00FD18FF">
        <w:rPr>
          <w:rFonts w:ascii="Times New Roman" w:hAnsi="Times New Roman" w:cs="Times New Roman"/>
          <w:b/>
          <w:bCs/>
          <w:sz w:val="24"/>
          <w:szCs w:val="24"/>
        </w:rPr>
        <w:t>ABSTRACT</w:t>
      </w:r>
    </w:p>
    <w:p w:rsidR="000B7682" w:rsidRPr="00FD18FF" w:rsidRDefault="000B7682" w:rsidP="00FD18FF">
      <w:pPr>
        <w:spacing w:line="276" w:lineRule="auto"/>
        <w:jc w:val="both"/>
        <w:rPr>
          <w:rFonts w:ascii="Times New Roman" w:hAnsi="Times New Roman" w:cs="Times New Roman"/>
          <w:sz w:val="24"/>
          <w:szCs w:val="24"/>
        </w:rPr>
      </w:pPr>
      <w:r w:rsidRPr="00FD18FF">
        <w:rPr>
          <w:rFonts w:ascii="Times New Roman" w:hAnsi="Times New Roman" w:cs="Times New Roman"/>
          <w:sz w:val="24"/>
          <w:szCs w:val="24"/>
        </w:rPr>
        <w:t xml:space="preserve">In this study, the free radical scavenging of tectoquinone compound isolated from </w:t>
      </w:r>
      <w:r w:rsidRPr="00FD18FF">
        <w:rPr>
          <w:rFonts w:ascii="Times New Roman" w:hAnsi="Times New Roman" w:cs="Times New Roman"/>
          <w:i/>
          <w:iCs/>
          <w:sz w:val="24"/>
          <w:szCs w:val="24"/>
        </w:rPr>
        <w:t>Syzygiumoblanceolatum</w:t>
      </w:r>
      <w:r w:rsidRPr="00FD18FF">
        <w:rPr>
          <w:rFonts w:ascii="Times New Roman" w:hAnsi="Times New Roman" w:cs="Times New Roman"/>
          <w:sz w:val="24"/>
          <w:szCs w:val="24"/>
        </w:rPr>
        <w:t xml:space="preserve"> (C.B. Rob.) Merr was investigated by assessing their capacity to scavenge free radicals using the DPPH (2,2-diphenyl-1-picrylhydrazyl) assay. The quantitative assessment of antioxidant activity was conducted using a UV-Vis spectrophotometric approach, with measurements taken at a wavelength of 516 nm.The IC</w:t>
      </w:r>
      <w:r w:rsidRPr="00FD18FF">
        <w:rPr>
          <w:rFonts w:ascii="Times New Roman" w:hAnsi="Times New Roman" w:cs="Times New Roman"/>
          <w:sz w:val="24"/>
          <w:szCs w:val="24"/>
          <w:vertAlign w:val="subscript"/>
        </w:rPr>
        <w:t>50</w:t>
      </w:r>
      <w:r w:rsidRPr="00FD18FF">
        <w:rPr>
          <w:rFonts w:ascii="Times New Roman" w:hAnsi="Times New Roman" w:cs="Times New Roman"/>
          <w:sz w:val="24"/>
          <w:szCs w:val="24"/>
        </w:rPr>
        <w:t xml:space="preserve"> value, representing the concentration required to inhibit 50% of the DPPH radicals, was determined to be 66.362 μg/mL, indicating a moderate free radical-scavenging activity. These findings suggest that tectoquinone compounds possess a discernible ability to against free radical, though further research may be necessary to optimize their potential applications in health and medicine.</w:t>
      </w:r>
    </w:p>
    <w:p w:rsidR="000B7682" w:rsidRPr="00FD18FF" w:rsidRDefault="000B7682" w:rsidP="00FD18FF">
      <w:pPr>
        <w:spacing w:line="276" w:lineRule="auto"/>
        <w:jc w:val="both"/>
        <w:rPr>
          <w:rFonts w:ascii="Times New Roman" w:hAnsi="Times New Roman" w:cs="Times New Roman"/>
          <w:sz w:val="24"/>
          <w:szCs w:val="24"/>
        </w:rPr>
      </w:pPr>
      <w:r w:rsidRPr="00FD18FF">
        <w:rPr>
          <w:rFonts w:ascii="Times New Roman" w:hAnsi="Times New Roman" w:cs="Times New Roman"/>
          <w:b/>
          <w:bCs/>
          <w:sz w:val="24"/>
          <w:szCs w:val="24"/>
        </w:rPr>
        <w:t xml:space="preserve">Keywords: </w:t>
      </w:r>
      <w:r w:rsidRPr="00FD18FF">
        <w:rPr>
          <w:rFonts w:ascii="Times New Roman" w:hAnsi="Times New Roman" w:cs="Times New Roman"/>
          <w:sz w:val="24"/>
          <w:szCs w:val="24"/>
        </w:rPr>
        <w:t xml:space="preserve">Tectoquinone, </w:t>
      </w:r>
      <w:r w:rsidRPr="00FD18FF">
        <w:rPr>
          <w:rFonts w:ascii="Times New Roman" w:hAnsi="Times New Roman" w:cs="Times New Roman"/>
          <w:i/>
          <w:iCs/>
          <w:sz w:val="24"/>
          <w:szCs w:val="24"/>
        </w:rPr>
        <w:t>Syzygiumoblanceolatum</w:t>
      </w:r>
      <w:r w:rsidRPr="00FD18FF">
        <w:rPr>
          <w:rFonts w:ascii="Times New Roman" w:hAnsi="Times New Roman" w:cs="Times New Roman"/>
          <w:sz w:val="24"/>
          <w:szCs w:val="24"/>
        </w:rPr>
        <w:t>, DPPH assay, IC</w:t>
      </w:r>
      <w:r w:rsidRPr="00FD18FF">
        <w:rPr>
          <w:rFonts w:ascii="Times New Roman" w:hAnsi="Times New Roman" w:cs="Times New Roman"/>
          <w:sz w:val="24"/>
          <w:szCs w:val="24"/>
          <w:vertAlign w:val="subscript"/>
        </w:rPr>
        <w:t>50</w:t>
      </w:r>
      <w:r w:rsidRPr="00FD18FF">
        <w:rPr>
          <w:rFonts w:ascii="Times New Roman" w:hAnsi="Times New Roman" w:cs="Times New Roman"/>
          <w:sz w:val="24"/>
          <w:szCs w:val="24"/>
        </w:rPr>
        <w:t xml:space="preserve"> value, free radical</w:t>
      </w:r>
    </w:p>
    <w:p w:rsidR="000B7682" w:rsidRPr="00FD18FF" w:rsidRDefault="000B7682" w:rsidP="00FD18FF">
      <w:pPr>
        <w:spacing w:line="276" w:lineRule="auto"/>
        <w:rPr>
          <w:rFonts w:ascii="Times New Roman" w:hAnsi="Times New Roman" w:cs="Times New Roman"/>
          <w:b/>
          <w:sz w:val="24"/>
          <w:szCs w:val="24"/>
        </w:rPr>
      </w:pPr>
    </w:p>
    <w:p w:rsidR="000B7682" w:rsidRPr="00FD18FF" w:rsidRDefault="000B7682" w:rsidP="00FD18FF">
      <w:pPr>
        <w:spacing w:line="276" w:lineRule="auto"/>
        <w:rPr>
          <w:rFonts w:ascii="Times New Roman" w:hAnsi="Times New Roman" w:cs="Times New Roman"/>
          <w:b/>
          <w:sz w:val="24"/>
          <w:szCs w:val="24"/>
        </w:rPr>
      </w:pPr>
      <w:r w:rsidRPr="00FD18FF">
        <w:rPr>
          <w:rFonts w:ascii="Times New Roman" w:hAnsi="Times New Roman" w:cs="Times New Roman"/>
          <w:b/>
          <w:sz w:val="24"/>
          <w:szCs w:val="24"/>
        </w:rPr>
        <w:t>INTRODUCTION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Oxidative stress is a fundamental contributor to various health disorders and is primarily associated with the detrimental effects of reactive oxygen species (ROS) on biological systems</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{"citationItems":[{"id":"ITEM-1","itemData":{"DOI":"10.1021/acsabm.2c00411","author":[{"dropping-particle":"","family":"Anik","given":"Muzahidul I","non-dropping-particle":"","parse-names":false,"suffix":""},{"dropping-particle":"","family":"Mahmud","given":"Niaz","non-dropping-particle":"","parse-names":false,"suffix":""},{"dropping-particle":"Al","family":"Masud","given":"Abdullah","non-dropping-particle":"","parse-names":false,"suffix":""},{"dropping-particle":"","family":"Khan","given":"Md Ishak","non-dropping-particle":"","parse-names":false,"suffix":""},{"dropping-particle":"","family":"Islam","given":"Md Nurul","non-dropping-particle":"","parse-names":false,"suffix":""},{"dropping-particle":"","family":"Uddin","given":"Shihab","non-dropping-particle":"","parse-names":false,"suffix":""},{"dropping-particle":"","family":"Hossain","given":"M Khalid","non-dropping-particle":"","parse-names":false,"suffix":""}],"container-title":"ACS Applied Bio Materials","id":"ITEM-1","issue":"9","issued":{"date-parts":[["2022"]]},"page":"4028-4054","publisher":"ACS Publications","title":"Role of reactive oxygen species in aging and age-related diseases: a review","type":"article-journal","volume":"5"},"uris":["http://www.mendeley.com/documents/?uuid=22d65079-1a63-4207-83a9-11f5b003ac05"]}],"mendeley":{"formattedCitation":"&lt;sup&gt;1&lt;/sup&gt;","plainTextFormattedCitation":"1","previouslyFormattedCitation":"&lt;sup&gt;1&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1</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Consequently, the exploration of natural compounds with antioxidant properties has become a focal point in scientific research, as these compounds have the potential to mitigate the adverse effects of free radical compounds</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10.1016/j.fochx.2022.100558","author":[{"dropping-particle":"","family":"Jia","given":"Wei","non-dropping-particle":"","parse-names":false,"suffix":""},{"dropping-particle":"","family":"Wu","given":"Xinyu","non-dropping-particle":"","parse-names":false,"suffix":""},{"dropping-particle":"","family":"Kang","given":"Xin","non-dropping-particle":"","parse-names":false,"suffix":""}],"container-title":"Food Chemistry: X","id":"ITEM-1","issued":{"date-parts":[["2023"]]},"page":"100558","publisher":"Elsevier","title":"Integrated the embedding delivery system and targeted oxygen scavenger enhances free radical scavenging capacity","type":"article-journal"},"uris":["http://www.mendeley.com/documents/?uuid=f14c03f9-6964-451d-b619-9d350ed48a0a"]}],"mendeley":{"formattedCitation":"&lt;sup&gt;2&lt;/sup&gt;","plainTextFormattedCitation":"2","previouslyFormattedCitation":"&lt;sup&gt;2&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2</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w:t>
      </w:r>
    </w:p>
    <w:p w:rsidR="000B7682" w:rsidRPr="00FD18FF" w:rsidRDefault="000B7682" w:rsidP="00FD18FF">
      <w:pPr>
        <w:spacing w:after="0" w:line="276" w:lineRule="auto"/>
        <w:jc w:val="both"/>
        <w:rPr>
          <w:rFonts w:ascii="Times New Roman" w:hAnsi="Times New Roman" w:cs="Times New Roman"/>
          <w:sz w:val="24"/>
          <w:szCs w:val="24"/>
        </w:rPr>
      </w:pPr>
      <w:r w:rsidRPr="00FD18FF">
        <w:rPr>
          <w:rFonts w:ascii="Times New Roman" w:hAnsi="Times New Roman" w:cs="Times New Roman"/>
          <w:bCs/>
          <w:sz w:val="24"/>
          <w:szCs w:val="24"/>
        </w:rPr>
        <w:t xml:space="preserve">Tectoquinone compound, isolated from the plant </w:t>
      </w:r>
      <w:r w:rsidRPr="00FD18FF">
        <w:rPr>
          <w:rFonts w:ascii="Times New Roman" w:hAnsi="Times New Roman" w:cs="Times New Roman"/>
          <w:bCs/>
          <w:i/>
          <w:iCs/>
          <w:sz w:val="24"/>
          <w:szCs w:val="24"/>
        </w:rPr>
        <w:t>Syzygiumoblanceolatum</w:t>
      </w:r>
      <w:r w:rsidRPr="00FD18FF">
        <w:rPr>
          <w:rFonts w:ascii="Times New Roman" w:hAnsi="Times New Roman" w:cs="Times New Roman"/>
          <w:bCs/>
          <w:sz w:val="24"/>
          <w:szCs w:val="24"/>
        </w:rPr>
        <w:t xml:space="preserve"> (C.B. Rob.) Merr, represents a group of compounds that have attracted attention for their potential as free radical scavenging. </w:t>
      </w:r>
      <w:r w:rsidRPr="00FD18FF">
        <w:rPr>
          <w:rFonts w:ascii="Times New Roman" w:hAnsi="Times New Roman" w:cs="Times New Roman"/>
          <w:bCs/>
          <w:i/>
          <w:iCs/>
          <w:sz w:val="24"/>
          <w:szCs w:val="24"/>
        </w:rPr>
        <w:t>S. oblanceolatum</w:t>
      </w:r>
      <w:r w:rsidRPr="00FD18FF">
        <w:rPr>
          <w:rFonts w:ascii="Times New Roman" w:hAnsi="Times New Roman" w:cs="Times New Roman"/>
          <w:bCs/>
          <w:sz w:val="24"/>
          <w:szCs w:val="24"/>
        </w:rPr>
        <w:t xml:space="preserve"> represents the first documented report of its existence in Sulawesi, previously known to occur only in Eastern Philippines and Kalimantan</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author":[{"dropping-particle":"","family":"Ashton","given":"Peter","non-dropping-particle":"","parse-names":false,"suffix":""}],"container-title":"Sandakania","id":"ITEM-1","issued":{"date-parts":[["2016"]]},"page":"55-75","title":"Notes on northern Borneo Myrtaceae","type":"article-journal","volume":"22"},"uris":["http://www.mendeley.com/documents/?uuid=dda42f14-3adb-3c9b-b15e-cfcd2bb59652"]}],"mendeley":{"formattedCitation":"&lt;sup&gt;3&lt;/sup&gt;","plainTextFormattedCitation":"3","previouslyFormattedCitation":"&lt;sup&gt;3&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3</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The presence of this plant in Sulawesi, particularly in South Sulawesi, is intriguing and warrants further investigation.</w:t>
      </w:r>
      <w:r w:rsidRPr="00FD18FF">
        <w:rPr>
          <w:rFonts w:ascii="Times New Roman" w:hAnsi="Times New Roman" w:cs="Times New Roman"/>
          <w:bCs/>
          <w:i/>
          <w:iCs/>
          <w:sz w:val="24"/>
          <w:szCs w:val="24"/>
        </w:rPr>
        <w:t>S. oblanceolatum</w:t>
      </w:r>
      <w:r w:rsidRPr="00FD18FF">
        <w:rPr>
          <w:rFonts w:ascii="Times New Roman" w:hAnsi="Times New Roman" w:cs="Times New Roman"/>
          <w:bCs/>
          <w:sz w:val="24"/>
          <w:szCs w:val="24"/>
        </w:rPr>
        <w:t>from a family of Myrtaceae is a well-known family of vascular dicot plants</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plants11121590","author":[{"dropping-particle":"","family":"Armijos","given":"Chabaco","non-dropping-particle":"","parse-names":false,"suffix":""},{"dropping-particle":"","family":"Ram\\'\\irez","given":"Jorge","non-dropping-particle":"","parse-names":false,"suffix":""},{"dropping-particle":"","family":"Vidari","given":"Giovanni","non-dropping-particle":"","parse-names":false,"suffix":""}],"container-title":"Plants","id":"ITEM-1","issue":"12","issued":{"date-parts":[["2022"]]},"page":"1590","publisher":"MDPI","title":"Poorly Investigated Ecuadorian Medicinal Plants","type":"article-journal","volume":"11"},"uris":["http://www.mendeley.com/documents/?uuid=93ec9b8b-6728-4792-818c-d6b0d4e8bcdc"]}],"mendeley":{"formattedCitation":"&lt;sup&gt;4&lt;/sup&gt;","plainTextFormattedCitation":"4","previouslyFormattedCitation":"&lt;sup&gt;4&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4</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xml:space="preserve"> (figure 1). As the eighth-largest dicot plant family, it comprises approximately 5,650 species grouped into 130-150 generad</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{"citationItems":[{"id":"ITEM-1","itemData":{"DOI":"10.1016/j.foodres.2019.108715","ISSN":"18737145","PMID":"31732075","abstract":"Untargeted metabolomics was used in this study to discriminate the phenolic fingerprints of six Syzygium species. This approach resulted in the annotation of 441 compounds that belong to different phenolic classes, such as flavonoids, lignans, stilbenes, tyrosols, alkylphenols, and phenolic acids. Multivariate data analysis unraveled the main differences between the studied species. S. paniculatum and S. aqueum were the richest sources in terms of phenolic compounds, cumulatively amounting to 355.3 and 266.4 mg/g dry matter, respectively. Nevertheless, S. jambos showed reduced amounts of phenolics, when compared with other species. The biological activity of Syzygium leaf extracts was assessed on MCF-7 breast adenocarcinoma and MDA-MB-231 breast cancer cell lines. Potent estrogenic activity was detected using the SRB assay on MCF-7. This activity may be ascribable to the presence of phenolic compounds miming phytoestrogens such as lignans, stilbenes, and isoflavonoids in the investigated Syzygium extracts. By examining the biological effect of Syzygium extracts against MDA-MB-231 cell lines, the Syzygium gratum leaf extract exhibited the strongest inhibition, with IC50 = 19.4 µg/mL, followed by S. paniculatum (IC50 = 50.9 µg/mL). However, the Syzygium gratum leaf extract showed a potent cytotoxic effect on normal human skin fibroblasts, HSF (IC50 = 1.24 µg/mL), assuming a nonselective cytotoxic effect. On the other hand, other studied Syzygium leaves proved as safe nutraceuticals (IC50 ≥ 100 µg/mL) on HSF cell lines. Our study suggested a possible implication of Syzygium malaccense and Syzygium aqueum leaves as potential estrogenic candidates in relation to their health-promoting phenolic constituents.","author":[{"dropping-particle":"","family":"Rocchetti","given":"Gabriele","non-dropping-particle":"","parse-names":false,"suffix":""},{"dropping-particle":"","family":"Lucini","given":"Luigi","non-dropping-particle":"","parse-names":false,"suffix":""},{"dropping-particle":"","family":"Ahmed","given":"Shaimaa R.","non-dropping-particle":"","parse-names":false,"suffix":""},{"dropping-particle":"","family":"Saber","given":"Fatema R.","non-dropping-particle":"","parse-names":false,"suffix":""}],"container-title":"Food Research International","id":"ITEM-1","issue":"August","issued":{"date-parts":[["2019"]]},"page":"108715","publisher":"Elsevier","title":"In vitro cytotoxic activity of six Syzygium leaf extracts as related to their phenolic profiles: An untargeted UHPLC-QTOF-MS approach","type":"article-journal","volume":"126"},"uris":["http://www.mendeley.com/documents/?uuid=3c2d1614-2007-4b0e-8f8a-1daeb9f3ea5c"]}],"mendeley":{"formattedCitation":"&lt;sup&gt;5&lt;/sup&gt;","plainTextFormattedCitation":"5","previouslyFormattedCitation":"&lt;sup&gt;5&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5</w:t>
      </w:r>
      <w:r w:rsidR="009352F7" w:rsidRPr="00FD18FF">
        <w:rPr>
          <w:rFonts w:ascii="Times New Roman" w:hAnsi="Times New Roman" w:cs="Times New Roman"/>
          <w:bCs/>
          <w:sz w:val="24"/>
          <w:szCs w:val="24"/>
        </w:rPr>
        <w:fldChar w:fldCharType="end"/>
      </w:r>
      <w:r w:rsidR="0016635C" w:rsidRPr="00FD18FF">
        <w:rPr>
          <w:rFonts w:ascii="Times New Roman" w:hAnsi="Times New Roman" w:cs="Times New Roman"/>
          <w:bCs/>
          <w:sz w:val="24"/>
          <w:szCs w:val="24"/>
        </w:rPr>
        <w:t xml:space="preserve">and </w:t>
      </w:r>
      <w:r w:rsidRPr="00FD18FF">
        <w:rPr>
          <w:rFonts w:ascii="Times New Roman" w:hAnsi="Times New Roman" w:cs="Times New Roman"/>
          <w:bCs/>
          <w:sz w:val="24"/>
          <w:szCs w:val="24"/>
        </w:rPr>
        <w:t>is widely distributed across Africa, extending into South Asia and tropical Southeast Asian countries</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{"citationItems":[{"id":"ITEM-1","itemData":{"DOI":"10.1080/14786419.2019.1644508","ISSN":"14786427","PMID":"31328549","abstract":"From the leaves of Sterculia foetida L., one new oleanane-type triterpenoid, named stercufoetin A (1) together with four known ones, vergatic acid (2), β-amyrin (3), oleanolic acid (4) and maslinic acid (5) were purified by diversely chromatographic methods. Their structures were proposed by HR-APCI-MS and NMR experiments. Compounds (2–5) were notified for the first time from this species. Compound 1 showed weak cytotoxic effect against three human cancer cell lines (MCF-7, HepG2 and HeLa) using SRB assay.","author":[{"dropping-particle":"","family":"Pham","given":"Nguyen Kim Tuyen","non-dropping-particle":"","parse-names":false,"suffix":""},{"dropping-particle":"","family":"Nguyen","given":"Trung Duan","non-dropping-particle":"","parse-names":false,"suffix":""},{"dropping-particle":"","family":"Doan","given":"Tran Duy Cuong","non-dropping-particle":"","parse-names":false,"suffix":""},{"dropping-particle":"","family":"Ha","given":"Tuan Dat","non-dropping-particle":"","parse-names":false,"suffix":""},{"dropping-particle":"","family":"Tran","given":"Nguyen Minh An","non-dropping-particle":"","parse-names":false,"suffix":""},{"dropping-particle":"","family":"Tran","given":"Trong Duc","non-dropping-particle":"","parse-names":false,"suffix":""},{"dropping-particle":"","family":"Mai","given":"Dinh Tri","non-dropping-particle":"","parse-names":false,"suffix":""},{"dropping-particle":"","family":"Nguyen","given":"Tan Phat","non-dropping-particle":"","parse-names":false,"suffix":""}],"container-title":"Natural Product Research","id":"ITEM-1","issue":"7","issued":{"date-parts":[["2021"]]},"page":"1226-1231","publisher":"Taylor &amp; Francis","title":"Stercufoetin A, new oleanane-type triterpenoid from the leaves of Sterculia foetida L.","type":"article-journal","volume":"35"},"uris":["http://www.mendeley.com/documents/?uuid=baf62b37-4d0e-4a0c-b18c-733cfdbca75c"]}],"mendeley":{"formattedCitation":"&lt;sup&gt;6&lt;/sup&gt;","plainTextFormattedCitation":"6","previouslyFormattedCitation":"&lt;sup&gt;6&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6</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xml:space="preserve">. Due to their phytochemical content and health-promoting properties, several </w:t>
      </w:r>
      <w:r w:rsidRPr="00FD18FF">
        <w:rPr>
          <w:rFonts w:ascii="Times New Roman" w:hAnsi="Times New Roman" w:cs="Times New Roman"/>
          <w:bCs/>
          <w:i/>
          <w:iCs/>
          <w:sz w:val="24"/>
          <w:szCs w:val="24"/>
        </w:rPr>
        <w:t>Syzygium</w:t>
      </w:r>
      <w:r w:rsidRPr="00FD18FF">
        <w:rPr>
          <w:rFonts w:ascii="Times New Roman" w:hAnsi="Times New Roman" w:cs="Times New Roman"/>
          <w:bCs/>
          <w:sz w:val="24"/>
          <w:szCs w:val="24"/>
        </w:rPr>
        <w:t xml:space="preserve"> species have garnered significant interest</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pr10112169","author":[{"dropping-particle":"","family":"Kumar","given":"Manoj","non-dropping-particle":"","parse-names":false,"suffix":""},{"dropping-particle":"","family":"Zhang","given":"Baohong","non-dropping-particle":"","parse-names":false,"suffix":""},{"dropping-particle":"","family":"Nishad","given":"Jyoti","non-dropping-particle":"","parse-names":false,"suffix":""},{"dropping-particle":"","family":"Verma","given":"Aman","non-dropping-particle":"","parse-names":false,"suffix":""},{"dropping-particle":"","family":"Sheri","given":"Vijay","non-dropping-particle":"","parse-names":false,"suffix":""},{"dropping-particle":"","family":"Dhumal","given":"Sangram","non-dropping-particle":"","parse-names":false,"suffix":""},{"dropping-particle":"","family":"Radha","given":"","non-dropping-particle":"","parse-names":false,"suffix":""},{"dropping-particle":"","family":"Sharma","given":"Niharika","non-dropping-particle":"","parse-names":false,"suffix":""},{"dropping-particle":"","family":"Chandran","given":"Deepak","non-dropping-particle":"","parse-names":false,"suffix":""},{"dropping-particle":"","family":"Senapathy","given":"Marisennayya","non-dropping-particle":"","parse-names":false,"suffix":""},{"dropping-particle":"","family":"others","given":"","non-dropping-particle":"","parse-names":false,"suffix":""}],"container-title":"Processes","id":"ITEM-1","issue":"11","issued":{"date-parts":[["2022"]]},"page":"2169","publisher":"MDPI","title":"Jamun (Syzygium cumini (L.) Skeels) Seed: A Review on Nutritional Profile, Functional food properties, health-promoting applications, and safety aspects","type":"article-journal","volume":"10"},"uris":["http://www.mendeley.com/documents/?uuid=8a57f675-283d-4f4c-a046-1dd9c47de3d5"]}],"mendeley":{"formattedCitation":"&lt;sup&gt;7&lt;/sup&gt;","plainTextFormattedCitation":"7","previouslyFormattedCitation":"&lt;sup&gt;7&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7</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vertAlign w:val="superscript"/>
        </w:rPr>
        <w:t>,</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{"citationItems":[{"id":"ITEM-1","itemData":{"DOI":"https://doi.org/10.3390/plants11111476","author":[{"dropping-particle":"","family":"Amir Rawa","given":"Mira Syahfriena","non-dropping-particle":"","parse-names":false,"suffix":""},{"dropping-particle":"","family":"Mazlan","given":"Mohd Khairul Nizam","non-dropping-particle":"","parse-names":false,"suffix":""},{"dropping-particle":"","family":"Ahmad","given":"Rosliza","non-dropping-particle":"","parse-names":false,"suffix":""},{"dropping-particle":"","family":"Nogawa","given":"Toshihiko","non-dropping-particle":"","parse-names":false,"suffix":""},{"dropping-particle":"","family":"Wahab","given":"Habibah A","non-dropping-particle":"","parse-names":false,"suffix":""}],"container-title":"Plants","id":"ITEM-1","issue":"11","issued":{"date-parts":[["2022"]]},"page":"1476","publisher":"MDPI","title":"Roles of Syzygium in Anti-Cholinesterase, Anti-Diabetic, Anti-Inflammatory, and Antioxidant: From Alzheimer’s Perspective","type":"article-journal","volume":"11"},"uris":["http://www.mendeley.com/documents/?uuid=7191a24a-7734-4eb4-8004-084f413aa068"]}],"mendeley":{"formattedCitation":"&lt;sup&gt;8&lt;/sup&gt;","plainTextFormattedCitation":"8","previouslyFormattedCitation":"&lt;sup&gt;8&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8</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xml:space="preserve">. On the other hand, many other </w:t>
      </w:r>
      <w:r w:rsidRPr="00FD18FF">
        <w:rPr>
          <w:rFonts w:ascii="Times New Roman" w:hAnsi="Times New Roman" w:cs="Times New Roman"/>
          <w:bCs/>
          <w:i/>
          <w:iCs/>
          <w:sz w:val="24"/>
          <w:szCs w:val="24"/>
        </w:rPr>
        <w:t>Syzygium</w:t>
      </w:r>
      <w:r w:rsidRPr="00FD18FF">
        <w:rPr>
          <w:rFonts w:ascii="Times New Roman" w:hAnsi="Times New Roman" w:cs="Times New Roman"/>
          <w:bCs/>
          <w:sz w:val="24"/>
          <w:szCs w:val="24"/>
        </w:rPr>
        <w:t xml:space="preserve"> species remain relatively unexplored</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{"citationItems":[{"id":"ITEM-1","itemData":{"DOI":"https://doi.org/10.3390/agronomy12102380","author":[{"dropping-particle":"","family":"Pesiu","given":"Elizabeth","non-dropping-particle":"","parse-names":false,"suffix":""},{"dropping-particle":"","family":"Lee","given":"Gaik Ee","non-dropping-particle":"","parse-names":false,"suffix":""},{"dropping-particle":"","family":"Salam","given":"Muhammad Razali","non-dropping-particle":"","parse-names":false,"suffix":""},{"dropping-particle":"","family":"Salim","given":"Jamilah Mohd","non-dropping-particle":"","parse-names":false,"suffix":""},{"dropping-particle":"","family":"Lau","given":"Kah Hoo","non-dropping-particle":"","parse-names":false,"suffix":""},{"dropping-particle":"","family":"Yong","given":"Jean Wan Hong","non-dropping-particle":"","parse-names":false,"suffix":""},{"dropping-particle":"","family":"Abdullah","given":"Mohd Tajuddin","non-dropping-particle":"","parse-names":false,"suffix":""}],"container-title":"Agronomy","id":"ITEM-1","issue":"10","issued":{"date-parts":[["2022"]]},"page":"2380","publisher":"MDPI","title":"Species composition, diversity, and biomass estimation in coastal and marine protected areas of Terengganu, Peninsular Malaysia","type":"article-journal","volume":"12"},"uris":["http://www.mendeley.com/documents/?uuid=fba7c8b4-ee77-4c14-9df1-3e16d2a3d901"]}],"mendeley":{"formattedCitation":"&lt;sup&gt;9&lt;/sup&gt;","plainTextFormattedCitation":"9","previouslyFormattedCitation":"&lt;sup&gt;9&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9</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and their chemical and biological activities continue to be of interest including the class of quinones compound</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{"citationItems":[{"id":"ITEM-1","itemData":{"DOI":"https://doi.org/10.3390/biom13071144","author":[{"dropping-particle":"","family":"Sousa","given":"Damião P","non-dropping-particle":"de","parse-names":false,"suffix":""},{"dropping-particle":"","family":"Damasceno","given":"Renan Oliveira S","non-dropping-particle":"","parse-names":false,"suffix":""},{"dropping-particle":"","family":"Amorati","given":"Riccardo","non-dropping-particle":"","parse-names":false,"suffix":""},{"dropping-particle":"","family":"Elshabrawy","given":"Hatem A","non-dropping-particle":"","parse-names":false,"suffix":""},{"dropping-particle":"","family":"Castro","given":"Ricardo D","non-dropping-particle":"de","parse-names":false,"suffix":""},{"dropping-particle":"","family":"Bezerra","given":"Daniel P","non-dropping-particle":"","parse-names":false,"suffix":""},{"dropping-particle":"V","family":"Nunes","given":"Vitória Regina","non-dropping-particle":"","parse-names":false,"suffix":""},{"dropping-particle":"","family":"Gomes","given":"Rebeca C","non-dropping-particle":"","parse-names":false,"suffix":""},{"dropping-particle":"","family":"Lima","given":"Tamires C","non-dropping-particle":"","parse-names":false,"suffix":""}],"container-title":"Biomolecules","id":"ITEM-1","issue":"7","issued":{"date-parts":[["2023"]]},"page":"1144","publisher":"MDPI","title":"Essential Oils: Chemistry and Pharmacological Activities","type":"article-journal","volume":"13"},"uris":["http://www.mendeley.com/documents/?uuid=0e73a8af-a0da-4db7-9079-8bc3f7158990"]}],"mendeley":{"formattedCitation":"&lt;sup&gt;10&lt;/sup&gt;","plainTextFormattedCitation":"10","previouslyFormattedCitation":"&lt;sup&gt;10&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10</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Quinones, a class of organic compounds, exhibit diverse medical properties</w:t>
      </w:r>
      <w:r w:rsidR="009352F7" w:rsidRPr="00FD18FF">
        <w:rPr>
          <w:rFonts w:ascii="Times New Roman" w:hAnsi="Times New Roman" w:cs="Times New Roman"/>
          <w:bCs/>
          <w:sz w:val="24"/>
          <w:szCs w:val="24"/>
        </w:rPr>
        <w:fldChar w:fldCharType="begin" w:fldLock="1"/>
      </w:r>
      <w:r w:rsidRPr="00FD18FF">
        <w:rPr>
          <w:rFonts w:ascii="Times New Roman" w:hAnsi="Times New Roman" w:cs="Times New Roman"/>
          <w:bCs/>
          <w:sz w:val="24"/>
          <w:szCs w:val="24"/>
        </w:rPr>
        <w:instrText>ADDIN CSL_CITATION {"citationItems":[{"id":"ITEM-1","itemData":{"DOI":"https://doi.org/10.3390/ijms232214108","author":[{"dropping-particle":"","family":"Dahlem Junior","given":"Marcos Aurelio","non-dropping-particle":"","parse-names":false,"suffix":""},{"dropping-particle":"","family":"Nguema Edzang","given":"Ronald W","non-dropping-particle":"","parse-names":false,"suffix":""},{"dropping-particle":"","family":"Catto","given":"André Luis","non-dropping-particle":"","parse-names":false,"suffix":""},{"dropping-particle":"","family":"Raimundo","given":"Jean-Manuel","non-dropping-particle":"","parse-names":false,"suffix":""}],"container-title":"International Journal of Molecular Sciences","id":"ITEM-1","issue":"22","issued":{"date-parts":[["2022"]]},"page":"14108","publisher":"MDPI","title":"Quinones as an efficient molecular scaffold in the antibacterial, antifungal or antitumoral arsenal","type":"article-journal","volume":"23"},"uris":["http://www.mendeley.com/documents/?uuid=41d1bae2-c4b1-451e-afc7-0e37f4489481"]}],"mendeley":{"formattedCitation":"&lt;sup&gt;11&lt;/sup&gt;","plainTextFormattedCitation":"11","previouslyFormattedCitation":"&lt;sup&gt;11&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11</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They are recognized for their antioxidant capabilities</w:t>
      </w:r>
      <w:r w:rsidR="009352F7" w:rsidRPr="00FD18FF">
        <w:rPr>
          <w:rFonts w:ascii="Times New Roman" w:hAnsi="Times New Roman" w:cs="Times New Roman"/>
          <w:bCs/>
          <w:sz w:val="24"/>
          <w:szCs w:val="24"/>
        </w:rPr>
        <w:fldChar w:fldCharType="begin" w:fldLock="1"/>
      </w:r>
      <w:r w:rsidR="00AE3443" w:rsidRPr="00FD18FF">
        <w:rPr>
          <w:rFonts w:ascii="Times New Roman" w:hAnsi="Times New Roman" w:cs="Times New Roman"/>
          <w:bCs/>
          <w:sz w:val="24"/>
          <w:szCs w:val="24"/>
        </w:rPr>
        <w:instrText>ADDIN CSL_CITATION {"citationItems":[{"id":"ITEM-1","itemData":{"DOI":"https://doi.org/10.1080/14786419.2023.2187795","author":[{"dropping-particle":"","family":"Prokopiev","given":"Ilya","non-dropping-particle":"","parse-names":false,"suffix":""},{"dropping-particle":"","family":"Sleptsov","given":"Igor","non-dropping-particle":"","parse-names":false,"suffix":""},{"dropping-particle":"","family":"Serebryakov","given":"Evgeny","non-dropping-particle":"","parse-names":false,"suffix":""},{"dropping-particle":"","family":"Sharoyko","given":"Vladimir","non-dropping-particle":"","parse-names":false,"suffix":""}],"container-title":"Natural Product Research","id":"ITEM-1","issued":{"date-parts":[["2023"]]},"page":"1-5","publisher":"Taylor \\&amp; Francis","title":"Antioxidant and cytotoxic activities of quinones from Cetraria laevigata","type":"article-journal"},"uris":["http://www.mendeley.com/documents/?uuid=86747808-f90b-4f5e-9f22-a77261165096"]}],"mendeley":{"formattedCitation":"&lt;sup&gt;12&lt;/sup&gt;","plainTextFormattedCitation":"12","previouslyFormattedCitation":"&lt;sup&gt;12&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Pr="00FD18FF">
        <w:rPr>
          <w:rFonts w:ascii="Times New Roman" w:hAnsi="Times New Roman" w:cs="Times New Roman"/>
          <w:bCs/>
          <w:noProof/>
          <w:sz w:val="24"/>
          <w:szCs w:val="24"/>
          <w:vertAlign w:val="superscript"/>
        </w:rPr>
        <w:t>12</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with compounds like Coenzyme Q10 and Vitamin K helping combat oxidative stress</w:t>
      </w:r>
      <w:r w:rsidR="009352F7" w:rsidRPr="00FD18FF">
        <w:rPr>
          <w:rFonts w:ascii="Times New Roman" w:hAnsi="Times New Roman" w:cs="Times New Roman"/>
          <w:bCs/>
          <w:sz w:val="24"/>
          <w:szCs w:val="24"/>
        </w:rPr>
        <w:fldChar w:fldCharType="begin" w:fldLock="1"/>
      </w:r>
      <w:r w:rsidR="00AE37ED" w:rsidRPr="00FD18FF">
        <w:rPr>
          <w:rFonts w:ascii="Times New Roman" w:hAnsi="Times New Roman" w:cs="Times New Roman"/>
          <w:bCs/>
          <w:sz w:val="24"/>
          <w:szCs w:val="24"/>
        </w:rPr>
        <w:instrText>ADDIN CSL_CITATION {"citationItems":[{"id":"ITEM-1","itemData":{"author":[{"dropping-particle":"","family":"Cores","given":"Ángel","non-dropping-particle":"","parse-names":false,"suffix":""},{"dropping-particle":"","family":"Carmona-Zafra","given":"Noelia","non-dropping-particle":"","parse-names":false,"suffix":""},{"dropping-particle":"","family":"Clerigué","given":"José","non-dropping-particle":"","parse-names":false,"suffix":""},{"dropping-particle":"","family":"Villacampa","given":"Mercedes","non-dropping-particle":"","parse-names":false,"suffix":""},{"dropping-particle":"","family":"Menéndez","given":"J Carlos","non-dropping-particle":"","parse-names":false,"suffix":""}],"container-title":"Antioxidants","id":"ITEM-1","issue":"7","issued":{"date-parts":[["2023"]]},"page":"1464","publisher":"MDPI","title":"Quinones as Neuroprotective Agents","type":"article-journal","volume":"12"},"uris":["http://www.mendeley.com/documents/?uuid=c9a40b65-0162-4922-aff6-29bde0966b1e"]}],"mendeley":{"formattedCitation":"&lt;sup&gt;13&lt;/sup&gt;","plainTextFormattedCitation":"13","previouslyFormattedCitation":"&lt;sup&gt;13&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AE3443" w:rsidRPr="00FD18FF">
        <w:rPr>
          <w:rFonts w:ascii="Times New Roman" w:hAnsi="Times New Roman" w:cs="Times New Roman"/>
          <w:bCs/>
          <w:noProof/>
          <w:sz w:val="24"/>
          <w:szCs w:val="24"/>
          <w:vertAlign w:val="superscript"/>
        </w:rPr>
        <w:t>13</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In cancer treatment, specific quinones, such as anthracyclines, interfere with cancer cell growth</w:t>
      </w:r>
      <w:r w:rsidR="009352F7" w:rsidRPr="00FD18FF">
        <w:rPr>
          <w:rFonts w:ascii="Times New Roman" w:hAnsi="Times New Roman" w:cs="Times New Roman"/>
          <w:bCs/>
          <w:sz w:val="24"/>
          <w:szCs w:val="24"/>
        </w:rPr>
        <w:fldChar w:fldCharType="begin" w:fldLock="1"/>
      </w:r>
      <w:r w:rsidR="00AE37ED" w:rsidRPr="00FD18FF">
        <w:rPr>
          <w:rFonts w:ascii="Times New Roman" w:hAnsi="Times New Roman" w:cs="Times New Roman"/>
          <w:bCs/>
          <w:sz w:val="24"/>
          <w:szCs w:val="24"/>
        </w:rPr>
        <w:instrText>ADDIN CSL_CITATION {"citationItems":[{"id":"ITEM-1","itemData":{"author":[{"dropping-particle":"","family":"Kiran","given":"Pallavi","non-dropping-particle":"","parse-names":false,"suffix":""},{"dropping-particle":"","family":"Ghosh","given":"Arnab","non-dropping-particle":"","parse-names":false,"suffix":""},{"dropping-particle":"","family":"Pawar","given":"Vaishali","non-dropping-particle":"","parse-names":false,"suffix":""},{"dropping-particle":"","family":"Maske","given":"Priyanka","non-dropping-particle":"","parse-names":false,"suffix":""},{"dropping-particle":"","family":"Khan","given":"Amreen","non-dropping-particle":"","parse-names":false,"suffix":""},{"dropping-particle":"","family":"Srivastava","given":"Rohit","non-dropping-particle":"","parse-names":false,"suffix":""}],"container-title":"Hypoxia in Cancer: Significance and Impact on Cancer Therapy","id":"ITEM-1","issued":{"date-parts":[["2023"]]},"page":"351-368","publisher":"Springer","title":"Hypoxia-Targeting Drugs as New Cancer Chemotherapy Agents: Molecular Insights","type":"chapter"},"uris":["http://www.mendeley.com/documents/?uuid=c6aa7e0a-9f98-45dc-b294-22da9d93d47f"]}],"mendeley":{"formattedCitation":"&lt;sup&gt;14&lt;/sup&gt;","plainTextFormattedCitation":"14","previouslyFormattedCitation":"&lt;sup&gt;14&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9F711B" w:rsidRPr="00FD18FF">
        <w:rPr>
          <w:rFonts w:ascii="Times New Roman" w:hAnsi="Times New Roman" w:cs="Times New Roman"/>
          <w:bCs/>
          <w:noProof/>
          <w:sz w:val="24"/>
          <w:szCs w:val="24"/>
          <w:vertAlign w:val="superscript"/>
        </w:rPr>
        <w:t>14</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Quinones also play a role in skincare, blood clotting</w:t>
      </w:r>
      <w:r w:rsidR="009352F7" w:rsidRPr="00FD18FF">
        <w:rPr>
          <w:rFonts w:ascii="Times New Roman" w:hAnsi="Times New Roman" w:cs="Times New Roman"/>
          <w:bCs/>
          <w:sz w:val="24"/>
          <w:szCs w:val="24"/>
        </w:rPr>
        <w:fldChar w:fldCharType="begin" w:fldLock="1"/>
      </w:r>
      <w:r w:rsidR="004C767B" w:rsidRPr="00FD18FF">
        <w:rPr>
          <w:rFonts w:ascii="Times New Roman" w:hAnsi="Times New Roman" w:cs="Times New Roman"/>
          <w:bCs/>
          <w:sz w:val="24"/>
          <w:szCs w:val="24"/>
        </w:rPr>
        <w:instrText>ADDIN CSL_CITATION {"citationItems":[{"id":"ITEM-1","itemData":{"author":[{"dropping-particle":"","family":"Mishima","given":"Eikan","non-dropping-particle":"","parse-names":false,"suffix":""},{"dropping-particle":"","family":"Wahida","given":"Adam","non-dropping-particle":"","parse-names":false,"suffix":""},{"dropping-particle":"","family":"Seibt","given":"Tobias","non-dropping-particle":"","parse-names":false,"suffix":""},{"dropping-particle":"","family":"Conrad","given":"Marcus","non-dropping-particle":"","parse-names":false,"suffix":""}],"container-title":"Nature Metabolism","id":"ITEM-1","issued":{"date-parts":[["2023"]]},"page":"1-9","publisher":"Nature Publishing Group UK London","title":"Diverse biological functions of vitamin K: from coagulation to ferroptosis","type":"article-journal"},"uris":["http://www.mendeley.com/documents/?uuid=ca722179-c20f-4bf0-8105-de66572ce5b4"]}],"mendeley":{"formattedCitation":"&lt;sup&gt;15&lt;/sup&gt;","plainTextFormattedCitation":"15","previouslyFormattedCitation":"&lt;sup&gt;15&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AE37ED" w:rsidRPr="00FD18FF">
        <w:rPr>
          <w:rFonts w:ascii="Times New Roman" w:hAnsi="Times New Roman" w:cs="Times New Roman"/>
          <w:bCs/>
          <w:noProof/>
          <w:sz w:val="24"/>
          <w:szCs w:val="24"/>
          <w:vertAlign w:val="superscript"/>
        </w:rPr>
        <w:t>15</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and neurological disorders</w:t>
      </w:r>
      <w:r w:rsidR="009352F7" w:rsidRPr="00FD18FF">
        <w:rPr>
          <w:rFonts w:ascii="Times New Roman" w:hAnsi="Times New Roman" w:cs="Times New Roman"/>
          <w:bCs/>
          <w:sz w:val="24"/>
          <w:szCs w:val="24"/>
        </w:rPr>
        <w:fldChar w:fldCharType="begin" w:fldLock="1"/>
      </w:r>
      <w:r w:rsidR="000E7B9E" w:rsidRPr="00FD18FF">
        <w:rPr>
          <w:rFonts w:ascii="Times New Roman" w:hAnsi="Times New Roman" w:cs="Times New Roman"/>
          <w:bCs/>
          <w:sz w:val="24"/>
          <w:szCs w:val="24"/>
        </w:rPr>
        <w:instrText>ADDIN CSL_CITATION {"citationItems":[{"id":"ITEM-1","itemData":{"DOI":"https://doi.org/10.1016/j.neuro.2020.02.005","author":[{"dropping-particle":"","family":"Peng","given":"Ying","non-dropping-particle":"","parse-names":false,"suffix":""},{"dropping-particle":"","family":"Xu","given":"Dong","non-dropping-particle":"","parse-names":false,"suffix":""},{"dropping-particle":"","family":"Mao","given":"Shishi","non-dropping-particle":"","parse-names":false,"suffix":""},{"dropping-particle":"","family":"Zhou","given":"Xingqin","non-dropping-particle":"","parse-names":false,"suffix":""}],"container-title":"Neurotoxicology","id":"ITEM-1","issued":{"date-parts":[["2020"]]},"page":"47-56","publisher":"Elsevier","title":"Neurotoxicity and apoptosis induced by pyrroloquinoline quinone and its ester derivative on primary cortical neurons","type":"article-journal","volume":"78"},"uris":["http://www.mendeley.com/documents/?uuid=91346afc-35b3-4103-ab52-6db70f49a318"]}],"mendeley":{"formattedCitation":"&lt;sup&gt;16&lt;/sup&gt;","plainTextFormattedCitation":"16","previouslyFormattedCitation":"&lt;sup&gt;16&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4C767B" w:rsidRPr="00FD18FF">
        <w:rPr>
          <w:rFonts w:ascii="Times New Roman" w:hAnsi="Times New Roman" w:cs="Times New Roman"/>
          <w:bCs/>
          <w:noProof/>
          <w:sz w:val="24"/>
          <w:szCs w:val="24"/>
          <w:vertAlign w:val="superscript"/>
        </w:rPr>
        <w:t>16</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Some quinones demonstrate antibacterial</w:t>
      </w:r>
      <w:r w:rsidR="009352F7" w:rsidRPr="00FD18FF">
        <w:rPr>
          <w:rFonts w:ascii="Times New Roman" w:hAnsi="Times New Roman" w:cs="Times New Roman"/>
          <w:bCs/>
          <w:sz w:val="24"/>
          <w:szCs w:val="24"/>
        </w:rPr>
        <w:fldChar w:fldCharType="begin" w:fldLock="1"/>
      </w:r>
      <w:r w:rsidR="00CE767E" w:rsidRPr="00FD18FF">
        <w:rPr>
          <w:rFonts w:ascii="Times New Roman" w:hAnsi="Times New Roman" w:cs="Times New Roman"/>
          <w:bCs/>
          <w:sz w:val="24"/>
          <w:szCs w:val="24"/>
        </w:rPr>
        <w:instrText>ADDIN CSL_CITATION {"citationItems":[{"id":"ITEM-1","itemData":{"DOI":"https://doi.org/10.33263/BRIAC123.32473258","author":[{"dropping-particle":"","family":"Sahoo","given":"Patitapaban Mohanty Subhasmita","non-dropping-particle":"","parse-names":false,"suffix":""},{"dropping-particle":"","family":"Behera","given":"Sunita","non-dropping-particle":"","parse-names":false,"suffix":""},{"dropping-particle":"","family":"Behura","given":"Rubi","non-dropping-particle":"","parse-names":false,"suffix":""},{"dropping-particle":"","family":"Acharya","given":"Anantjyoti","non-dropping-particle":"","parse-names":false,"suffix":""},{"dropping-particle":"","family":"Biswal","given":"Debajyoti","non-dropping-particle":"","parse-names":false,"suffix":""},{"dropping-particle":"","family":"Suna","given":"Sameer Kumar","non-dropping-particle":"","parse-names":false,"suffix":""},{"dropping-particle":"","family":"Sahoo","given":"Rojalin","non-dropping-particle":"","parse-names":false,"suffix":""},{"dropping-particle":"","family":"Soren","given":"Ram Chandra","non-dropping-particle":"","parse-names":false,"suffix":""},{"dropping-particle":"","family":"Jali","given":"Bigyan Ranjan","non-dropping-particle":"","parse-names":false,"suffix":""}],"container-title":"Biointerface Research in Applied Chemistry","id":"ITEM-1","issued":{"date-parts":[["2022"]]},"page":"3247-3258","title":"A brief review: Antibacterial activity of Quinone derivatives","type":"article-journal","volume":"12"},"uris":["http://www.mendeley.com/documents/?uuid=a791c6ef-b2ca-4e57-b197-a30c01f65db2"]}],"mendeley":{"formattedCitation":"&lt;sup&gt;17&lt;/sup&gt;","plainTextFormattedCitation":"17","previouslyFormattedCitation":"&lt;sup&gt;17&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0E7B9E" w:rsidRPr="00FD18FF">
        <w:rPr>
          <w:rFonts w:ascii="Times New Roman" w:hAnsi="Times New Roman" w:cs="Times New Roman"/>
          <w:bCs/>
          <w:noProof/>
          <w:sz w:val="24"/>
          <w:szCs w:val="24"/>
          <w:vertAlign w:val="superscript"/>
        </w:rPr>
        <w:t>17</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antifungal</w:t>
      </w:r>
      <w:r w:rsidR="009352F7" w:rsidRPr="00FD18FF">
        <w:rPr>
          <w:rFonts w:ascii="Times New Roman" w:hAnsi="Times New Roman" w:cs="Times New Roman"/>
          <w:bCs/>
          <w:sz w:val="24"/>
          <w:szCs w:val="24"/>
        </w:rPr>
        <w:fldChar w:fldCharType="begin" w:fldLock="1"/>
      </w:r>
      <w:r w:rsidR="007E4962" w:rsidRPr="00FD18FF">
        <w:rPr>
          <w:rFonts w:ascii="Times New Roman" w:hAnsi="Times New Roman" w:cs="Times New Roman"/>
          <w:bCs/>
          <w:sz w:val="24"/>
          <w:szCs w:val="24"/>
        </w:rPr>
        <w:instrText>ADDIN CSL_CITATION {"citationItems":[{"id":"ITEM-1","itemData":{"DOI":"https://doi.org/10.1002/tqem.22065","author":[{"dropping-particle":"","family":"Pacios-Michelena","given":"Sandra","non-dropping-particle":"","parse-names":false,"suffix":""},{"dropping-particle":"","family":"González","given":"Cristóbal N Aguilar","non-dropping-particle":"","parse-names":false,"suffix":""},{"dropping-particle":"","family":"Herrera","given":"Raúl Rodr\\'\\iguez","non-dropping-particle":"","parse-names":false,"suffix":""},{"dropping-particle":"","family":"Alvarez-Perez","given":"Olga B","non-dropping-particle":"","parse-names":false,"suffix":""},{"dropping-particle":"","family":"González","given":"Mónica L Chávez","non-dropping-particle":"","parse-names":false,"suffix":""},{"dropping-particle":"","family":"Valdés","given":"Roberto Arredondo","non-dropping-particle":"","parse-names":false,"suffix":""},{"dropping-particle":"","family":"Valdés","given":"Juan A Ascacio","non-dropping-particle":"","parse-names":false,"suffix":""},{"dropping-particle":"","family":"Salas","given":"Mayela Govea","non-dropping-particle":"","parse-names":false,"suffix":""},{"dropping-particle":"","family":"Iliná","given":"Anna","non-dropping-particle":"","parse-names":false,"suffix":""}],"container-title":"Environmental Quality Management","id":"ITEM-1","issue":"1","issued":{"date-parts":[["2023"]]},"page":"349-358","publisher":"Wiley Online Library","title":"Biomass from phytopathogens and culture conditions improve Penicillium chrysogenum antimicrobial activity and antifungal compounds production","type":"article-journal","volume":"33"},"uris":["http://www.mendeley.com/documents/?uuid=1d36cf92-eeba-4c50-b68f-a64ef9a21dd9"]}],"mendeley":{"formattedCitation":"&lt;sup&gt;18&lt;/sup&gt;","plainTextFormattedCitation":"18","previouslyFormattedCitation":"&lt;sup&gt;18&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CE767E" w:rsidRPr="00FD18FF">
        <w:rPr>
          <w:rFonts w:ascii="Times New Roman" w:hAnsi="Times New Roman" w:cs="Times New Roman"/>
          <w:bCs/>
          <w:noProof/>
          <w:sz w:val="24"/>
          <w:szCs w:val="24"/>
          <w:vertAlign w:val="superscript"/>
        </w:rPr>
        <w:t>18</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xml:space="preserve">, </w:t>
      </w:r>
      <w:r w:rsidRPr="00FD18FF">
        <w:rPr>
          <w:rFonts w:ascii="Times New Roman" w:hAnsi="Times New Roman" w:cs="Times New Roman"/>
          <w:bCs/>
          <w:sz w:val="24"/>
          <w:szCs w:val="24"/>
        </w:rPr>
        <w:lastRenderedPageBreak/>
        <w:t>and anti-inflammatory effects</w:t>
      </w:r>
      <w:r w:rsidR="009352F7" w:rsidRPr="00FD18FF">
        <w:rPr>
          <w:rFonts w:ascii="Times New Roman" w:hAnsi="Times New Roman" w:cs="Times New Roman"/>
          <w:bCs/>
          <w:sz w:val="24"/>
          <w:szCs w:val="24"/>
        </w:rPr>
        <w:fldChar w:fldCharType="begin" w:fldLock="1"/>
      </w:r>
      <w:r w:rsidR="00ED7BF2" w:rsidRPr="00FD18FF">
        <w:rPr>
          <w:rFonts w:ascii="Times New Roman" w:hAnsi="Times New Roman" w:cs="Times New Roman"/>
          <w:bCs/>
          <w:sz w:val="24"/>
          <w:szCs w:val="24"/>
        </w:rPr>
        <w:instrText>ADDIN CSL_CITATION {"citationItems":[{"id":"ITEM-1","itemData":{"DOI":"https://doi.org/10.3389/fmolb.2023.1200025","author":[{"dropping-particle":"","family":"Mohamad Ishak","given":"Nur Syafiqah","non-dropping-particle":"","parse-names":false,"suffix":""},{"dropping-particle":"","family":"Ikemoto","given":"Kazuto","non-dropping-particle":"","parse-names":false,"suffix":""}],"container-title":"Frontiers in Molecular Biosciences","id":"ITEM-1","issued":{"date-parts":[["2023"]]},"page":"1200025","publisher":"Frontiers","title":"Pyrroloquinoline-quinone to reduce fat accumulation and ameliorate obesity progression","type":"article-journal","volume":"10"},"uris":["http://www.mendeley.com/documents/?uuid=4110ec4a-7bef-462f-80b9-7e866b266f6d"]}],"mendeley":{"formattedCitation":"&lt;sup&gt;19&lt;/sup&gt;","plainTextFormattedCitation":"19","previouslyFormattedCitation":"&lt;sup&gt;19&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7E4962" w:rsidRPr="00FD18FF">
        <w:rPr>
          <w:rFonts w:ascii="Times New Roman" w:hAnsi="Times New Roman" w:cs="Times New Roman"/>
          <w:bCs/>
          <w:noProof/>
          <w:sz w:val="24"/>
          <w:szCs w:val="24"/>
          <w:vertAlign w:val="superscript"/>
        </w:rPr>
        <w:t>19</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CoQ10, in particular, is studied for mitochondrial function and cardiovascular health</w:t>
      </w:r>
      <w:r w:rsidR="009352F7" w:rsidRPr="00FD18FF">
        <w:rPr>
          <w:rFonts w:ascii="Times New Roman" w:hAnsi="Times New Roman" w:cs="Times New Roman"/>
          <w:bCs/>
          <w:sz w:val="24"/>
          <w:szCs w:val="24"/>
        </w:rPr>
        <w:fldChar w:fldCharType="begin" w:fldLock="1"/>
      </w:r>
      <w:r w:rsidR="00E641F1" w:rsidRPr="00FD18FF">
        <w:rPr>
          <w:rFonts w:ascii="Times New Roman" w:hAnsi="Times New Roman" w:cs="Times New Roman"/>
          <w:bCs/>
          <w:sz w:val="24"/>
          <w:szCs w:val="24"/>
        </w:rPr>
        <w:instrText>ADDIN CSL_CITATION {"citationItems":[{"id":"ITEM-1","itemData":{"DOI":"https://doi.org/10.3390/antiox11091698","author":[{"dropping-particle":"","family":"Pu","given":"Tian-Tian","non-dropping-particle":"","parse-names":false,"suffix":""},{"dropping-particle":"","family":"Wu","given":"Wei","non-dropping-particle":"","parse-names":false,"suffix":""},{"dropping-particle":"","family":"Liang","given":"Pei-Da","non-dropping-particle":"","parse-names":false,"suffix":""},{"dropping-particle":"","family":"Du","given":"Jin-Chan","non-dropping-particle":"","parse-names":false,"suffix":""},{"dropping-particle":"","family":"Han","given":"Sheng-Li","non-dropping-particle":"","parse-names":false,"suffix":""},{"dropping-particle":"","family":"Deng","given":"Xiu-Ling","non-dropping-particle":"","parse-names":false,"suffix":""},{"dropping-particle":"","family":"Du","given":"Xiao-Jun","non-dropping-particle":"","parse-names":false,"suffix":""}],"container-title":"Journal of Cardiovascular Pharmacology","id":"ITEM-1","issued":{"date-parts":[["2022"]]},"page":"10-1097","publisher":"LWW","title":"Evaluation of coenzyme Q10 (CoQ10) deficiency and therapy in mouse models of cardiomyopathy","type":"article-journal"},"uris":["http://www.mendeley.com/documents/?uuid=d210a980-e830-4071-9ce0-6d82c2baec88"]}],"mendeley":{"formattedCitation":"&lt;sup&gt;20&lt;/sup&gt;","plainTextFormattedCitation":"20","previouslyFormattedCitation":"&lt;sup&gt;20&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ED7BF2" w:rsidRPr="00FD18FF">
        <w:rPr>
          <w:rFonts w:ascii="Times New Roman" w:hAnsi="Times New Roman" w:cs="Times New Roman"/>
          <w:bCs/>
          <w:noProof/>
          <w:sz w:val="24"/>
          <w:szCs w:val="24"/>
          <w:vertAlign w:val="superscript"/>
        </w:rPr>
        <w:t>20</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While promising, the use of quinone-based treatments should always involve consultation with healthcare professionals due to potential side effects and interactions with other medications.</w:t>
      </w:r>
    </w:p>
    <w:p w:rsidR="00FD18FF" w:rsidRPr="00FD18FF" w:rsidRDefault="00FD18FF"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jc w:val="center"/>
        <w:rPr>
          <w:rFonts w:ascii="Times New Roman" w:hAnsi="Times New Roman" w:cs="Times New Roman"/>
          <w:bCs/>
          <w:sz w:val="24"/>
          <w:szCs w:val="24"/>
        </w:rPr>
      </w:pPr>
      <w:r w:rsidRPr="00FD18FF">
        <w:rPr>
          <w:rFonts w:ascii="Times New Roman" w:hAnsi="Times New Roman" w:cs="Times New Roman"/>
          <w:noProof/>
          <w:sz w:val="24"/>
          <w:szCs w:val="24"/>
        </w:rPr>
        <w:drawing>
          <wp:inline distT="0" distB="0" distL="0" distR="0">
            <wp:extent cx="3648710" cy="1627135"/>
            <wp:effectExtent l="19050" t="0" r="8890" b="0"/>
            <wp:docPr id="937408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08079" name="Picture 937408079"/>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8351"/>
                    <a:stretch/>
                  </pic:blipFill>
                  <pic:spPr bwMode="auto">
                    <a:xfrm>
                      <a:off x="0" y="0"/>
                      <a:ext cx="3648710" cy="16271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B7682" w:rsidRPr="00FD18FF" w:rsidRDefault="000B7682" w:rsidP="00FD18FF">
      <w:pPr>
        <w:spacing w:after="0" w:line="276" w:lineRule="auto"/>
        <w:jc w:val="both"/>
        <w:rPr>
          <w:rFonts w:ascii="Times New Roman" w:hAnsi="Times New Roman" w:cs="Times New Roman"/>
          <w:b/>
          <w:sz w:val="24"/>
          <w:szCs w:val="24"/>
        </w:rPr>
      </w:pP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 xml:space="preserve">                                    Figure 1: Plant of </w:t>
      </w:r>
      <w:r w:rsidRPr="00FD18FF">
        <w:rPr>
          <w:rFonts w:ascii="Times New Roman" w:hAnsi="Times New Roman" w:cs="Times New Roman"/>
          <w:b/>
          <w:bCs/>
          <w:i/>
          <w:iCs/>
          <w:sz w:val="24"/>
          <w:szCs w:val="24"/>
        </w:rPr>
        <w:t>Syzygiumoblanceolatum</w:t>
      </w:r>
      <w:r w:rsidRPr="00FD18FF">
        <w:rPr>
          <w:rFonts w:ascii="Times New Roman" w:hAnsi="Times New Roman" w:cs="Times New Roman"/>
          <w:b/>
          <w:bCs/>
          <w:sz w:val="24"/>
          <w:szCs w:val="24"/>
        </w:rPr>
        <w:t xml:space="preserve"> (C.B. Rob.) Merr</w:t>
      </w:r>
    </w:p>
    <w:p w:rsidR="000B7682" w:rsidRPr="00FD18FF" w:rsidRDefault="000B7682"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Tectoquinone (as a member of the class of quinones compound)</w:t>
      </w:r>
      <w:r w:rsidR="009352F7" w:rsidRPr="00FD18FF">
        <w:rPr>
          <w:rFonts w:ascii="Times New Roman" w:hAnsi="Times New Roman" w:cs="Times New Roman"/>
          <w:bCs/>
          <w:sz w:val="24"/>
          <w:szCs w:val="24"/>
        </w:rPr>
        <w:fldChar w:fldCharType="begin" w:fldLock="1"/>
      </w:r>
      <w:r w:rsidR="002B7B40" w:rsidRPr="00FD18FF">
        <w:rPr>
          <w:rFonts w:ascii="Times New Roman" w:hAnsi="Times New Roman" w:cs="Times New Roman"/>
          <w:bCs/>
          <w:sz w:val="24"/>
          <w:szCs w:val="24"/>
        </w:rPr>
        <w:instrText>ADDIN CSL_CITATION {"citationItems":[{"id":"ITEM-1","itemData":{"DOI":"https://doi.org/10.3390/f14020283","author":[{"dropping-particle":"","family":"Mart\\'\\in","given":"Juan A","non-dropping-particle":"","parse-names":false,"suffix":""},{"dropping-particle":"","family":"López","given":"Rosana","non-dropping-particle":"","parse-names":false,"suffix":""}],"container-title":"Forests","id":"ITEM-1","issue":"2","issued":{"date-parts":[["2023"]]},"page":"283","publisher":"MDPI","title":"Biological Deterioration and Natural Durability of Wood in Europe","type":"article-journal","volume":"14"},"uris":["http://www.mendeley.com/documents/?uuid=a4793fe7-f21c-44ab-bd5d-c8ea2670272d"]}],"mendeley":{"formattedCitation":"&lt;sup&gt;21&lt;/sup&gt;","plainTextFormattedCitation":"21","previouslyFormattedCitation":"&lt;sup&gt;21&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E641F1" w:rsidRPr="00FD18FF">
        <w:rPr>
          <w:rFonts w:ascii="Times New Roman" w:hAnsi="Times New Roman" w:cs="Times New Roman"/>
          <w:bCs/>
          <w:noProof/>
          <w:sz w:val="24"/>
          <w:szCs w:val="24"/>
          <w:vertAlign w:val="superscript"/>
        </w:rPr>
        <w:t>21</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is a naturally occurring compound that has attracted attention due to its potential antioxidant properties. It is often found in certain plant species, and researchers have been investigating its ability to scavenge free radicals, which are harmful molecules associated with oxidative stress and various health issues.</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Tectoquinone is a type of organic compound. Specifically, it belongs to the class of compounds known as quinones. Quinones are a class of organic compounds characterized by a six-membered aromatic ring containing two carbonyl (C=O) functional groups</w:t>
      </w:r>
      <w:r w:rsidR="009352F7" w:rsidRPr="00FD18FF">
        <w:rPr>
          <w:rFonts w:ascii="Times New Roman" w:hAnsi="Times New Roman" w:cs="Times New Roman"/>
          <w:bCs/>
          <w:sz w:val="24"/>
          <w:szCs w:val="24"/>
        </w:rPr>
        <w:fldChar w:fldCharType="begin" w:fldLock="1"/>
      </w:r>
      <w:r w:rsidR="000B772B" w:rsidRPr="00FD18FF">
        <w:rPr>
          <w:rFonts w:ascii="Times New Roman" w:hAnsi="Times New Roman" w:cs="Times New Roman"/>
          <w:bCs/>
          <w:sz w:val="24"/>
          <w:szCs w:val="24"/>
        </w:rPr>
        <w:instrText>ADDIN CSL_CITATION {"citationItems":[{"id":"ITEM-1","itemData":{"DOI":"https://doi.org/10.1021/jacs.3c04657","author":[{"dropping-particle":"","family":"Zhang","given":"Siqi","non-dropping-particle":"","parse-names":false,"suffix":""},{"dropping-particle":"","family":"Zhu","given":"You-Liang","non-dropping-particle":"","parse-names":false,"suffix":""},{"dropping-particle":"","family":"Ren","given":"Siyuan","non-dropping-particle":"","parse-names":false,"suffix":""},{"dropping-particle":"","family":"Li","given":"Chunguang","non-dropping-particle":"","parse-names":false,"suffix":""},{"dropping-particle":"","family":"Chen","given":"Xiao-Bo","non-dropping-particle":"","parse-names":false,"suffix":""},{"dropping-particle":"","family":"Li","given":"Zhenjiang","non-dropping-particle":"","parse-names":false,"suffix":""},{"dropping-particle":"","family":"Han","given":"Yu","non-dropping-particle":"","parse-names":false,"suffix":""},{"dropping-particle":"","family":"Shi","given":"Zhan","non-dropping-particle":"","parse-names":false,"suffix":""},{"dropping-particle":"","family":"Feng","given":"Shouhua","non-dropping-particle":"","parse-names":false,"suffix":""}],"container-title":"Journal of the American Chemical Society","id":"ITEM-1","issue":"31","issued":{"date-parts":[["2023"]]},"page":"17309-17320","publisher":"ACS Publications","title":"Covalent Organic Framework with Multiple Redox Active Sites for High-Performance Aqueous Calcium Ion Batteries","type":"article-journal","volume":"145"},"uris":["http://www.mendeley.com/documents/?uuid=1a15ca4f-c4e3-4e79-a78f-0e8b365e02d4"]}],"mendeley":{"formattedCitation":"&lt;sup&gt;22&lt;/sup&gt;","plainTextFormattedCitation":"22","previouslyFormattedCitation":"&lt;sup&gt;22&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2B7B40" w:rsidRPr="00FD18FF">
        <w:rPr>
          <w:rFonts w:ascii="Times New Roman" w:hAnsi="Times New Roman" w:cs="Times New Roman"/>
          <w:bCs/>
          <w:noProof/>
          <w:sz w:val="24"/>
          <w:szCs w:val="24"/>
          <w:vertAlign w:val="superscript"/>
        </w:rPr>
        <w:t>22</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 Tectoquinone, like other quinones, is known for its chemical structure that includes this characteristic aromatic ring with carbonyl groups, which contributes to its reactivity and potential biological activities, including its antioxidant properties</w:t>
      </w:r>
      <w:r w:rsidR="009352F7" w:rsidRPr="00FD18FF">
        <w:rPr>
          <w:rFonts w:ascii="Times New Roman" w:hAnsi="Times New Roman" w:cs="Times New Roman"/>
          <w:bCs/>
          <w:sz w:val="24"/>
          <w:szCs w:val="24"/>
        </w:rPr>
        <w:fldChar w:fldCharType="begin" w:fldLock="1"/>
      </w:r>
      <w:r w:rsidR="00A43A1D" w:rsidRPr="00FD18FF">
        <w:rPr>
          <w:rFonts w:ascii="Times New Roman" w:hAnsi="Times New Roman" w:cs="Times New Roman"/>
          <w:bCs/>
          <w:sz w:val="24"/>
          <w:szCs w:val="24"/>
        </w:rPr>
        <w:instrText>ADDIN CSL_CITATION {"citationItems":[{"id":"ITEM-1","itemData":{"DOI":"https://doi.org/10.32604/phyton.2022.020578","author":[{"dropping-particle":"","family":"Cárcamo-Ibarra","given":"Enrique","non-dropping-particle":"","parse-names":false,"suffix":""},{"dropping-particle":"","family":"Manuel Martinez-Pacheco","given":"Mauro","non-dropping-particle":"","parse-names":false,"suffix":""},{"dropping-particle":"","family":"Munro-Rojas","given":"Abril","non-dropping-particle":"","parse-names":false,"suffix":""},{"dropping-particle":"","family":"Enrique Ambriz-Parra","given":"Jorge","non-dropping-particle":"","parse-names":false,"suffix":""},{"dropping-particle":"","family":"Velázquez-Becerra","given":"Crisanto","non-dropping-particle":"","parse-names":false,"suffix":""}],"container-title":"Phyton (0031-9457)","id":"ITEM-1","issue":"8","issued":{"date-parts":[["2022"]]},"title":"Antifungal Activity of Crude Extracts of Tectona grandis Lf against Wood Decay Fungi.","type":"article-journal","volume":"91"},"uris":["http://www.mendeley.com/documents/?uuid=a6aa4d41-dab8-498e-b561-39243f89cb4d"]}],"mendeley":{"formattedCitation":"&lt;sup&gt;23&lt;/sup&gt;","plainTextFormattedCitation":"23","previouslyFormattedCitation":"&lt;sup&gt;23&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0B772B" w:rsidRPr="00FD18FF">
        <w:rPr>
          <w:rFonts w:ascii="Times New Roman" w:hAnsi="Times New Roman" w:cs="Times New Roman"/>
          <w:bCs/>
          <w:noProof/>
          <w:sz w:val="24"/>
          <w:szCs w:val="24"/>
          <w:vertAlign w:val="superscript"/>
        </w:rPr>
        <w:t>23</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In this study, we investigate the capacity of tectoquinone compounds to scavenge free radicals, a critical aspect of their antioxidant activity. The widely recognized DPPH (2,2-diphenyl-1-picrylhydrazyl) assay was employed for this purpose, offering a reliable means to assess the radical-scavenging abilities of compounds.</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To provide a quantitative assessment of the free radical scavenging activity, we utilized a UV-Vis spectrophotometric approach, enabling precise measurements at a specific wavelength. This method allowed us to obtain valuable data on the antioxidant potential of the tectoquinone compound.</w:t>
      </w:r>
    </w:p>
    <w:p w:rsidR="000B7682" w:rsidRPr="00FD18FF" w:rsidRDefault="000B7682"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sz w:val="24"/>
          <w:szCs w:val="24"/>
        </w:rPr>
      </w:pPr>
      <w:r w:rsidRPr="00FD18FF">
        <w:rPr>
          <w:rFonts w:ascii="Times New Roman" w:hAnsi="Times New Roman" w:cs="Times New Roman"/>
          <w:b/>
          <w:sz w:val="24"/>
          <w:szCs w:val="24"/>
        </w:rPr>
        <w:t>MATERIALS AND METHODS</w:t>
      </w:r>
    </w:p>
    <w:p w:rsidR="000B7682" w:rsidRPr="00FD18FF" w:rsidRDefault="000B7682" w:rsidP="00FD18FF">
      <w:pPr>
        <w:spacing w:after="0" w:line="276" w:lineRule="auto"/>
        <w:jc w:val="both"/>
        <w:rPr>
          <w:rFonts w:ascii="Times New Roman" w:hAnsi="Times New Roman" w:cs="Times New Roman"/>
          <w:sz w:val="24"/>
          <w:szCs w:val="24"/>
        </w:rPr>
      </w:pPr>
      <w:r w:rsidRPr="00FD18FF">
        <w:rPr>
          <w:rFonts w:ascii="Times New Roman" w:hAnsi="Times New Roman" w:cs="Times New Roman"/>
          <w:b/>
          <w:sz w:val="24"/>
          <w:szCs w:val="24"/>
        </w:rPr>
        <w:t>Materials</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 xml:space="preserve">The samples used in this research are tectoquinone compound previously isolated from </w:t>
      </w:r>
      <w:r w:rsidRPr="00FD18FF">
        <w:rPr>
          <w:rFonts w:ascii="Times New Roman" w:hAnsi="Times New Roman" w:cs="Times New Roman"/>
          <w:bCs/>
          <w:i/>
          <w:iCs/>
          <w:sz w:val="24"/>
          <w:szCs w:val="24"/>
        </w:rPr>
        <w:t>Syzygiumoblanceolatum</w:t>
      </w:r>
      <w:r w:rsidRPr="00FD18FF">
        <w:rPr>
          <w:rFonts w:ascii="Times New Roman" w:hAnsi="Times New Roman" w:cs="Times New Roman"/>
          <w:bCs/>
          <w:sz w:val="24"/>
          <w:szCs w:val="24"/>
        </w:rPr>
        <w:t xml:space="preserve"> (C.B.Rob.) Merr., DPPH (Sigma Aldrich), Quercetin (Sigma Aldrich).</w:t>
      </w: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Methods</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The study was carried out through experimental procedures conducted in a laboratory setting, employing the free radical scavenging method</w:t>
      </w: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Preparation of DPPH Stock Solution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 xml:space="preserve">To prepare a DPPH solution with a concentration of 30 ppm, 1.5 mg of DPPH powder was dissolved in 50 mL of high-quality analytical methanol within a volumetric flask. Following this, </w:t>
      </w:r>
      <w:r w:rsidRPr="00FD18FF">
        <w:rPr>
          <w:rFonts w:ascii="Times New Roman" w:hAnsi="Times New Roman" w:cs="Times New Roman"/>
          <w:bCs/>
          <w:sz w:val="24"/>
          <w:szCs w:val="24"/>
        </w:rPr>
        <w:lastRenderedPageBreak/>
        <w:t>the measurement of the DPPH's maximum wavelength was conducted within the range of 450 nm to 550 nm.</w:t>
      </w: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 xml:space="preserve">Preparation Quercetin Standard Solution </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To prepare a reference quercetin solution, a concentration of 1,000 ppm was initially established. Subsequently, various concentrations, including 0.2 ppm, 0.4 ppm, 0.6 ppm, 0.8 ppm, and 1 ppm, were derived from this primary solution, with each variant comprising a 5 mL volume. A 2 mL aliquot of each quercetin solution series was then measured and transferred to separate vials. Next, 2 mL of DPPH solution was introduced into each vial. Following thorough mixing, the vials were left to incubate in a dark environment for 30 minutes. After this incubation period, the absorption at the maximum wavelength was determined using a UV-Vis spectrophotometer, namely 516 nm.</w:t>
      </w: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Preparation of Tectoquinone</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Weighing 0.7 mg of the tectoquinone compound, we then dissolved it in 2.5 mL of high-quality analytical methanol, resulting in a stock solution with a concentration of 280 ppm. Following that, a range of concentrations was created by diluting 4 mL of this solution to produce concentrations of 10 ppm, 20 ppm, 30 ppm, 40 ppm, and 50 ppm.</w:t>
      </w:r>
    </w:p>
    <w:p w:rsidR="000B7682" w:rsidRPr="00FD18FF" w:rsidRDefault="000B7682" w:rsidP="00FD18FF">
      <w:pPr>
        <w:spacing w:after="0" w:line="276" w:lineRule="auto"/>
        <w:jc w:val="both"/>
        <w:rPr>
          <w:rFonts w:ascii="Times New Roman" w:hAnsi="Times New Roman" w:cs="Times New Roman"/>
          <w:b/>
          <w:sz w:val="24"/>
          <w:szCs w:val="24"/>
        </w:rPr>
      </w:pPr>
      <w:r w:rsidRPr="00FD18FF">
        <w:rPr>
          <w:rFonts w:ascii="Times New Roman" w:hAnsi="Times New Roman" w:cs="Times New Roman"/>
          <w:b/>
          <w:sz w:val="24"/>
          <w:szCs w:val="24"/>
        </w:rPr>
        <w:t>Examination of Free Radical Scavenging</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To assess the radical scavenging of tectoquinone compound, 2 mL of test solutions with concentrations ranging from 10 ppm to 50 ppm were mixed with an equal volume of DPPH solution in vials and left to incubate in darkness for 30 minutes. Following this incubation period, their absorbance was measured at the maximum wavelength, namely 516 nm.</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The percentage of DPPH radical inhibition was determined using the formula: % inhibition = (A1 - A2) / A1 x 100%, where A1 represents the absorbance of the control and A2 denotes the absorbance of the sample.</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To find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a linear curve was established by plotting the test solution concentrations (x-axis) against the corresponding % inhibition (y-axis) using the equation y = a + bx.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was then calculated as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 (50 - a)/b.</w:t>
      </w:r>
    </w:p>
    <w:p w:rsidR="000B7682" w:rsidRPr="00FD18FF" w:rsidRDefault="000B7682"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
          <w:sz w:val="24"/>
          <w:szCs w:val="24"/>
        </w:rPr>
      </w:pPr>
      <w:r w:rsidRPr="00FD18FF">
        <w:rPr>
          <w:rFonts w:ascii="Times New Roman" w:hAnsi="Times New Roman" w:cs="Times New Roman"/>
          <w:b/>
          <w:sz w:val="24"/>
          <w:szCs w:val="24"/>
        </w:rPr>
        <w:t>RESULTS AND DISCUSSION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In the quantitative assessment of antioxidant potential, the DPPH scavenging method relies on the IC50 value. This value indicates the concentration of the test sample required to achieve a 50% inhibition of oxidative processes (effectively reducing or inhibiting oxidation by 50%). The outcomes of absorbance measurements, percentage inhibition, and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values for both tectoquinone compound and the reference quercetin are provided in the table presented below as Table 1.</w:t>
      </w:r>
    </w:p>
    <w:p w:rsidR="000B7682" w:rsidRDefault="000B7682"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Default="00FD18FF" w:rsidP="00FD18FF">
      <w:pPr>
        <w:spacing w:after="0" w:line="276" w:lineRule="auto"/>
        <w:rPr>
          <w:rFonts w:ascii="Times New Roman" w:hAnsi="Times New Roman" w:cs="Times New Roman"/>
          <w:bCs/>
          <w:sz w:val="24"/>
          <w:szCs w:val="24"/>
        </w:rPr>
      </w:pPr>
    </w:p>
    <w:p w:rsidR="00FD18FF" w:rsidRPr="00FD18FF" w:rsidRDefault="00FD18FF" w:rsidP="00FD18FF">
      <w:pPr>
        <w:spacing w:after="0" w:line="276" w:lineRule="auto"/>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
          <w:sz w:val="24"/>
          <w:szCs w:val="24"/>
        </w:rPr>
      </w:pPr>
      <w:r w:rsidRPr="00FD18FF">
        <w:rPr>
          <w:rFonts w:ascii="Times New Roman" w:hAnsi="Times New Roman" w:cs="Times New Roman"/>
          <w:b/>
          <w:sz w:val="24"/>
          <w:szCs w:val="24"/>
        </w:rPr>
        <w:t>Table 1. Results of absorbance measurements, percentage inhibition, and IC</w:t>
      </w:r>
      <w:r w:rsidRPr="00FD18FF">
        <w:rPr>
          <w:rFonts w:ascii="Times New Roman" w:hAnsi="Times New Roman" w:cs="Times New Roman"/>
          <w:b/>
          <w:sz w:val="24"/>
          <w:szCs w:val="24"/>
          <w:vertAlign w:val="subscript"/>
        </w:rPr>
        <w:t>50</w:t>
      </w:r>
      <w:r w:rsidRPr="00FD18FF">
        <w:rPr>
          <w:rFonts w:ascii="Times New Roman" w:hAnsi="Times New Roman" w:cs="Times New Roman"/>
          <w:b/>
          <w:sz w:val="24"/>
          <w:szCs w:val="24"/>
        </w:rPr>
        <w:t xml:space="preserve"> values</w:t>
      </w:r>
    </w:p>
    <w:tbl>
      <w:tblPr>
        <w:tblStyle w:val="ListTable2"/>
        <w:tblW w:w="0" w:type="auto"/>
        <w:tblLayout w:type="fixed"/>
        <w:tblLook w:val="04A0"/>
      </w:tblPr>
      <w:tblGrid>
        <w:gridCol w:w="1418"/>
        <w:gridCol w:w="992"/>
        <w:gridCol w:w="284"/>
        <w:gridCol w:w="1275"/>
        <w:gridCol w:w="137"/>
        <w:gridCol w:w="1418"/>
        <w:gridCol w:w="1280"/>
        <w:gridCol w:w="1123"/>
      </w:tblGrid>
      <w:tr w:rsidR="000B7682" w:rsidRPr="00FD18FF" w:rsidTr="00347B96">
        <w:trPr>
          <w:cnfStyle w:val="100000000000"/>
        </w:trPr>
        <w:tc>
          <w:tcPr>
            <w:cnfStyle w:val="001000000000"/>
            <w:tcW w:w="1418" w:type="dxa"/>
          </w:tcPr>
          <w:p w:rsidR="000B7682" w:rsidRPr="00FD18FF" w:rsidRDefault="000B7682" w:rsidP="00FD18FF">
            <w:pPr>
              <w:spacing w:line="276" w:lineRule="auto"/>
              <w:rPr>
                <w:rFonts w:ascii="Times New Roman" w:hAnsi="Times New Roman" w:cs="Times New Roman"/>
                <w:b w:val="0"/>
                <w:bCs w:val="0"/>
                <w:sz w:val="24"/>
                <w:szCs w:val="24"/>
              </w:rPr>
            </w:pPr>
            <w:r w:rsidRPr="00FD18FF">
              <w:rPr>
                <w:rFonts w:ascii="Times New Roman" w:hAnsi="Times New Roman" w:cs="Times New Roman"/>
                <w:b w:val="0"/>
                <w:bCs w:val="0"/>
                <w:sz w:val="24"/>
                <w:szCs w:val="24"/>
              </w:rPr>
              <w:t>Sample</w:t>
            </w:r>
          </w:p>
        </w:tc>
        <w:tc>
          <w:tcPr>
            <w:tcW w:w="992" w:type="dxa"/>
          </w:tcPr>
          <w:p w:rsidR="000B7682" w:rsidRPr="00FD18FF" w:rsidRDefault="000B7682" w:rsidP="00FD18FF">
            <w:pPr>
              <w:spacing w:line="276" w:lineRule="auto"/>
              <w:cnfStyle w:val="100000000000"/>
              <w:rPr>
                <w:rFonts w:ascii="Times New Roman" w:hAnsi="Times New Roman" w:cs="Times New Roman"/>
                <w:b w:val="0"/>
                <w:bCs w:val="0"/>
                <w:sz w:val="24"/>
                <w:szCs w:val="24"/>
              </w:rPr>
            </w:pPr>
            <w:r w:rsidRPr="00FD18FF">
              <w:rPr>
                <w:rFonts w:ascii="Times New Roman" w:hAnsi="Times New Roman" w:cs="Times New Roman"/>
                <w:b w:val="0"/>
                <w:bCs w:val="0"/>
                <w:sz w:val="24"/>
                <w:szCs w:val="24"/>
              </w:rPr>
              <w:t>Concert</w:t>
            </w:r>
            <w:r w:rsidRPr="00FD18FF">
              <w:rPr>
                <w:rFonts w:ascii="Times New Roman" w:hAnsi="Times New Roman" w:cs="Times New Roman"/>
                <w:b w:val="0"/>
                <w:bCs w:val="0"/>
                <w:sz w:val="24"/>
                <w:szCs w:val="24"/>
              </w:rPr>
              <w:lastRenderedPageBreak/>
              <w:t>ation (ppm)</w:t>
            </w:r>
          </w:p>
        </w:tc>
        <w:tc>
          <w:tcPr>
            <w:tcW w:w="1559" w:type="dxa"/>
            <w:gridSpan w:val="2"/>
          </w:tcPr>
          <w:p w:rsidR="000B7682" w:rsidRPr="00FD18FF" w:rsidRDefault="000B7682" w:rsidP="00FD18FF">
            <w:pPr>
              <w:spacing w:line="276" w:lineRule="auto"/>
              <w:cnfStyle w:val="100000000000"/>
              <w:rPr>
                <w:rFonts w:ascii="Times New Roman" w:hAnsi="Times New Roman" w:cs="Times New Roman"/>
                <w:b w:val="0"/>
                <w:bCs w:val="0"/>
                <w:sz w:val="24"/>
                <w:szCs w:val="24"/>
              </w:rPr>
            </w:pPr>
            <w:r w:rsidRPr="00FD18FF">
              <w:rPr>
                <w:rFonts w:ascii="Times New Roman" w:hAnsi="Times New Roman" w:cs="Times New Roman"/>
                <w:b w:val="0"/>
                <w:bCs w:val="0"/>
                <w:sz w:val="24"/>
                <w:szCs w:val="24"/>
              </w:rPr>
              <w:lastRenderedPageBreak/>
              <w:t xml:space="preserve">Blank </w:t>
            </w:r>
            <w:r w:rsidRPr="00FD18FF">
              <w:rPr>
                <w:rFonts w:ascii="Times New Roman" w:hAnsi="Times New Roman" w:cs="Times New Roman"/>
                <w:b w:val="0"/>
                <w:bCs w:val="0"/>
                <w:sz w:val="24"/>
                <w:szCs w:val="24"/>
              </w:rPr>
              <w:lastRenderedPageBreak/>
              <w:t>Absorbance</w:t>
            </w:r>
          </w:p>
        </w:tc>
        <w:tc>
          <w:tcPr>
            <w:tcW w:w="1555" w:type="dxa"/>
            <w:gridSpan w:val="2"/>
          </w:tcPr>
          <w:p w:rsidR="000B7682" w:rsidRPr="00FD18FF" w:rsidRDefault="000B7682" w:rsidP="00FD18FF">
            <w:pPr>
              <w:spacing w:line="276" w:lineRule="auto"/>
              <w:cnfStyle w:val="100000000000"/>
              <w:rPr>
                <w:rFonts w:ascii="Times New Roman" w:hAnsi="Times New Roman" w:cs="Times New Roman"/>
                <w:b w:val="0"/>
                <w:bCs w:val="0"/>
                <w:sz w:val="24"/>
                <w:szCs w:val="24"/>
              </w:rPr>
            </w:pPr>
            <w:r w:rsidRPr="00FD18FF">
              <w:rPr>
                <w:rFonts w:ascii="Times New Roman" w:hAnsi="Times New Roman" w:cs="Times New Roman"/>
                <w:b w:val="0"/>
                <w:bCs w:val="0"/>
                <w:sz w:val="24"/>
                <w:szCs w:val="24"/>
              </w:rPr>
              <w:lastRenderedPageBreak/>
              <w:t xml:space="preserve">    Sample  </w:t>
            </w:r>
            <w:r w:rsidRPr="00FD18FF">
              <w:rPr>
                <w:rFonts w:ascii="Times New Roman" w:hAnsi="Times New Roman" w:cs="Times New Roman"/>
                <w:b w:val="0"/>
                <w:bCs w:val="0"/>
                <w:sz w:val="24"/>
                <w:szCs w:val="24"/>
              </w:rPr>
              <w:lastRenderedPageBreak/>
              <w:t>Absorbance</w:t>
            </w:r>
          </w:p>
        </w:tc>
        <w:tc>
          <w:tcPr>
            <w:tcW w:w="1280" w:type="dxa"/>
          </w:tcPr>
          <w:p w:rsidR="000B7682" w:rsidRPr="00FD18FF" w:rsidRDefault="000B7682" w:rsidP="00FD18FF">
            <w:pPr>
              <w:spacing w:line="276" w:lineRule="auto"/>
              <w:cnfStyle w:val="100000000000"/>
              <w:rPr>
                <w:rFonts w:ascii="Times New Roman" w:hAnsi="Times New Roman" w:cs="Times New Roman"/>
                <w:sz w:val="24"/>
                <w:szCs w:val="24"/>
              </w:rPr>
            </w:pPr>
            <w:r w:rsidRPr="00FD18FF">
              <w:rPr>
                <w:rFonts w:ascii="Times New Roman" w:hAnsi="Times New Roman" w:cs="Times New Roman"/>
                <w:b w:val="0"/>
                <w:bCs w:val="0"/>
                <w:sz w:val="24"/>
                <w:szCs w:val="24"/>
              </w:rPr>
              <w:lastRenderedPageBreak/>
              <w:t>Inhibition</w:t>
            </w:r>
          </w:p>
          <w:p w:rsidR="000B7682" w:rsidRPr="00FD18FF" w:rsidRDefault="000B7682" w:rsidP="00FD18FF">
            <w:pPr>
              <w:spacing w:line="276" w:lineRule="auto"/>
              <w:cnfStyle w:val="100000000000"/>
              <w:rPr>
                <w:rFonts w:ascii="Times New Roman" w:hAnsi="Times New Roman" w:cs="Times New Roman"/>
                <w:b w:val="0"/>
                <w:bCs w:val="0"/>
                <w:sz w:val="24"/>
                <w:szCs w:val="24"/>
              </w:rPr>
            </w:pPr>
            <w:r w:rsidRPr="00FD18FF">
              <w:rPr>
                <w:rFonts w:ascii="Times New Roman" w:hAnsi="Times New Roman" w:cs="Times New Roman"/>
                <w:b w:val="0"/>
                <w:bCs w:val="0"/>
                <w:sz w:val="24"/>
                <w:szCs w:val="24"/>
              </w:rPr>
              <w:lastRenderedPageBreak/>
              <w:t>(%)</w:t>
            </w:r>
          </w:p>
        </w:tc>
        <w:tc>
          <w:tcPr>
            <w:tcW w:w="1123" w:type="dxa"/>
          </w:tcPr>
          <w:p w:rsidR="000B7682" w:rsidRPr="00FD18FF" w:rsidRDefault="000B7682" w:rsidP="00FD18FF">
            <w:pPr>
              <w:spacing w:line="276" w:lineRule="auto"/>
              <w:cnfStyle w:val="100000000000"/>
              <w:rPr>
                <w:rFonts w:ascii="Times New Roman" w:hAnsi="Times New Roman" w:cs="Times New Roman"/>
                <w:b w:val="0"/>
                <w:bCs w:val="0"/>
                <w:sz w:val="24"/>
                <w:szCs w:val="24"/>
              </w:rPr>
            </w:pPr>
            <w:r w:rsidRPr="00FD18FF">
              <w:rPr>
                <w:rFonts w:ascii="Times New Roman" w:hAnsi="Times New Roman" w:cs="Times New Roman"/>
                <w:b w:val="0"/>
                <w:bCs w:val="0"/>
                <w:sz w:val="24"/>
                <w:szCs w:val="24"/>
              </w:rPr>
              <w:lastRenderedPageBreak/>
              <w:t>IC</w:t>
            </w:r>
            <w:r w:rsidRPr="00FD18FF">
              <w:rPr>
                <w:rFonts w:ascii="Times New Roman" w:hAnsi="Times New Roman" w:cs="Times New Roman"/>
                <w:b w:val="0"/>
                <w:bCs w:val="0"/>
                <w:sz w:val="24"/>
                <w:szCs w:val="24"/>
                <w:vertAlign w:val="subscript"/>
              </w:rPr>
              <w:t>50</w:t>
            </w:r>
            <w:r w:rsidRPr="00FD18FF">
              <w:rPr>
                <w:rFonts w:ascii="Times New Roman" w:hAnsi="Times New Roman" w:cs="Times New Roman"/>
                <w:b w:val="0"/>
                <w:bCs w:val="0"/>
                <w:sz w:val="24"/>
                <w:szCs w:val="24"/>
              </w:rPr>
              <w:t xml:space="preserve"> </w:t>
            </w:r>
            <w:r w:rsidRPr="00FD18FF">
              <w:rPr>
                <w:rFonts w:ascii="Times New Roman" w:hAnsi="Times New Roman" w:cs="Times New Roman"/>
                <w:b w:val="0"/>
                <w:bCs w:val="0"/>
                <w:sz w:val="24"/>
                <w:szCs w:val="24"/>
              </w:rPr>
              <w:lastRenderedPageBreak/>
              <w:t>(μg/mL)</w:t>
            </w:r>
          </w:p>
        </w:tc>
      </w:tr>
      <w:tr w:rsidR="000B7682" w:rsidRPr="00FD18FF" w:rsidTr="00347B96">
        <w:trPr>
          <w:cnfStyle w:val="000000100000"/>
        </w:trPr>
        <w:tc>
          <w:tcPr>
            <w:cnfStyle w:val="001000000000"/>
            <w:tcW w:w="1418" w:type="dxa"/>
            <w:vMerge w:val="restart"/>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p w:rsidR="000B7682" w:rsidRPr="00FD18FF" w:rsidRDefault="000B7682" w:rsidP="00FD18FF">
            <w:pPr>
              <w:spacing w:line="276" w:lineRule="auto"/>
              <w:rPr>
                <w:rFonts w:ascii="Times New Roman" w:hAnsi="Times New Roman" w:cs="Times New Roman"/>
                <w:b w:val="0"/>
                <w:bCs w:val="0"/>
                <w:sz w:val="24"/>
                <w:szCs w:val="24"/>
              </w:rPr>
            </w:pPr>
            <w:r w:rsidRPr="00FD18FF">
              <w:rPr>
                <w:rFonts w:ascii="Times New Roman" w:hAnsi="Times New Roman" w:cs="Times New Roman"/>
                <w:b w:val="0"/>
                <w:bCs w:val="0"/>
                <w:sz w:val="24"/>
                <w:szCs w:val="24"/>
              </w:rPr>
              <w:t>Tectoquinone</w:t>
            </w:r>
          </w:p>
        </w:tc>
        <w:tc>
          <w:tcPr>
            <w:tcW w:w="1276"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10</w:t>
            </w:r>
          </w:p>
        </w:tc>
        <w:tc>
          <w:tcPr>
            <w:tcW w:w="1412"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0,346</w:t>
            </w:r>
          </w:p>
        </w:tc>
        <w:tc>
          <w:tcPr>
            <w:tcW w:w="1280"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41,750</w:t>
            </w:r>
          </w:p>
        </w:tc>
        <w:tc>
          <w:tcPr>
            <w:tcW w:w="1123" w:type="dxa"/>
            <w:vMerge w:val="restart"/>
            <w:shd w:val="clear" w:color="auto" w:fill="auto"/>
          </w:tcPr>
          <w:p w:rsidR="000B7682" w:rsidRPr="00FD18FF" w:rsidRDefault="000B7682" w:rsidP="00FD18FF">
            <w:pPr>
              <w:spacing w:line="276" w:lineRule="auto"/>
              <w:cnfStyle w:val="000000100000"/>
              <w:rPr>
                <w:rFonts w:ascii="Times New Roman" w:hAnsi="Times New Roman" w:cs="Times New Roman"/>
                <w:bCs/>
                <w:sz w:val="24"/>
                <w:szCs w:val="24"/>
              </w:rPr>
            </w:pPr>
          </w:p>
          <w:p w:rsidR="000B7682" w:rsidRPr="00FD18FF" w:rsidRDefault="000B7682" w:rsidP="00FD18FF">
            <w:pPr>
              <w:spacing w:line="276" w:lineRule="auto"/>
              <w:cnfStyle w:val="000000100000"/>
              <w:rPr>
                <w:rFonts w:ascii="Times New Roman" w:hAnsi="Times New Roman" w:cs="Times New Roman"/>
                <w:bCs/>
                <w:sz w:val="24"/>
                <w:szCs w:val="24"/>
                <w:lang w:val="id-ID"/>
              </w:rPr>
            </w:pPr>
          </w:p>
          <w:p w:rsidR="000B7682" w:rsidRPr="00FD18FF" w:rsidRDefault="000B7682" w:rsidP="00FD18FF">
            <w:pPr>
              <w:spacing w:line="276" w:lineRule="auto"/>
              <w:cnfStyle w:val="000000100000"/>
              <w:rPr>
                <w:rFonts w:ascii="Times New Roman" w:hAnsi="Times New Roman" w:cs="Times New Roman"/>
                <w:bCs/>
                <w:sz w:val="24"/>
                <w:szCs w:val="24"/>
                <w:lang w:val="id-ID"/>
              </w:rPr>
            </w:pPr>
            <w:r w:rsidRPr="00FD18FF">
              <w:rPr>
                <w:rFonts w:ascii="Times New Roman" w:hAnsi="Times New Roman" w:cs="Times New Roman"/>
                <w:bCs/>
                <w:sz w:val="24"/>
                <w:szCs w:val="24"/>
                <w:lang w:val="id-ID"/>
              </w:rPr>
              <w:t>66,362</w:t>
            </w:r>
          </w:p>
        </w:tc>
      </w:tr>
      <w:tr w:rsidR="000B7682" w:rsidRPr="00FD18FF" w:rsidTr="00347B96">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20</w:t>
            </w:r>
          </w:p>
        </w:tc>
        <w:tc>
          <w:tcPr>
            <w:tcW w:w="1412"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0,335</w:t>
            </w:r>
          </w:p>
        </w:tc>
        <w:tc>
          <w:tcPr>
            <w:tcW w:w="1280"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43,602</w:t>
            </w:r>
          </w:p>
        </w:tc>
        <w:tc>
          <w:tcPr>
            <w:tcW w:w="1123" w:type="dxa"/>
            <w:vMerge/>
            <w:shd w:val="clear" w:color="auto" w:fill="auto"/>
          </w:tcPr>
          <w:p w:rsidR="000B7682" w:rsidRPr="00FD18FF" w:rsidRDefault="000B7682" w:rsidP="00FD18FF">
            <w:pPr>
              <w:spacing w:line="276" w:lineRule="auto"/>
              <w:cnfStyle w:val="000000000000"/>
              <w:rPr>
                <w:rFonts w:ascii="Times New Roman" w:hAnsi="Times New Roman" w:cs="Times New Roman"/>
                <w:bCs/>
                <w:sz w:val="24"/>
                <w:szCs w:val="24"/>
                <w:lang w:val="id-ID"/>
              </w:rPr>
            </w:pPr>
          </w:p>
        </w:tc>
      </w:tr>
      <w:tr w:rsidR="000B7682" w:rsidRPr="00FD18FF" w:rsidTr="00347B96">
        <w:trPr>
          <w:cnfStyle w:val="000000100000"/>
        </w:trPr>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30</w:t>
            </w:r>
          </w:p>
        </w:tc>
        <w:tc>
          <w:tcPr>
            <w:tcW w:w="1412"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0,321</w:t>
            </w:r>
          </w:p>
        </w:tc>
        <w:tc>
          <w:tcPr>
            <w:tcW w:w="1280"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45,959</w:t>
            </w:r>
          </w:p>
        </w:tc>
        <w:tc>
          <w:tcPr>
            <w:tcW w:w="1123" w:type="dxa"/>
            <w:vMerge/>
            <w:shd w:val="clear" w:color="auto" w:fill="auto"/>
          </w:tcPr>
          <w:p w:rsidR="000B7682" w:rsidRPr="00FD18FF" w:rsidRDefault="000B7682" w:rsidP="00FD18FF">
            <w:pPr>
              <w:spacing w:line="276" w:lineRule="auto"/>
              <w:cnfStyle w:val="000000100000"/>
              <w:rPr>
                <w:rFonts w:ascii="Times New Roman" w:hAnsi="Times New Roman" w:cs="Times New Roman"/>
                <w:bCs/>
                <w:sz w:val="24"/>
                <w:szCs w:val="24"/>
                <w:lang w:val="id-ID"/>
              </w:rPr>
            </w:pPr>
          </w:p>
        </w:tc>
      </w:tr>
      <w:tr w:rsidR="000B7682" w:rsidRPr="00FD18FF" w:rsidTr="00347B96">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40</w:t>
            </w:r>
          </w:p>
        </w:tc>
        <w:tc>
          <w:tcPr>
            <w:tcW w:w="1412"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0,319</w:t>
            </w:r>
          </w:p>
        </w:tc>
        <w:tc>
          <w:tcPr>
            <w:tcW w:w="1280"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46,296</w:t>
            </w:r>
          </w:p>
        </w:tc>
        <w:tc>
          <w:tcPr>
            <w:tcW w:w="1123" w:type="dxa"/>
            <w:vMerge/>
            <w:shd w:val="clear" w:color="auto" w:fill="auto"/>
          </w:tcPr>
          <w:p w:rsidR="000B7682" w:rsidRPr="00FD18FF" w:rsidRDefault="000B7682" w:rsidP="00FD18FF">
            <w:pPr>
              <w:spacing w:line="276" w:lineRule="auto"/>
              <w:cnfStyle w:val="000000000000"/>
              <w:rPr>
                <w:rFonts w:ascii="Times New Roman" w:hAnsi="Times New Roman" w:cs="Times New Roman"/>
                <w:bCs/>
                <w:sz w:val="24"/>
                <w:szCs w:val="24"/>
                <w:lang w:val="id-ID"/>
              </w:rPr>
            </w:pPr>
          </w:p>
        </w:tc>
      </w:tr>
      <w:tr w:rsidR="000B7682" w:rsidRPr="00FD18FF" w:rsidTr="00347B96">
        <w:trPr>
          <w:cnfStyle w:val="000000100000"/>
        </w:trPr>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50</w:t>
            </w:r>
          </w:p>
        </w:tc>
        <w:tc>
          <w:tcPr>
            <w:tcW w:w="1412"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0,313</w:t>
            </w:r>
          </w:p>
        </w:tc>
        <w:tc>
          <w:tcPr>
            <w:tcW w:w="1280"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47,306</w:t>
            </w:r>
          </w:p>
        </w:tc>
        <w:tc>
          <w:tcPr>
            <w:tcW w:w="1123" w:type="dxa"/>
            <w:vMerge/>
            <w:shd w:val="clear" w:color="auto" w:fill="auto"/>
          </w:tcPr>
          <w:p w:rsidR="000B7682" w:rsidRPr="00FD18FF" w:rsidRDefault="000B7682" w:rsidP="00FD18FF">
            <w:pPr>
              <w:spacing w:line="276" w:lineRule="auto"/>
              <w:cnfStyle w:val="000000100000"/>
              <w:rPr>
                <w:rFonts w:ascii="Times New Roman" w:hAnsi="Times New Roman" w:cs="Times New Roman"/>
                <w:bCs/>
                <w:sz w:val="24"/>
                <w:szCs w:val="24"/>
              </w:rPr>
            </w:pPr>
          </w:p>
        </w:tc>
      </w:tr>
      <w:tr w:rsidR="000B7682" w:rsidRPr="00FD18FF" w:rsidTr="00347B96">
        <w:tc>
          <w:tcPr>
            <w:cnfStyle w:val="001000000000"/>
            <w:tcW w:w="1418" w:type="dxa"/>
            <w:vMerge w:val="restart"/>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p w:rsidR="000B7682" w:rsidRPr="00FD18FF" w:rsidRDefault="000B7682" w:rsidP="00FD18FF">
            <w:pPr>
              <w:spacing w:line="276" w:lineRule="auto"/>
              <w:rPr>
                <w:rFonts w:ascii="Times New Roman" w:hAnsi="Times New Roman" w:cs="Times New Roman"/>
                <w:b w:val="0"/>
                <w:bCs w:val="0"/>
                <w:sz w:val="24"/>
                <w:szCs w:val="24"/>
                <w:lang w:val="id-ID"/>
              </w:rPr>
            </w:pPr>
          </w:p>
          <w:p w:rsidR="000B7682" w:rsidRPr="00FD18FF" w:rsidRDefault="000B7682" w:rsidP="00FD18FF">
            <w:pPr>
              <w:spacing w:line="276" w:lineRule="auto"/>
              <w:rPr>
                <w:rFonts w:ascii="Times New Roman" w:hAnsi="Times New Roman" w:cs="Times New Roman"/>
                <w:b w:val="0"/>
                <w:bCs w:val="0"/>
                <w:sz w:val="24"/>
                <w:szCs w:val="24"/>
              </w:rPr>
            </w:pPr>
            <w:r w:rsidRPr="00FD18FF">
              <w:rPr>
                <w:rFonts w:ascii="Times New Roman" w:hAnsi="Times New Roman" w:cs="Times New Roman"/>
                <w:b w:val="0"/>
                <w:bCs w:val="0"/>
                <w:sz w:val="24"/>
                <w:szCs w:val="24"/>
              </w:rPr>
              <w:t>Quercetin</w:t>
            </w:r>
          </w:p>
        </w:tc>
        <w:tc>
          <w:tcPr>
            <w:tcW w:w="1276"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0,2</w:t>
            </w:r>
          </w:p>
        </w:tc>
        <w:tc>
          <w:tcPr>
            <w:tcW w:w="1412"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0,310</w:t>
            </w:r>
          </w:p>
        </w:tc>
        <w:tc>
          <w:tcPr>
            <w:tcW w:w="1280"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47.986</w:t>
            </w:r>
          </w:p>
        </w:tc>
        <w:tc>
          <w:tcPr>
            <w:tcW w:w="1123" w:type="dxa"/>
            <w:vMerge w:val="restart"/>
          </w:tcPr>
          <w:p w:rsidR="000B7682" w:rsidRPr="00FD18FF" w:rsidRDefault="000B7682" w:rsidP="00FD18FF">
            <w:pPr>
              <w:spacing w:line="276" w:lineRule="auto"/>
              <w:cnfStyle w:val="000000000000"/>
              <w:rPr>
                <w:rFonts w:ascii="Times New Roman" w:hAnsi="Times New Roman" w:cs="Times New Roman"/>
                <w:bCs/>
                <w:sz w:val="24"/>
                <w:szCs w:val="24"/>
                <w:lang w:val="id-ID"/>
              </w:rPr>
            </w:pPr>
          </w:p>
          <w:p w:rsidR="000B7682" w:rsidRPr="00FD18FF" w:rsidRDefault="000B7682" w:rsidP="00FD18FF">
            <w:pPr>
              <w:spacing w:line="276" w:lineRule="auto"/>
              <w:cnfStyle w:val="000000000000"/>
              <w:rPr>
                <w:rFonts w:ascii="Times New Roman" w:hAnsi="Times New Roman" w:cs="Times New Roman"/>
                <w:bCs/>
                <w:sz w:val="24"/>
                <w:szCs w:val="24"/>
                <w:lang w:val="id-ID"/>
              </w:rPr>
            </w:pPr>
          </w:p>
          <w:p w:rsidR="000B7682" w:rsidRPr="00FD18FF" w:rsidRDefault="000B7682" w:rsidP="00FD18FF">
            <w:pPr>
              <w:spacing w:line="276" w:lineRule="auto"/>
              <w:cnfStyle w:val="000000000000"/>
              <w:rPr>
                <w:rFonts w:ascii="Times New Roman" w:hAnsi="Times New Roman" w:cs="Times New Roman"/>
                <w:bCs/>
                <w:sz w:val="24"/>
                <w:szCs w:val="24"/>
              </w:rPr>
            </w:pPr>
            <w:r w:rsidRPr="00FD18FF">
              <w:rPr>
                <w:rFonts w:ascii="Times New Roman" w:hAnsi="Times New Roman" w:cs="Times New Roman"/>
                <w:bCs/>
                <w:sz w:val="24"/>
                <w:szCs w:val="24"/>
              </w:rPr>
              <w:t>0,237</w:t>
            </w:r>
          </w:p>
        </w:tc>
      </w:tr>
      <w:tr w:rsidR="000B7682" w:rsidRPr="00FD18FF" w:rsidTr="00347B96">
        <w:trPr>
          <w:cnfStyle w:val="000000100000"/>
        </w:trPr>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0,4</w:t>
            </w:r>
          </w:p>
        </w:tc>
        <w:tc>
          <w:tcPr>
            <w:tcW w:w="1412"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0,264</w:t>
            </w:r>
          </w:p>
        </w:tc>
        <w:tc>
          <w:tcPr>
            <w:tcW w:w="1280"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55,704</w:t>
            </w:r>
          </w:p>
        </w:tc>
        <w:tc>
          <w:tcPr>
            <w:tcW w:w="1123" w:type="dxa"/>
            <w:vMerge/>
          </w:tcPr>
          <w:p w:rsidR="000B7682" w:rsidRPr="00FD18FF" w:rsidRDefault="000B7682" w:rsidP="00FD18FF">
            <w:pPr>
              <w:spacing w:line="276" w:lineRule="auto"/>
              <w:cnfStyle w:val="000000100000"/>
              <w:rPr>
                <w:rFonts w:ascii="Times New Roman" w:hAnsi="Times New Roman" w:cs="Times New Roman"/>
                <w:bCs/>
                <w:sz w:val="24"/>
                <w:szCs w:val="24"/>
                <w:lang w:val="id-ID"/>
              </w:rPr>
            </w:pPr>
          </w:p>
        </w:tc>
      </w:tr>
      <w:tr w:rsidR="000B7682" w:rsidRPr="00FD18FF" w:rsidTr="00347B96">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0,6</w:t>
            </w:r>
          </w:p>
        </w:tc>
        <w:tc>
          <w:tcPr>
            <w:tcW w:w="1412" w:type="dxa"/>
            <w:gridSpan w:val="2"/>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0,252</w:t>
            </w:r>
          </w:p>
        </w:tc>
        <w:tc>
          <w:tcPr>
            <w:tcW w:w="1280" w:type="dxa"/>
            <w:shd w:val="clear" w:color="auto" w:fill="auto"/>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57,718</w:t>
            </w:r>
          </w:p>
        </w:tc>
        <w:tc>
          <w:tcPr>
            <w:tcW w:w="1123" w:type="dxa"/>
            <w:vMerge/>
          </w:tcPr>
          <w:p w:rsidR="000B7682" w:rsidRPr="00FD18FF" w:rsidRDefault="000B7682" w:rsidP="00FD18FF">
            <w:pPr>
              <w:spacing w:line="276" w:lineRule="auto"/>
              <w:cnfStyle w:val="000000000000"/>
              <w:rPr>
                <w:rFonts w:ascii="Times New Roman" w:hAnsi="Times New Roman" w:cs="Times New Roman"/>
                <w:bCs/>
                <w:sz w:val="24"/>
                <w:szCs w:val="24"/>
                <w:lang w:val="id-ID"/>
              </w:rPr>
            </w:pPr>
          </w:p>
        </w:tc>
      </w:tr>
      <w:tr w:rsidR="000B7682" w:rsidRPr="00FD18FF" w:rsidTr="00347B96">
        <w:trPr>
          <w:cnfStyle w:val="000000100000"/>
        </w:trPr>
        <w:tc>
          <w:tcPr>
            <w:cnfStyle w:val="001000000000"/>
            <w:tcW w:w="1418" w:type="dxa"/>
            <w:vMerge/>
            <w:shd w:val="clear" w:color="auto" w:fill="auto"/>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0,8</w:t>
            </w:r>
          </w:p>
        </w:tc>
        <w:tc>
          <w:tcPr>
            <w:tcW w:w="1412" w:type="dxa"/>
            <w:gridSpan w:val="2"/>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0,245</w:t>
            </w:r>
          </w:p>
        </w:tc>
        <w:tc>
          <w:tcPr>
            <w:tcW w:w="1280" w:type="dxa"/>
            <w:shd w:val="clear" w:color="auto" w:fill="auto"/>
          </w:tcPr>
          <w:p w:rsidR="000B7682" w:rsidRPr="00FD18FF" w:rsidRDefault="000B7682" w:rsidP="00FD18FF">
            <w:pPr>
              <w:spacing w:line="276" w:lineRule="auto"/>
              <w:cnfStyle w:val="000000100000"/>
              <w:rPr>
                <w:rFonts w:ascii="Times New Roman" w:hAnsi="Times New Roman" w:cs="Times New Roman"/>
                <w:sz w:val="24"/>
                <w:szCs w:val="24"/>
              </w:rPr>
            </w:pPr>
            <w:r w:rsidRPr="00FD18FF">
              <w:rPr>
                <w:rFonts w:ascii="Times New Roman" w:hAnsi="Times New Roman" w:cs="Times New Roman"/>
                <w:sz w:val="24"/>
                <w:szCs w:val="24"/>
              </w:rPr>
              <w:t>58,892</w:t>
            </w:r>
          </w:p>
        </w:tc>
        <w:tc>
          <w:tcPr>
            <w:tcW w:w="1123" w:type="dxa"/>
            <w:vMerge/>
          </w:tcPr>
          <w:p w:rsidR="000B7682" w:rsidRPr="00FD18FF" w:rsidRDefault="000B7682" w:rsidP="00FD18FF">
            <w:pPr>
              <w:spacing w:line="276" w:lineRule="auto"/>
              <w:cnfStyle w:val="000000100000"/>
              <w:rPr>
                <w:rFonts w:ascii="Times New Roman" w:hAnsi="Times New Roman" w:cs="Times New Roman"/>
                <w:bCs/>
                <w:sz w:val="24"/>
                <w:szCs w:val="24"/>
                <w:lang w:val="id-ID"/>
              </w:rPr>
            </w:pPr>
          </w:p>
        </w:tc>
      </w:tr>
      <w:tr w:rsidR="000B7682" w:rsidRPr="00FD18FF" w:rsidTr="00347B96">
        <w:tc>
          <w:tcPr>
            <w:cnfStyle w:val="001000000000"/>
            <w:tcW w:w="1418" w:type="dxa"/>
            <w:vMerge/>
          </w:tcPr>
          <w:p w:rsidR="000B7682" w:rsidRPr="00FD18FF" w:rsidRDefault="000B7682" w:rsidP="00FD18FF">
            <w:pPr>
              <w:spacing w:line="276" w:lineRule="auto"/>
              <w:rPr>
                <w:rFonts w:ascii="Times New Roman" w:hAnsi="Times New Roman" w:cs="Times New Roman"/>
                <w:b w:val="0"/>
                <w:bCs w:val="0"/>
                <w:sz w:val="24"/>
                <w:szCs w:val="24"/>
                <w:lang w:val="id-ID"/>
              </w:rPr>
            </w:pPr>
          </w:p>
        </w:tc>
        <w:tc>
          <w:tcPr>
            <w:tcW w:w="1276" w:type="dxa"/>
            <w:gridSpan w:val="2"/>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1,0</w:t>
            </w:r>
          </w:p>
        </w:tc>
        <w:tc>
          <w:tcPr>
            <w:tcW w:w="1412" w:type="dxa"/>
            <w:gridSpan w:val="2"/>
          </w:tcPr>
          <w:p w:rsidR="000B7682" w:rsidRPr="00FD18FF" w:rsidRDefault="000B7682" w:rsidP="00FD18FF">
            <w:pPr>
              <w:spacing w:line="276" w:lineRule="auto"/>
              <w:cnfStyle w:val="000000000000"/>
              <w:rPr>
                <w:rFonts w:ascii="Times New Roman" w:hAnsi="Times New Roman" w:cs="Times New Roman"/>
                <w:sz w:val="24"/>
                <w:szCs w:val="24"/>
                <w:lang w:val="id-ID"/>
              </w:rPr>
            </w:pPr>
            <w:r w:rsidRPr="00FD18FF">
              <w:rPr>
                <w:rFonts w:ascii="Times New Roman" w:hAnsi="Times New Roman" w:cs="Times New Roman"/>
                <w:sz w:val="24"/>
                <w:szCs w:val="24"/>
              </w:rPr>
              <w:t>0,596</w:t>
            </w:r>
          </w:p>
        </w:tc>
        <w:tc>
          <w:tcPr>
            <w:tcW w:w="1418" w:type="dxa"/>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0,204</w:t>
            </w:r>
          </w:p>
        </w:tc>
        <w:tc>
          <w:tcPr>
            <w:tcW w:w="1280" w:type="dxa"/>
          </w:tcPr>
          <w:p w:rsidR="000B7682" w:rsidRPr="00FD18FF" w:rsidRDefault="000B7682" w:rsidP="00FD18FF">
            <w:pPr>
              <w:spacing w:line="276" w:lineRule="auto"/>
              <w:cnfStyle w:val="000000000000"/>
              <w:rPr>
                <w:rFonts w:ascii="Times New Roman" w:hAnsi="Times New Roman" w:cs="Times New Roman"/>
                <w:sz w:val="24"/>
                <w:szCs w:val="24"/>
              </w:rPr>
            </w:pPr>
            <w:r w:rsidRPr="00FD18FF">
              <w:rPr>
                <w:rFonts w:ascii="Times New Roman" w:hAnsi="Times New Roman" w:cs="Times New Roman"/>
                <w:sz w:val="24"/>
                <w:szCs w:val="24"/>
              </w:rPr>
              <w:t>65,771</w:t>
            </w:r>
          </w:p>
        </w:tc>
        <w:tc>
          <w:tcPr>
            <w:tcW w:w="1123" w:type="dxa"/>
            <w:vMerge/>
          </w:tcPr>
          <w:p w:rsidR="000B7682" w:rsidRPr="00FD18FF" w:rsidRDefault="000B7682" w:rsidP="00FD18FF">
            <w:pPr>
              <w:spacing w:line="276" w:lineRule="auto"/>
              <w:cnfStyle w:val="000000000000"/>
              <w:rPr>
                <w:rFonts w:ascii="Times New Roman" w:hAnsi="Times New Roman" w:cs="Times New Roman"/>
                <w:bCs/>
                <w:sz w:val="24"/>
                <w:szCs w:val="24"/>
                <w:lang w:val="id-ID"/>
              </w:rPr>
            </w:pPr>
          </w:p>
        </w:tc>
      </w:tr>
    </w:tbl>
    <w:p w:rsidR="000B7682" w:rsidRPr="00FD18FF" w:rsidRDefault="000B7682" w:rsidP="00FD18FF">
      <w:pPr>
        <w:spacing w:after="0" w:line="276" w:lineRule="auto"/>
        <w:rPr>
          <w:rFonts w:ascii="Times New Roman" w:hAnsi="Times New Roman" w:cs="Times New Roman"/>
          <w:bCs/>
          <w:sz w:val="24"/>
          <w:szCs w:val="24"/>
        </w:rPr>
      </w:pP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Based on the data above the relationship between % inhibition and the concentration of tectoquinone compounds is depicted in figure 1. Linear regression equations were established on the graphs, where concentration is plotted on the x-axis, and % inhibition is on the y-axis. Consequently,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for tectoquinone compounds can be determined from the regression equation.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The linear regression obtained from the quercetin reference is y = 3.8758x + 45.587 with an R</w:t>
      </w:r>
      <w:r w:rsidRPr="00FD18FF">
        <w:rPr>
          <w:rFonts w:ascii="Times New Roman" w:hAnsi="Times New Roman" w:cs="Times New Roman"/>
          <w:bCs/>
          <w:sz w:val="24"/>
          <w:szCs w:val="24"/>
          <w:vertAlign w:val="superscript"/>
        </w:rPr>
        <w:t>2</w:t>
      </w:r>
      <w:r w:rsidRPr="00FD18FF">
        <w:rPr>
          <w:rFonts w:ascii="Times New Roman" w:hAnsi="Times New Roman" w:cs="Times New Roman"/>
          <w:bCs/>
          <w:sz w:val="24"/>
          <w:szCs w:val="24"/>
        </w:rPr>
        <w:t xml:space="preserve"> value of 0.9175, and for tectoquinone compounds, it is y = 0.138x + 40.842 with an R</w:t>
      </w:r>
      <w:r w:rsidRPr="00FD18FF">
        <w:rPr>
          <w:rFonts w:ascii="Times New Roman" w:hAnsi="Times New Roman" w:cs="Times New Roman"/>
          <w:bCs/>
          <w:sz w:val="24"/>
          <w:szCs w:val="24"/>
          <w:vertAlign w:val="superscript"/>
        </w:rPr>
        <w:t>2</w:t>
      </w:r>
      <w:r w:rsidRPr="00FD18FF">
        <w:rPr>
          <w:rFonts w:ascii="Times New Roman" w:hAnsi="Times New Roman" w:cs="Times New Roman"/>
          <w:bCs/>
          <w:sz w:val="24"/>
          <w:szCs w:val="24"/>
        </w:rPr>
        <w:t xml:space="preserve"> value of 0.9329. These equations can then be rearranged into the form y = bx + a, where y represents 50% inhibition, and x is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w:t>
      </w:r>
      <w:r w:rsidR="009540CE" w:rsidRPr="00FD18FF">
        <w:rPr>
          <w:rFonts w:ascii="Times New Roman" w:hAnsi="Times New Roman" w:cs="Times New Roman"/>
          <w:bCs/>
          <w:sz w:val="24"/>
          <w:szCs w:val="24"/>
        </w:rPr>
        <w:t>A</w:t>
      </w:r>
      <w:r w:rsidRPr="00FD18FF">
        <w:rPr>
          <w:rFonts w:ascii="Times New Roman" w:hAnsi="Times New Roman" w:cs="Times New Roman"/>
          <w:bCs/>
          <w:sz w:val="24"/>
          <w:szCs w:val="24"/>
        </w:rPr>
        <w:t xml:space="preserve"> compound is considered a very strong antioxidant if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is &lt;10 µg/mL, strong if it falls between 10-50 µg/mL, moderate if it ranges between 50-100 µg/mL, weak if it falls between 100-250 µg/mL, and inactive if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is above 250 µg/mL</w:t>
      </w:r>
      <w:r w:rsidR="009352F7" w:rsidRPr="00FD18FF">
        <w:rPr>
          <w:rFonts w:ascii="Times New Roman" w:hAnsi="Times New Roman" w:cs="Times New Roman"/>
          <w:bCs/>
          <w:sz w:val="24"/>
          <w:szCs w:val="24"/>
        </w:rPr>
        <w:fldChar w:fldCharType="begin" w:fldLock="1"/>
      </w:r>
      <w:r w:rsidR="005E4AA4" w:rsidRPr="00FD18FF">
        <w:rPr>
          <w:rFonts w:ascii="Times New Roman" w:hAnsi="Times New Roman" w:cs="Times New Roman"/>
          <w:bCs/>
          <w:sz w:val="24"/>
          <w:szCs w:val="24"/>
        </w:rPr>
        <w:instrText>ADDIN CSL_CITATION {"citationItems":[{"id":"ITEM-1","itemData":{"DOI":"https://doi.org/10.1063/5.0123987","author":[{"dropping-particle":"","family":"Dahlia","given":"Andi Amaliah","non-dropping-particle":"","parse-names":false,"suffix":""},{"dropping-particle":"","family":"Daim","given":"Muhammad","non-dropping-particle":"","parse-names":false,"suffix":""},{"dropping-particle":"","family":"Najib","given":"Ahmad","non-dropping-particle":"","parse-names":false,"suffix":""}],"container-title":"AIP Conference Proceedings","id":"ITEM-1","issue":"1","issued":{"date-parts":[["2023"]]},"title":"Comparative study of antioxidant activity of turmeric ethanol extract (Curcuma longa L.) and ethanol extract of curcuma (Curcuma xanthorrhiza Roxb.) using the 1.1-diphenyl-2-picrylhydrazil (DPPH) radical scavenging method","type":"paper-conference","volume":"2595"},"uris":["http://www.mendeley.com/documents/?uuid=8a11a933-f2e0-4ac8-aefd-a2a13e6751df"]}],"mendeley":{"formattedCitation":"&lt;sup&gt;24&lt;/sup&gt;","plainTextFormattedCitation":"24","previouslyFormattedCitation":"&lt;sup&gt;24&lt;/sup&gt;"},"properties":{"noteIndex":0},"schema":"https://github.com/citation-style-language/schema/raw/master/csl-citation.json"}</w:instrText>
      </w:r>
      <w:r w:rsidR="009352F7" w:rsidRPr="00FD18FF">
        <w:rPr>
          <w:rFonts w:ascii="Times New Roman" w:hAnsi="Times New Roman" w:cs="Times New Roman"/>
          <w:bCs/>
          <w:sz w:val="24"/>
          <w:szCs w:val="24"/>
        </w:rPr>
        <w:fldChar w:fldCharType="separate"/>
      </w:r>
      <w:r w:rsidR="005E4AA4" w:rsidRPr="00FD18FF">
        <w:rPr>
          <w:rFonts w:ascii="Times New Roman" w:hAnsi="Times New Roman" w:cs="Times New Roman"/>
          <w:bCs/>
          <w:noProof/>
          <w:sz w:val="24"/>
          <w:szCs w:val="24"/>
          <w:vertAlign w:val="superscript"/>
        </w:rPr>
        <w:t>24</w:t>
      </w:r>
      <w:r w:rsidR="009352F7" w:rsidRPr="00FD18FF">
        <w:rPr>
          <w:rFonts w:ascii="Times New Roman" w:hAnsi="Times New Roman" w:cs="Times New Roman"/>
          <w:bCs/>
          <w:sz w:val="24"/>
          <w:szCs w:val="24"/>
        </w:rPr>
        <w:fldChar w:fldCharType="end"/>
      </w:r>
      <w:r w:rsidRPr="00FD18FF">
        <w:rPr>
          <w:rFonts w:ascii="Times New Roman" w:hAnsi="Times New Roman" w:cs="Times New Roman"/>
          <w:bCs/>
          <w:sz w:val="24"/>
          <w:szCs w:val="24"/>
        </w:rPr>
        <w:t>.</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From the results obtained in Table 1,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for the quercetin reference is 0.237 µg/mL, classifying it as a very strong antioxidant because it falls within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range of &lt;10 µg/mL. Meanwhile, the IC</w:t>
      </w:r>
      <w:r w:rsidRPr="00FD18FF">
        <w:rPr>
          <w:rFonts w:ascii="Times New Roman" w:hAnsi="Times New Roman" w:cs="Times New Roman"/>
          <w:bCs/>
          <w:sz w:val="24"/>
          <w:szCs w:val="24"/>
          <w:vertAlign w:val="subscript"/>
        </w:rPr>
        <w:t>50</w:t>
      </w:r>
      <w:r w:rsidRPr="00FD18FF">
        <w:rPr>
          <w:rFonts w:ascii="Times New Roman" w:hAnsi="Times New Roman" w:cs="Times New Roman"/>
          <w:bCs/>
          <w:sz w:val="24"/>
          <w:szCs w:val="24"/>
        </w:rPr>
        <w:t xml:space="preserve"> value for tectoquinone compounds is 66.362 µg/mL, categorizing it as a moderate antioxidant within the 50-100 µg/mL range.</w:t>
      </w:r>
    </w:p>
    <w:p w:rsidR="005E4AA4" w:rsidRPr="00FD18FF" w:rsidRDefault="005E4AA4" w:rsidP="00FD18FF">
      <w:pPr>
        <w:spacing w:after="0" w:line="276" w:lineRule="auto"/>
        <w:jc w:val="both"/>
        <w:rPr>
          <w:rFonts w:ascii="Times New Roman" w:hAnsi="Times New Roman" w:cs="Times New Roman"/>
          <w:bCs/>
          <w:sz w:val="24"/>
          <w:szCs w:val="24"/>
        </w:rPr>
      </w:pPr>
    </w:p>
    <w:p w:rsidR="005E4AA4" w:rsidRPr="00FD18FF" w:rsidRDefault="005E4AA4" w:rsidP="00FD18FF">
      <w:pPr>
        <w:spacing w:after="0" w:line="276" w:lineRule="auto"/>
        <w:jc w:val="both"/>
        <w:rPr>
          <w:rFonts w:ascii="Times New Roman" w:hAnsi="Times New Roman" w:cs="Times New Roman"/>
          <w:bCs/>
          <w:sz w:val="24"/>
          <w:szCs w:val="24"/>
        </w:rPr>
      </w:pPr>
    </w:p>
    <w:p w:rsidR="000B7682" w:rsidRPr="00FD18FF" w:rsidRDefault="009352F7" w:rsidP="00FD18FF">
      <w:pPr>
        <w:pStyle w:val="ListParagraph"/>
        <w:spacing w:line="276" w:lineRule="auto"/>
        <w:ind w:left="0"/>
        <w:jc w:val="center"/>
        <w:rPr>
          <w:rFonts w:ascii="Times New Roman" w:hAnsi="Times New Roman" w:cs="Times New Roman"/>
          <w:bCs/>
          <w:sz w:val="24"/>
          <w:szCs w:val="24"/>
        </w:rPr>
      </w:pPr>
      <w:r w:rsidRPr="00FD18FF">
        <w:rPr>
          <w:rFonts w:ascii="Times New Roman" w:hAnsi="Times New Roman" w:cs="Times New Roman"/>
          <w:b/>
          <w:bCs/>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4.5pt;margin-top:6.05pt;width:84.9pt;height:35.3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JQDAIAAPYDAAAOAAAAZHJzL2Uyb0RvYy54bWysU8GO0zAQvSPxD5bvNGmUsm3UdLV0KUJa&#10;FqSFD3AcJ7FwPMZ2m5SvZ+xkuwVuiBysmcz4zcyb5+3t2CtyEtZJ0CVdLlJKhOZQS92W9NvXw5s1&#10;Jc4zXTMFWpT0LBy93b1+tR1MITLoQNXCEgTRrhhMSTvvTZEkjneiZ24BRmgMNmB75tG1bVJbNiB6&#10;r5IsTd8mA9jaWODCOfx7PwXpLuI3jeD+c9M44YkqKfbm42njWYUz2W1Z0VpmOsnnNtg/dNEzqbHo&#10;BeqeeUaOVv4F1UtuwUHjFxz6BJpGchFnwGmW6R/TPHXMiDgLkuPMhSb3/2D54+nJfLHEj+9gxAXG&#10;IZx5AP7dEQ37julW3FkLQydYjYWXgbJkMK6YrwaqXeECSDV8ghqXzI4eItDY2D6wgnMSRMcFnC+k&#10;i9ETHkqmN+tslVHCMZbn602+iiVY8XzbWOc/COhJMEpqcakRnZ0enA/dsOI5JRRzoGR9kEpFx7bV&#10;XllyYiiAQ/xm9N/SlCZDSTerbBWRNYT7URu99ChQJfuSrtPwTZIJbLzXdUzxTKrJxk6UnukJjEzc&#10;+LEaMTHQVEF9RqIsTELEh4NGB/YnJQOKsKTux5FZQYn6qJHszTLPg2qjk69uMnTsdaS6jjDNEaqk&#10;npLJ3Puo9MCDhjtcSiMjXy+dzL2iuCKN80MI6r32Y9bLc939AgAA//8DAFBLAwQUAAYACAAAACEA&#10;jFlfId0AAAAJAQAADwAAAGRycy9kb3ducmV2LnhtbEyP0U6DQBBF3038h82Y+GLsUmIpIEujJhpf&#10;W/sBA0yByM4Sdlvo3zs+6ePk3tw5p9gtdlAXmnzv2MB6FYEirl3Tc2vg+PX+mILyAbnBwTEZuJKH&#10;XXl7U2DeuJn3dDmEVskI+xwNdCGMuda+7siiX7mRWLKTmywGOadWNxPOMm4HHUdRoi32LB86HOmt&#10;o/r7cLYGTp/zwyabq49w3O6fklfst5W7GnN/t7w8gwq0hL8y/OILOpTCVLkzN14NBjZxJi5BgngN&#10;SgpJlopLZSCNU9Blof8blD8AAAD//wMAUEsBAi0AFAAGAAgAAAAhALaDOJL+AAAA4QEAABMAAAAA&#10;AAAAAAAAAAAAAAAAAFtDb250ZW50X1R5cGVzXS54bWxQSwECLQAUAAYACAAAACEAOP0h/9YAAACU&#10;AQAACwAAAAAAAAAAAAAAAAAvAQAAX3JlbHMvLnJlbHNQSwECLQAUAAYACAAAACEAHXnCUAwCAAD2&#10;AwAADgAAAAAAAAAAAAAAAAAuAgAAZHJzL2Uyb0RvYy54bWxQSwECLQAUAAYACAAAACEAjFlfId0A&#10;AAAJAQAADwAAAAAAAAAAAAAAAABmBAAAZHJzL2Rvd25yZXYueG1sUEsFBgAAAAAEAAQA8wAAAHAF&#10;AAAAAA==&#10;" stroked="f">
            <v:textbox>
              <w:txbxContent>
                <w:p w:rsidR="000B7682" w:rsidRPr="003511C2" w:rsidRDefault="000B7682" w:rsidP="000B7682">
                  <w:pPr>
                    <w:rPr>
                      <w:sz w:val="16"/>
                      <w:szCs w:val="16"/>
                    </w:rPr>
                  </w:pPr>
                  <w:r w:rsidRPr="003511C2">
                    <w:rPr>
                      <w:sz w:val="16"/>
                      <w:szCs w:val="16"/>
                    </w:rPr>
                    <w:t>y = 0.138x + 40.842</w:t>
                  </w:r>
                  <w:r w:rsidRPr="003511C2">
                    <w:rPr>
                      <w:sz w:val="16"/>
                      <w:szCs w:val="16"/>
                    </w:rPr>
                    <w:br/>
                    <w:t>R² = 0.9329</w:t>
                  </w:r>
                </w:p>
                <w:p w:rsidR="000B7682" w:rsidRDefault="000B7682" w:rsidP="000B7682"/>
              </w:txbxContent>
            </v:textbox>
          </v:shape>
        </w:pict>
      </w:r>
      <w:r w:rsidR="000B7682" w:rsidRPr="00FD18FF">
        <w:rPr>
          <w:rFonts w:ascii="Times New Roman" w:hAnsi="Times New Roman" w:cs="Times New Roman"/>
          <w:noProof/>
          <w:sz w:val="24"/>
          <w:szCs w:val="24"/>
          <w:lang w:val="en-US"/>
        </w:rPr>
        <w:drawing>
          <wp:inline distT="0" distB="0" distL="0" distR="0">
            <wp:extent cx="4398229" cy="2380593"/>
            <wp:effectExtent l="0" t="0" r="2540" b="1270"/>
            <wp:docPr id="61459854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A4A1C3E-19DA-79A8-1D7B-092536081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7682" w:rsidRPr="00FD18FF" w:rsidRDefault="000B7682" w:rsidP="00FD18FF">
      <w:pPr>
        <w:pStyle w:val="ListParagraph"/>
        <w:spacing w:line="276" w:lineRule="auto"/>
        <w:ind w:left="0"/>
        <w:jc w:val="center"/>
        <w:rPr>
          <w:rFonts w:ascii="Times New Roman" w:hAnsi="Times New Roman" w:cs="Times New Roman"/>
          <w:b/>
          <w:sz w:val="24"/>
          <w:szCs w:val="24"/>
        </w:rPr>
      </w:pPr>
      <w:r w:rsidRPr="00FD18FF">
        <w:rPr>
          <w:rFonts w:ascii="Times New Roman" w:hAnsi="Times New Roman" w:cs="Times New Roman"/>
          <w:b/>
          <w:sz w:val="24"/>
          <w:szCs w:val="24"/>
        </w:rPr>
        <w:t xml:space="preserve">Figure </w:t>
      </w:r>
      <w:r w:rsidRPr="00FD18FF">
        <w:rPr>
          <w:rFonts w:ascii="Times New Roman" w:hAnsi="Times New Roman" w:cs="Times New Roman"/>
          <w:b/>
          <w:sz w:val="24"/>
          <w:szCs w:val="24"/>
          <w:lang w:val="en-US"/>
        </w:rPr>
        <w:t>2:R</w:t>
      </w:r>
      <w:r w:rsidRPr="00FD18FF">
        <w:rPr>
          <w:rFonts w:ascii="Times New Roman" w:hAnsi="Times New Roman" w:cs="Times New Roman"/>
          <w:b/>
          <w:sz w:val="24"/>
          <w:szCs w:val="24"/>
        </w:rPr>
        <w:t>elationship between tectoquinone concentrations and % inhibition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 xml:space="preserve">As explained previously mention that tectoquinone belongs to the quinone class compound. Quinone compounds inhibit free radicals through their unique redox properties, enabling them to </w:t>
      </w:r>
      <w:r w:rsidRPr="00FD18FF">
        <w:rPr>
          <w:rFonts w:ascii="Times New Roman" w:hAnsi="Times New Roman" w:cs="Times New Roman"/>
          <w:bCs/>
          <w:sz w:val="24"/>
          <w:szCs w:val="24"/>
        </w:rPr>
        <w:lastRenderedPageBreak/>
        <w:t>participate in electron transfer reactions. When quinones encounter free radicals, they donate electrons to neutralize these highly reactive species, rendering them less harmful. This process transforms quinones into semiquinone radicals, which are relatively stable and less reactive. In some cases, semiquinone radicals can further react to regenerate the original quinone molecule, allowing quinones to continue their antioxidant action through multiple redox cycles. This mechanism makes quinones effective antioxidants, protecting cells and biomolecules from the damaging effects of oxidative stress caused by free radicals.</w:t>
      </w:r>
    </w:p>
    <w:p w:rsidR="000B7682" w:rsidRPr="00FD18FF" w:rsidRDefault="000B7682"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
          <w:sz w:val="24"/>
          <w:szCs w:val="24"/>
        </w:rPr>
      </w:pPr>
      <w:r w:rsidRPr="00FD18FF">
        <w:rPr>
          <w:rFonts w:ascii="Times New Roman" w:hAnsi="Times New Roman" w:cs="Times New Roman"/>
          <w:b/>
          <w:sz w:val="24"/>
          <w:szCs w:val="24"/>
        </w:rPr>
        <w:t>CONCLUSION</w:t>
      </w:r>
    </w:p>
    <w:p w:rsidR="000B7682" w:rsidRPr="00FD18FF" w:rsidRDefault="000B7682" w:rsidP="00FD18FF">
      <w:pPr>
        <w:spacing w:after="0" w:line="276" w:lineRule="auto"/>
        <w:jc w:val="both"/>
        <w:rPr>
          <w:rFonts w:ascii="Times New Roman" w:hAnsi="Times New Roman" w:cs="Times New Roman"/>
          <w:bCs/>
          <w:sz w:val="24"/>
          <w:szCs w:val="24"/>
        </w:rPr>
      </w:pPr>
      <w:r w:rsidRPr="00FD18FF">
        <w:rPr>
          <w:rFonts w:ascii="Times New Roman" w:hAnsi="Times New Roman" w:cs="Times New Roman"/>
          <w:bCs/>
          <w:sz w:val="24"/>
          <w:szCs w:val="24"/>
        </w:rPr>
        <w:t>The results indicate that tectoquinone compounds exhibit a noticeable capability against free radicals with moderate potential activity, however, additional research might be needed to enhance their potential uses in the field of health and medicine.</w:t>
      </w:r>
    </w:p>
    <w:p w:rsidR="000B7682" w:rsidRPr="00FD18FF" w:rsidRDefault="000B7682" w:rsidP="00FD18FF">
      <w:pPr>
        <w:spacing w:after="0" w:line="276" w:lineRule="auto"/>
        <w:jc w:val="both"/>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
          <w:sz w:val="24"/>
          <w:szCs w:val="24"/>
        </w:rPr>
      </w:pPr>
      <w:r w:rsidRPr="00FD18FF">
        <w:rPr>
          <w:rFonts w:ascii="Times New Roman" w:hAnsi="Times New Roman" w:cs="Times New Roman"/>
          <w:b/>
          <w:sz w:val="24"/>
          <w:szCs w:val="24"/>
        </w:rPr>
        <w:t>AUTHOR'S CONTRIBUTION</w:t>
      </w:r>
    </w:p>
    <w:p w:rsidR="000B7682" w:rsidRPr="00FD18FF" w:rsidRDefault="000B7682" w:rsidP="00FD18FF">
      <w:pPr>
        <w:spacing w:after="0" w:line="276" w:lineRule="auto"/>
        <w:rPr>
          <w:rFonts w:ascii="Times New Roman" w:hAnsi="Times New Roman" w:cs="Times New Roman"/>
          <w:bCs/>
          <w:sz w:val="24"/>
          <w:szCs w:val="24"/>
        </w:rPr>
      </w:pPr>
      <w:r w:rsidRPr="00FD18FF">
        <w:rPr>
          <w:rFonts w:ascii="Times New Roman" w:hAnsi="Times New Roman" w:cs="Times New Roman"/>
          <w:bCs/>
          <w:sz w:val="24"/>
          <w:szCs w:val="24"/>
        </w:rPr>
        <w:t>All authors have worked equally in this study.</w:t>
      </w:r>
    </w:p>
    <w:p w:rsidR="000B7682" w:rsidRPr="00FD18FF" w:rsidRDefault="000B7682" w:rsidP="00FD18FF">
      <w:pPr>
        <w:spacing w:after="0" w:line="276" w:lineRule="auto"/>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Cs/>
          <w:sz w:val="24"/>
          <w:szCs w:val="24"/>
        </w:rPr>
      </w:pPr>
    </w:p>
    <w:p w:rsidR="000B7682" w:rsidRPr="00FD18FF" w:rsidRDefault="000B7682" w:rsidP="00FD18FF">
      <w:pPr>
        <w:spacing w:after="0" w:line="276" w:lineRule="auto"/>
        <w:rPr>
          <w:rFonts w:ascii="Times New Roman" w:hAnsi="Times New Roman" w:cs="Times New Roman"/>
          <w:b/>
          <w:sz w:val="24"/>
          <w:szCs w:val="24"/>
          <w:shd w:val="clear" w:color="auto" w:fill="FFFFFF"/>
        </w:rPr>
      </w:pPr>
      <w:r w:rsidRPr="00FD18FF">
        <w:rPr>
          <w:rFonts w:ascii="Times New Roman" w:hAnsi="Times New Roman" w:cs="Times New Roman"/>
          <w:b/>
          <w:sz w:val="24"/>
          <w:szCs w:val="24"/>
          <w:shd w:val="clear" w:color="auto" w:fill="FFFFFF"/>
        </w:rPr>
        <w:t>ACKNOWLEDGEMENTS</w:t>
      </w:r>
    </w:p>
    <w:p w:rsidR="000B7682" w:rsidRPr="00FD18FF" w:rsidRDefault="000B7682" w:rsidP="00FD18FF">
      <w:pPr>
        <w:spacing w:after="0" w:line="276" w:lineRule="auto"/>
        <w:jc w:val="both"/>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The author would like to extend the</w:t>
      </w:r>
      <w:r w:rsidR="009B2C2D" w:rsidRPr="00FD18FF">
        <w:rPr>
          <w:rFonts w:ascii="Times New Roman" w:hAnsi="Times New Roman" w:cs="Times New Roman"/>
          <w:bCs/>
          <w:sz w:val="24"/>
          <w:szCs w:val="24"/>
          <w:shd w:val="clear" w:color="auto" w:fill="FFFFFF"/>
        </w:rPr>
        <w:t>ir</w:t>
      </w:r>
      <w:r w:rsidRPr="00FD18FF">
        <w:rPr>
          <w:rFonts w:ascii="Times New Roman" w:hAnsi="Times New Roman" w:cs="Times New Roman"/>
          <w:bCs/>
          <w:sz w:val="24"/>
          <w:szCs w:val="24"/>
          <w:shd w:val="clear" w:color="auto" w:fill="FFFFFF"/>
        </w:rPr>
        <w:t xml:space="preserve"> thanks to the Research and Development Institute of Resources (LP2S) at the Muslim University of Indonesia (UMI) for financially supporting this study. Additionally, gratitude is also expressed to Associate Professor Kyoko Nakagawa-Goto from the Laboratory of Natural Products and Medicinal Chemistry at Kanazawa University, Japan, for granting access to NMR facilities for the identification of tectoquinone compounds.</w:t>
      </w:r>
    </w:p>
    <w:p w:rsidR="000B7682" w:rsidRPr="00FD18FF" w:rsidRDefault="000B7682" w:rsidP="00FD18FF">
      <w:pPr>
        <w:spacing w:after="0" w:line="276" w:lineRule="auto"/>
        <w:jc w:val="both"/>
        <w:rPr>
          <w:rFonts w:ascii="Times New Roman" w:hAnsi="Times New Roman" w:cs="Times New Roman"/>
          <w:bCs/>
          <w:sz w:val="24"/>
          <w:szCs w:val="24"/>
          <w:shd w:val="clear" w:color="auto" w:fill="FFFFFF"/>
        </w:rPr>
      </w:pPr>
    </w:p>
    <w:p w:rsidR="000B7682" w:rsidRPr="00FD18FF" w:rsidRDefault="000B7682" w:rsidP="00FD18FF">
      <w:pPr>
        <w:spacing w:after="0" w:line="276" w:lineRule="auto"/>
        <w:rPr>
          <w:rFonts w:ascii="Times New Roman" w:hAnsi="Times New Roman" w:cs="Times New Roman"/>
          <w:b/>
          <w:sz w:val="24"/>
          <w:szCs w:val="24"/>
          <w:shd w:val="clear" w:color="auto" w:fill="FFFFFF"/>
        </w:rPr>
      </w:pPr>
      <w:r w:rsidRPr="00FD18FF">
        <w:rPr>
          <w:rFonts w:ascii="Times New Roman" w:hAnsi="Times New Roman" w:cs="Times New Roman"/>
          <w:b/>
          <w:sz w:val="24"/>
          <w:szCs w:val="24"/>
          <w:shd w:val="clear" w:color="auto" w:fill="FFFFFF"/>
        </w:rPr>
        <w:t>CONFLICT OF INTEREST</w:t>
      </w:r>
    </w:p>
    <w:p w:rsidR="000B7682" w:rsidRDefault="000B7682" w:rsidP="00FD18FF">
      <w:pPr>
        <w:spacing w:after="0" w:line="276"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 xml:space="preserve">No conflict of interest </w:t>
      </w:r>
      <w:r w:rsidR="00F90B45" w:rsidRPr="00FD18FF">
        <w:rPr>
          <w:rFonts w:ascii="Times New Roman" w:hAnsi="Times New Roman" w:cs="Times New Roman"/>
          <w:bCs/>
          <w:sz w:val="24"/>
          <w:szCs w:val="24"/>
          <w:shd w:val="clear" w:color="auto" w:fill="FFFFFF"/>
        </w:rPr>
        <w:t xml:space="preserve">is </w:t>
      </w:r>
      <w:r w:rsidRPr="00FD18FF">
        <w:rPr>
          <w:rFonts w:ascii="Times New Roman" w:hAnsi="Times New Roman" w:cs="Times New Roman"/>
          <w:bCs/>
          <w:sz w:val="24"/>
          <w:szCs w:val="24"/>
          <w:shd w:val="clear" w:color="auto" w:fill="FFFFFF"/>
        </w:rPr>
        <w:t>associated with this work</w:t>
      </w:r>
      <w:r w:rsidR="00D01922" w:rsidRPr="00FD18FF">
        <w:rPr>
          <w:rFonts w:ascii="Times New Roman" w:hAnsi="Times New Roman" w:cs="Times New Roman"/>
          <w:bCs/>
          <w:sz w:val="24"/>
          <w:szCs w:val="24"/>
          <w:shd w:val="clear" w:color="auto" w:fill="FFFFFF"/>
        </w:rPr>
        <w:t xml:space="preserve">. </w:t>
      </w:r>
    </w:p>
    <w:p w:rsidR="00FD18FF" w:rsidRDefault="00FD18FF" w:rsidP="00FD18FF">
      <w:pPr>
        <w:spacing w:after="0" w:line="276" w:lineRule="auto"/>
        <w:rPr>
          <w:rFonts w:ascii="Times New Roman" w:hAnsi="Times New Roman" w:cs="Times New Roman"/>
          <w:bCs/>
          <w:sz w:val="24"/>
          <w:szCs w:val="24"/>
          <w:shd w:val="clear" w:color="auto" w:fill="FFFFFF"/>
        </w:rPr>
      </w:pPr>
    </w:p>
    <w:p w:rsidR="00FD18FF" w:rsidRPr="00FD18FF" w:rsidRDefault="00FD18FF" w:rsidP="00FD18FF">
      <w:pPr>
        <w:widowControl w:val="0"/>
        <w:autoSpaceDE w:val="0"/>
        <w:autoSpaceDN w:val="0"/>
        <w:adjustRightInd w:val="0"/>
        <w:spacing w:after="0" w:line="276" w:lineRule="auto"/>
        <w:ind w:left="709" w:hanging="709"/>
        <w:rPr>
          <w:rFonts w:ascii="Times New Roman" w:hAnsi="Times New Roman" w:cs="Times New Roman"/>
          <w:b/>
          <w:sz w:val="24"/>
          <w:szCs w:val="24"/>
        </w:rPr>
      </w:pPr>
      <w:r w:rsidRPr="00FD18FF">
        <w:rPr>
          <w:rFonts w:ascii="Times New Roman" w:hAnsi="Times New Roman" w:cs="Times New Roman"/>
          <w:b/>
          <w:sz w:val="24"/>
          <w:szCs w:val="24"/>
          <w:shd w:val="clear" w:color="auto" w:fill="FFFFFF"/>
        </w:rPr>
        <w:t>REFERENCES</w:t>
      </w:r>
    </w:p>
    <w:p w:rsidR="00FD18FF" w:rsidRDefault="00FD18FF" w:rsidP="00FD18FF">
      <w:pPr>
        <w:spacing w:after="0" w:line="276" w:lineRule="auto"/>
        <w:rPr>
          <w:rFonts w:ascii="Times New Roman" w:hAnsi="Times New Roman" w:cs="Times New Roman"/>
          <w:bCs/>
          <w:sz w:val="24"/>
          <w:szCs w:val="24"/>
          <w:shd w:val="clear" w:color="auto" w:fill="FFFFFF"/>
        </w:rPr>
      </w:pP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w:t>
      </w:r>
      <w:r w:rsidRPr="00FD18FF">
        <w:rPr>
          <w:rFonts w:ascii="Times New Roman" w:hAnsi="Times New Roman" w:cs="Times New Roman"/>
          <w:bCs/>
          <w:sz w:val="24"/>
          <w:szCs w:val="24"/>
          <w:shd w:val="clear" w:color="auto" w:fill="FFFFFF"/>
        </w:rPr>
        <w:tab/>
        <w:t>Anik MI., Mahmud N., Masud A Al., Khan MI., Islam MN., Uddin S., et al. Role of reactive oxygen species in aging and age-related diseases: a review. ACS Appl Bio Mater. 2022;5(9):4028–54, https://doi.org/10.1021/acsabm.2c00411.</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w:t>
      </w:r>
      <w:r w:rsidRPr="00FD18FF">
        <w:rPr>
          <w:rFonts w:ascii="Times New Roman" w:hAnsi="Times New Roman" w:cs="Times New Roman"/>
          <w:bCs/>
          <w:sz w:val="24"/>
          <w:szCs w:val="24"/>
          <w:shd w:val="clear" w:color="auto" w:fill="FFFFFF"/>
        </w:rPr>
        <w:tab/>
        <w:t>Jia W., Wu X., Kang X. Integrated the embedding delivery system and targeted oxygen scavenger enhances free radical scavenging capacity. Food Chem X. 2023:100558, https://doi.org/https://doi.org/10.1016/j.fochx.2022.100558.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3.</w:t>
      </w:r>
      <w:r w:rsidRPr="00FD18FF">
        <w:rPr>
          <w:rFonts w:ascii="Times New Roman" w:hAnsi="Times New Roman" w:cs="Times New Roman"/>
          <w:bCs/>
          <w:sz w:val="24"/>
          <w:szCs w:val="24"/>
          <w:shd w:val="clear" w:color="auto" w:fill="FFFFFF"/>
        </w:rPr>
        <w:tab/>
        <w:t>Ashton P. Notes on northern Borneo Myrtaceae. Sandakania. 2016;22:55–75.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4.</w:t>
      </w:r>
      <w:r w:rsidRPr="00FD18FF">
        <w:rPr>
          <w:rFonts w:ascii="Times New Roman" w:hAnsi="Times New Roman" w:cs="Times New Roman"/>
          <w:bCs/>
          <w:sz w:val="24"/>
          <w:szCs w:val="24"/>
          <w:shd w:val="clear" w:color="auto" w:fill="FFFFFF"/>
        </w:rPr>
        <w:tab/>
        <w:t>Armijos C., Ram\’\irez J., Vidari G. Poorly Investigated Ecuadorian Medicinal Plants. Plants. 2022;11(12):1590, https://doi.org/https://doi.org/10.3390/plants11121590.</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5.</w:t>
      </w:r>
      <w:r w:rsidRPr="00FD18FF">
        <w:rPr>
          <w:rFonts w:ascii="Times New Roman" w:hAnsi="Times New Roman" w:cs="Times New Roman"/>
          <w:bCs/>
          <w:sz w:val="24"/>
          <w:szCs w:val="24"/>
          <w:shd w:val="clear" w:color="auto" w:fill="FFFFFF"/>
        </w:rPr>
        <w:tab/>
        <w:t>Rocchetti G., Lucini L., Ahmed SR., Saber FR. In vitro cytotoxic activity of six Syzygium leaf extracts as related to their phenolic profiles: An untargeted UHPLC-QTOF-MS approach. Food Res Int. 2019;126(August):108715, https://doi.org/10.1016/j.foodres.2019.108715.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6.</w:t>
      </w:r>
      <w:r w:rsidRPr="00FD18FF">
        <w:rPr>
          <w:rFonts w:ascii="Times New Roman" w:hAnsi="Times New Roman" w:cs="Times New Roman"/>
          <w:bCs/>
          <w:sz w:val="24"/>
          <w:szCs w:val="24"/>
          <w:shd w:val="clear" w:color="auto" w:fill="FFFFFF"/>
        </w:rPr>
        <w:tab/>
        <w:t>Pham NKT., Nguyen TD., Doan TDC., Ha TD., Tran NMA., Tran TD., et al. Stercufoetin A, new oleanane-type triterpenoid from the leaves of Sterculia foetida L. Nat Prod Res. 2021;35(7):1226–31, https://doi.org/10.1080/14786419.2019.1644508.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7.</w:t>
      </w:r>
      <w:r w:rsidRPr="00FD18FF">
        <w:rPr>
          <w:rFonts w:ascii="Times New Roman" w:hAnsi="Times New Roman" w:cs="Times New Roman"/>
          <w:bCs/>
          <w:sz w:val="24"/>
          <w:szCs w:val="24"/>
          <w:shd w:val="clear" w:color="auto" w:fill="FFFFFF"/>
        </w:rPr>
        <w:tab/>
        <w:t>Kumar M., Zhang B., Nishad J., Verma A., Sheri V., Dhumal S., et al. Jamun (Syzygium cumini (L.) Skeels) Seed: A Review on Nutritional Profile, Functional food properties, health-promoting applications, and safety aspects. Processes. 2022;10(11):2169, https://doi.org/https://doi.org/10.3390/pr10112169.</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lastRenderedPageBreak/>
        <w:t>8.</w:t>
      </w:r>
      <w:r w:rsidRPr="00FD18FF">
        <w:rPr>
          <w:rFonts w:ascii="Times New Roman" w:hAnsi="Times New Roman" w:cs="Times New Roman"/>
          <w:bCs/>
          <w:sz w:val="24"/>
          <w:szCs w:val="24"/>
          <w:shd w:val="clear" w:color="auto" w:fill="FFFFFF"/>
        </w:rPr>
        <w:tab/>
        <w:t>Amir Rawa MS., Mazlan MKN., Ahmad R., Nogawa T., Wahab HA. Roles of Syzygium in Anti-Cholinesterase, Anti-Diabetic, Anti-Inflammatory, and Antioxidant: From Alzheimer’s Perspective. Plants. 2022;11(11):1476, https://doi.org/https://doi.org/10.3390/plants11111476.</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9.</w:t>
      </w:r>
      <w:r w:rsidRPr="00FD18FF">
        <w:rPr>
          <w:rFonts w:ascii="Times New Roman" w:hAnsi="Times New Roman" w:cs="Times New Roman"/>
          <w:bCs/>
          <w:sz w:val="24"/>
          <w:szCs w:val="24"/>
          <w:shd w:val="clear" w:color="auto" w:fill="FFFFFF"/>
        </w:rPr>
        <w:tab/>
        <w:t>Pesiu E., Lee GE., Salam MR., Salim JM., Lau KH., Yong JWH., et al. Species composition, diversity, and biomass estimation in coastal and marine protected areas of Terengganu, Peninsular Malaysia. Agronomy. 2022;12(10):2380, https://doi.org/https://doi.org/10.3390/agronomy12102380.</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10.</w:t>
      </w:r>
      <w:r w:rsidRPr="00FD18FF">
        <w:rPr>
          <w:rFonts w:ascii="Times New Roman" w:hAnsi="Times New Roman" w:cs="Times New Roman"/>
          <w:bCs/>
          <w:sz w:val="24"/>
          <w:szCs w:val="24"/>
          <w:shd w:val="clear" w:color="auto" w:fill="FFFFFF"/>
        </w:rPr>
        <w:tab/>
        <w:t>de Sousa DP., Damasceno ROS., Amorati R., Elshabrawy HA., de Castro RD., Bezerra DP., et al. Essential Oils: Chemistry and Pharmacological Activities. Biomolecules. 2023;13(7):1144, https://doi.org/https://doi.org/10.3390/biom13071144.</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11.</w:t>
      </w:r>
      <w:r w:rsidRPr="00FD18FF">
        <w:rPr>
          <w:rFonts w:ascii="Times New Roman" w:hAnsi="Times New Roman" w:cs="Times New Roman"/>
          <w:bCs/>
          <w:sz w:val="24"/>
          <w:szCs w:val="24"/>
          <w:shd w:val="clear" w:color="auto" w:fill="FFFFFF"/>
        </w:rPr>
        <w:tab/>
        <w:t>Dahlem Junior MA., Nguema Edzang RW., Catto AL., Raimundo J-M. Quinones as an efficient molecular scaffold in the antibacterial, antifungal or antitumoral arsenal. Int J Mol Sci. 2022;23(22):14108, https://doi.org/https://doi.org/10.3390/ijms232214108.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12.</w:t>
      </w:r>
      <w:r w:rsidRPr="00FD18FF">
        <w:rPr>
          <w:rFonts w:ascii="Times New Roman" w:hAnsi="Times New Roman" w:cs="Times New Roman"/>
          <w:bCs/>
          <w:sz w:val="24"/>
          <w:szCs w:val="24"/>
          <w:shd w:val="clear" w:color="auto" w:fill="FFFFFF"/>
        </w:rPr>
        <w:tab/>
        <w:t>Prokopiev I., Sleptsov I., Serebryakov E., Sharoyko V. Antioxidant and cytotoxic activities of quinones from Cetraria laevigata. Nat Prod Res. 2023:1–5, https://doi.org/https://doi.org/10.1080/14786419.2023.2187795.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13.</w:t>
      </w:r>
      <w:r w:rsidRPr="00FD18FF">
        <w:rPr>
          <w:rFonts w:ascii="Times New Roman" w:hAnsi="Times New Roman" w:cs="Times New Roman"/>
          <w:bCs/>
          <w:sz w:val="24"/>
          <w:szCs w:val="24"/>
          <w:shd w:val="clear" w:color="auto" w:fill="FFFFFF"/>
        </w:rPr>
        <w:tab/>
        <w:t>Cores Á., Carmona-Zafra N., Clerigué J., Villacampa M., Menéndez JC. Quinones as Neuroprotective Agents. Antioxidants. 2023;12(7):1464.</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14.</w:t>
      </w:r>
      <w:r w:rsidRPr="00FD18FF">
        <w:rPr>
          <w:rFonts w:ascii="Times New Roman" w:hAnsi="Times New Roman" w:cs="Times New Roman"/>
          <w:bCs/>
          <w:sz w:val="24"/>
          <w:szCs w:val="24"/>
          <w:shd w:val="clear" w:color="auto" w:fill="FFFFFF"/>
        </w:rPr>
        <w:tab/>
        <w:t>Kiran P., Ghosh A., Pawar V., Maske P., Khan A., Srivastava R. Hypoxia-Targeting Drugs as New Cancer Chemotherapy Agents: Molecular Insights. Hypoxia in Cancer: Significance and Impact on Cancer Therapy. Springer; 2023. p. 351–68.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15.</w:t>
      </w:r>
      <w:r w:rsidRPr="00FD18FF">
        <w:rPr>
          <w:rFonts w:ascii="Times New Roman" w:hAnsi="Times New Roman" w:cs="Times New Roman"/>
          <w:bCs/>
          <w:sz w:val="24"/>
          <w:szCs w:val="24"/>
          <w:shd w:val="clear" w:color="auto" w:fill="FFFFFF"/>
        </w:rPr>
        <w:tab/>
        <w:t>Mishima E., Wahida A., Seibt T., Conrad M. Diverse biological functions of vitamin K: from coagulation to ferroptosis. Nat Metab. 2023:1–9.</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16.</w:t>
      </w:r>
      <w:r w:rsidRPr="00FD18FF">
        <w:rPr>
          <w:rFonts w:ascii="Times New Roman" w:hAnsi="Times New Roman" w:cs="Times New Roman"/>
          <w:bCs/>
          <w:sz w:val="24"/>
          <w:szCs w:val="24"/>
          <w:shd w:val="clear" w:color="auto" w:fill="FFFFFF"/>
        </w:rPr>
        <w:tab/>
        <w:t>Peng Y., Xu D., Mao S., Zhou X. Neurotoxicity and apoptosis induced by pyrroloquinoline quinone and its ester derivative on primary cortical neurons. Neurotoxicology. 2020;78:47–56, https://doi.org/https://doi.org/10.1016/j.neuro.2020.02.005.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17.</w:t>
      </w:r>
      <w:r w:rsidRPr="00FD18FF">
        <w:rPr>
          <w:rFonts w:ascii="Times New Roman" w:hAnsi="Times New Roman" w:cs="Times New Roman"/>
          <w:bCs/>
          <w:sz w:val="24"/>
          <w:szCs w:val="24"/>
          <w:shd w:val="clear" w:color="auto" w:fill="FFFFFF"/>
        </w:rPr>
        <w:tab/>
        <w:t>Sahoo PMS., Behera S., Behura R., Acharya A., Biswal D., Suna SK., et al. A brief review: Antibacterial activity of Quinone derivatives. Biointerface Res Appl Chem. 2022;12:3247–58, https://doi.org/https://doi.org/10.33263/BRIAC123.32473258.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18.</w:t>
      </w:r>
      <w:r w:rsidRPr="00FD18FF">
        <w:rPr>
          <w:rFonts w:ascii="Times New Roman" w:hAnsi="Times New Roman" w:cs="Times New Roman"/>
          <w:bCs/>
          <w:sz w:val="24"/>
          <w:szCs w:val="24"/>
          <w:shd w:val="clear" w:color="auto" w:fill="FFFFFF"/>
        </w:rPr>
        <w:tab/>
        <w:t>Pacios-Michelena S., González CNA., Herrera RR., Alvarez-Perez OB., González MLC., Valdés RA., et al. Biomass from phytopathogens and culture conditions improve Penicillium chrysogenum antimicrobial activity and antifungal compounds production. Environ Qual Manag. 2023;33(1):349–58, https://doi.org/https://doi.org/10.1002/tqem.22065.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19.</w:t>
      </w:r>
      <w:r w:rsidRPr="00FD18FF">
        <w:rPr>
          <w:rFonts w:ascii="Times New Roman" w:hAnsi="Times New Roman" w:cs="Times New Roman"/>
          <w:bCs/>
          <w:sz w:val="24"/>
          <w:szCs w:val="24"/>
          <w:shd w:val="clear" w:color="auto" w:fill="FFFFFF"/>
        </w:rPr>
        <w:tab/>
        <w:t>Mohamad Ishak NS., Ikemoto K. Pyrroloquinoline-quinone to reduce fat accumulation and ameliorate obesity progression. Front Mol Biosci. 2023;10:1200025, https://doi.org/https://doi.org/10.3389/fmolb.2023.1200025.</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20.</w:t>
      </w:r>
      <w:r w:rsidRPr="00FD18FF">
        <w:rPr>
          <w:rFonts w:ascii="Times New Roman" w:hAnsi="Times New Roman" w:cs="Times New Roman"/>
          <w:bCs/>
          <w:sz w:val="24"/>
          <w:szCs w:val="24"/>
          <w:shd w:val="clear" w:color="auto" w:fill="FFFFFF"/>
        </w:rPr>
        <w:tab/>
        <w:t>Pu T-T., Wu W., Liang P-D., Du J-C., Han S-L., Deng X-L., et al. Evaluation of coenzyme Q10 (CoQ10) deficiency and therapy in mouse models of cardiomyopathy. J Cardiovasc Pharmacol. 2022:10–1097, https://doi.org/https://</w:t>
      </w:r>
      <w:r>
        <w:rPr>
          <w:rFonts w:ascii="Times New Roman" w:hAnsi="Times New Roman" w:cs="Times New Roman"/>
          <w:bCs/>
          <w:sz w:val="24"/>
          <w:szCs w:val="24"/>
          <w:shd w:val="clear" w:color="auto" w:fill="FFFFFF"/>
        </w:rPr>
        <w:t>doi.org/10.3390/antiox11091698.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21.</w:t>
      </w:r>
      <w:r w:rsidRPr="00FD18FF">
        <w:rPr>
          <w:rFonts w:ascii="Times New Roman" w:hAnsi="Times New Roman" w:cs="Times New Roman"/>
          <w:bCs/>
          <w:sz w:val="24"/>
          <w:szCs w:val="24"/>
          <w:shd w:val="clear" w:color="auto" w:fill="FFFFFF"/>
        </w:rPr>
        <w:tab/>
        <w:t>Mart\’\in JA., López R. Biological Deterioration and Natural Durability of Wood in Europe. Forests. 2023;14(2):283, https://doi.org/https://doi.org/10.3390/f14020283.</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22.</w:t>
      </w:r>
      <w:r w:rsidRPr="00FD18FF">
        <w:rPr>
          <w:rFonts w:ascii="Times New Roman" w:hAnsi="Times New Roman" w:cs="Times New Roman"/>
          <w:bCs/>
          <w:sz w:val="24"/>
          <w:szCs w:val="24"/>
          <w:shd w:val="clear" w:color="auto" w:fill="FFFFFF"/>
        </w:rPr>
        <w:tab/>
        <w:t>Zhang S., Zhu Y-L., Ren S., Li C., Chen X-B., Li Z., et al. Covalent Organic Framework with Multiple Redox Active Sites for High-Performance Aqueous Calcium Ion Batteries. J Am Chem Soc. 2023;145(31):17309–20, https://doi.org/https://doi.org/10.1021/jacs.3c04657.</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23.</w:t>
      </w:r>
      <w:r w:rsidRPr="00FD18FF">
        <w:rPr>
          <w:rFonts w:ascii="Times New Roman" w:hAnsi="Times New Roman" w:cs="Times New Roman"/>
          <w:bCs/>
          <w:sz w:val="24"/>
          <w:szCs w:val="24"/>
          <w:shd w:val="clear" w:color="auto" w:fill="FFFFFF"/>
        </w:rPr>
        <w:tab/>
        <w:t>Cárcamo-Ibarra E., Manuel Martinez-Pacheco M., Munro-Rojas A., Enrique Ambriz-Parra J., Velázquez-Becerra C. Antifungal Activity of Crude Extracts of Tectona grandis Lf against Wood Decay Fungi. Phyt. 2022;91(8), https://doi.org/https://doi.org/10.32604/phyton.2022.020578.</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r w:rsidRPr="00FD18FF">
        <w:rPr>
          <w:rFonts w:ascii="Times New Roman" w:hAnsi="Times New Roman" w:cs="Times New Roman"/>
          <w:bCs/>
          <w:sz w:val="24"/>
          <w:szCs w:val="24"/>
          <w:shd w:val="clear" w:color="auto" w:fill="FFFFFF"/>
        </w:rPr>
        <w:t>24.</w:t>
      </w:r>
      <w:r w:rsidRPr="00FD18FF">
        <w:rPr>
          <w:rFonts w:ascii="Times New Roman" w:hAnsi="Times New Roman" w:cs="Times New Roman"/>
          <w:bCs/>
          <w:sz w:val="24"/>
          <w:szCs w:val="24"/>
          <w:shd w:val="clear" w:color="auto" w:fill="FFFFFF"/>
        </w:rPr>
        <w:tab/>
        <w:t>Dahlia AA., Daim M., Najib A. Comparative study of antioxidant activity of turmeric ethanol extract (Curcuma longa L.) and ethanol extract of curcuma (Curcuma xanthorrhiza Roxb.) using the 1.1-diphenyl-2-picrylhydrazil (DPPH) radical scavenging method. AIP Conference Proceedings, vol. 2595. 2023.</w:t>
      </w:r>
    </w:p>
    <w:p w:rsidR="00FD18FF" w:rsidRPr="00FD18FF" w:rsidRDefault="00FD18FF" w:rsidP="00FD18FF">
      <w:pPr>
        <w:spacing w:after="0" w:line="240" w:lineRule="auto"/>
        <w:rPr>
          <w:rFonts w:ascii="Times New Roman" w:hAnsi="Times New Roman" w:cs="Times New Roman"/>
          <w:bCs/>
          <w:sz w:val="24"/>
          <w:szCs w:val="24"/>
          <w:shd w:val="clear" w:color="auto" w:fill="FFFFFF"/>
        </w:rPr>
      </w:pPr>
    </w:p>
    <w:p w:rsidR="000B7682" w:rsidRPr="00FD18FF" w:rsidRDefault="000B7682" w:rsidP="00FD18FF">
      <w:pPr>
        <w:spacing w:after="0" w:line="276" w:lineRule="auto"/>
        <w:rPr>
          <w:rFonts w:ascii="Times New Roman" w:hAnsi="Times New Roman" w:cs="Times New Roman"/>
          <w:bCs/>
          <w:sz w:val="24"/>
          <w:szCs w:val="24"/>
          <w:shd w:val="clear" w:color="auto" w:fill="FFFFFF"/>
        </w:rPr>
      </w:pPr>
    </w:p>
    <w:p w:rsidR="000B7682" w:rsidRPr="00FD18FF" w:rsidRDefault="000B7682" w:rsidP="00FD18FF">
      <w:pPr>
        <w:spacing w:after="0" w:line="276" w:lineRule="auto"/>
        <w:ind w:left="284" w:hanging="284"/>
        <w:jc w:val="both"/>
        <w:rPr>
          <w:rFonts w:ascii="Times New Roman" w:hAnsi="Times New Roman" w:cs="Times New Roman"/>
          <w:b/>
          <w:sz w:val="24"/>
          <w:szCs w:val="24"/>
        </w:rPr>
      </w:pPr>
    </w:p>
    <w:p w:rsidR="000B7682" w:rsidRPr="00FD18FF" w:rsidRDefault="000B7682" w:rsidP="00FD18FF">
      <w:pPr>
        <w:spacing w:after="0" w:line="276" w:lineRule="auto"/>
        <w:jc w:val="both"/>
        <w:rPr>
          <w:rFonts w:ascii="Times New Roman" w:hAnsi="Times New Roman" w:cs="Times New Roman"/>
          <w:sz w:val="24"/>
          <w:szCs w:val="24"/>
        </w:rPr>
      </w:pPr>
    </w:p>
    <w:p w:rsidR="000B7682" w:rsidRPr="00FD18FF" w:rsidRDefault="000B7682" w:rsidP="00FD18FF">
      <w:pPr>
        <w:spacing w:line="276" w:lineRule="auto"/>
        <w:rPr>
          <w:rFonts w:ascii="Times New Roman" w:hAnsi="Times New Roman" w:cs="Times New Roman"/>
          <w:b/>
          <w:bCs/>
          <w:sz w:val="24"/>
          <w:szCs w:val="24"/>
        </w:rPr>
      </w:pPr>
    </w:p>
    <w:sectPr w:rsidR="000B7682" w:rsidRPr="00FD18FF" w:rsidSect="00FD18FF">
      <w:headerReference w:type="even" r:id="rId8"/>
      <w:headerReference w:type="default" r:id="rId9"/>
      <w:headerReference w:type="first" r:id="rId10"/>
      <w:pgSz w:w="12240" w:h="15840"/>
      <w:pgMar w:top="426" w:right="1440" w:bottom="568"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FA" w:rsidRDefault="006059FA" w:rsidP="00FD18FF">
      <w:pPr>
        <w:spacing w:after="0" w:line="240" w:lineRule="auto"/>
      </w:pPr>
      <w:r>
        <w:separator/>
      </w:r>
    </w:p>
  </w:endnote>
  <w:endnote w:type="continuationSeparator" w:id="1">
    <w:p w:rsidR="006059FA" w:rsidRDefault="006059FA" w:rsidP="00FD1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FA" w:rsidRDefault="006059FA" w:rsidP="00FD18FF">
      <w:pPr>
        <w:spacing w:after="0" w:line="240" w:lineRule="auto"/>
      </w:pPr>
      <w:r>
        <w:separator/>
      </w:r>
    </w:p>
  </w:footnote>
  <w:footnote w:type="continuationSeparator" w:id="1">
    <w:p w:rsidR="006059FA" w:rsidRDefault="006059FA" w:rsidP="00FD1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FF" w:rsidRDefault="00FD18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9219"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FF" w:rsidRDefault="00FD18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9220"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FF" w:rsidRDefault="00FD18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9218"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A2NTA2NDMwMzQzsjRS0lEKTi0uzszPAykwrAUAIxgOdSwAAAA="/>
  </w:docVars>
  <w:rsids>
    <w:rsidRoot w:val="000B7682"/>
    <w:rsid w:val="000B7682"/>
    <w:rsid w:val="000B772B"/>
    <w:rsid w:val="000C4A78"/>
    <w:rsid w:val="000E7B9E"/>
    <w:rsid w:val="0016635C"/>
    <w:rsid w:val="002B7B40"/>
    <w:rsid w:val="004C767B"/>
    <w:rsid w:val="005D7C7D"/>
    <w:rsid w:val="005E4AA4"/>
    <w:rsid w:val="00602928"/>
    <w:rsid w:val="006059FA"/>
    <w:rsid w:val="007E4962"/>
    <w:rsid w:val="008B7023"/>
    <w:rsid w:val="009352F7"/>
    <w:rsid w:val="009540CE"/>
    <w:rsid w:val="009B2C2D"/>
    <w:rsid w:val="009F711B"/>
    <w:rsid w:val="00A43A1D"/>
    <w:rsid w:val="00AE3443"/>
    <w:rsid w:val="00AE37ED"/>
    <w:rsid w:val="00BF0A07"/>
    <w:rsid w:val="00CE767E"/>
    <w:rsid w:val="00D01922"/>
    <w:rsid w:val="00E0700C"/>
    <w:rsid w:val="00E641F1"/>
    <w:rsid w:val="00ED7BF2"/>
    <w:rsid w:val="00F90B45"/>
    <w:rsid w:val="00FD1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7682"/>
    <w:rPr>
      <w:color w:val="0000FF"/>
      <w:u w:val="single"/>
    </w:rPr>
  </w:style>
  <w:style w:type="paragraph" w:customStyle="1" w:styleId="MDPI16affiliation">
    <w:name w:val="MDPI_1.6_affiliation"/>
    <w:qFormat/>
    <w:rsid w:val="000B7682"/>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rPr>
  </w:style>
  <w:style w:type="table" w:customStyle="1" w:styleId="ListTable2">
    <w:name w:val="List Table 2"/>
    <w:basedOn w:val="TableNormal"/>
    <w:uiPriority w:val="47"/>
    <w:rsid w:val="000B768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B7682"/>
    <w:pPr>
      <w:ind w:left="720"/>
      <w:contextualSpacing/>
    </w:pPr>
    <w:rPr>
      <w:kern w:val="0"/>
      <w:lang w:val="id-ID"/>
    </w:rPr>
  </w:style>
  <w:style w:type="paragraph" w:styleId="BalloonText">
    <w:name w:val="Balloon Text"/>
    <w:basedOn w:val="Normal"/>
    <w:link w:val="BalloonTextChar"/>
    <w:uiPriority w:val="99"/>
    <w:semiHidden/>
    <w:unhideWhenUsed/>
    <w:rsid w:val="00FD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FF"/>
    <w:rPr>
      <w:rFonts w:ascii="Tahoma" w:hAnsi="Tahoma" w:cs="Tahoma"/>
      <w:sz w:val="16"/>
      <w:szCs w:val="16"/>
    </w:rPr>
  </w:style>
  <w:style w:type="paragraph" w:styleId="Header">
    <w:name w:val="header"/>
    <w:basedOn w:val="Normal"/>
    <w:link w:val="HeaderChar"/>
    <w:uiPriority w:val="99"/>
    <w:semiHidden/>
    <w:unhideWhenUsed/>
    <w:rsid w:val="00FD18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8FF"/>
  </w:style>
  <w:style w:type="paragraph" w:styleId="Footer">
    <w:name w:val="footer"/>
    <w:basedOn w:val="Normal"/>
    <w:link w:val="FooterChar"/>
    <w:uiPriority w:val="99"/>
    <w:semiHidden/>
    <w:unhideWhenUsed/>
    <w:rsid w:val="00FD18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8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DPPH%20JA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TECTOQUINONE</a:t>
            </a:r>
            <a:endParaRPr lang="en-US"/>
          </a:p>
        </c:rich>
      </c:tx>
      <c:layout>
        <c:manualLayout>
          <c:xMode val="edge"/>
          <c:yMode val="edge"/>
          <c:x val="0.32939647704302644"/>
          <c:y val="3.2017075773746018E-2"/>
        </c:manualLayout>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spPr>
            <a:solidFill>
              <a:schemeClr val="accent1"/>
            </a:solidFill>
            <a:ln>
              <a:noFill/>
            </a:ln>
            <a:effectLst/>
            <a:sp3d/>
          </c:spPr>
          <c:cat>
            <c:numRef>
              <c:f>Sheet6!$B$19:$B$23</c:f>
              <c:numCache>
                <c:formatCode>General</c:formatCode>
                <c:ptCount val="5"/>
                <c:pt idx="0">
                  <c:v>10</c:v>
                </c:pt>
                <c:pt idx="1">
                  <c:v>20</c:v>
                </c:pt>
                <c:pt idx="2">
                  <c:v>30</c:v>
                </c:pt>
                <c:pt idx="3">
                  <c:v>40</c:v>
                </c:pt>
                <c:pt idx="4">
                  <c:v>50</c:v>
                </c:pt>
              </c:numCache>
            </c:numRef>
          </c:cat>
          <c:val>
            <c:numRef>
              <c:f>Sheet6!$C$19:$C$23</c:f>
              <c:numCache>
                <c:formatCode>General</c:formatCode>
                <c:ptCount val="5"/>
                <c:pt idx="0">
                  <c:v>41.750841750841744</c:v>
                </c:pt>
                <c:pt idx="1">
                  <c:v>43.602693602693584</c:v>
                </c:pt>
                <c:pt idx="2">
                  <c:v>45.959595959595958</c:v>
                </c:pt>
                <c:pt idx="3">
                  <c:v>46.296296296296291</c:v>
                </c:pt>
                <c:pt idx="4">
                  <c:v>47.306397306397294</c:v>
                </c:pt>
              </c:numCache>
            </c:numRef>
          </c:val>
          <c:extLst xmlns:c16r2="http://schemas.microsoft.com/office/drawing/2015/06/chart">
            <c:ext xmlns:c16="http://schemas.microsoft.com/office/drawing/2014/chart" uri="{C3380CC4-5D6E-409C-BE32-E72D297353CC}">
              <c16:uniqueId val="{00000000-F84B-4740-9A8C-96662D9709DE}"/>
            </c:ext>
          </c:extLst>
        </c:ser>
        <c:gapWidth val="188"/>
        <c:gapDepth val="428"/>
        <c:shape val="box"/>
        <c:axId val="139809920"/>
        <c:axId val="139811840"/>
        <c:axId val="0"/>
      </c:bar3DChart>
      <c:catAx>
        <c:axId val="1398099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11840"/>
        <c:crosses val="autoZero"/>
        <c:auto val="1"/>
        <c:lblAlgn val="ctr"/>
        <c:lblOffset val="100"/>
        <c:noMultiLvlLbl val="1"/>
      </c:catAx>
      <c:valAx>
        <c:axId val="139811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099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7</Pages>
  <Words>7924</Words>
  <Characters>45172</Characters>
  <Application>Microsoft Office Word</Application>
  <DocSecurity>0</DocSecurity>
  <Lines>376</Lines>
  <Paragraphs>105</Paragraphs>
  <ScaleCrop>false</ScaleCrop>
  <Company/>
  <LinksUpToDate>false</LinksUpToDate>
  <CharactersWithSpaces>52991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Najib</dc:creator>
  <cp:keywords/>
  <dc:description/>
  <cp:lastModifiedBy>DELL</cp:lastModifiedBy>
  <cp:revision>25</cp:revision>
  <dcterms:created xsi:type="dcterms:W3CDTF">2023-09-28T04:51:00Z</dcterms:created>
  <dcterms:modified xsi:type="dcterms:W3CDTF">2023-09-29T16:25:00Z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http://www.zotero.org/styles/colombian-journal-of-anesthesiology</vt:lpwstr>
  </property>
  <property fmtid="{D5CDD505-2E9C-101B-9397-08002B2CF9AE}" pid="4" name="Mendeley Unique User Id_1">
    <vt:lpwstr>1e52e6cd-a68f-307e-aa07-effb80c0861d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https://csl.mendeley.com/styles/108773731/Tesis</vt:lpwstr>
  </property>
  <property fmtid="{D5CDD505-2E9C-101B-9397-08002B2CF9AE}" pid="8" name="Mendeley Recent Style Name 1_1">
    <vt:lpwstr>CNS &amp; Neurological Disorders - Drug Targets - Ahmad Najib</vt:lpwstr>
  </property>
  <property fmtid="{D5CDD505-2E9C-101B-9397-08002B2CF9AE}" pid="9" name="Mendeley Recent Style Id 2_1">
    <vt:lpwstr>http://www.zotero.org/styles/colombian-journal-of-anesthesiology</vt:lpwstr>
  </property>
  <property fmtid="{D5CDD505-2E9C-101B-9397-08002B2CF9AE}" pid="10" name="Mendeley Recent Style Name 2_1">
    <vt:lpwstr>Colombian Journal of Anesthesiology</vt:lpwstr>
  </property>
  <property fmtid="{D5CDD505-2E9C-101B-9397-08002B2CF9AE}" pid="11" name="Mendeley Recent Style Id 3_1">
    <vt:lpwstr>https://csl.mendeley.com/styles/108773731/current-proteomics</vt:lpwstr>
  </property>
  <property fmtid="{D5CDD505-2E9C-101B-9397-08002B2CF9AE}" pid="12" name="Mendeley Recent Style Name 3_1">
    <vt:lpwstr>Current Proteomics - Ahmad Najib</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http://www.zotero.org/styles/journal-of-natural-products</vt:lpwstr>
  </property>
  <property fmtid="{D5CDD505-2E9C-101B-9397-08002B2CF9AE}" pid="16" name="Mendeley Recent Style Name 5_1">
    <vt:lpwstr>Journal of Natural Products</vt:lpwstr>
  </property>
  <property fmtid="{D5CDD505-2E9C-101B-9397-08002B2CF9AE}" pid="17" name="Mendeley Recent Style Id 6_1">
    <vt:lpwstr>http://csl.mendeley.com/styles/108773731/lethaia</vt:lpwstr>
  </property>
  <property fmtid="{D5CDD505-2E9C-101B-9397-08002B2CF9AE}" pid="18" name="Mendeley Recent Style Name 6_1">
    <vt:lpwstr>Lethaia - Ahmad Najib</vt:lpwstr>
  </property>
  <property fmtid="{D5CDD505-2E9C-101B-9397-08002B2CF9AE}" pid="19" name="Mendeley Recent Style Id 7_1">
    <vt:lpwstr>http://csl.mendeley.com/styles/108773731/multidisciplinary-digital-publishing-institute</vt:lpwstr>
  </property>
  <property fmtid="{D5CDD505-2E9C-101B-9397-08002B2CF9AE}" pid="20" name="Mendeley Recent Style Name 7_1">
    <vt:lpwstr>Multidisciplinary Digital Publishing Institute - Ahmad Najib</vt:lpwstr>
  </property>
  <property fmtid="{D5CDD505-2E9C-101B-9397-08002B2CF9AE}" pid="21" name="Mendeley Recent Style Id 8_1">
    <vt:lpwstr>http://csl.mendeley.com/styles/485647231/MDPI-LOGAN-FINAL</vt:lpwstr>
  </property>
  <property fmtid="{D5CDD505-2E9C-101B-9397-08002B2CF9AE}" pid="22" name="Mendeley Recent Style Name 8_1">
    <vt:lpwstr>Multidisciplinary Digital Publishing Institute - Logan Ganzen - IJMS IJMS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