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30" w:rsidRPr="001D19B3" w:rsidRDefault="00A93730" w:rsidP="00A93730">
      <w:pPr>
        <w:shd w:val="clear" w:color="auto" w:fill="00B050"/>
        <w:spacing w:after="0"/>
        <w:ind w:left="429"/>
        <w:jc w:val="center"/>
        <w:rPr>
          <w:rFonts w:ascii="Times New Roman" w:eastAsia="Calibri" w:hAnsi="Times New Roman" w:cs="Times New Roman"/>
          <w:b/>
          <w:bCs/>
          <w:color w:val="FFFFFF"/>
          <w:sz w:val="32"/>
          <w:szCs w:val="32"/>
        </w:rPr>
      </w:pPr>
      <w:r w:rsidRPr="001D19B3">
        <w:rPr>
          <w:rFonts w:ascii="Times New Roman" w:eastAsia="Calibri" w:hAnsi="Times New Roman" w:cs="Times New Roman"/>
          <w:b/>
          <w:bCs/>
          <w:color w:val="FFFFFF"/>
          <w:sz w:val="32"/>
          <w:szCs w:val="32"/>
        </w:rPr>
        <w:t>Original Research Article</w:t>
      </w:r>
    </w:p>
    <w:p w:rsidR="00A93730" w:rsidRPr="001D19B3" w:rsidRDefault="001D19B3" w:rsidP="00A93730">
      <w:pPr>
        <w:spacing w:after="0"/>
        <w:jc w:val="center"/>
        <w:rPr>
          <w:rFonts w:ascii="Times New Roman" w:hAnsi="Times New Roman" w:cs="Times New Roman"/>
          <w:b/>
          <w:bCs/>
          <w:sz w:val="28"/>
          <w:szCs w:val="28"/>
        </w:rPr>
      </w:pPr>
      <w:commentRangeStart w:id="0"/>
      <w:r>
        <w:rPr>
          <w:rFonts w:ascii="Times New Roman" w:hAnsi="Times New Roman" w:cs="Times New Roman"/>
          <w:b/>
          <w:bCs/>
          <w:noProof/>
          <w:sz w:val="28"/>
          <w:szCs w:val="28"/>
        </w:rPr>
        <w:drawing>
          <wp:inline distT="0" distB="0" distL="0" distR="0">
            <wp:extent cx="5542059" cy="2121556"/>
            <wp:effectExtent l="19050" t="0" r="1491"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44975" cy="2122672"/>
                    </a:xfrm>
                    <a:prstGeom prst="rect">
                      <a:avLst/>
                    </a:prstGeom>
                    <a:noFill/>
                    <a:ln w="9525">
                      <a:noFill/>
                      <a:miter lim="800000"/>
                      <a:headEnd/>
                      <a:tailEnd/>
                    </a:ln>
                  </pic:spPr>
                </pic:pic>
              </a:graphicData>
            </a:graphic>
          </wp:inline>
        </w:drawing>
      </w:r>
      <w:commentRangeEnd w:id="0"/>
      <w:r>
        <w:rPr>
          <w:rStyle w:val="CommentReference"/>
        </w:rPr>
        <w:commentReference w:id="0"/>
      </w:r>
    </w:p>
    <w:p w:rsidR="00471246" w:rsidRPr="001D19B3" w:rsidRDefault="00ED3E34" w:rsidP="00A93730">
      <w:pPr>
        <w:spacing w:after="0"/>
        <w:jc w:val="center"/>
        <w:rPr>
          <w:rFonts w:ascii="Times New Roman" w:hAnsi="Times New Roman" w:cs="Times New Roman"/>
          <w:b/>
          <w:bCs/>
          <w:sz w:val="28"/>
          <w:szCs w:val="28"/>
        </w:rPr>
      </w:pPr>
      <w:commentRangeStart w:id="1"/>
      <w:r w:rsidRPr="001D19B3">
        <w:rPr>
          <w:rFonts w:ascii="Times New Roman" w:hAnsi="Times New Roman" w:cs="Times New Roman"/>
          <w:b/>
          <w:bCs/>
          <w:sz w:val="28"/>
          <w:szCs w:val="28"/>
        </w:rPr>
        <w:t xml:space="preserve">TRENDING PERSPECTIVE IN EVALUATION OF INSPECTION CHARACTERISTICS </w:t>
      </w:r>
      <w:commentRangeEnd w:id="1"/>
      <w:r w:rsidR="006A785D">
        <w:rPr>
          <w:rStyle w:val="CommentReference"/>
        </w:rPr>
        <w:commentReference w:id="1"/>
      </w:r>
      <w:r w:rsidRPr="001D19B3">
        <w:rPr>
          <w:rFonts w:ascii="Times New Roman" w:hAnsi="Times New Roman" w:cs="Times New Roman"/>
          <w:b/>
          <w:bCs/>
          <w:sz w:val="28"/>
          <w:szCs w:val="28"/>
        </w:rPr>
        <w:t>OF PHARMACEUTICAL COMPOUND: COMPARATIVE STUDY OF CONTROL CHARTS</w:t>
      </w:r>
    </w:p>
    <w:p w:rsidR="00A93730" w:rsidRPr="001D19B3" w:rsidRDefault="00A93730" w:rsidP="00A93730">
      <w:pPr>
        <w:spacing w:after="0"/>
        <w:jc w:val="both"/>
        <w:rPr>
          <w:rFonts w:ascii="Times New Roman" w:hAnsi="Times New Roman" w:cs="Times New Roman"/>
          <w:b/>
          <w:bCs/>
          <w:sz w:val="24"/>
          <w:szCs w:val="24"/>
          <w:shd w:val="clear" w:color="auto" w:fill="FFFFFF"/>
        </w:rPr>
      </w:pPr>
    </w:p>
    <w:p w:rsidR="00CE073C" w:rsidRPr="001D19B3" w:rsidRDefault="00CE073C" w:rsidP="00A93730">
      <w:pPr>
        <w:spacing w:after="0"/>
        <w:jc w:val="both"/>
        <w:rPr>
          <w:rFonts w:ascii="Times New Roman" w:hAnsi="Times New Roman" w:cs="Times New Roman"/>
          <w:b/>
          <w:bCs/>
          <w:sz w:val="24"/>
          <w:szCs w:val="24"/>
        </w:rPr>
      </w:pPr>
      <w:r w:rsidRPr="001D19B3">
        <w:rPr>
          <w:rFonts w:ascii="Times New Roman" w:hAnsi="Times New Roman" w:cs="Times New Roman"/>
          <w:b/>
          <w:bCs/>
          <w:sz w:val="24"/>
          <w:szCs w:val="24"/>
        </w:rPr>
        <w:t>ABSTRACT</w:t>
      </w:r>
    </w:p>
    <w:p w:rsidR="00CE073C" w:rsidRPr="001D19B3" w:rsidRDefault="00CE073C" w:rsidP="00A93730">
      <w:pPr>
        <w:spacing w:after="0"/>
        <w:jc w:val="both"/>
        <w:rPr>
          <w:rFonts w:ascii="Times New Roman" w:hAnsi="Times New Roman" w:cs="Times New Roman"/>
          <w:sz w:val="24"/>
          <w:szCs w:val="24"/>
        </w:rPr>
      </w:pPr>
      <w:r w:rsidRPr="001D19B3">
        <w:rPr>
          <w:rFonts w:ascii="Times New Roman" w:hAnsi="Times New Roman" w:cs="Times New Roman"/>
          <w:b/>
          <w:bCs/>
          <w:sz w:val="24"/>
          <w:szCs w:val="24"/>
        </w:rPr>
        <w:t xml:space="preserve">Background and objectives: </w:t>
      </w:r>
      <w:r w:rsidR="007F0209" w:rsidRPr="001D19B3">
        <w:rPr>
          <w:rFonts w:ascii="Times New Roman" w:hAnsi="Times New Roman" w:cs="Times New Roman"/>
          <w:sz w:val="24"/>
          <w:szCs w:val="24"/>
        </w:rPr>
        <w:t>The quality and efficacy of the pharmaceutical medicinal product are of paramount importance to the patients. Reproducibility and consistency of the properties of the dosage form start with the constituting ingredients either active or inactive. The present work provides an approach for the trending of one of the crucial inspection characteristics of a well-known excipient that is commonly used as a disintegrant of a water-insoluble synthetic cross-linked Polyvinyl Pyrrolidone (PVP). Establishing manufacturing criteria and quality limits should be assessed from the beginning level of the project using exploratory process-behavior plots</w:t>
      </w:r>
      <w:r w:rsidR="00870E3D" w:rsidRPr="001D19B3">
        <w:rPr>
          <w:rFonts w:ascii="Times New Roman" w:hAnsi="Times New Roman" w:cs="Times New Roman"/>
          <w:sz w:val="24"/>
          <w:szCs w:val="24"/>
        </w:rPr>
        <w:t>.</w:t>
      </w:r>
    </w:p>
    <w:p w:rsidR="00CE073C" w:rsidRPr="001D19B3" w:rsidRDefault="00CE073C" w:rsidP="00A93730">
      <w:pPr>
        <w:spacing w:after="0"/>
        <w:jc w:val="both"/>
        <w:rPr>
          <w:rFonts w:ascii="Times New Roman" w:hAnsi="Times New Roman" w:cs="Times New Roman"/>
          <w:sz w:val="24"/>
          <w:szCs w:val="24"/>
        </w:rPr>
      </w:pPr>
      <w:r w:rsidRPr="001D19B3">
        <w:rPr>
          <w:rFonts w:ascii="Times New Roman" w:hAnsi="Times New Roman" w:cs="Times New Roman"/>
          <w:b/>
          <w:bCs/>
          <w:sz w:val="24"/>
          <w:szCs w:val="24"/>
        </w:rPr>
        <w:t>Materials and Methods:</w:t>
      </w:r>
      <w:r w:rsidR="002E2E15" w:rsidRPr="001D19B3">
        <w:rPr>
          <w:rFonts w:ascii="Times New Roman" w:hAnsi="Times New Roman" w:cs="Times New Roman"/>
          <w:sz w:val="24"/>
          <w:szCs w:val="24"/>
        </w:rPr>
        <w:t xml:space="preserve">This study involved an assay of the initial 16 batches of the manufactured 1-ethenyl pyrrolidine-2-one expressed as a dried substance using a standard analysis method according to British Pharmacopoeia (BP). Exploratory Shewhart charts were plotted after preliminary distribution identification using Statistical Process Control (SPC) software. Based on the goodness of fit test results, the most appropriate assumed distribution was implemented in drawing the </w:t>
      </w:r>
      <w:r w:rsidR="00CD70D3" w:rsidRPr="001D19B3">
        <w:rPr>
          <w:rFonts w:ascii="Times New Roman" w:hAnsi="Times New Roman" w:cs="Times New Roman"/>
          <w:sz w:val="24"/>
          <w:szCs w:val="24"/>
        </w:rPr>
        <w:t xml:space="preserve">Individual-Moving Range (I-MR) </w:t>
      </w:r>
      <w:r w:rsidR="002E2E15" w:rsidRPr="001D19B3">
        <w:rPr>
          <w:rFonts w:ascii="Times New Roman" w:hAnsi="Times New Roman" w:cs="Times New Roman"/>
          <w:sz w:val="24"/>
          <w:szCs w:val="24"/>
        </w:rPr>
        <w:t>control charts</w:t>
      </w:r>
      <w:r w:rsidR="001A5571" w:rsidRPr="001D19B3">
        <w:rPr>
          <w:rFonts w:ascii="Times New Roman" w:hAnsi="Times New Roman" w:cs="Times New Roman"/>
          <w:sz w:val="24"/>
          <w:szCs w:val="24"/>
        </w:rPr>
        <w:t>.</w:t>
      </w:r>
    </w:p>
    <w:p w:rsidR="00CE073C" w:rsidRPr="001D19B3" w:rsidRDefault="00CE073C" w:rsidP="00A93730">
      <w:pPr>
        <w:spacing w:after="0"/>
        <w:jc w:val="both"/>
        <w:rPr>
          <w:rFonts w:ascii="Times New Roman" w:hAnsi="Times New Roman" w:cs="Times New Roman"/>
          <w:sz w:val="24"/>
          <w:szCs w:val="24"/>
        </w:rPr>
      </w:pPr>
      <w:r w:rsidRPr="001D19B3">
        <w:rPr>
          <w:rFonts w:ascii="Times New Roman" w:hAnsi="Times New Roman" w:cs="Times New Roman"/>
          <w:b/>
          <w:bCs/>
          <w:sz w:val="24"/>
          <w:szCs w:val="24"/>
        </w:rPr>
        <w:t>Results:</w:t>
      </w:r>
      <w:r w:rsidR="005D159B" w:rsidRPr="001D19B3">
        <w:rPr>
          <w:rFonts w:ascii="Times New Roman" w:hAnsi="Times New Roman" w:cs="Times New Roman"/>
          <w:sz w:val="24"/>
          <w:szCs w:val="24"/>
        </w:rPr>
        <w:t>The goodness of fit study and probability plot showed that the most close-fitting to the data dispersion pattern was Johnson transformation to the normal spreading, smallest extreme value and Weibull distribution, respectively. While there were no alarms that could be detected from the process mean and the variability charts, further improvement is required from the supplier side to meet the benchmark minimum limit threshold, in addition, the process mean was not centered</w:t>
      </w:r>
      <w:r w:rsidR="00996DE9" w:rsidRPr="001D19B3">
        <w:rPr>
          <w:rFonts w:ascii="Times New Roman" w:hAnsi="Times New Roman" w:cs="Times New Roman"/>
          <w:sz w:val="24"/>
          <w:szCs w:val="24"/>
        </w:rPr>
        <w:t xml:space="preserve"> but shifted towards the Upper Control Limit (UCL)</w:t>
      </w:r>
      <w:r w:rsidR="008A180E" w:rsidRPr="001D19B3">
        <w:rPr>
          <w:rFonts w:ascii="Times New Roman" w:hAnsi="Times New Roman" w:cs="Times New Roman"/>
          <w:sz w:val="24"/>
          <w:szCs w:val="24"/>
        </w:rPr>
        <w:t>.</w:t>
      </w:r>
    </w:p>
    <w:p w:rsidR="00471246" w:rsidRPr="001D19B3" w:rsidRDefault="00CE073C" w:rsidP="00A93730">
      <w:pPr>
        <w:spacing w:after="0"/>
        <w:jc w:val="both"/>
        <w:rPr>
          <w:rFonts w:ascii="Times New Roman" w:hAnsi="Times New Roman" w:cs="Times New Roman"/>
          <w:sz w:val="24"/>
          <w:szCs w:val="24"/>
        </w:rPr>
      </w:pPr>
      <w:r w:rsidRPr="001D19B3">
        <w:rPr>
          <w:rFonts w:ascii="Times New Roman" w:hAnsi="Times New Roman" w:cs="Times New Roman"/>
          <w:b/>
          <w:bCs/>
          <w:sz w:val="24"/>
          <w:szCs w:val="24"/>
        </w:rPr>
        <w:t>Conclusion:</w:t>
      </w:r>
      <w:r w:rsidR="00236700" w:rsidRPr="001D19B3">
        <w:rPr>
          <w:rFonts w:ascii="Times New Roman" w:hAnsi="Times New Roman" w:cs="Times New Roman"/>
          <w:sz w:val="24"/>
          <w:szCs w:val="24"/>
        </w:rPr>
        <w:t xml:space="preserve">Implementation of SPC techniques is crucial in the modern competitive healthcare industry. Trending charts play a pivotal </w:t>
      </w:r>
      <w:r w:rsidR="003A791A" w:rsidRPr="001D19B3">
        <w:rPr>
          <w:rFonts w:ascii="Times New Roman" w:hAnsi="Times New Roman" w:cs="Times New Roman"/>
          <w:sz w:val="24"/>
          <w:szCs w:val="24"/>
        </w:rPr>
        <w:t>role</w:t>
      </w:r>
      <w:r w:rsidR="00236700" w:rsidRPr="001D19B3">
        <w:rPr>
          <w:rFonts w:ascii="Times New Roman" w:hAnsi="Times New Roman" w:cs="Times New Roman"/>
          <w:sz w:val="24"/>
          <w:szCs w:val="24"/>
        </w:rPr>
        <w:t xml:space="preserve"> in this perspective</w:t>
      </w:r>
      <w:r w:rsidR="00A56FCD" w:rsidRPr="001D19B3">
        <w:rPr>
          <w:rFonts w:ascii="Times New Roman" w:hAnsi="Times New Roman" w:cs="Times New Roman"/>
          <w:sz w:val="24"/>
          <w:szCs w:val="24"/>
        </w:rPr>
        <w:t>.</w:t>
      </w:r>
      <w:r w:rsidR="003A791A" w:rsidRPr="001D19B3">
        <w:rPr>
          <w:rFonts w:ascii="Times New Roman" w:hAnsi="Times New Roman" w:cs="Times New Roman"/>
          <w:sz w:val="24"/>
          <w:szCs w:val="24"/>
        </w:rPr>
        <w:t xml:space="preserve">They provide a quantitative estimation for </w:t>
      </w:r>
      <w:r w:rsidR="00787C8D" w:rsidRPr="001D19B3">
        <w:rPr>
          <w:rFonts w:ascii="Times New Roman" w:hAnsi="Times New Roman" w:cs="Times New Roman"/>
          <w:sz w:val="24"/>
          <w:szCs w:val="24"/>
        </w:rPr>
        <w:t xml:space="preserve">the current situation </w:t>
      </w:r>
      <w:r w:rsidR="007674C8" w:rsidRPr="001D19B3">
        <w:rPr>
          <w:rFonts w:ascii="Times New Roman" w:hAnsi="Times New Roman" w:cs="Times New Roman"/>
          <w:sz w:val="24"/>
          <w:szCs w:val="24"/>
        </w:rPr>
        <w:t xml:space="preserve">and the actions needed </w:t>
      </w:r>
      <w:r w:rsidR="00470C91" w:rsidRPr="001D19B3">
        <w:rPr>
          <w:rFonts w:ascii="Times New Roman" w:hAnsi="Times New Roman" w:cs="Times New Roman"/>
          <w:sz w:val="24"/>
          <w:szCs w:val="24"/>
        </w:rPr>
        <w:t>for</w:t>
      </w:r>
      <w:r w:rsidR="007674C8" w:rsidRPr="001D19B3">
        <w:rPr>
          <w:rFonts w:ascii="Times New Roman" w:hAnsi="Times New Roman" w:cs="Times New Roman"/>
          <w:sz w:val="24"/>
          <w:szCs w:val="24"/>
        </w:rPr>
        <w:t xml:space="preserve"> the future improvement</w:t>
      </w:r>
      <w:r w:rsidR="00901D73" w:rsidRPr="001D19B3">
        <w:rPr>
          <w:rFonts w:ascii="Times New Roman" w:hAnsi="Times New Roman" w:cs="Times New Roman"/>
          <w:sz w:val="24"/>
          <w:szCs w:val="24"/>
        </w:rPr>
        <w:t>of the monitored characteristic.</w:t>
      </w:r>
    </w:p>
    <w:p w:rsidR="00471246" w:rsidRPr="001D19B3" w:rsidRDefault="00CE073C" w:rsidP="00A93730">
      <w:pPr>
        <w:spacing w:after="0"/>
        <w:jc w:val="both"/>
        <w:rPr>
          <w:rFonts w:ascii="Times New Roman" w:hAnsi="Times New Roman" w:cs="Times New Roman"/>
          <w:sz w:val="24"/>
          <w:szCs w:val="24"/>
        </w:rPr>
      </w:pPr>
      <w:r w:rsidRPr="001D19B3">
        <w:rPr>
          <w:rFonts w:ascii="Times New Roman" w:hAnsi="Times New Roman" w:cs="Times New Roman"/>
          <w:b/>
          <w:bCs/>
          <w:sz w:val="24"/>
          <w:szCs w:val="24"/>
        </w:rPr>
        <w:t>Keywords:</w:t>
      </w:r>
      <w:r w:rsidRPr="001D19B3">
        <w:rPr>
          <w:rFonts w:ascii="Times New Roman" w:hAnsi="Times New Roman" w:cs="Times New Roman"/>
          <w:sz w:val="24"/>
          <w:szCs w:val="24"/>
        </w:rPr>
        <w:t xml:space="preserve">Control </w:t>
      </w:r>
      <w:commentRangeStart w:id="2"/>
      <w:r w:rsidRPr="001D19B3">
        <w:rPr>
          <w:rFonts w:ascii="Times New Roman" w:hAnsi="Times New Roman" w:cs="Times New Roman"/>
          <w:sz w:val="24"/>
          <w:szCs w:val="24"/>
        </w:rPr>
        <w:t>charts, probability plot, Johnson transformation, capability plot,smallest extreme value, Weibu</w:t>
      </w:r>
      <w:commentRangeEnd w:id="2"/>
      <w:r w:rsidR="001D19B3">
        <w:rPr>
          <w:rStyle w:val="CommentReference"/>
        </w:rPr>
        <w:commentReference w:id="2"/>
      </w:r>
      <w:r w:rsidRPr="001D19B3">
        <w:rPr>
          <w:rFonts w:ascii="Times New Roman" w:hAnsi="Times New Roman" w:cs="Times New Roman"/>
          <w:sz w:val="24"/>
          <w:szCs w:val="24"/>
        </w:rPr>
        <w:t>ll.</w:t>
      </w:r>
    </w:p>
    <w:p w:rsidR="001D19B3" w:rsidRDefault="001D19B3" w:rsidP="00A93730">
      <w:pPr>
        <w:spacing w:after="0"/>
        <w:rPr>
          <w:rFonts w:ascii="Times New Roman" w:hAnsi="Times New Roman" w:cs="Times New Roman"/>
          <w:b/>
          <w:bCs/>
          <w:sz w:val="24"/>
          <w:szCs w:val="24"/>
        </w:rPr>
      </w:pPr>
    </w:p>
    <w:p w:rsidR="001D19B3" w:rsidRDefault="001D19B3" w:rsidP="00A93730">
      <w:pPr>
        <w:spacing w:after="0"/>
        <w:rPr>
          <w:rFonts w:ascii="Times New Roman" w:hAnsi="Times New Roman" w:cs="Times New Roman"/>
          <w:b/>
          <w:bCs/>
          <w:sz w:val="24"/>
          <w:szCs w:val="24"/>
        </w:rPr>
      </w:pPr>
    </w:p>
    <w:p w:rsidR="00471246" w:rsidRPr="001D19B3" w:rsidRDefault="00C6752C" w:rsidP="00A93730">
      <w:pPr>
        <w:spacing w:after="0"/>
        <w:rPr>
          <w:rFonts w:ascii="Times New Roman" w:hAnsi="Times New Roman" w:cs="Times New Roman"/>
          <w:b/>
          <w:bCs/>
          <w:sz w:val="24"/>
          <w:szCs w:val="24"/>
        </w:rPr>
      </w:pPr>
      <w:r w:rsidRPr="001D19B3">
        <w:rPr>
          <w:rFonts w:ascii="Times New Roman" w:hAnsi="Times New Roman" w:cs="Times New Roman"/>
          <w:b/>
          <w:bCs/>
          <w:sz w:val="24"/>
          <w:szCs w:val="24"/>
        </w:rPr>
        <w:lastRenderedPageBreak/>
        <w:t>INTRODUCTION</w:t>
      </w:r>
    </w:p>
    <w:p w:rsidR="00C6752C" w:rsidRPr="001D19B3" w:rsidRDefault="00996DE9" w:rsidP="00A93730">
      <w:pPr>
        <w:spacing w:after="0"/>
        <w:jc w:val="both"/>
        <w:rPr>
          <w:rFonts w:ascii="Times New Roman" w:hAnsi="Times New Roman" w:cs="Times New Roman"/>
          <w:sz w:val="24"/>
          <w:szCs w:val="24"/>
        </w:rPr>
      </w:pPr>
      <w:commentRangeStart w:id="3"/>
      <w:r w:rsidRPr="001D19B3">
        <w:rPr>
          <w:rFonts w:ascii="Times New Roman" w:hAnsi="Times New Roman" w:cs="Times New Roman"/>
          <w:sz w:val="24"/>
          <w:szCs w:val="24"/>
        </w:rPr>
        <w:t>In the world of competitive healthcare and the pharmaceutical industry, many companies and firms compete in the drug and medicinal products market.</w:t>
      </w:r>
      <w:r w:rsidR="00E00C43" w:rsidRPr="001D19B3">
        <w:rPr>
          <w:rFonts w:ascii="Times New Roman" w:hAnsi="Times New Roman" w:cs="Times New Roman"/>
          <w:sz w:val="24"/>
          <w:szCs w:val="24"/>
          <w:vertAlign w:val="superscript"/>
        </w:rPr>
        <w:t>1</w:t>
      </w:r>
      <w:r w:rsidR="000D580D" w:rsidRPr="001D19B3">
        <w:rPr>
          <w:rFonts w:ascii="Times New Roman" w:hAnsi="Times New Roman" w:cs="Times New Roman"/>
          <w:sz w:val="24"/>
          <w:szCs w:val="24"/>
          <w:vertAlign w:val="superscript"/>
        </w:rPr>
        <w:t>-3</w:t>
      </w:r>
      <w:r w:rsidRPr="001D19B3">
        <w:rPr>
          <w:rFonts w:ascii="Times New Roman" w:hAnsi="Times New Roman" w:cs="Times New Roman"/>
          <w:sz w:val="24"/>
          <w:szCs w:val="24"/>
        </w:rPr>
        <w:t xml:space="preserve"> However, safety, quality and efficacy come </w:t>
      </w:r>
      <w:r w:rsidR="00534490" w:rsidRPr="001D19B3">
        <w:rPr>
          <w:rFonts w:ascii="Times New Roman" w:hAnsi="Times New Roman" w:cs="Times New Roman"/>
          <w:sz w:val="24"/>
          <w:szCs w:val="24"/>
        </w:rPr>
        <w:t>as</w:t>
      </w:r>
      <w:r w:rsidRPr="001D19B3">
        <w:rPr>
          <w:rFonts w:ascii="Times New Roman" w:hAnsi="Times New Roman" w:cs="Times New Roman"/>
          <w:sz w:val="24"/>
          <w:szCs w:val="24"/>
        </w:rPr>
        <w:t xml:space="preserve"> the </w:t>
      </w:r>
      <w:r w:rsidR="00534490" w:rsidRPr="001D19B3">
        <w:rPr>
          <w:rFonts w:ascii="Times New Roman" w:hAnsi="Times New Roman" w:cs="Times New Roman"/>
          <w:sz w:val="24"/>
          <w:szCs w:val="24"/>
        </w:rPr>
        <w:t>first-place</w:t>
      </w:r>
      <w:r w:rsidRPr="001D19B3">
        <w:rPr>
          <w:rFonts w:ascii="Times New Roman" w:hAnsi="Times New Roman" w:cs="Times New Roman"/>
          <w:sz w:val="24"/>
          <w:szCs w:val="24"/>
        </w:rPr>
        <w:t xml:space="preserve"> priority of the patient Health.</w:t>
      </w:r>
      <w:r w:rsidR="00CA56D3" w:rsidRPr="001D19B3">
        <w:rPr>
          <w:rFonts w:ascii="Times New Roman" w:hAnsi="Times New Roman" w:cs="Times New Roman"/>
          <w:sz w:val="24"/>
          <w:szCs w:val="24"/>
          <w:vertAlign w:val="superscript"/>
        </w:rPr>
        <w:t>4</w:t>
      </w:r>
      <w:r w:rsidR="0095515A" w:rsidRPr="001D19B3">
        <w:rPr>
          <w:rFonts w:ascii="Times New Roman" w:hAnsi="Times New Roman" w:cs="Times New Roman"/>
          <w:sz w:val="24"/>
          <w:szCs w:val="24"/>
          <w:vertAlign w:val="superscript"/>
        </w:rPr>
        <w:t>-6</w:t>
      </w:r>
      <w:r w:rsidRPr="001D19B3">
        <w:rPr>
          <w:rFonts w:ascii="Times New Roman" w:hAnsi="Times New Roman" w:cs="Times New Roman"/>
          <w:sz w:val="24"/>
          <w:szCs w:val="24"/>
        </w:rPr>
        <w:t xml:space="preserve"> Medicinal ingredients either active or inactive should be the cornerstone for the standard quality before the analysis of the inspection properties of the finished medicinal dosage forms.</w:t>
      </w:r>
    </w:p>
    <w:p w:rsidR="004E1926" w:rsidRPr="001D19B3" w:rsidRDefault="00CC5FFE"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 xml:space="preserve">Implementation of the statistical Process Control (SPC) methodologies has become a crucial and commonly practiced task in all pharmaceutical firms to achieve a high level of predictable and </w:t>
      </w:r>
      <w:r w:rsidR="00E31827" w:rsidRPr="001D19B3">
        <w:rPr>
          <w:rFonts w:ascii="Times New Roman" w:hAnsi="Times New Roman" w:cs="Times New Roman"/>
          <w:sz w:val="24"/>
          <w:szCs w:val="24"/>
        </w:rPr>
        <w:t>accept</w:t>
      </w:r>
      <w:r w:rsidRPr="001D19B3">
        <w:rPr>
          <w:rFonts w:ascii="Times New Roman" w:hAnsi="Times New Roman" w:cs="Times New Roman"/>
          <w:sz w:val="24"/>
          <w:szCs w:val="24"/>
        </w:rPr>
        <w:t>able quality.</w:t>
      </w:r>
      <w:r w:rsidR="0052091B" w:rsidRPr="001D19B3">
        <w:rPr>
          <w:rFonts w:ascii="Times New Roman" w:hAnsi="Times New Roman" w:cs="Times New Roman"/>
          <w:sz w:val="24"/>
          <w:szCs w:val="24"/>
          <w:vertAlign w:val="superscript"/>
        </w:rPr>
        <w:t>7</w:t>
      </w:r>
      <w:r w:rsidR="005E2165" w:rsidRPr="001D19B3">
        <w:rPr>
          <w:rFonts w:ascii="Times New Roman" w:hAnsi="Times New Roman" w:cs="Times New Roman"/>
          <w:sz w:val="24"/>
          <w:szCs w:val="24"/>
          <w:vertAlign w:val="superscript"/>
        </w:rPr>
        <w:t>-9</w:t>
      </w:r>
      <w:r w:rsidR="00E31827" w:rsidRPr="001D19B3">
        <w:rPr>
          <w:rFonts w:ascii="Times New Roman" w:hAnsi="Times New Roman" w:cs="Times New Roman"/>
          <w:sz w:val="24"/>
          <w:szCs w:val="24"/>
        </w:rPr>
        <w:t xml:space="preserve"> One of the most pivotal SPC tools is the Shewhart plot.</w:t>
      </w:r>
      <w:r w:rsidR="00F0041D" w:rsidRPr="001D19B3">
        <w:rPr>
          <w:rFonts w:ascii="Times New Roman" w:hAnsi="Times New Roman" w:cs="Times New Roman"/>
          <w:sz w:val="24"/>
          <w:szCs w:val="24"/>
          <w:vertAlign w:val="superscript"/>
        </w:rPr>
        <w:t>10</w:t>
      </w:r>
      <w:r w:rsidR="00E31827" w:rsidRPr="001D19B3">
        <w:rPr>
          <w:rFonts w:ascii="Times New Roman" w:hAnsi="Times New Roman" w:cs="Times New Roman"/>
          <w:sz w:val="24"/>
          <w:szCs w:val="24"/>
        </w:rPr>
        <w:t xml:space="preserve"> It has vast applications in many industrial and non-industrial areas to assess and control processes and inspection characteristics.</w:t>
      </w:r>
      <w:r w:rsidR="00D1691E" w:rsidRPr="001D19B3">
        <w:rPr>
          <w:rFonts w:ascii="Times New Roman" w:hAnsi="Times New Roman" w:cs="Times New Roman"/>
          <w:sz w:val="24"/>
          <w:szCs w:val="24"/>
          <w:vertAlign w:val="superscript"/>
        </w:rPr>
        <w:t>11</w:t>
      </w:r>
      <w:r w:rsidR="007151B3" w:rsidRPr="001D19B3">
        <w:rPr>
          <w:rFonts w:ascii="Times New Roman" w:hAnsi="Times New Roman" w:cs="Times New Roman"/>
          <w:sz w:val="24"/>
          <w:szCs w:val="24"/>
          <w:vertAlign w:val="superscript"/>
        </w:rPr>
        <w:t>-15</w:t>
      </w:r>
      <w:r w:rsidR="004E1926" w:rsidRPr="001D19B3">
        <w:rPr>
          <w:rFonts w:ascii="Times New Roman" w:hAnsi="Times New Roman" w:cs="Times New Roman"/>
          <w:sz w:val="24"/>
          <w:szCs w:val="24"/>
        </w:rPr>
        <w:t xml:space="preserve"> The manufacturers of the raw chemicals of pharmaceutical grades have expanded worldwide making them </w:t>
      </w:r>
      <w:r w:rsidR="00994841" w:rsidRPr="001D19B3">
        <w:rPr>
          <w:rFonts w:ascii="Times New Roman" w:hAnsi="Times New Roman" w:cs="Times New Roman"/>
          <w:sz w:val="24"/>
          <w:szCs w:val="24"/>
        </w:rPr>
        <w:t>easy</w:t>
      </w:r>
      <w:r w:rsidR="004E1926" w:rsidRPr="001D19B3">
        <w:rPr>
          <w:rFonts w:ascii="Times New Roman" w:hAnsi="Times New Roman" w:cs="Times New Roman"/>
          <w:sz w:val="24"/>
          <w:szCs w:val="24"/>
        </w:rPr>
        <w:t xml:space="preserve"> to be attained in the retail markets and brokers anywhere.</w:t>
      </w:r>
      <w:r w:rsidR="00A44792" w:rsidRPr="001D19B3">
        <w:rPr>
          <w:rFonts w:ascii="Times New Roman" w:hAnsi="Times New Roman" w:cs="Times New Roman"/>
          <w:sz w:val="24"/>
          <w:szCs w:val="24"/>
          <w:vertAlign w:val="superscript"/>
        </w:rPr>
        <w:t>16</w:t>
      </w:r>
      <w:r w:rsidR="004E1926" w:rsidRPr="001D19B3">
        <w:rPr>
          <w:rFonts w:ascii="Times New Roman" w:hAnsi="Times New Roman" w:cs="Times New Roman"/>
          <w:sz w:val="24"/>
          <w:szCs w:val="24"/>
        </w:rPr>
        <w:t xml:space="preserve"> Nevertheless, sustainable quality assurance of the expected chemical and physical properties is of paramount necessity to </w:t>
      </w:r>
      <w:commentRangeEnd w:id="3"/>
      <w:r w:rsidR="00B30A45">
        <w:rPr>
          <w:rStyle w:val="CommentReference"/>
        </w:rPr>
        <w:commentReference w:id="3"/>
      </w:r>
      <w:r w:rsidR="004E1926" w:rsidRPr="001D19B3">
        <w:rPr>
          <w:rFonts w:ascii="Times New Roman" w:hAnsi="Times New Roman" w:cs="Times New Roman"/>
          <w:sz w:val="24"/>
          <w:szCs w:val="24"/>
        </w:rPr>
        <w:t>guarantee the current and the future merit of the pharmaceutical products.</w:t>
      </w:r>
    </w:p>
    <w:p w:rsidR="00120880" w:rsidRPr="001D19B3" w:rsidRDefault="00120880" w:rsidP="00A93730">
      <w:pPr>
        <w:spacing w:after="0"/>
        <w:jc w:val="both"/>
        <w:rPr>
          <w:rFonts w:ascii="Times New Roman" w:hAnsi="Times New Roman" w:cs="Times New Roman"/>
          <w:sz w:val="24"/>
          <w:szCs w:val="24"/>
        </w:rPr>
      </w:pPr>
      <w:commentRangeStart w:id="4"/>
      <w:r w:rsidRPr="001D19B3">
        <w:rPr>
          <w:rFonts w:ascii="Times New Roman" w:hAnsi="Times New Roman" w:cs="Times New Roman"/>
          <w:sz w:val="24"/>
          <w:szCs w:val="24"/>
        </w:rPr>
        <w:t>There are growing trends in the number of chemical manufacturing facilities, notably in the developing nations. The Good practices in various fields (GxP) status of them – including the medicinal and healthcare sectors - are questionable.</w:t>
      </w:r>
      <w:r w:rsidR="00592CB9" w:rsidRPr="001D19B3">
        <w:rPr>
          <w:rFonts w:ascii="Times New Roman" w:hAnsi="Times New Roman" w:cs="Times New Roman"/>
          <w:sz w:val="24"/>
          <w:szCs w:val="24"/>
          <w:vertAlign w:val="superscript"/>
        </w:rPr>
        <w:t>17</w:t>
      </w:r>
      <w:r w:rsidR="00B84898" w:rsidRPr="001D19B3">
        <w:rPr>
          <w:rFonts w:ascii="Times New Roman" w:hAnsi="Times New Roman" w:cs="Times New Roman"/>
          <w:sz w:val="24"/>
          <w:szCs w:val="24"/>
          <w:vertAlign w:val="superscript"/>
        </w:rPr>
        <w:t>,18</w:t>
      </w:r>
      <w:r w:rsidRPr="001D19B3">
        <w:rPr>
          <w:rFonts w:ascii="Times New Roman" w:hAnsi="Times New Roman" w:cs="Times New Roman"/>
          <w:sz w:val="24"/>
          <w:szCs w:val="24"/>
        </w:rPr>
        <w:t xml:space="preserve"> Good Manufacturing Practice (GMP) could be projected into the quality of the final product.</w:t>
      </w:r>
      <w:r w:rsidR="00416511" w:rsidRPr="001D19B3">
        <w:rPr>
          <w:rFonts w:ascii="Times New Roman" w:hAnsi="Times New Roman" w:cs="Times New Roman"/>
          <w:sz w:val="24"/>
          <w:szCs w:val="24"/>
          <w:vertAlign w:val="superscript"/>
        </w:rPr>
        <w:t>19</w:t>
      </w:r>
      <w:r w:rsidRPr="001D19B3">
        <w:rPr>
          <w:rFonts w:ascii="Times New Roman" w:hAnsi="Times New Roman" w:cs="Times New Roman"/>
          <w:sz w:val="24"/>
          <w:szCs w:val="24"/>
        </w:rPr>
        <w:t xml:space="preserve"> Hence, an organization with the right quality concept in mind throughout the whole firm would yield products with acceptable, stable and predictable properties with minimal risk of failure. </w:t>
      </w:r>
      <w:commentRangeEnd w:id="4"/>
      <w:r w:rsidR="00B30A45">
        <w:rPr>
          <w:rStyle w:val="CommentReference"/>
        </w:rPr>
        <w:commentReference w:id="4"/>
      </w:r>
    </w:p>
    <w:p w:rsidR="00996DE9" w:rsidRPr="001D19B3" w:rsidRDefault="00AE73E7" w:rsidP="00A93730">
      <w:pPr>
        <w:spacing w:after="0"/>
        <w:jc w:val="both"/>
        <w:rPr>
          <w:rFonts w:ascii="Times New Roman" w:hAnsi="Times New Roman" w:cs="Times New Roman"/>
          <w:sz w:val="24"/>
          <w:szCs w:val="24"/>
        </w:rPr>
      </w:pPr>
      <w:commentRangeStart w:id="5"/>
      <w:r w:rsidRPr="001D19B3">
        <w:rPr>
          <w:rFonts w:ascii="Times New Roman" w:hAnsi="Times New Roman" w:cs="Times New Roman"/>
          <w:sz w:val="24"/>
          <w:szCs w:val="24"/>
        </w:rPr>
        <w:t xml:space="preserve">In a time of crisis, there is a great possibility of witnessing degradation in the quality of goods that are available from the brokers, wholesalers and market retailers to meet the demand of the customers with low prices at the expense of </w:t>
      </w:r>
      <w:r w:rsidR="003C21D2" w:rsidRPr="001D19B3">
        <w:rPr>
          <w:rFonts w:ascii="Times New Roman" w:hAnsi="Times New Roman" w:cs="Times New Roman"/>
          <w:sz w:val="24"/>
          <w:szCs w:val="24"/>
        </w:rPr>
        <w:t>the essential quality</w:t>
      </w:r>
      <w:r w:rsidRPr="001D19B3">
        <w:rPr>
          <w:rFonts w:ascii="Times New Roman" w:hAnsi="Times New Roman" w:cs="Times New Roman"/>
          <w:sz w:val="24"/>
          <w:szCs w:val="24"/>
        </w:rPr>
        <w:t xml:space="preserve"> inspection characteristics. Due to the emphasized challenges, the present work aimed to evaluate the fineness and goodness of a selected excipient that is commonly incorporated in pharmaceutical preparations from chemical manufacturing companies. The study will focus on an important test that is officially considered one of the critical inspection properties of inactive material</w:t>
      </w:r>
      <w:commentRangeEnd w:id="5"/>
      <w:r w:rsidR="00B30A45">
        <w:rPr>
          <w:rStyle w:val="CommentReference"/>
        </w:rPr>
        <w:commentReference w:id="5"/>
      </w:r>
      <w:r w:rsidR="00146DA9" w:rsidRPr="001D19B3">
        <w:rPr>
          <w:rFonts w:ascii="Times New Roman" w:hAnsi="Times New Roman" w:cs="Times New Roman"/>
          <w:sz w:val="24"/>
          <w:szCs w:val="24"/>
        </w:rPr>
        <w:t xml:space="preserve">.  </w:t>
      </w:r>
    </w:p>
    <w:p w:rsidR="00DF7C96" w:rsidRPr="001D19B3" w:rsidRDefault="00FE366B" w:rsidP="00A93730">
      <w:pPr>
        <w:spacing w:after="0"/>
        <w:rPr>
          <w:rFonts w:ascii="Times New Roman" w:hAnsi="Times New Roman" w:cs="Times New Roman"/>
          <w:sz w:val="24"/>
          <w:szCs w:val="24"/>
        </w:rPr>
      </w:pPr>
      <w:r w:rsidRPr="001D19B3">
        <w:rPr>
          <w:rFonts w:ascii="Times New Roman" w:hAnsi="Times New Roman" w:cs="Times New Roman"/>
          <w:b/>
          <w:bCs/>
          <w:sz w:val="24"/>
          <w:szCs w:val="24"/>
        </w:rPr>
        <w:t>MATERIAL AND METHODS</w:t>
      </w:r>
    </w:p>
    <w:p w:rsidR="00D67EF0" w:rsidRPr="001D19B3" w:rsidRDefault="00A5124B" w:rsidP="00A93730">
      <w:pPr>
        <w:spacing w:after="0"/>
        <w:jc w:val="both"/>
        <w:rPr>
          <w:rFonts w:ascii="Times New Roman" w:hAnsi="Times New Roman" w:cs="Times New Roman"/>
          <w:sz w:val="24"/>
          <w:szCs w:val="24"/>
        </w:rPr>
      </w:pPr>
      <w:commentRangeStart w:id="6"/>
      <w:r w:rsidRPr="001D19B3">
        <w:rPr>
          <w:rFonts w:ascii="Times New Roman" w:hAnsi="Times New Roman" w:cs="Times New Roman"/>
          <w:sz w:val="24"/>
          <w:szCs w:val="24"/>
        </w:rPr>
        <w:t>A chemical manufacturing plant of raw materials of pharmaceutical grade was assessed for the quality of the manufacturing output.</w:t>
      </w:r>
      <w:r w:rsidR="006F2410" w:rsidRPr="001D19B3">
        <w:rPr>
          <w:rFonts w:ascii="Times New Roman" w:hAnsi="Times New Roman" w:cs="Times New Roman"/>
          <w:sz w:val="24"/>
          <w:szCs w:val="24"/>
          <w:vertAlign w:val="superscript"/>
        </w:rPr>
        <w:t>16,17</w:t>
      </w:r>
      <w:r w:rsidR="006E4B38" w:rsidRPr="001D19B3">
        <w:rPr>
          <w:rFonts w:ascii="Times New Roman" w:hAnsi="Times New Roman" w:cs="Times New Roman"/>
          <w:sz w:val="24"/>
          <w:szCs w:val="24"/>
        </w:rPr>
        <w:t>Sixteen</w:t>
      </w:r>
      <w:r w:rsidR="008E2449" w:rsidRPr="001D19B3">
        <w:rPr>
          <w:rFonts w:ascii="Times New Roman" w:hAnsi="Times New Roman" w:cs="Times New Roman"/>
          <w:sz w:val="24"/>
          <w:szCs w:val="24"/>
        </w:rPr>
        <w:t>b</w:t>
      </w:r>
      <w:r w:rsidRPr="001D19B3">
        <w:rPr>
          <w:rFonts w:ascii="Times New Roman" w:hAnsi="Times New Roman" w:cs="Times New Roman"/>
          <w:sz w:val="24"/>
          <w:szCs w:val="24"/>
        </w:rPr>
        <w:t xml:space="preserve">atches of one of the common excipient </w:t>
      </w:r>
      <w:r w:rsidR="008E2449" w:rsidRPr="001D19B3">
        <w:rPr>
          <w:rFonts w:ascii="Times New Roman" w:hAnsi="Times New Roman" w:cs="Times New Roman"/>
          <w:sz w:val="24"/>
          <w:szCs w:val="24"/>
        </w:rPr>
        <w:t>materials</w:t>
      </w:r>
      <w:r w:rsidR="00D24058" w:rsidRPr="001D19B3">
        <w:rPr>
          <w:rFonts w:ascii="Times New Roman" w:hAnsi="Times New Roman" w:cs="Times New Roman"/>
          <w:sz w:val="24"/>
          <w:szCs w:val="24"/>
        </w:rPr>
        <w:t>were</w:t>
      </w:r>
      <w:r w:rsidRPr="001D19B3">
        <w:rPr>
          <w:rFonts w:ascii="Times New Roman" w:hAnsi="Times New Roman" w:cs="Times New Roman"/>
          <w:sz w:val="24"/>
          <w:szCs w:val="24"/>
        </w:rPr>
        <w:t xml:space="preserve"> investigated for the assay result trend.</w:t>
      </w:r>
      <w:r w:rsidR="006F2410" w:rsidRPr="001D19B3">
        <w:rPr>
          <w:rFonts w:ascii="Times New Roman" w:hAnsi="Times New Roman" w:cs="Times New Roman"/>
          <w:sz w:val="24"/>
          <w:szCs w:val="24"/>
          <w:vertAlign w:val="superscript"/>
        </w:rPr>
        <w:t>16,17</w:t>
      </w:r>
      <w:r w:rsidRPr="001D19B3">
        <w:rPr>
          <w:rFonts w:ascii="Times New Roman" w:hAnsi="Times New Roman" w:cs="Times New Roman"/>
          <w:sz w:val="24"/>
          <w:szCs w:val="24"/>
        </w:rPr>
        <w:t xml:space="preserve">The inactive material - which is commonly known to be used as a </w:t>
      </w:r>
      <w:r w:rsidR="00B00F9A" w:rsidRPr="001D19B3">
        <w:rPr>
          <w:rFonts w:ascii="Times New Roman" w:hAnsi="Times New Roman" w:cs="Times New Roman"/>
          <w:sz w:val="24"/>
          <w:szCs w:val="24"/>
        </w:rPr>
        <w:t>thickening agent,</w:t>
      </w:r>
      <w:r w:rsidR="006D5E32" w:rsidRPr="001D19B3">
        <w:rPr>
          <w:rFonts w:ascii="Times New Roman" w:hAnsi="Times New Roman" w:cs="Times New Roman"/>
          <w:sz w:val="24"/>
          <w:szCs w:val="24"/>
        </w:rPr>
        <w:t xml:space="preserve">solubility enhancer, </w:t>
      </w:r>
      <w:r w:rsidRPr="001D19B3">
        <w:rPr>
          <w:rFonts w:ascii="Times New Roman" w:hAnsi="Times New Roman" w:cs="Times New Roman"/>
          <w:sz w:val="24"/>
          <w:szCs w:val="24"/>
        </w:rPr>
        <w:t>disintegrant</w:t>
      </w:r>
      <w:r w:rsidR="0046203F" w:rsidRPr="001D19B3">
        <w:rPr>
          <w:rFonts w:ascii="Times New Roman" w:hAnsi="Times New Roman" w:cs="Times New Roman"/>
          <w:sz w:val="24"/>
          <w:szCs w:val="24"/>
        </w:rPr>
        <w:t xml:space="preserve"> and emulsifier</w:t>
      </w:r>
      <w:r w:rsidRPr="001D19B3">
        <w:rPr>
          <w:rFonts w:ascii="Times New Roman" w:hAnsi="Times New Roman" w:cs="Times New Roman"/>
          <w:sz w:val="24"/>
          <w:szCs w:val="24"/>
        </w:rPr>
        <w:t xml:space="preserve"> – is an insoluble polyvinyl pyrrolidinone polymer that is crosslinked or Polyvinylpyrrolidone (Crospovidone) with the chemical formula (C</w:t>
      </w:r>
      <w:r w:rsidRPr="001D19B3">
        <w:rPr>
          <w:rFonts w:ascii="Times New Roman" w:hAnsi="Times New Roman" w:cs="Times New Roman"/>
          <w:sz w:val="24"/>
          <w:szCs w:val="24"/>
          <w:vertAlign w:val="subscript"/>
        </w:rPr>
        <w:t>6</w:t>
      </w:r>
      <w:r w:rsidRPr="001D19B3">
        <w:rPr>
          <w:rFonts w:ascii="Times New Roman" w:hAnsi="Times New Roman" w:cs="Times New Roman"/>
          <w:sz w:val="24"/>
          <w:szCs w:val="24"/>
        </w:rPr>
        <w:t>H</w:t>
      </w:r>
      <w:r w:rsidRPr="001D19B3">
        <w:rPr>
          <w:rFonts w:ascii="Times New Roman" w:hAnsi="Times New Roman" w:cs="Times New Roman"/>
          <w:sz w:val="24"/>
          <w:szCs w:val="24"/>
          <w:vertAlign w:val="subscript"/>
        </w:rPr>
        <w:t>9</w:t>
      </w:r>
      <w:r w:rsidRPr="001D19B3">
        <w:rPr>
          <w:rFonts w:ascii="Times New Roman" w:hAnsi="Times New Roman" w:cs="Times New Roman"/>
          <w:sz w:val="24"/>
          <w:szCs w:val="24"/>
        </w:rPr>
        <w:t>NO)</w:t>
      </w:r>
      <w:r w:rsidRPr="001D19B3">
        <w:rPr>
          <w:rFonts w:ascii="Times New Roman" w:hAnsi="Times New Roman" w:cs="Times New Roman"/>
          <w:sz w:val="24"/>
          <w:szCs w:val="24"/>
          <w:vertAlign w:val="subscript"/>
        </w:rPr>
        <w:t>n</w:t>
      </w:r>
      <w:r w:rsidR="00D84518" w:rsidRPr="001D19B3">
        <w:rPr>
          <w:rFonts w:ascii="Times New Roman" w:hAnsi="Times New Roman" w:cs="Times New Roman"/>
          <w:sz w:val="24"/>
          <w:szCs w:val="24"/>
        </w:rPr>
        <w:t xml:space="preserve">. </w:t>
      </w:r>
      <w:commentRangeEnd w:id="6"/>
      <w:r w:rsidR="00B30A45">
        <w:rPr>
          <w:rStyle w:val="CommentReference"/>
        </w:rPr>
        <w:commentReference w:id="6"/>
      </w:r>
    </w:p>
    <w:p w:rsidR="00273B69" w:rsidRPr="001D19B3" w:rsidRDefault="0046203F" w:rsidP="00A93730">
      <w:pPr>
        <w:spacing w:after="0"/>
        <w:jc w:val="both"/>
        <w:rPr>
          <w:rFonts w:ascii="Times New Roman" w:hAnsi="Times New Roman" w:cs="Times New Roman"/>
          <w:sz w:val="24"/>
          <w:szCs w:val="24"/>
        </w:rPr>
      </w:pPr>
      <w:commentRangeStart w:id="7"/>
      <w:r w:rsidRPr="001D19B3">
        <w:rPr>
          <w:rFonts w:ascii="Times New Roman" w:hAnsi="Times New Roman" w:cs="Times New Roman"/>
          <w:sz w:val="24"/>
          <w:szCs w:val="24"/>
        </w:rPr>
        <w:t>According to</w:t>
      </w:r>
      <w:r w:rsidR="00A5124B" w:rsidRPr="001D19B3">
        <w:rPr>
          <w:rFonts w:ascii="Times New Roman" w:hAnsi="Times New Roman" w:cs="Times New Roman"/>
          <w:sz w:val="24"/>
          <w:szCs w:val="24"/>
        </w:rPr>
        <w:t xml:space="preserve"> the International Union of Pure and Applied Chemistry (IUPAC) nomenclature, it is named 1-Ethenylpyrrolidin-2-one</w:t>
      </w:r>
      <w:r w:rsidR="00ED5431" w:rsidRPr="001D19B3">
        <w:rPr>
          <w:rFonts w:ascii="Times New Roman" w:hAnsi="Times New Roman" w:cs="Times New Roman"/>
          <w:sz w:val="24"/>
          <w:szCs w:val="24"/>
        </w:rPr>
        <w:t>.</w:t>
      </w:r>
      <w:r w:rsidR="004A1753" w:rsidRPr="001D19B3">
        <w:rPr>
          <w:rFonts w:ascii="Times New Roman" w:hAnsi="Times New Roman" w:cs="Times New Roman"/>
          <w:sz w:val="24"/>
          <w:szCs w:val="24"/>
          <w:vertAlign w:val="superscript"/>
        </w:rPr>
        <w:t>20</w:t>
      </w:r>
      <w:r w:rsidR="008B628E" w:rsidRPr="001D19B3">
        <w:rPr>
          <w:rFonts w:ascii="Times New Roman" w:hAnsi="Times New Roman" w:cs="Times New Roman"/>
          <w:sz w:val="24"/>
          <w:szCs w:val="24"/>
        </w:rPr>
        <w:t>Each manufactured batch was subjected to</w:t>
      </w:r>
      <w:r w:rsidR="00357296" w:rsidRPr="001D19B3">
        <w:rPr>
          <w:rFonts w:ascii="Times New Roman" w:hAnsi="Times New Roman" w:cs="Times New Roman"/>
          <w:sz w:val="24"/>
          <w:szCs w:val="24"/>
        </w:rPr>
        <w:t xml:space="preserve"> the analysis using </w:t>
      </w:r>
      <w:r w:rsidR="005040F1" w:rsidRPr="001D19B3">
        <w:rPr>
          <w:rFonts w:ascii="Times New Roman" w:hAnsi="Times New Roman" w:cs="Times New Roman"/>
          <w:sz w:val="24"/>
          <w:szCs w:val="24"/>
        </w:rPr>
        <w:t xml:space="preserve">the </w:t>
      </w:r>
      <w:r w:rsidR="00357296" w:rsidRPr="001D19B3">
        <w:rPr>
          <w:rFonts w:ascii="Times New Roman" w:hAnsi="Times New Roman" w:cs="Times New Roman"/>
          <w:sz w:val="24"/>
          <w:szCs w:val="24"/>
        </w:rPr>
        <w:t>standard official method of the British Pharmacopoeia</w:t>
      </w:r>
      <w:r w:rsidR="00D309D5" w:rsidRPr="001D19B3">
        <w:rPr>
          <w:rFonts w:ascii="Times New Roman" w:hAnsi="Times New Roman" w:cs="Times New Roman"/>
          <w:sz w:val="24"/>
          <w:szCs w:val="24"/>
        </w:rPr>
        <w:t xml:space="preserve"> (BP)</w:t>
      </w:r>
      <w:r w:rsidR="00357296" w:rsidRPr="001D19B3">
        <w:rPr>
          <w:rFonts w:ascii="Times New Roman" w:hAnsi="Times New Roman" w:cs="Times New Roman"/>
          <w:sz w:val="24"/>
          <w:szCs w:val="24"/>
        </w:rPr>
        <w:t>.</w:t>
      </w:r>
      <w:r w:rsidR="005415F7" w:rsidRPr="001D19B3">
        <w:rPr>
          <w:rFonts w:ascii="Times New Roman" w:hAnsi="Times New Roman" w:cs="Times New Roman"/>
          <w:sz w:val="24"/>
          <w:szCs w:val="24"/>
          <w:vertAlign w:val="superscript"/>
        </w:rPr>
        <w:t>21</w:t>
      </w:r>
      <w:r w:rsidR="00376090" w:rsidRPr="001D19B3">
        <w:rPr>
          <w:rFonts w:ascii="Times New Roman" w:hAnsi="Times New Roman" w:cs="Times New Roman"/>
          <w:sz w:val="24"/>
          <w:szCs w:val="24"/>
        </w:rPr>
        <w:t xml:space="preserve"> The assay limit is 11.0</w:t>
      </w:r>
      <w:r w:rsidR="00236E23" w:rsidRPr="001D19B3">
        <w:rPr>
          <w:rFonts w:ascii="Times New Roman" w:hAnsi="Times New Roman" w:cs="Times New Roman"/>
          <w:sz w:val="24"/>
          <w:szCs w:val="24"/>
        </w:rPr>
        <w:t xml:space="preserve"> - 12.8 % of nitrogen based on dried substance</w:t>
      </w:r>
      <w:r w:rsidR="00072C2B" w:rsidRPr="001D19B3">
        <w:rPr>
          <w:rFonts w:ascii="Times New Roman" w:hAnsi="Times New Roman" w:cs="Times New Roman"/>
          <w:sz w:val="24"/>
          <w:szCs w:val="24"/>
        </w:rPr>
        <w:t>.</w:t>
      </w:r>
      <w:r w:rsidR="00AE3533" w:rsidRPr="001D19B3">
        <w:rPr>
          <w:rFonts w:ascii="Times New Roman" w:hAnsi="Times New Roman" w:cs="Times New Roman"/>
          <w:sz w:val="24"/>
          <w:szCs w:val="24"/>
          <w:vertAlign w:val="superscript"/>
        </w:rPr>
        <w:t>21</w:t>
      </w:r>
      <w:r w:rsidR="006E0E62" w:rsidRPr="001D19B3">
        <w:rPr>
          <w:rFonts w:ascii="Times New Roman" w:hAnsi="Times New Roman" w:cs="Times New Roman"/>
          <w:sz w:val="24"/>
          <w:szCs w:val="24"/>
        </w:rPr>
        <w:t xml:space="preserve"> The </w:t>
      </w:r>
      <w:r w:rsidR="00696288" w:rsidRPr="001D19B3">
        <w:rPr>
          <w:rFonts w:ascii="Times New Roman" w:hAnsi="Times New Roman" w:cs="Times New Roman"/>
          <w:sz w:val="24"/>
          <w:szCs w:val="24"/>
        </w:rPr>
        <w:t xml:space="preserve">preliminary </w:t>
      </w:r>
      <w:r w:rsidR="006E0E62" w:rsidRPr="001D19B3">
        <w:rPr>
          <w:rFonts w:ascii="Times New Roman" w:hAnsi="Times New Roman" w:cs="Times New Roman"/>
          <w:sz w:val="24"/>
          <w:szCs w:val="24"/>
        </w:rPr>
        <w:t xml:space="preserve">assay </w:t>
      </w:r>
      <w:r w:rsidR="004C189B" w:rsidRPr="001D19B3">
        <w:rPr>
          <w:rFonts w:ascii="Times New Roman" w:hAnsi="Times New Roman" w:cs="Times New Roman"/>
          <w:sz w:val="24"/>
          <w:szCs w:val="24"/>
        </w:rPr>
        <w:t xml:space="preserve">data was analyzed using Minitab </w:t>
      </w:r>
      <w:r w:rsidR="00530D43" w:rsidRPr="001D19B3">
        <w:rPr>
          <w:rFonts w:ascii="Times New Roman" w:hAnsi="Times New Roman" w:cs="Times New Roman"/>
          <w:sz w:val="24"/>
          <w:szCs w:val="24"/>
        </w:rPr>
        <w:t xml:space="preserve">version 17.0 to </w:t>
      </w:r>
      <w:r w:rsidR="00322348" w:rsidRPr="001D19B3">
        <w:rPr>
          <w:rFonts w:ascii="Times New Roman" w:hAnsi="Times New Roman" w:cs="Times New Roman"/>
          <w:sz w:val="24"/>
          <w:szCs w:val="24"/>
        </w:rPr>
        <w:t>screen for the distribution fitting and to construct</w:t>
      </w:r>
      <w:r w:rsidR="00EB375C" w:rsidRPr="001D19B3">
        <w:rPr>
          <w:rFonts w:ascii="Times New Roman" w:hAnsi="Times New Roman" w:cs="Times New Roman"/>
          <w:sz w:val="24"/>
          <w:szCs w:val="24"/>
        </w:rPr>
        <w:t>an appropriate</w:t>
      </w:r>
      <w:r w:rsidR="00BB0F21" w:rsidRPr="001D19B3">
        <w:rPr>
          <w:rFonts w:ascii="Times New Roman" w:hAnsi="Times New Roman" w:cs="Times New Roman"/>
          <w:sz w:val="24"/>
          <w:szCs w:val="24"/>
        </w:rPr>
        <w:t xml:space="preserve"> SPC examination profile</w:t>
      </w:r>
      <w:r w:rsidR="00EB375C" w:rsidRPr="001D19B3">
        <w:rPr>
          <w:rFonts w:ascii="Times New Roman" w:hAnsi="Times New Roman" w:cs="Times New Roman"/>
          <w:sz w:val="24"/>
          <w:szCs w:val="24"/>
        </w:rPr>
        <w:t>.</w:t>
      </w:r>
      <w:r w:rsidR="00746426" w:rsidRPr="001D19B3">
        <w:rPr>
          <w:rFonts w:ascii="Times New Roman" w:hAnsi="Times New Roman" w:cs="Times New Roman"/>
          <w:sz w:val="24"/>
          <w:szCs w:val="24"/>
          <w:vertAlign w:val="superscript"/>
        </w:rPr>
        <w:t>22</w:t>
      </w:r>
      <w:r w:rsidR="00AC0487" w:rsidRPr="001D19B3">
        <w:rPr>
          <w:rFonts w:ascii="Times New Roman" w:hAnsi="Times New Roman" w:cs="Times New Roman"/>
          <w:sz w:val="24"/>
          <w:szCs w:val="24"/>
          <w:vertAlign w:val="superscript"/>
        </w:rPr>
        <w:t>-2</w:t>
      </w:r>
      <w:r w:rsidR="00B066CB" w:rsidRPr="001D19B3">
        <w:rPr>
          <w:rFonts w:ascii="Times New Roman" w:hAnsi="Times New Roman" w:cs="Times New Roman"/>
          <w:sz w:val="24"/>
          <w:szCs w:val="24"/>
          <w:vertAlign w:val="superscript"/>
        </w:rPr>
        <w:t>5</w:t>
      </w:r>
      <w:r w:rsidR="001C149F" w:rsidRPr="001D19B3">
        <w:rPr>
          <w:rFonts w:ascii="Times New Roman" w:hAnsi="Times New Roman" w:cs="Times New Roman"/>
          <w:sz w:val="24"/>
          <w:szCs w:val="24"/>
        </w:rPr>
        <w:t xml:space="preserve"> Based on the output results</w:t>
      </w:r>
      <w:r w:rsidR="00784E63" w:rsidRPr="001D19B3">
        <w:rPr>
          <w:rFonts w:ascii="Times New Roman" w:hAnsi="Times New Roman" w:cs="Times New Roman"/>
          <w:sz w:val="24"/>
          <w:szCs w:val="24"/>
        </w:rPr>
        <w:t>, the initial state of control could be determined from the control charts, capability analys</w:t>
      </w:r>
      <w:r w:rsidR="003E3462" w:rsidRPr="001D19B3">
        <w:rPr>
          <w:rFonts w:ascii="Times New Roman" w:hAnsi="Times New Roman" w:cs="Times New Roman"/>
          <w:sz w:val="24"/>
          <w:szCs w:val="24"/>
        </w:rPr>
        <w:t>e</w:t>
      </w:r>
      <w:r w:rsidR="00784E63" w:rsidRPr="001D19B3">
        <w:rPr>
          <w:rFonts w:ascii="Times New Roman" w:hAnsi="Times New Roman" w:cs="Times New Roman"/>
          <w:sz w:val="24"/>
          <w:szCs w:val="24"/>
        </w:rPr>
        <w:t>s</w:t>
      </w:r>
      <w:r w:rsidR="003E3462" w:rsidRPr="001D19B3">
        <w:rPr>
          <w:rFonts w:ascii="Times New Roman" w:hAnsi="Times New Roman" w:cs="Times New Roman"/>
          <w:sz w:val="24"/>
          <w:szCs w:val="24"/>
        </w:rPr>
        <w:t xml:space="preserve"> and histograms.</w:t>
      </w:r>
      <w:commentRangeEnd w:id="7"/>
      <w:r w:rsidR="00B30A45">
        <w:rPr>
          <w:rStyle w:val="CommentReference"/>
        </w:rPr>
        <w:commentReference w:id="7"/>
      </w:r>
    </w:p>
    <w:p w:rsidR="00D309D5" w:rsidRPr="001D19B3" w:rsidRDefault="00582396"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The assay was conducted as follows: In a combustion flask, 0.100 g of the material to be tested (m mg) was added, five g of a mixture consisting of one g of copper sulfate pentahydrate R, one g of titanium dioxide R, 33 g of dipotassium sulfate R, and three glass beads.</w:t>
      </w:r>
      <w:r w:rsidR="005415F7" w:rsidRPr="001D19B3">
        <w:rPr>
          <w:rFonts w:ascii="Times New Roman" w:hAnsi="Times New Roman" w:cs="Times New Roman"/>
          <w:sz w:val="24"/>
          <w:szCs w:val="24"/>
          <w:vertAlign w:val="superscript"/>
        </w:rPr>
        <w:t>21</w:t>
      </w:r>
      <w:r w:rsidRPr="001D19B3">
        <w:rPr>
          <w:rFonts w:ascii="Times New Roman" w:hAnsi="Times New Roman" w:cs="Times New Roman"/>
          <w:sz w:val="24"/>
          <w:szCs w:val="24"/>
        </w:rPr>
        <w:t xml:space="preserve"> A tiny amount of water R was used to wash any clinging particles from the neck into the flask. Seven milliliters of </w:t>
      </w:r>
      <w:r w:rsidRPr="001D19B3">
        <w:rPr>
          <w:rFonts w:ascii="Times New Roman" w:hAnsi="Times New Roman" w:cs="Times New Roman"/>
          <w:sz w:val="24"/>
          <w:szCs w:val="24"/>
        </w:rPr>
        <w:lastRenderedPageBreak/>
        <w:t>sulfuric acid R were poured and allowed to trickle down the flask's inner wall.</w:t>
      </w:r>
      <w:r w:rsidR="00811EC4" w:rsidRPr="001D19B3">
        <w:rPr>
          <w:rFonts w:ascii="Times New Roman" w:hAnsi="Times New Roman" w:cs="Times New Roman"/>
          <w:sz w:val="24"/>
          <w:szCs w:val="24"/>
          <w:vertAlign w:val="superscript"/>
        </w:rPr>
        <w:t>21</w:t>
      </w:r>
      <w:r w:rsidRPr="001D19B3">
        <w:rPr>
          <w:rFonts w:ascii="Times New Roman" w:hAnsi="Times New Roman" w:cs="Times New Roman"/>
          <w:sz w:val="24"/>
          <w:szCs w:val="24"/>
        </w:rPr>
        <w:t xml:space="preserve"> </w:t>
      </w:r>
      <w:commentRangeStart w:id="8"/>
      <w:r w:rsidRPr="001D19B3">
        <w:rPr>
          <w:rFonts w:ascii="Times New Roman" w:hAnsi="Times New Roman" w:cs="Times New Roman"/>
          <w:sz w:val="24"/>
          <w:szCs w:val="24"/>
        </w:rPr>
        <w:t>The flask was heated gradually until the solution was a clear, yellowish-green hue and there was no carbonized material on the interior wall. Then, the flask was heated for an additional 45 minutes</w:t>
      </w:r>
      <w:r w:rsidR="00722EC3" w:rsidRPr="001D19B3">
        <w:rPr>
          <w:rFonts w:ascii="Times New Roman" w:hAnsi="Times New Roman" w:cs="Times New Roman"/>
          <w:sz w:val="24"/>
          <w:szCs w:val="24"/>
        </w:rPr>
        <w:t>.</w:t>
      </w:r>
    </w:p>
    <w:p w:rsidR="008E3856" w:rsidRPr="001D19B3" w:rsidRDefault="008E3856"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Once the flask has cooled, the content must be poured carefully into 20 mL of water R. The flask should be attached to the distillation equipment, which has already been cleaned by running steam through it.</w:t>
      </w:r>
      <w:r w:rsidR="005415F7" w:rsidRPr="001D19B3">
        <w:rPr>
          <w:rFonts w:ascii="Times New Roman" w:hAnsi="Times New Roman" w:cs="Times New Roman"/>
          <w:sz w:val="24"/>
          <w:szCs w:val="24"/>
          <w:vertAlign w:val="superscript"/>
        </w:rPr>
        <w:t>21</w:t>
      </w:r>
      <w:r w:rsidR="002B463E" w:rsidRPr="001D19B3">
        <w:rPr>
          <w:rFonts w:ascii="Times New Roman" w:hAnsi="Times New Roman" w:cs="Times New Roman"/>
          <w:sz w:val="24"/>
          <w:szCs w:val="24"/>
        </w:rPr>
        <w:t>Thirty</w:t>
      </w:r>
      <w:r w:rsidRPr="001D19B3">
        <w:rPr>
          <w:rFonts w:ascii="Times New Roman" w:hAnsi="Times New Roman" w:cs="Times New Roman"/>
          <w:sz w:val="24"/>
          <w:szCs w:val="24"/>
        </w:rPr>
        <w:t xml:space="preserve"> mL of a 40 g/L boric acid solution R, 0.15 mL of a bromocresol green-methyl red solution R and enough water R should be added to submerge the bottom end of the condenser tube in the absorption flask.</w:t>
      </w:r>
      <w:r w:rsidR="005415F7" w:rsidRPr="001D19B3">
        <w:rPr>
          <w:rFonts w:ascii="Times New Roman" w:hAnsi="Times New Roman" w:cs="Times New Roman"/>
          <w:sz w:val="24"/>
          <w:szCs w:val="24"/>
          <w:vertAlign w:val="superscript"/>
        </w:rPr>
        <w:t>21</w:t>
      </w:r>
      <w:r w:rsidR="00B066CB" w:rsidRPr="001D19B3">
        <w:rPr>
          <w:rFonts w:ascii="Times New Roman" w:hAnsi="Times New Roman" w:cs="Times New Roman"/>
          <w:sz w:val="24"/>
          <w:szCs w:val="24"/>
        </w:rPr>
        <w:t>Thirty</w:t>
      </w:r>
      <w:r w:rsidRPr="001D19B3">
        <w:rPr>
          <w:rFonts w:ascii="Times New Roman" w:hAnsi="Times New Roman" w:cs="Times New Roman"/>
          <w:sz w:val="24"/>
          <w:szCs w:val="24"/>
        </w:rPr>
        <w:t xml:space="preserve"> milliliters of strong sodium hydroxide solution R should be poured through a funnel; the funnel is rinsed gently with ten milliliters of water R; the clamp must be shut on the rubber tube right away; and the steam distillation process must be started to extract 80–100 milliliters of distillate.</w:t>
      </w:r>
    </w:p>
    <w:commentRangeEnd w:id="8"/>
    <w:p w:rsidR="004574FE" w:rsidRDefault="00B30A45" w:rsidP="00A93730">
      <w:pPr>
        <w:spacing w:after="0"/>
        <w:jc w:val="both"/>
        <w:rPr>
          <w:rFonts w:ascii="Times New Roman" w:hAnsi="Times New Roman" w:cs="Times New Roman"/>
          <w:sz w:val="24"/>
          <w:szCs w:val="24"/>
        </w:rPr>
      </w:pPr>
      <w:r>
        <w:rPr>
          <w:rStyle w:val="CommentReference"/>
        </w:rPr>
        <w:commentReference w:id="8"/>
      </w:r>
      <w:r w:rsidR="004574FE" w:rsidRPr="001D19B3">
        <w:rPr>
          <w:rFonts w:ascii="Times New Roman" w:hAnsi="Times New Roman" w:cs="Times New Roman"/>
          <w:sz w:val="24"/>
          <w:szCs w:val="24"/>
        </w:rPr>
        <w:t xml:space="preserve">After taking out the absorption flask from the condenser tube's lower end and washing the end portion with a small amount of water R, the distillate was titrated with 0.025 M sulfuric acid until the solution's color shifted from green to pale greyish blue to pale greyish </w:t>
      </w:r>
      <w:r w:rsidR="00E82072" w:rsidRPr="001D19B3">
        <w:rPr>
          <w:rFonts w:ascii="Times New Roman" w:hAnsi="Times New Roman" w:cs="Times New Roman"/>
          <w:sz w:val="24"/>
          <w:szCs w:val="24"/>
        </w:rPr>
        <w:t>red purple</w:t>
      </w:r>
      <w:r w:rsidR="004574FE" w:rsidRPr="001D19B3">
        <w:rPr>
          <w:rFonts w:ascii="Times New Roman" w:hAnsi="Times New Roman" w:cs="Times New Roman"/>
          <w:sz w:val="24"/>
          <w:szCs w:val="24"/>
        </w:rPr>
        <w:t>.</w:t>
      </w:r>
      <w:r w:rsidR="005415F7" w:rsidRPr="001D19B3">
        <w:rPr>
          <w:rFonts w:ascii="Times New Roman" w:hAnsi="Times New Roman" w:cs="Times New Roman"/>
          <w:sz w:val="24"/>
          <w:szCs w:val="24"/>
          <w:vertAlign w:val="superscript"/>
        </w:rPr>
        <w:t>21</w:t>
      </w:r>
      <w:r w:rsidR="004574FE" w:rsidRPr="001D19B3">
        <w:rPr>
          <w:rFonts w:ascii="Times New Roman" w:hAnsi="Times New Roman" w:cs="Times New Roman"/>
          <w:sz w:val="24"/>
          <w:szCs w:val="24"/>
        </w:rPr>
        <w:t xml:space="preserve"> Any necessary corrections were to be made after performing a blank measurement.</w:t>
      </w:r>
    </w:p>
    <w:p w:rsidR="001D19B3" w:rsidRPr="007D5955" w:rsidRDefault="001D19B3" w:rsidP="001D19B3">
      <w:pPr>
        <w:spacing w:after="0"/>
        <w:rPr>
          <w:rFonts w:ascii="Bookman Old Style" w:hAnsi="Bookman Old Style" w:cs="Times New Roman"/>
          <w:b/>
        </w:rPr>
      </w:pPr>
      <w:commentRangeStart w:id="9"/>
      <w:r w:rsidRPr="007D5955">
        <w:rPr>
          <w:rFonts w:ascii="Bookman Old Style" w:hAnsi="Bookman Old Style" w:cs="Times New Roman"/>
          <w:b/>
        </w:rPr>
        <w:t>Statistical analysis</w:t>
      </w:r>
      <w:commentRangeEnd w:id="9"/>
      <w:r>
        <w:rPr>
          <w:rStyle w:val="CommentReference"/>
          <w:rFonts w:ascii="Courier" w:eastAsia="Times New Roman" w:hAnsi="Courier" w:cs="Courier"/>
          <w:snapToGrid w:val="0"/>
        </w:rPr>
        <w:commentReference w:id="9"/>
      </w:r>
    </w:p>
    <w:p w:rsidR="001D19B3" w:rsidRPr="001D19B3" w:rsidRDefault="001D19B3" w:rsidP="00A93730">
      <w:pPr>
        <w:spacing w:after="0"/>
        <w:jc w:val="both"/>
        <w:rPr>
          <w:rFonts w:ascii="Times New Roman" w:hAnsi="Times New Roman" w:cs="Times New Roman"/>
          <w:sz w:val="24"/>
          <w:szCs w:val="24"/>
        </w:rPr>
      </w:pPr>
    </w:p>
    <w:p w:rsidR="00AD0DBE" w:rsidRPr="001D19B3" w:rsidRDefault="00AD0DBE" w:rsidP="00A93730">
      <w:pPr>
        <w:spacing w:after="0"/>
        <w:rPr>
          <w:rFonts w:ascii="Times New Roman" w:hAnsi="Times New Roman" w:cs="Times New Roman"/>
          <w:sz w:val="24"/>
          <w:szCs w:val="24"/>
        </w:rPr>
      </w:pPr>
      <w:r w:rsidRPr="001D19B3">
        <w:rPr>
          <w:rFonts w:ascii="Times New Roman" w:hAnsi="Times New Roman" w:cs="Times New Roman"/>
          <w:b/>
          <w:bCs/>
          <w:sz w:val="24"/>
          <w:szCs w:val="24"/>
        </w:rPr>
        <w:t>RESULTS AND DISCUSSION</w:t>
      </w:r>
    </w:p>
    <w:p w:rsidR="00471246" w:rsidRPr="001D19B3" w:rsidRDefault="00524A06" w:rsidP="00A93730">
      <w:pPr>
        <w:spacing w:after="0"/>
        <w:jc w:val="both"/>
        <w:rPr>
          <w:rFonts w:ascii="Times New Roman" w:hAnsi="Times New Roman" w:cs="Times New Roman"/>
          <w:sz w:val="24"/>
          <w:szCs w:val="24"/>
        </w:rPr>
      </w:pPr>
      <w:commentRangeStart w:id="10"/>
      <w:r w:rsidRPr="001D19B3">
        <w:rPr>
          <w:rFonts w:ascii="Times New Roman" w:hAnsi="Times New Roman" w:cs="Times New Roman"/>
          <w:sz w:val="24"/>
          <w:szCs w:val="24"/>
        </w:rPr>
        <w:t>This project is part of a total examination of the organization to achieve the Total Quality Management (TQM) goals of the chemical plant.</w:t>
      </w:r>
      <w:r w:rsidR="00D34513" w:rsidRPr="001D19B3">
        <w:rPr>
          <w:rFonts w:ascii="Times New Roman" w:hAnsi="Times New Roman" w:cs="Times New Roman"/>
          <w:sz w:val="24"/>
          <w:szCs w:val="24"/>
          <w:vertAlign w:val="superscript"/>
        </w:rPr>
        <w:t>26</w:t>
      </w:r>
      <w:r w:rsidR="00606B5B" w:rsidRPr="001D19B3">
        <w:rPr>
          <w:rFonts w:ascii="Times New Roman" w:hAnsi="Times New Roman" w:cs="Times New Roman"/>
          <w:sz w:val="24"/>
          <w:szCs w:val="24"/>
          <w:vertAlign w:val="superscript"/>
        </w:rPr>
        <w:t>,27</w:t>
      </w:r>
      <w:r w:rsidRPr="001D19B3">
        <w:rPr>
          <w:rFonts w:ascii="Times New Roman" w:hAnsi="Times New Roman" w:cs="Times New Roman"/>
          <w:sz w:val="24"/>
          <w:szCs w:val="24"/>
        </w:rPr>
        <w:t>Errors in production are continuously detected, reduced, or eliminated through the process of total quality management (TQM).</w:t>
      </w:r>
      <w:r w:rsidR="000B273E" w:rsidRPr="001D19B3">
        <w:rPr>
          <w:rFonts w:ascii="Times New Roman" w:hAnsi="Times New Roman" w:cs="Times New Roman"/>
          <w:sz w:val="24"/>
          <w:szCs w:val="24"/>
          <w:vertAlign w:val="superscript"/>
        </w:rPr>
        <w:t>27</w:t>
      </w:r>
      <w:r w:rsidRPr="001D19B3">
        <w:rPr>
          <w:rFonts w:ascii="Times New Roman" w:hAnsi="Times New Roman" w:cs="Times New Roman"/>
          <w:sz w:val="24"/>
          <w:szCs w:val="24"/>
        </w:rPr>
        <w:t xml:space="preserve"> It guarantees that staff members </w:t>
      </w:r>
      <w:r w:rsidR="00062EF5" w:rsidRPr="001D19B3">
        <w:rPr>
          <w:rFonts w:ascii="Times New Roman" w:hAnsi="Times New Roman" w:cs="Times New Roman"/>
          <w:sz w:val="24"/>
          <w:szCs w:val="24"/>
        </w:rPr>
        <w:t>receive</w:t>
      </w:r>
      <w:r w:rsidRPr="001D19B3">
        <w:rPr>
          <w:rFonts w:ascii="Times New Roman" w:hAnsi="Times New Roman" w:cs="Times New Roman"/>
          <w:sz w:val="24"/>
          <w:szCs w:val="24"/>
        </w:rPr>
        <w:t xml:space="preserve"> the most recent training, expedites supply chain management, and enhances customer satisfaction.</w:t>
      </w:r>
      <w:r w:rsidR="00606B5B" w:rsidRPr="001D19B3">
        <w:rPr>
          <w:rFonts w:ascii="Times New Roman" w:hAnsi="Times New Roman" w:cs="Times New Roman"/>
          <w:sz w:val="24"/>
          <w:szCs w:val="24"/>
          <w:vertAlign w:val="superscript"/>
        </w:rPr>
        <w:t>27</w:t>
      </w:r>
      <w:r w:rsidRPr="001D19B3">
        <w:rPr>
          <w:rFonts w:ascii="Times New Roman" w:hAnsi="Times New Roman" w:cs="Times New Roman"/>
          <w:sz w:val="24"/>
          <w:szCs w:val="24"/>
        </w:rPr>
        <w:t xml:space="preserve"> Holding everyone engaged in the manufacturing process responsible for the overall caliber of the finished good or service is the goal of total quality management</w:t>
      </w:r>
      <w:commentRangeEnd w:id="10"/>
      <w:r w:rsidR="00B30A45">
        <w:rPr>
          <w:rStyle w:val="CommentReference"/>
        </w:rPr>
        <w:commentReference w:id="10"/>
      </w:r>
      <w:r w:rsidRPr="001D19B3">
        <w:rPr>
          <w:rFonts w:ascii="Times New Roman" w:hAnsi="Times New Roman" w:cs="Times New Roman"/>
          <w:sz w:val="24"/>
          <w:szCs w:val="24"/>
        </w:rPr>
        <w:t>.</w:t>
      </w:r>
    </w:p>
    <w:p w:rsidR="009D795A" w:rsidRPr="001D19B3" w:rsidRDefault="00441B47"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 xml:space="preserve">Detailed dispersion pattern of the dataset </w:t>
      </w:r>
      <w:r w:rsidR="008A6501" w:rsidRPr="001D19B3">
        <w:rPr>
          <w:rFonts w:ascii="Times New Roman" w:hAnsi="Times New Roman" w:cs="Times New Roman"/>
          <w:sz w:val="24"/>
          <w:szCs w:val="24"/>
        </w:rPr>
        <w:t>using probability plots are shown in Figures 1 and 2</w:t>
      </w:r>
      <w:r w:rsidR="00103B6C" w:rsidRPr="001D19B3">
        <w:rPr>
          <w:rFonts w:ascii="Times New Roman" w:hAnsi="Times New Roman" w:cs="Times New Roman"/>
          <w:sz w:val="24"/>
          <w:szCs w:val="24"/>
        </w:rPr>
        <w:t xml:space="preserve">. The goodness of fit test </w:t>
      </w:r>
      <w:r w:rsidR="00B57B7D" w:rsidRPr="001D19B3">
        <w:rPr>
          <w:rFonts w:ascii="Times New Roman" w:hAnsi="Times New Roman" w:cs="Times New Roman"/>
          <w:sz w:val="24"/>
          <w:szCs w:val="24"/>
        </w:rPr>
        <w:t xml:space="preserve">demonstrated that </w:t>
      </w:r>
      <w:r w:rsidR="00761D3D" w:rsidRPr="001D19B3">
        <w:rPr>
          <w:rFonts w:ascii="Times New Roman" w:hAnsi="Times New Roman" w:cs="Times New Roman"/>
          <w:sz w:val="24"/>
          <w:szCs w:val="24"/>
        </w:rPr>
        <w:t>only three distributions are valid in the following descending order:</w:t>
      </w:r>
      <w:r w:rsidR="000970BE" w:rsidRPr="001D19B3">
        <w:rPr>
          <w:rFonts w:ascii="Times New Roman" w:hAnsi="Times New Roman" w:cs="Times New Roman"/>
          <w:sz w:val="24"/>
          <w:szCs w:val="24"/>
        </w:rPr>
        <w:t xml:space="preserve"> Normal (after Johnson transformation), </w:t>
      </w:r>
      <w:r w:rsidR="00182C0F" w:rsidRPr="001D19B3">
        <w:rPr>
          <w:rFonts w:ascii="Times New Roman" w:hAnsi="Times New Roman" w:cs="Times New Roman"/>
          <w:sz w:val="24"/>
          <w:szCs w:val="24"/>
        </w:rPr>
        <w:t>smallest extreme value and Weibull</w:t>
      </w:r>
      <w:r w:rsidR="00B62FEA" w:rsidRPr="001D19B3">
        <w:rPr>
          <w:rFonts w:ascii="Times New Roman" w:hAnsi="Times New Roman" w:cs="Times New Roman"/>
          <w:sz w:val="24"/>
          <w:szCs w:val="24"/>
        </w:rPr>
        <w:t>.</w:t>
      </w:r>
      <w:r w:rsidR="00CA1FA0" w:rsidRPr="001D19B3">
        <w:rPr>
          <w:rFonts w:ascii="Times New Roman" w:hAnsi="Times New Roman" w:cs="Times New Roman"/>
          <w:sz w:val="24"/>
          <w:szCs w:val="24"/>
        </w:rPr>
        <w:t xml:space="preserve"> The selection was based on </w:t>
      </w:r>
      <w:r w:rsidR="0025248A" w:rsidRPr="001D19B3">
        <w:rPr>
          <w:rFonts w:ascii="Times New Roman" w:hAnsi="Times New Roman" w:cs="Times New Roman"/>
          <w:sz w:val="24"/>
          <w:szCs w:val="24"/>
        </w:rPr>
        <w:t>Anderson-Darling (AD)</w:t>
      </w:r>
      <w:r w:rsidR="00EE5EC0" w:rsidRPr="001D19B3">
        <w:rPr>
          <w:rFonts w:ascii="Times New Roman" w:hAnsi="Times New Roman" w:cs="Times New Roman"/>
          <w:sz w:val="24"/>
          <w:szCs w:val="24"/>
        </w:rPr>
        <w:t>the goodness-of-fit figure</w:t>
      </w:r>
      <w:r w:rsidR="00D046BD" w:rsidRPr="001D19B3">
        <w:rPr>
          <w:rFonts w:ascii="Times New Roman" w:hAnsi="Times New Roman" w:cs="Times New Roman"/>
          <w:sz w:val="24"/>
          <w:szCs w:val="24"/>
        </w:rPr>
        <w:t xml:space="preserve">probability charting and the </w:t>
      </w:r>
      <w:commentRangeStart w:id="11"/>
      <w:r w:rsidR="00D046BD" w:rsidRPr="001D19B3">
        <w:rPr>
          <w:rFonts w:ascii="Times New Roman" w:hAnsi="Times New Roman" w:cs="Times New Roman"/>
          <w:sz w:val="24"/>
          <w:szCs w:val="24"/>
        </w:rPr>
        <w:t>p</w:t>
      </w:r>
      <w:commentRangeEnd w:id="11"/>
      <w:r w:rsidR="00B30A45">
        <w:rPr>
          <w:rStyle w:val="CommentReference"/>
        </w:rPr>
        <w:commentReference w:id="11"/>
      </w:r>
      <w:r w:rsidR="00D046BD" w:rsidRPr="001D19B3">
        <w:rPr>
          <w:rFonts w:ascii="Times New Roman" w:hAnsi="Times New Roman" w:cs="Times New Roman"/>
          <w:sz w:val="24"/>
          <w:szCs w:val="24"/>
        </w:rPr>
        <w:t>-values.</w:t>
      </w:r>
    </w:p>
    <w:p w:rsidR="00D37AC5" w:rsidRPr="001D19B3" w:rsidRDefault="00013DC6" w:rsidP="00A93730">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240pt;margin-top:272.25pt;width:75pt;height:8.2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" fillcolor="#d9d9d9" stroked="f" strokeweight=".5pt">
            <v:textbox>
              <w:txbxContent>
                <w:p w:rsidR="009720EA" w:rsidRDefault="009720EA" w:rsidP="009720EA"/>
              </w:txbxContent>
            </v:textbox>
          </v:shape>
        </w:pict>
      </w:r>
      <w:r>
        <w:rPr>
          <w:rFonts w:ascii="Times New Roman" w:hAnsi="Times New Roman" w:cs="Times New Roman"/>
          <w:noProof/>
          <w:sz w:val="24"/>
          <w:szCs w:val="24"/>
        </w:rPr>
        <w:pict>
          <v:shape id="_x0000_s1027" type="#_x0000_t202" style="position:absolute;left:0;text-align:left;margin-left:88.5pt;margin-top:273pt;width:75pt;height:8.2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" fillcolor="#d8d8d8 [2732]" stroked="f" strokeweight=".5pt">
            <v:textbox>
              <w:txbxContent>
                <w:p w:rsidR="009720EA" w:rsidRDefault="009720EA" w:rsidP="009720EA"/>
              </w:txbxContent>
            </v:textbox>
          </v:shape>
        </w:pict>
      </w:r>
      <w:r>
        <w:rPr>
          <w:rFonts w:ascii="Times New Roman" w:hAnsi="Times New Roman" w:cs="Times New Roman"/>
          <w:noProof/>
          <w:sz w:val="24"/>
          <w:szCs w:val="24"/>
        </w:rPr>
        <w:pict>
          <v:shape id="_x0000_s1028" type="#_x0000_t202" style="position:absolute;left:0;text-align:left;margin-left:240pt;margin-top:139.5pt;width:75pt;height:8.2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" fillcolor="#d8d8d8 [2732]" stroked="f" strokeweight=".5pt">
            <v:textbox>
              <w:txbxContent>
                <w:p w:rsidR="009720EA" w:rsidRDefault="009720EA" w:rsidP="009720EA"/>
              </w:txbxContent>
            </v:textbox>
          </v:shape>
        </w:pict>
      </w:r>
      <w:r>
        <w:rPr>
          <w:rFonts w:ascii="Times New Roman" w:hAnsi="Times New Roman" w:cs="Times New Roman"/>
          <w:noProof/>
          <w:sz w:val="24"/>
          <w:szCs w:val="24"/>
        </w:rPr>
        <w:pict>
          <v:shape id="_x0000_s1029" type="#_x0000_t202" style="position:absolute;left:0;text-align:left;margin-left:86.25pt;margin-top:140.25pt;width:75pt;height:8.2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" fillcolor="#d8d8d8 [2732]" stroked="f" strokeweight=".5pt">
            <v:textbox>
              <w:txbxContent>
                <w:p w:rsidR="00EA57B1" w:rsidRDefault="00EA57B1"/>
              </w:txbxContent>
            </v:textbox>
          </v:shape>
        </w:pict>
      </w:r>
      <w:r w:rsidR="00D37AC5" w:rsidRPr="001D19B3">
        <w:rPr>
          <w:rFonts w:ascii="Times New Roman" w:hAnsi="Times New Roman" w:cs="Times New Roman"/>
          <w:noProof/>
          <w:sz w:val="24"/>
          <w:szCs w:val="24"/>
        </w:rPr>
        <w:drawing>
          <wp:inline distT="0" distB="0" distL="0" distR="0">
            <wp:extent cx="5486400" cy="365760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D37AC5" w:rsidRPr="001D19B3" w:rsidRDefault="00013DC6" w:rsidP="00A93730">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260.25pt;margin-top:266.25pt;width:75pt;height:8.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52SgIAAIw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" fillcolor="#d9d9d9" stroked="f" strokeweight=".5pt">
            <v:textbox>
              <w:txbxContent>
                <w:p w:rsidR="00700EB4" w:rsidRDefault="00700EB4" w:rsidP="00700EB4"/>
              </w:txbxContent>
            </v:textbox>
          </v:shape>
        </w:pict>
      </w:r>
      <w:r>
        <w:rPr>
          <w:rFonts w:ascii="Times New Roman" w:hAnsi="Times New Roman" w:cs="Times New Roman"/>
          <w:noProof/>
          <w:sz w:val="24"/>
          <w:szCs w:val="24"/>
        </w:rPr>
        <w:pict>
          <v:shape id="_x0000_s1031" type="#_x0000_t202" style="position:absolute;left:0;text-align:left;margin-left:70.5pt;margin-top:266.25pt;width:75pt;height:8.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" fillcolor="#d9d9d9" stroked="f" strokeweight=".5pt">
            <v:textbox>
              <w:txbxContent>
                <w:p w:rsidR="00700EB4" w:rsidRDefault="00700EB4" w:rsidP="00700EB4"/>
              </w:txbxContent>
            </v:textbox>
          </v:shape>
        </w:pict>
      </w:r>
      <w:r>
        <w:rPr>
          <w:rFonts w:ascii="Times New Roman" w:hAnsi="Times New Roman" w:cs="Times New Roman"/>
          <w:noProof/>
          <w:sz w:val="24"/>
          <w:szCs w:val="24"/>
        </w:rPr>
        <w:pict>
          <v:shape id="_x0000_s1032" type="#_x0000_t202" style="position:absolute;left:0;text-align:left;margin-left:258.75pt;margin-top:141pt;width:75pt;height:8.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" fillcolor="#d9d9d9" stroked="f" strokeweight=".5pt">
            <v:textbox>
              <w:txbxContent>
                <w:p w:rsidR="00700EB4" w:rsidRDefault="00700EB4" w:rsidP="00700EB4"/>
              </w:txbxContent>
            </v:textbox>
          </v:shape>
        </w:pict>
      </w:r>
      <w:r>
        <w:rPr>
          <w:rFonts w:ascii="Times New Roman" w:hAnsi="Times New Roman" w:cs="Times New Roman"/>
          <w:noProof/>
          <w:sz w:val="24"/>
          <w:szCs w:val="24"/>
        </w:rPr>
        <w:pict>
          <v:shape id="_x0000_s1033" type="#_x0000_t202" style="position:absolute;left:0;text-align:left;margin-left:87.75pt;margin-top:140.25pt;width:75pt;height:8.2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" fillcolor="#d8d8d8 [2732]" stroked="f" strokeweight=".5pt">
            <v:textbox>
              <w:txbxContent>
                <w:p w:rsidR="00700EB4" w:rsidRDefault="00700EB4" w:rsidP="00700EB4"/>
              </w:txbxContent>
            </v:textbox>
          </v:shape>
        </w:pict>
      </w:r>
      <w:r w:rsidR="00D37AC5" w:rsidRPr="001D19B3">
        <w:rPr>
          <w:rFonts w:ascii="Times New Roman" w:hAnsi="Times New Roman" w:cs="Times New Roman"/>
          <w:noProof/>
          <w:sz w:val="24"/>
          <w:szCs w:val="24"/>
        </w:rPr>
        <w:drawing>
          <wp:inline distT="0" distB="0" distL="0" distR="0">
            <wp:extent cx="548640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5C69D9" w:rsidRPr="001D19B3" w:rsidRDefault="00857489" w:rsidP="00A93730">
      <w:pPr>
        <w:spacing w:after="0"/>
        <w:jc w:val="center"/>
        <w:rPr>
          <w:rFonts w:ascii="Times New Roman" w:hAnsi="Times New Roman" w:cs="Times New Roman"/>
          <w:b/>
          <w:bCs/>
          <w:sz w:val="24"/>
          <w:szCs w:val="24"/>
        </w:rPr>
      </w:pPr>
      <w:r w:rsidRPr="001D19B3">
        <w:rPr>
          <w:rFonts w:ascii="Times New Roman" w:hAnsi="Times New Roman" w:cs="Times New Roman"/>
          <w:b/>
          <w:bCs/>
          <w:sz w:val="24"/>
          <w:szCs w:val="24"/>
        </w:rPr>
        <w:t>Figure</w:t>
      </w:r>
      <w:r w:rsidR="005F6300" w:rsidRPr="001D19B3">
        <w:rPr>
          <w:rFonts w:ascii="Times New Roman" w:hAnsi="Times New Roman" w:cs="Times New Roman"/>
          <w:b/>
          <w:bCs/>
          <w:sz w:val="24"/>
          <w:szCs w:val="24"/>
        </w:rPr>
        <w:t>1</w:t>
      </w:r>
      <w:r w:rsidR="00D91E34" w:rsidRPr="001D19B3">
        <w:rPr>
          <w:rFonts w:ascii="Times New Roman" w:hAnsi="Times New Roman" w:cs="Times New Roman"/>
          <w:b/>
          <w:bCs/>
          <w:sz w:val="24"/>
          <w:szCs w:val="24"/>
        </w:rPr>
        <w:t>:</w:t>
      </w:r>
      <w:r w:rsidR="00050CFB" w:rsidRPr="001D19B3">
        <w:rPr>
          <w:rFonts w:ascii="Times New Roman" w:hAnsi="Times New Roman" w:cs="Times New Roman"/>
          <w:b/>
          <w:bCs/>
          <w:sz w:val="24"/>
          <w:szCs w:val="24"/>
        </w:rPr>
        <w:t xml:space="preserve"> Probability distribution identification</w:t>
      </w:r>
      <w:r w:rsidR="004A0168" w:rsidRPr="001D19B3">
        <w:rPr>
          <w:rFonts w:ascii="Times New Roman" w:hAnsi="Times New Roman" w:cs="Times New Roman"/>
          <w:b/>
          <w:bCs/>
          <w:sz w:val="24"/>
          <w:szCs w:val="24"/>
        </w:rPr>
        <w:t xml:space="preserve"> showing </w:t>
      </w:r>
      <w:r w:rsidR="00EB03FA" w:rsidRPr="001D19B3">
        <w:rPr>
          <w:rFonts w:ascii="Times New Roman" w:hAnsi="Times New Roman" w:cs="Times New Roman"/>
          <w:b/>
          <w:bCs/>
          <w:sz w:val="24"/>
          <w:szCs w:val="24"/>
        </w:rPr>
        <w:t xml:space="preserve">the </w:t>
      </w:r>
      <w:r w:rsidR="00186301" w:rsidRPr="001D19B3">
        <w:rPr>
          <w:rFonts w:ascii="Times New Roman" w:hAnsi="Times New Roman" w:cs="Times New Roman"/>
          <w:b/>
          <w:bCs/>
          <w:sz w:val="24"/>
          <w:szCs w:val="24"/>
        </w:rPr>
        <w:t>goodness of fit test to exponential, two-parameter</w:t>
      </w:r>
      <w:r w:rsidR="009277A9" w:rsidRPr="001D19B3">
        <w:rPr>
          <w:rFonts w:ascii="Times New Roman" w:hAnsi="Times New Roman" w:cs="Times New Roman"/>
          <w:b/>
          <w:bCs/>
          <w:sz w:val="24"/>
          <w:szCs w:val="24"/>
        </w:rPr>
        <w:t>exponential, Weibull, three-parameter Weibull</w:t>
      </w:r>
      <w:r w:rsidR="004057EF" w:rsidRPr="001D19B3">
        <w:rPr>
          <w:rFonts w:ascii="Times New Roman" w:hAnsi="Times New Roman" w:cs="Times New Roman"/>
          <w:b/>
          <w:bCs/>
          <w:sz w:val="24"/>
          <w:szCs w:val="24"/>
        </w:rPr>
        <w:t xml:space="preserve">, logistic, </w:t>
      </w:r>
      <w:r w:rsidR="00996DE9" w:rsidRPr="001D19B3">
        <w:rPr>
          <w:rFonts w:ascii="Times New Roman" w:hAnsi="Times New Roman" w:cs="Times New Roman"/>
          <w:b/>
          <w:bCs/>
          <w:sz w:val="24"/>
          <w:szCs w:val="24"/>
        </w:rPr>
        <w:t>log logistic</w:t>
      </w:r>
      <w:r w:rsidR="004057EF" w:rsidRPr="001D19B3">
        <w:rPr>
          <w:rFonts w:ascii="Times New Roman" w:hAnsi="Times New Roman" w:cs="Times New Roman"/>
          <w:b/>
          <w:bCs/>
          <w:sz w:val="24"/>
          <w:szCs w:val="24"/>
        </w:rPr>
        <w:t xml:space="preserve">, three-parameter </w:t>
      </w:r>
      <w:r w:rsidR="009D795A" w:rsidRPr="001D19B3">
        <w:rPr>
          <w:rFonts w:ascii="Times New Roman" w:hAnsi="Times New Roman" w:cs="Times New Roman"/>
          <w:b/>
          <w:bCs/>
          <w:sz w:val="24"/>
          <w:szCs w:val="24"/>
        </w:rPr>
        <w:t>log logistic</w:t>
      </w:r>
      <w:r w:rsidR="00AB6C3E" w:rsidRPr="001D19B3">
        <w:rPr>
          <w:rFonts w:ascii="Times New Roman" w:hAnsi="Times New Roman" w:cs="Times New Roman"/>
          <w:b/>
          <w:bCs/>
          <w:sz w:val="24"/>
          <w:szCs w:val="24"/>
        </w:rPr>
        <w:t>and Johnson transformation to normal distribution</w:t>
      </w:r>
      <w:r w:rsidR="000A0C51" w:rsidRPr="001D19B3">
        <w:rPr>
          <w:rFonts w:ascii="Times New Roman" w:hAnsi="Times New Roman" w:cs="Times New Roman"/>
          <w:b/>
          <w:bCs/>
          <w:sz w:val="24"/>
          <w:szCs w:val="24"/>
        </w:rPr>
        <w:t>.</w:t>
      </w:r>
    </w:p>
    <w:p w:rsidR="00D37AC5" w:rsidRPr="001D19B3" w:rsidRDefault="00013DC6" w:rsidP="00A93730">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_x0000_s1034" type="#_x0000_t202" style="position:absolute;left:0;text-align:left;margin-left:244.5pt;margin-top:273pt;width:75pt;height:8.2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" fillcolor="#d9d9d9" stroked="f" strokeweight=".5pt">
            <v:textbox>
              <w:txbxContent>
                <w:p w:rsidR="00EE2612" w:rsidRDefault="00EE2612" w:rsidP="00EE2612"/>
              </w:txbxContent>
            </v:textbox>
          </v:shape>
        </w:pict>
      </w:r>
      <w:r>
        <w:rPr>
          <w:rFonts w:ascii="Times New Roman" w:hAnsi="Times New Roman" w:cs="Times New Roman"/>
          <w:noProof/>
          <w:sz w:val="24"/>
          <w:szCs w:val="24"/>
        </w:rPr>
        <w:pict>
          <v:shape id="_x0000_s1035" type="#_x0000_t202" style="position:absolute;left:0;text-align:left;margin-left:90pt;margin-top:273.75pt;width:75pt;height:8.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VcSQIAAIw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" fillcolor="#d9d9d9" stroked="f" strokeweight=".5pt">
            <v:textbox>
              <w:txbxContent>
                <w:p w:rsidR="00EE2612" w:rsidRDefault="00EE2612" w:rsidP="00EE2612"/>
              </w:txbxContent>
            </v:textbox>
          </v:shape>
        </w:pict>
      </w:r>
      <w:r>
        <w:rPr>
          <w:rFonts w:ascii="Times New Roman" w:hAnsi="Times New Roman" w:cs="Times New Roman"/>
          <w:noProof/>
          <w:sz w:val="24"/>
          <w:szCs w:val="24"/>
        </w:rPr>
        <w:pict>
          <v:shape id="_x0000_s1036" type="#_x0000_t202" style="position:absolute;left:0;text-align:left;margin-left:261pt;margin-top:140.25pt;width:75pt;height:8.2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qNSQIAAI0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" fillcolor="#d9d9d9" stroked="f" strokeweight=".5pt">
            <v:textbox>
              <w:txbxContent>
                <w:p w:rsidR="00EE2612" w:rsidRDefault="00EE2612" w:rsidP="00EE2612"/>
              </w:txbxContent>
            </v:textbox>
          </v:shape>
        </w:pict>
      </w:r>
      <w:r>
        <w:rPr>
          <w:rFonts w:ascii="Times New Roman" w:hAnsi="Times New Roman" w:cs="Times New Roman"/>
          <w:noProof/>
          <w:sz w:val="24"/>
          <w:szCs w:val="24"/>
        </w:rPr>
        <w:pict>
          <v:shape id="_x0000_s1037" type="#_x0000_t202" style="position:absolute;left:0;text-align:left;margin-left:88.5pt;margin-top:141pt;width:75pt;height:8.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" fillcolor="#d9d9d9" stroked="f" strokeweight=".5pt">
            <v:textbox>
              <w:txbxContent>
                <w:p w:rsidR="00EE2612" w:rsidRDefault="00EE2612" w:rsidP="00EE2612"/>
              </w:txbxContent>
            </v:textbox>
          </v:shape>
        </w:pict>
      </w:r>
      <w:r w:rsidR="00D37AC5" w:rsidRPr="001D19B3">
        <w:rPr>
          <w:rFonts w:ascii="Times New Roman" w:hAnsi="Times New Roman" w:cs="Times New Roman"/>
          <w:noProof/>
          <w:sz w:val="24"/>
          <w:szCs w:val="24"/>
        </w:rPr>
        <w:drawing>
          <wp:inline distT="0" distB="0" distL="0" distR="0">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D37AC5" w:rsidRPr="001D19B3" w:rsidRDefault="00013DC6" w:rsidP="00A93730">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241.5pt;margin-top:272.25pt;width:75pt;height:8.2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T8SgIAAI0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" fillcolor="#d9d9d9" stroked="f" strokeweight=".5pt">
            <v:textbox>
              <w:txbxContent>
                <w:p w:rsidR="008F7DBC" w:rsidRDefault="008F7DBC" w:rsidP="008F7DBC"/>
              </w:txbxContent>
            </v:textbox>
          </v:shape>
        </w:pict>
      </w:r>
      <w:r>
        <w:rPr>
          <w:rFonts w:ascii="Times New Roman" w:hAnsi="Times New Roman" w:cs="Times New Roman"/>
          <w:noProof/>
          <w:sz w:val="24"/>
          <w:szCs w:val="24"/>
        </w:rPr>
        <w:pict>
          <v:shape id="_x0000_s1039" type="#_x0000_t202" style="position:absolute;left:0;text-align:left;margin-left:260.25pt;margin-top:133.5pt;width:75pt;height:8.2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" fillcolor="#d9d9d9" stroked="f" strokeweight=".5pt">
            <v:textbox>
              <w:txbxContent>
                <w:p w:rsidR="008F7DBC" w:rsidRDefault="008F7DBC" w:rsidP="008F7DBC"/>
              </w:txbxContent>
            </v:textbox>
          </v:shape>
        </w:pict>
      </w:r>
      <w:r>
        <w:rPr>
          <w:rFonts w:ascii="Times New Roman" w:hAnsi="Times New Roman" w:cs="Times New Roman"/>
          <w:noProof/>
          <w:sz w:val="24"/>
          <w:szCs w:val="24"/>
        </w:rPr>
        <w:pict>
          <v:shape id="_x0000_s1040" type="#_x0000_t202" style="position:absolute;left:0;text-align:left;margin-left:86.25pt;margin-top:274.5pt;width:75pt;height:8.2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" fillcolor="#d9d9d9" stroked="f" strokeweight=".5pt">
            <v:textbox>
              <w:txbxContent>
                <w:p w:rsidR="008F7DBC" w:rsidRDefault="008F7DBC" w:rsidP="008F7DBC"/>
              </w:txbxContent>
            </v:textbox>
          </v:shape>
        </w:pict>
      </w:r>
      <w:r>
        <w:rPr>
          <w:rFonts w:ascii="Times New Roman" w:hAnsi="Times New Roman" w:cs="Times New Roman"/>
          <w:noProof/>
          <w:sz w:val="24"/>
          <w:szCs w:val="24"/>
        </w:rPr>
        <w:pict>
          <v:shape id="_x0000_s1041" type="#_x0000_t202" style="position:absolute;left:0;text-align:left;margin-left:90pt;margin-top:133.5pt;width:75pt;height:8.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" fillcolor="#d9d9d9" stroked="f" strokeweight=".5pt">
            <v:textbox>
              <w:txbxContent>
                <w:p w:rsidR="008F7DBC" w:rsidRDefault="008F7DBC" w:rsidP="008F7DBC"/>
              </w:txbxContent>
            </v:textbox>
          </v:shape>
        </w:pict>
      </w:r>
      <w:r w:rsidR="00D37AC5" w:rsidRPr="001D19B3">
        <w:rPr>
          <w:rFonts w:ascii="Times New Roman" w:hAnsi="Times New Roman" w:cs="Times New Roman"/>
          <w:noProof/>
          <w:sz w:val="24"/>
          <w:szCs w:val="24"/>
        </w:rPr>
        <w:drawing>
          <wp:inline distT="0" distB="0" distL="0" distR="0">
            <wp:extent cx="5486400" cy="365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657600"/>
                    </a:xfrm>
                    <a:prstGeom prst="rect">
                      <a:avLst/>
                    </a:prstGeom>
                    <a:noFill/>
                    <a:ln>
                      <a:noFill/>
                    </a:ln>
                  </pic:spPr>
                </pic:pic>
              </a:graphicData>
            </a:graphic>
          </wp:inline>
        </w:drawing>
      </w:r>
    </w:p>
    <w:p w:rsidR="000A0C51" w:rsidRPr="001D19B3" w:rsidRDefault="000A0C51" w:rsidP="00A93730">
      <w:pPr>
        <w:spacing w:after="0"/>
        <w:jc w:val="center"/>
        <w:rPr>
          <w:rFonts w:ascii="Times New Roman" w:hAnsi="Times New Roman" w:cs="Times New Roman"/>
          <w:b/>
          <w:bCs/>
          <w:sz w:val="24"/>
          <w:szCs w:val="24"/>
        </w:rPr>
      </w:pPr>
      <w:r w:rsidRPr="001D19B3">
        <w:rPr>
          <w:rFonts w:ascii="Times New Roman" w:hAnsi="Times New Roman" w:cs="Times New Roman"/>
          <w:b/>
          <w:bCs/>
          <w:sz w:val="24"/>
          <w:szCs w:val="24"/>
        </w:rPr>
        <w:t xml:space="preserve">Figure 2: Probability distribution identification showing the goodness of fit test to </w:t>
      </w:r>
      <w:r w:rsidR="00821E28" w:rsidRPr="001D19B3">
        <w:rPr>
          <w:rFonts w:ascii="Times New Roman" w:hAnsi="Times New Roman" w:cs="Times New Roman"/>
          <w:b/>
          <w:bCs/>
          <w:sz w:val="24"/>
          <w:szCs w:val="24"/>
        </w:rPr>
        <w:t>smallest extreme value</w:t>
      </w:r>
      <w:r w:rsidRPr="001D19B3">
        <w:rPr>
          <w:rFonts w:ascii="Times New Roman" w:hAnsi="Times New Roman" w:cs="Times New Roman"/>
          <w:b/>
          <w:bCs/>
          <w:sz w:val="24"/>
          <w:szCs w:val="24"/>
        </w:rPr>
        <w:t xml:space="preserve">, </w:t>
      </w:r>
      <w:r w:rsidR="00221BBC" w:rsidRPr="001D19B3">
        <w:rPr>
          <w:rFonts w:ascii="Times New Roman" w:hAnsi="Times New Roman" w:cs="Times New Roman"/>
          <w:b/>
          <w:bCs/>
          <w:sz w:val="24"/>
          <w:szCs w:val="24"/>
        </w:rPr>
        <w:t>largest extreme value</w:t>
      </w:r>
      <w:r w:rsidRPr="001D19B3">
        <w:rPr>
          <w:rFonts w:ascii="Times New Roman" w:hAnsi="Times New Roman" w:cs="Times New Roman"/>
          <w:b/>
          <w:bCs/>
          <w:sz w:val="24"/>
          <w:szCs w:val="24"/>
        </w:rPr>
        <w:t xml:space="preserve">, </w:t>
      </w:r>
      <w:r w:rsidR="002B4221" w:rsidRPr="001D19B3">
        <w:rPr>
          <w:rFonts w:ascii="Times New Roman" w:hAnsi="Times New Roman" w:cs="Times New Roman"/>
          <w:b/>
          <w:bCs/>
          <w:sz w:val="24"/>
          <w:szCs w:val="24"/>
        </w:rPr>
        <w:t>gamma</w:t>
      </w:r>
      <w:r w:rsidRPr="001D19B3">
        <w:rPr>
          <w:rFonts w:ascii="Times New Roman" w:hAnsi="Times New Roman" w:cs="Times New Roman"/>
          <w:b/>
          <w:bCs/>
          <w:sz w:val="24"/>
          <w:szCs w:val="24"/>
        </w:rPr>
        <w:t xml:space="preserve">, </w:t>
      </w:r>
      <w:r w:rsidR="002B4221" w:rsidRPr="001D19B3">
        <w:rPr>
          <w:rFonts w:ascii="Times New Roman" w:hAnsi="Times New Roman" w:cs="Times New Roman"/>
          <w:b/>
          <w:bCs/>
          <w:sz w:val="24"/>
          <w:szCs w:val="24"/>
        </w:rPr>
        <w:t>three-parameter gamma</w:t>
      </w:r>
      <w:r w:rsidRPr="001D19B3">
        <w:rPr>
          <w:rFonts w:ascii="Times New Roman" w:hAnsi="Times New Roman" w:cs="Times New Roman"/>
          <w:b/>
          <w:bCs/>
          <w:sz w:val="24"/>
          <w:szCs w:val="24"/>
        </w:rPr>
        <w:t xml:space="preserve">, </w:t>
      </w:r>
      <w:r w:rsidR="00C41847" w:rsidRPr="001D19B3">
        <w:rPr>
          <w:rFonts w:ascii="Times New Roman" w:hAnsi="Times New Roman" w:cs="Times New Roman"/>
          <w:b/>
          <w:bCs/>
          <w:sz w:val="24"/>
          <w:szCs w:val="24"/>
        </w:rPr>
        <w:t>normal</w:t>
      </w:r>
      <w:r w:rsidRPr="001D19B3">
        <w:rPr>
          <w:rFonts w:ascii="Times New Roman" w:hAnsi="Times New Roman" w:cs="Times New Roman"/>
          <w:b/>
          <w:bCs/>
          <w:sz w:val="24"/>
          <w:szCs w:val="24"/>
        </w:rPr>
        <w:t xml:space="preserve">, </w:t>
      </w:r>
      <w:r w:rsidR="0088158F" w:rsidRPr="001D19B3">
        <w:rPr>
          <w:rFonts w:ascii="Times New Roman" w:hAnsi="Times New Roman" w:cs="Times New Roman"/>
          <w:b/>
          <w:bCs/>
          <w:sz w:val="24"/>
          <w:szCs w:val="24"/>
        </w:rPr>
        <w:t>Box-Cox transformation to normal distribution</w:t>
      </w:r>
      <w:r w:rsidR="00C947B7" w:rsidRPr="001D19B3">
        <w:rPr>
          <w:rFonts w:ascii="Times New Roman" w:hAnsi="Times New Roman" w:cs="Times New Roman"/>
          <w:b/>
          <w:bCs/>
          <w:sz w:val="24"/>
          <w:szCs w:val="24"/>
        </w:rPr>
        <w:t>, lognormal</w:t>
      </w:r>
      <w:r w:rsidRPr="001D19B3">
        <w:rPr>
          <w:rFonts w:ascii="Times New Roman" w:hAnsi="Times New Roman" w:cs="Times New Roman"/>
          <w:b/>
          <w:bCs/>
          <w:sz w:val="24"/>
          <w:szCs w:val="24"/>
        </w:rPr>
        <w:t xml:space="preserve"> and </w:t>
      </w:r>
      <w:r w:rsidR="00C947B7" w:rsidRPr="001D19B3">
        <w:rPr>
          <w:rFonts w:ascii="Times New Roman" w:hAnsi="Times New Roman" w:cs="Times New Roman"/>
          <w:b/>
          <w:bCs/>
          <w:sz w:val="24"/>
          <w:szCs w:val="24"/>
        </w:rPr>
        <w:t>three-parameter lognormal</w:t>
      </w:r>
      <w:r w:rsidRPr="001D19B3">
        <w:rPr>
          <w:rFonts w:ascii="Times New Roman" w:hAnsi="Times New Roman" w:cs="Times New Roman"/>
          <w:b/>
          <w:bCs/>
          <w:sz w:val="24"/>
          <w:szCs w:val="24"/>
        </w:rPr>
        <w:t xml:space="preserve">. </w:t>
      </w:r>
    </w:p>
    <w:p w:rsidR="00A10908" w:rsidRPr="001D19B3" w:rsidRDefault="00A10908" w:rsidP="00A93730">
      <w:pPr>
        <w:spacing w:after="0"/>
        <w:jc w:val="both"/>
        <w:rPr>
          <w:rFonts w:ascii="Times New Roman" w:hAnsi="Times New Roman" w:cs="Times New Roman"/>
          <w:sz w:val="24"/>
          <w:szCs w:val="24"/>
        </w:rPr>
      </w:pPr>
      <w:commentRangeStart w:id="12"/>
      <w:r w:rsidRPr="001D19B3">
        <w:rPr>
          <w:rFonts w:ascii="Times New Roman" w:hAnsi="Times New Roman" w:cs="Times New Roman"/>
          <w:sz w:val="24"/>
          <w:szCs w:val="24"/>
        </w:rPr>
        <w:t>A probability called the p-value assesses the strength of the evidence against the null hypothesis.</w:t>
      </w:r>
      <w:r w:rsidR="00E732D9" w:rsidRPr="001D19B3">
        <w:rPr>
          <w:rFonts w:ascii="Times New Roman" w:hAnsi="Times New Roman" w:cs="Times New Roman"/>
          <w:sz w:val="24"/>
          <w:szCs w:val="24"/>
          <w:vertAlign w:val="superscript"/>
        </w:rPr>
        <w:t>28</w:t>
      </w:r>
      <w:r w:rsidRPr="001D19B3">
        <w:rPr>
          <w:rFonts w:ascii="Times New Roman" w:hAnsi="Times New Roman" w:cs="Times New Roman"/>
          <w:sz w:val="24"/>
          <w:szCs w:val="24"/>
        </w:rPr>
        <w:t xml:space="preserve"> The null hypothesis for an AD test is that the data are distributed as expected.</w:t>
      </w:r>
      <w:r w:rsidR="00C43D34" w:rsidRPr="001D19B3">
        <w:rPr>
          <w:rFonts w:ascii="Times New Roman" w:hAnsi="Times New Roman" w:cs="Times New Roman"/>
          <w:sz w:val="24"/>
          <w:szCs w:val="24"/>
          <w:vertAlign w:val="superscript"/>
        </w:rPr>
        <w:t>29</w:t>
      </w:r>
      <w:r w:rsidRPr="001D19B3">
        <w:rPr>
          <w:rFonts w:ascii="Times New Roman" w:hAnsi="Times New Roman" w:cs="Times New Roman"/>
          <w:sz w:val="24"/>
          <w:szCs w:val="24"/>
        </w:rPr>
        <w:t xml:space="preserve"> Lower p-values thus offer more proof that the data do not fit the distribution.</w:t>
      </w:r>
      <w:commentRangeEnd w:id="12"/>
      <w:r w:rsidR="00B30A45">
        <w:rPr>
          <w:rStyle w:val="CommentReference"/>
        </w:rPr>
        <w:commentReference w:id="12"/>
      </w:r>
    </w:p>
    <w:p w:rsidR="00194C7B" w:rsidRPr="001D19B3" w:rsidRDefault="008F0869"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 xml:space="preserve">The preliminary exploratory Individual-Moving Range (I-MR) process behavior charts in Figures 3, 4 and 5 showed stable variations and process means according to the selected types of the best-fitting distributions. Each corresponding dispersion was acceptable according to the </w:t>
      </w:r>
      <w:r w:rsidRPr="001D19B3">
        <w:rPr>
          <w:rFonts w:ascii="Times New Roman" w:hAnsi="Times New Roman" w:cs="Times New Roman"/>
          <w:sz w:val="24"/>
          <w:szCs w:val="24"/>
        </w:rPr>
        <w:lastRenderedPageBreak/>
        <w:t>probability plot.</w:t>
      </w:r>
      <w:r w:rsidR="00086487" w:rsidRPr="001D19B3">
        <w:rPr>
          <w:rFonts w:ascii="Times New Roman" w:hAnsi="Times New Roman" w:cs="Times New Roman"/>
          <w:sz w:val="24"/>
          <w:szCs w:val="24"/>
          <w:vertAlign w:val="superscript"/>
        </w:rPr>
        <w:t>30</w:t>
      </w:r>
      <w:r w:rsidR="00EE60D2" w:rsidRPr="001D19B3">
        <w:rPr>
          <w:rFonts w:ascii="Times New Roman" w:hAnsi="Times New Roman" w:cs="Times New Roman"/>
          <w:sz w:val="24"/>
          <w:szCs w:val="24"/>
          <w:vertAlign w:val="superscript"/>
        </w:rPr>
        <w:t>-</w:t>
      </w:r>
      <w:commentRangeStart w:id="13"/>
      <w:r w:rsidR="00EE60D2" w:rsidRPr="001D19B3">
        <w:rPr>
          <w:rFonts w:ascii="Times New Roman" w:hAnsi="Times New Roman" w:cs="Times New Roman"/>
          <w:sz w:val="24"/>
          <w:szCs w:val="24"/>
          <w:vertAlign w:val="superscript"/>
        </w:rPr>
        <w:t>31</w:t>
      </w:r>
      <w:r w:rsidRPr="001D19B3">
        <w:rPr>
          <w:rFonts w:ascii="Times New Roman" w:hAnsi="Times New Roman" w:cs="Times New Roman"/>
          <w:sz w:val="24"/>
          <w:szCs w:val="24"/>
        </w:rPr>
        <w:t>Moreover, the capability histograms illustrated that the spreading of data was confined within the Upper Specification Limit (USL) and the Lower Specification Limit (LSL).</w:t>
      </w:r>
      <w:r w:rsidR="00767F9E" w:rsidRPr="001D19B3">
        <w:rPr>
          <w:rFonts w:ascii="Times New Roman" w:hAnsi="Times New Roman" w:cs="Times New Roman"/>
          <w:sz w:val="24"/>
          <w:szCs w:val="24"/>
          <w:vertAlign w:val="superscript"/>
        </w:rPr>
        <w:t>32</w:t>
      </w:r>
      <w:r w:rsidRPr="001D19B3">
        <w:rPr>
          <w:rFonts w:ascii="Times New Roman" w:hAnsi="Times New Roman" w:cs="Times New Roman"/>
          <w:sz w:val="24"/>
          <w:szCs w:val="24"/>
        </w:rPr>
        <w:t xml:space="preserve"> In addition, the bins' dispersion frequency is close to the hypothetical presumed underlying distribution assumption</w:t>
      </w:r>
      <w:r w:rsidR="00212CFB" w:rsidRPr="001D19B3">
        <w:rPr>
          <w:rFonts w:ascii="Times New Roman" w:hAnsi="Times New Roman" w:cs="Times New Roman"/>
          <w:sz w:val="24"/>
          <w:szCs w:val="24"/>
        </w:rPr>
        <w:t>.</w:t>
      </w:r>
      <w:r w:rsidR="00811FE5" w:rsidRPr="001D19B3">
        <w:rPr>
          <w:rFonts w:ascii="Times New Roman" w:hAnsi="Times New Roman" w:cs="Times New Roman"/>
          <w:sz w:val="24"/>
          <w:szCs w:val="24"/>
          <w:vertAlign w:val="superscript"/>
        </w:rPr>
        <w:t>33</w:t>
      </w:r>
      <w:r w:rsidR="003A4116" w:rsidRPr="001D19B3">
        <w:rPr>
          <w:rFonts w:ascii="Times New Roman" w:hAnsi="Times New Roman" w:cs="Times New Roman"/>
          <w:sz w:val="24"/>
          <w:szCs w:val="24"/>
        </w:rPr>
        <w:t xml:space="preserve"> It is evident that the process</w:t>
      </w:r>
      <w:r w:rsidR="00FD5D01" w:rsidRPr="001D19B3">
        <w:rPr>
          <w:rFonts w:ascii="Times New Roman" w:hAnsi="Times New Roman" w:cs="Times New Roman"/>
          <w:sz w:val="24"/>
          <w:szCs w:val="24"/>
        </w:rPr>
        <w:t xml:space="preserve"> average is not centered in the middle of the </w:t>
      </w:r>
      <w:r w:rsidR="007E71E5" w:rsidRPr="001D19B3">
        <w:rPr>
          <w:rFonts w:ascii="Times New Roman" w:hAnsi="Times New Roman" w:cs="Times New Roman"/>
          <w:sz w:val="24"/>
          <w:szCs w:val="24"/>
        </w:rPr>
        <w:t xml:space="preserve">specification </w:t>
      </w:r>
      <w:r w:rsidR="00FD5D01" w:rsidRPr="001D19B3">
        <w:rPr>
          <w:rFonts w:ascii="Times New Roman" w:hAnsi="Times New Roman" w:cs="Times New Roman"/>
          <w:sz w:val="24"/>
          <w:szCs w:val="24"/>
        </w:rPr>
        <w:t>windo</w:t>
      </w:r>
      <w:r w:rsidR="007E71E5" w:rsidRPr="001D19B3">
        <w:rPr>
          <w:rFonts w:ascii="Times New Roman" w:hAnsi="Times New Roman" w:cs="Times New Roman"/>
          <w:sz w:val="24"/>
          <w:szCs w:val="24"/>
        </w:rPr>
        <w:t xml:space="preserve">w, instead it showed that </w:t>
      </w:r>
      <w:r w:rsidR="00D23B57" w:rsidRPr="001D19B3">
        <w:rPr>
          <w:rFonts w:ascii="Times New Roman" w:hAnsi="Times New Roman" w:cs="Times New Roman"/>
          <w:sz w:val="24"/>
          <w:szCs w:val="24"/>
        </w:rPr>
        <w:t>the preliminary results are all above the centerline risking an excursion</w:t>
      </w:r>
      <w:r w:rsidR="00CF3769" w:rsidRPr="001D19B3">
        <w:rPr>
          <w:rFonts w:ascii="Times New Roman" w:hAnsi="Times New Roman" w:cs="Times New Roman"/>
          <w:sz w:val="24"/>
          <w:szCs w:val="24"/>
        </w:rPr>
        <w:t xml:space="preserve"> above the upper threshold.</w:t>
      </w:r>
      <w:commentRangeEnd w:id="13"/>
      <w:r w:rsidR="00B30A45">
        <w:rPr>
          <w:rStyle w:val="CommentReference"/>
        </w:rPr>
        <w:commentReference w:id="13"/>
      </w:r>
    </w:p>
    <w:p w:rsidR="00194C7B" w:rsidRPr="001D19B3" w:rsidRDefault="00F13515" w:rsidP="00A93730">
      <w:pPr>
        <w:spacing w:after="0"/>
        <w:jc w:val="both"/>
        <w:rPr>
          <w:rFonts w:ascii="Times New Roman" w:hAnsi="Times New Roman" w:cs="Times New Roman"/>
          <w:sz w:val="24"/>
          <w:szCs w:val="24"/>
        </w:rPr>
      </w:pPr>
      <w:commentRangeStart w:id="14"/>
      <w:r w:rsidRPr="001D19B3">
        <w:rPr>
          <w:rFonts w:ascii="Times New Roman" w:hAnsi="Times New Roman" w:cs="Times New Roman"/>
          <w:sz w:val="24"/>
          <w:szCs w:val="24"/>
        </w:rPr>
        <w:t xml:space="preserve">The sample mean </w:t>
      </w:r>
      <w:r w:rsidR="00CF3EDF" w:rsidRPr="001D19B3">
        <w:rPr>
          <w:rFonts w:ascii="Times New Roman" w:hAnsi="Times New Roman" w:cs="Times New Roman"/>
          <w:sz w:val="24"/>
          <w:szCs w:val="24"/>
        </w:rPr>
        <w:t xml:space="preserve">± the </w:t>
      </w:r>
      <w:r w:rsidR="00E30B0B" w:rsidRPr="001D19B3">
        <w:rPr>
          <w:rFonts w:ascii="Times New Roman" w:hAnsi="Times New Roman" w:cs="Times New Roman"/>
          <w:sz w:val="24"/>
          <w:szCs w:val="24"/>
        </w:rPr>
        <w:t xml:space="preserve">overall </w:t>
      </w:r>
      <w:r w:rsidR="00CF3EDF" w:rsidRPr="001D19B3">
        <w:rPr>
          <w:rFonts w:ascii="Times New Roman" w:hAnsi="Times New Roman" w:cs="Times New Roman"/>
          <w:sz w:val="24"/>
          <w:szCs w:val="24"/>
        </w:rPr>
        <w:t>standard deviation was approximately ≈ 12.5 ± 0.19.</w:t>
      </w:r>
      <w:r w:rsidR="0094407E" w:rsidRPr="001D19B3">
        <w:rPr>
          <w:rFonts w:ascii="Times New Roman" w:hAnsi="Times New Roman" w:cs="Times New Roman"/>
          <w:sz w:val="24"/>
          <w:szCs w:val="24"/>
        </w:rPr>
        <w:t xml:space="preserve"> In the capability analysis, </w:t>
      </w:r>
      <w:r w:rsidR="00C958C2" w:rsidRPr="001D19B3">
        <w:rPr>
          <w:rFonts w:ascii="Times New Roman" w:hAnsi="Times New Roman" w:cs="Times New Roman"/>
          <w:sz w:val="24"/>
          <w:szCs w:val="24"/>
        </w:rPr>
        <w:t xml:space="preserve">the </w:t>
      </w:r>
      <w:r w:rsidR="002B4604" w:rsidRPr="001D19B3">
        <w:rPr>
          <w:rFonts w:ascii="Times New Roman" w:hAnsi="Times New Roman" w:cs="Times New Roman"/>
          <w:sz w:val="24"/>
          <w:szCs w:val="24"/>
        </w:rPr>
        <w:t xml:space="preserve">width of the </w:t>
      </w:r>
      <w:r w:rsidR="00570159" w:rsidRPr="001D19B3">
        <w:rPr>
          <w:rFonts w:ascii="Times New Roman" w:hAnsi="Times New Roman" w:cs="Times New Roman"/>
          <w:sz w:val="24"/>
          <w:szCs w:val="24"/>
        </w:rPr>
        <w:t xml:space="preserve">inspection characteristic </w:t>
      </w:r>
      <w:r w:rsidR="006F6C1A" w:rsidRPr="001D19B3">
        <w:rPr>
          <w:rFonts w:ascii="Times New Roman" w:hAnsi="Times New Roman" w:cs="Times New Roman"/>
          <w:sz w:val="24"/>
          <w:szCs w:val="24"/>
        </w:rPr>
        <w:t xml:space="preserve">variation </w:t>
      </w:r>
      <w:r w:rsidR="00D83D1C" w:rsidRPr="001D19B3">
        <w:rPr>
          <w:rFonts w:ascii="Times New Roman" w:hAnsi="Times New Roman" w:cs="Times New Roman"/>
          <w:sz w:val="24"/>
          <w:szCs w:val="24"/>
        </w:rPr>
        <w:t xml:space="preserve">i.e., </w:t>
      </w:r>
      <w:r w:rsidR="006F6C1A" w:rsidRPr="001D19B3">
        <w:rPr>
          <w:rFonts w:ascii="Times New Roman" w:hAnsi="Times New Roman" w:cs="Times New Roman"/>
          <w:sz w:val="24"/>
          <w:szCs w:val="24"/>
        </w:rPr>
        <w:t xml:space="preserve">the </w:t>
      </w:r>
      <w:r w:rsidR="00C958C2" w:rsidRPr="001D19B3">
        <w:rPr>
          <w:rFonts w:ascii="Times New Roman" w:hAnsi="Times New Roman" w:cs="Times New Roman"/>
          <w:sz w:val="24"/>
          <w:szCs w:val="24"/>
        </w:rPr>
        <w:t xml:space="preserve">Voice </w:t>
      </w:r>
      <w:r w:rsidR="007555F5" w:rsidRPr="001D19B3">
        <w:rPr>
          <w:rFonts w:ascii="Times New Roman" w:hAnsi="Times New Roman" w:cs="Times New Roman"/>
          <w:sz w:val="24"/>
          <w:szCs w:val="24"/>
        </w:rPr>
        <w:t>o</w:t>
      </w:r>
      <w:r w:rsidR="00C958C2" w:rsidRPr="001D19B3">
        <w:rPr>
          <w:rFonts w:ascii="Times New Roman" w:hAnsi="Times New Roman" w:cs="Times New Roman"/>
          <w:sz w:val="24"/>
          <w:szCs w:val="24"/>
        </w:rPr>
        <w:t>f Process (V</w:t>
      </w:r>
      <w:r w:rsidR="007555F5" w:rsidRPr="001D19B3">
        <w:rPr>
          <w:rFonts w:ascii="Times New Roman" w:hAnsi="Times New Roman" w:cs="Times New Roman"/>
          <w:sz w:val="24"/>
          <w:szCs w:val="24"/>
        </w:rPr>
        <w:t>o</w:t>
      </w:r>
      <w:r w:rsidR="009E3161" w:rsidRPr="001D19B3">
        <w:rPr>
          <w:rFonts w:ascii="Times New Roman" w:hAnsi="Times New Roman" w:cs="Times New Roman"/>
          <w:sz w:val="24"/>
          <w:szCs w:val="24"/>
        </w:rPr>
        <w:t>P</w:t>
      </w:r>
      <w:r w:rsidR="00C958C2" w:rsidRPr="001D19B3">
        <w:rPr>
          <w:rFonts w:ascii="Times New Roman" w:hAnsi="Times New Roman" w:cs="Times New Roman"/>
          <w:sz w:val="24"/>
          <w:szCs w:val="24"/>
        </w:rPr>
        <w:t>) s</w:t>
      </w:r>
      <w:r w:rsidR="002B4604" w:rsidRPr="001D19B3">
        <w:rPr>
          <w:rFonts w:ascii="Times New Roman" w:hAnsi="Times New Roman" w:cs="Times New Roman"/>
          <w:sz w:val="24"/>
          <w:szCs w:val="24"/>
        </w:rPr>
        <w:t>hould be less than the Voice</w:t>
      </w:r>
      <w:r w:rsidR="007555F5" w:rsidRPr="001D19B3">
        <w:rPr>
          <w:rFonts w:ascii="Times New Roman" w:hAnsi="Times New Roman" w:cs="Times New Roman"/>
          <w:sz w:val="24"/>
          <w:szCs w:val="24"/>
        </w:rPr>
        <w:t>o</w:t>
      </w:r>
      <w:r w:rsidR="00D8715E" w:rsidRPr="001D19B3">
        <w:rPr>
          <w:rFonts w:ascii="Times New Roman" w:hAnsi="Times New Roman" w:cs="Times New Roman"/>
          <w:sz w:val="24"/>
          <w:szCs w:val="24"/>
        </w:rPr>
        <w:t>f Customer (V</w:t>
      </w:r>
      <w:r w:rsidR="007555F5" w:rsidRPr="001D19B3">
        <w:rPr>
          <w:rFonts w:ascii="Times New Roman" w:hAnsi="Times New Roman" w:cs="Times New Roman"/>
          <w:sz w:val="24"/>
          <w:szCs w:val="24"/>
        </w:rPr>
        <w:t>o</w:t>
      </w:r>
      <w:r w:rsidR="00D8715E" w:rsidRPr="001D19B3">
        <w:rPr>
          <w:rFonts w:ascii="Times New Roman" w:hAnsi="Times New Roman" w:cs="Times New Roman"/>
          <w:sz w:val="24"/>
          <w:szCs w:val="24"/>
        </w:rPr>
        <w:t>C).</w:t>
      </w:r>
      <w:r w:rsidR="00BF4DBF" w:rsidRPr="001D19B3">
        <w:rPr>
          <w:rFonts w:ascii="Times New Roman" w:hAnsi="Times New Roman" w:cs="Times New Roman"/>
          <w:sz w:val="24"/>
          <w:szCs w:val="24"/>
          <w:vertAlign w:val="superscript"/>
        </w:rPr>
        <w:t>34</w:t>
      </w:r>
      <w:r w:rsidR="00CB3458" w:rsidRPr="001D19B3">
        <w:rPr>
          <w:rFonts w:ascii="Times New Roman" w:hAnsi="Times New Roman" w:cs="Times New Roman"/>
          <w:sz w:val="24"/>
          <w:szCs w:val="24"/>
        </w:rPr>
        <w:t>P</w:t>
      </w:r>
      <w:r w:rsidR="00CB3458" w:rsidRPr="001D19B3">
        <w:rPr>
          <w:rFonts w:ascii="Times New Roman" w:hAnsi="Times New Roman" w:cs="Times New Roman"/>
          <w:sz w:val="24"/>
          <w:szCs w:val="24"/>
          <w:vertAlign w:val="subscript"/>
        </w:rPr>
        <w:t>pk</w:t>
      </w:r>
      <w:r w:rsidR="00CB3458" w:rsidRPr="001D19B3">
        <w:rPr>
          <w:rFonts w:ascii="Times New Roman" w:hAnsi="Times New Roman" w:cs="Times New Roman"/>
          <w:sz w:val="24"/>
          <w:szCs w:val="24"/>
        </w:rPr>
        <w:t xml:space="preserve"> is the index for performance centering.</w:t>
      </w:r>
      <w:r w:rsidR="0091580B" w:rsidRPr="001D19B3">
        <w:rPr>
          <w:rFonts w:ascii="Times New Roman" w:hAnsi="Times New Roman" w:cs="Times New Roman"/>
          <w:sz w:val="24"/>
          <w:szCs w:val="24"/>
          <w:vertAlign w:val="superscript"/>
        </w:rPr>
        <w:t>35</w:t>
      </w:r>
      <w:r w:rsidR="00CB3458" w:rsidRPr="001D19B3">
        <w:rPr>
          <w:rFonts w:ascii="Times New Roman" w:hAnsi="Times New Roman" w:cs="Times New Roman"/>
          <w:sz w:val="24"/>
          <w:szCs w:val="24"/>
        </w:rPr>
        <w:t>It gauges the degree to which the data is centered inside the specified bounds</w:t>
      </w:r>
      <w:r w:rsidR="004A39AB" w:rsidRPr="001D19B3">
        <w:rPr>
          <w:rFonts w:ascii="Times New Roman" w:hAnsi="Times New Roman" w:cs="Times New Roman"/>
          <w:sz w:val="24"/>
          <w:szCs w:val="24"/>
        </w:rPr>
        <w:t>.</w:t>
      </w:r>
      <w:r w:rsidR="00321E50" w:rsidRPr="001D19B3">
        <w:rPr>
          <w:rFonts w:ascii="Times New Roman" w:hAnsi="Times New Roman" w:cs="Times New Roman"/>
          <w:sz w:val="24"/>
          <w:szCs w:val="24"/>
        </w:rPr>
        <w:t xml:space="preserve"> The resultant values in </w:t>
      </w:r>
      <w:r w:rsidR="00CA7216" w:rsidRPr="001D19B3">
        <w:rPr>
          <w:rFonts w:ascii="Times New Roman" w:hAnsi="Times New Roman" w:cs="Times New Roman"/>
          <w:sz w:val="24"/>
          <w:szCs w:val="24"/>
        </w:rPr>
        <w:t>Figures</w:t>
      </w:r>
      <w:r w:rsidR="00321E50" w:rsidRPr="001D19B3">
        <w:rPr>
          <w:rFonts w:ascii="Times New Roman" w:hAnsi="Times New Roman" w:cs="Times New Roman"/>
          <w:sz w:val="24"/>
          <w:szCs w:val="24"/>
        </w:rPr>
        <w:t xml:space="preserve"> 3, 4 and 5 </w:t>
      </w:r>
      <w:r w:rsidR="00616AEA" w:rsidRPr="001D19B3">
        <w:rPr>
          <w:rFonts w:ascii="Times New Roman" w:hAnsi="Times New Roman" w:cs="Times New Roman"/>
          <w:sz w:val="24"/>
          <w:szCs w:val="24"/>
        </w:rPr>
        <w:t>lie within 1.00 and 1.33.</w:t>
      </w:r>
      <w:r w:rsidR="004E2ABF" w:rsidRPr="001D19B3">
        <w:rPr>
          <w:rFonts w:ascii="Times New Roman" w:hAnsi="Times New Roman" w:cs="Times New Roman"/>
          <w:sz w:val="24"/>
          <w:szCs w:val="24"/>
          <w:vertAlign w:val="superscript"/>
        </w:rPr>
        <w:t>36</w:t>
      </w:r>
      <w:r w:rsidR="00616AEA" w:rsidRPr="001D19B3">
        <w:rPr>
          <w:rFonts w:ascii="Times New Roman" w:hAnsi="Times New Roman" w:cs="Times New Roman"/>
          <w:sz w:val="24"/>
          <w:szCs w:val="24"/>
        </w:rPr>
        <w:t xml:space="preserve"> This </w:t>
      </w:r>
      <w:r w:rsidR="00CA7216" w:rsidRPr="001D19B3">
        <w:rPr>
          <w:rFonts w:ascii="Times New Roman" w:hAnsi="Times New Roman" w:cs="Times New Roman"/>
          <w:sz w:val="24"/>
          <w:szCs w:val="24"/>
        </w:rPr>
        <w:t>is in</w:t>
      </w:r>
      <w:r w:rsidR="00B14B57" w:rsidRPr="001D19B3">
        <w:rPr>
          <w:rFonts w:ascii="Times New Roman" w:hAnsi="Times New Roman" w:cs="Times New Roman"/>
          <w:sz w:val="24"/>
          <w:szCs w:val="24"/>
        </w:rPr>
        <w:t xml:space="preserve"> the </w:t>
      </w:r>
      <w:r w:rsidR="00130431" w:rsidRPr="001D19B3">
        <w:rPr>
          <w:rFonts w:ascii="Times New Roman" w:hAnsi="Times New Roman" w:cs="Times New Roman"/>
          <w:sz w:val="24"/>
          <w:szCs w:val="24"/>
        </w:rPr>
        <w:t xml:space="preserve">middle of </w:t>
      </w:r>
      <w:r w:rsidR="00D0467E" w:rsidRPr="001D19B3">
        <w:rPr>
          <w:rFonts w:ascii="Times New Roman" w:hAnsi="Times New Roman" w:cs="Times New Roman"/>
          <w:sz w:val="24"/>
          <w:szCs w:val="24"/>
        </w:rPr>
        <w:t>the road</w:t>
      </w:r>
      <w:r w:rsidR="00B14B57" w:rsidRPr="001D19B3">
        <w:rPr>
          <w:rFonts w:ascii="Times New Roman" w:hAnsi="Times New Roman" w:cs="Times New Roman"/>
          <w:sz w:val="24"/>
          <w:szCs w:val="24"/>
        </w:rPr>
        <w:t xml:space="preserve"> and more improvement </w:t>
      </w:r>
      <w:r w:rsidR="00C972A9" w:rsidRPr="001D19B3">
        <w:rPr>
          <w:rFonts w:ascii="Times New Roman" w:hAnsi="Times New Roman" w:cs="Times New Roman"/>
          <w:sz w:val="24"/>
          <w:szCs w:val="24"/>
        </w:rPr>
        <w:t xml:space="preserve">should be </w:t>
      </w:r>
      <w:r w:rsidR="00887188" w:rsidRPr="001D19B3">
        <w:rPr>
          <w:rFonts w:ascii="Times New Roman" w:hAnsi="Times New Roman" w:cs="Times New Roman"/>
          <w:sz w:val="24"/>
          <w:szCs w:val="24"/>
        </w:rPr>
        <w:t>made</w:t>
      </w:r>
      <w:r w:rsidR="00C972A9" w:rsidRPr="001D19B3">
        <w:rPr>
          <w:rFonts w:ascii="Times New Roman" w:hAnsi="Times New Roman" w:cs="Times New Roman"/>
          <w:sz w:val="24"/>
          <w:szCs w:val="24"/>
        </w:rPr>
        <w:t xml:space="preserve"> to achieve the benchmark target value.</w:t>
      </w:r>
      <w:r w:rsidR="00EA2202" w:rsidRPr="001D19B3">
        <w:rPr>
          <w:rFonts w:ascii="Times New Roman" w:hAnsi="Times New Roman" w:cs="Times New Roman"/>
          <w:sz w:val="24"/>
          <w:szCs w:val="24"/>
        </w:rPr>
        <w:t xml:space="preserve"> On the other hand, </w:t>
      </w:r>
      <w:r w:rsidR="00D0467E" w:rsidRPr="001D19B3">
        <w:rPr>
          <w:rFonts w:ascii="Times New Roman" w:hAnsi="Times New Roman" w:cs="Times New Roman"/>
          <w:sz w:val="24"/>
          <w:szCs w:val="24"/>
        </w:rPr>
        <w:t>P</w:t>
      </w:r>
      <w:r w:rsidR="00D0467E" w:rsidRPr="001D19B3">
        <w:rPr>
          <w:rFonts w:ascii="Times New Roman" w:hAnsi="Times New Roman" w:cs="Times New Roman"/>
          <w:sz w:val="24"/>
          <w:szCs w:val="24"/>
          <w:vertAlign w:val="subscript"/>
        </w:rPr>
        <w:t>p</w:t>
      </w:r>
      <w:r w:rsidR="00D0467E" w:rsidRPr="001D19B3">
        <w:rPr>
          <w:rFonts w:ascii="Times New Roman" w:hAnsi="Times New Roman" w:cs="Times New Roman"/>
          <w:sz w:val="24"/>
          <w:szCs w:val="24"/>
        </w:rPr>
        <w:t xml:space="preserve"> is the index of performance.</w:t>
      </w:r>
      <w:r w:rsidR="007D08CF" w:rsidRPr="001D19B3">
        <w:rPr>
          <w:rFonts w:ascii="Times New Roman" w:hAnsi="Times New Roman" w:cs="Times New Roman"/>
          <w:sz w:val="24"/>
          <w:szCs w:val="24"/>
          <w:vertAlign w:val="superscript"/>
        </w:rPr>
        <w:t>35,36</w:t>
      </w:r>
      <w:r w:rsidR="00D0467E" w:rsidRPr="001D19B3">
        <w:rPr>
          <w:rFonts w:ascii="Times New Roman" w:hAnsi="Times New Roman" w:cs="Times New Roman"/>
          <w:sz w:val="24"/>
          <w:szCs w:val="24"/>
        </w:rPr>
        <w:t xml:space="preserve"> It gauges the degree to which the data could fit inside the specified bounds (USL, LSL).</w:t>
      </w:r>
      <w:r w:rsidR="007D08CF" w:rsidRPr="001D19B3">
        <w:rPr>
          <w:rFonts w:ascii="Times New Roman" w:hAnsi="Times New Roman" w:cs="Times New Roman"/>
          <w:sz w:val="24"/>
          <w:szCs w:val="24"/>
          <w:vertAlign w:val="superscript"/>
        </w:rPr>
        <w:t>35,36</w:t>
      </w:r>
      <w:r w:rsidR="00D0467E" w:rsidRPr="001D19B3">
        <w:rPr>
          <w:rFonts w:ascii="Times New Roman" w:hAnsi="Times New Roman" w:cs="Times New Roman"/>
          <w:sz w:val="24"/>
          <w:szCs w:val="24"/>
        </w:rPr>
        <w:t xml:space="preserve"> Nevertheless, it doesn't matter if it is centered within the boundaries window.</w:t>
      </w:r>
      <w:r w:rsidR="00C36AE3" w:rsidRPr="001D19B3">
        <w:rPr>
          <w:rFonts w:ascii="Times New Roman" w:hAnsi="Times New Roman" w:cs="Times New Roman"/>
          <w:sz w:val="24"/>
          <w:szCs w:val="24"/>
        </w:rPr>
        <w:t xml:space="preserve"> In this case, it is obvious that the inspection </w:t>
      </w:r>
      <w:r w:rsidR="00755040" w:rsidRPr="001D19B3">
        <w:rPr>
          <w:rFonts w:ascii="Times New Roman" w:hAnsi="Times New Roman" w:cs="Times New Roman"/>
          <w:sz w:val="24"/>
          <w:szCs w:val="24"/>
        </w:rPr>
        <w:t>characteristic of the assay results yielded satisfactory result</w:t>
      </w:r>
      <w:r w:rsidR="00E7416D" w:rsidRPr="001D19B3">
        <w:rPr>
          <w:rFonts w:ascii="Times New Roman" w:hAnsi="Times New Roman" w:cs="Times New Roman"/>
          <w:sz w:val="24"/>
          <w:szCs w:val="24"/>
        </w:rPr>
        <w:t xml:space="preserve">s in terms of </w:t>
      </w:r>
      <w:r w:rsidR="00927CEF" w:rsidRPr="001D19B3">
        <w:rPr>
          <w:rFonts w:ascii="Times New Roman" w:hAnsi="Times New Roman" w:cs="Times New Roman"/>
          <w:sz w:val="24"/>
          <w:szCs w:val="24"/>
        </w:rPr>
        <w:t>the overall capability examination</w:t>
      </w:r>
      <w:r w:rsidR="00187ACE" w:rsidRPr="001D19B3">
        <w:rPr>
          <w:rFonts w:ascii="Times New Roman" w:hAnsi="Times New Roman" w:cs="Times New Roman"/>
          <w:sz w:val="24"/>
          <w:szCs w:val="24"/>
        </w:rPr>
        <w:t xml:space="preserve"> study</w:t>
      </w:r>
      <w:r w:rsidR="00E7416D" w:rsidRPr="001D19B3">
        <w:rPr>
          <w:rFonts w:ascii="Times New Roman" w:hAnsi="Times New Roman" w:cs="Times New Roman"/>
          <w:sz w:val="24"/>
          <w:szCs w:val="24"/>
        </w:rPr>
        <w:t>.</w:t>
      </w:r>
    </w:p>
    <w:p w:rsidR="00452594" w:rsidRPr="001D19B3" w:rsidRDefault="007934C3" w:rsidP="00A93730">
      <w:pPr>
        <w:spacing w:after="0"/>
        <w:jc w:val="both"/>
        <w:rPr>
          <w:rFonts w:ascii="Times New Roman" w:hAnsi="Times New Roman" w:cs="Times New Roman"/>
          <w:sz w:val="24"/>
          <w:szCs w:val="24"/>
        </w:rPr>
      </w:pPr>
      <w:r w:rsidRPr="001D19B3">
        <w:rPr>
          <w:rFonts w:ascii="Times New Roman" w:hAnsi="Times New Roman" w:cs="Times New Roman"/>
          <w:sz w:val="24"/>
          <w:szCs w:val="24"/>
        </w:rPr>
        <w:t>Z</w:t>
      </w:r>
      <w:r w:rsidR="00803E7D" w:rsidRPr="001D19B3">
        <w:rPr>
          <w:rFonts w:ascii="Times New Roman" w:hAnsi="Times New Roman" w:cs="Times New Roman"/>
          <w:sz w:val="24"/>
          <w:szCs w:val="24"/>
        </w:rPr>
        <w:t>.</w:t>
      </w:r>
      <w:r w:rsidRPr="001D19B3">
        <w:rPr>
          <w:rFonts w:ascii="Times New Roman" w:hAnsi="Times New Roman" w:cs="Times New Roman"/>
          <w:sz w:val="24"/>
          <w:szCs w:val="24"/>
        </w:rPr>
        <w:t>bench (overall) is the percentile that converts the predicted probability of process defects to an upper tail probability on a standard underlying assumed distribution.</w:t>
      </w:r>
      <w:r w:rsidR="00DB0331" w:rsidRPr="001D19B3">
        <w:rPr>
          <w:rFonts w:ascii="Times New Roman" w:hAnsi="Times New Roman" w:cs="Times New Roman"/>
          <w:sz w:val="24"/>
          <w:szCs w:val="24"/>
          <w:vertAlign w:val="superscript"/>
        </w:rPr>
        <w:t>37</w:t>
      </w:r>
      <w:r w:rsidRPr="001D19B3">
        <w:rPr>
          <w:rFonts w:ascii="Times New Roman" w:hAnsi="Times New Roman" w:cs="Times New Roman"/>
          <w:sz w:val="24"/>
          <w:szCs w:val="24"/>
        </w:rPr>
        <w:t xml:space="preserve"> It is computed using the overall standard deviation and is dependent on the overall performance of the process.</w:t>
      </w:r>
      <w:r w:rsidR="00672126" w:rsidRPr="001D19B3">
        <w:rPr>
          <w:rFonts w:ascii="Times New Roman" w:hAnsi="Times New Roman" w:cs="Times New Roman"/>
          <w:sz w:val="24"/>
          <w:szCs w:val="24"/>
          <w:vertAlign w:val="superscript"/>
        </w:rPr>
        <w:t>37</w:t>
      </w:r>
      <w:r w:rsidR="005C1153" w:rsidRPr="001D19B3">
        <w:rPr>
          <w:rFonts w:ascii="Times New Roman" w:hAnsi="Times New Roman" w:cs="Times New Roman"/>
          <w:sz w:val="24"/>
          <w:szCs w:val="24"/>
        </w:rPr>
        <w:t xml:space="preserve"> While Z.LSL</w:t>
      </w:r>
      <w:r w:rsidR="00EB2371" w:rsidRPr="001D19B3">
        <w:rPr>
          <w:rFonts w:ascii="Times New Roman" w:hAnsi="Times New Roman" w:cs="Times New Roman"/>
          <w:sz w:val="24"/>
          <w:szCs w:val="24"/>
        </w:rPr>
        <w:t xml:space="preserve"> w</w:t>
      </w:r>
      <w:r w:rsidR="00B6035C" w:rsidRPr="001D19B3">
        <w:rPr>
          <w:rFonts w:ascii="Times New Roman" w:hAnsi="Times New Roman" w:cs="Times New Roman"/>
          <w:sz w:val="24"/>
          <w:szCs w:val="24"/>
        </w:rPr>
        <w:t>as</w:t>
      </w:r>
      <w:r w:rsidR="00475D64" w:rsidRPr="001D19B3">
        <w:rPr>
          <w:rFonts w:ascii="Times New Roman" w:hAnsi="Times New Roman" w:cs="Times New Roman"/>
          <w:sz w:val="24"/>
          <w:szCs w:val="24"/>
        </w:rPr>
        <w:t xml:space="preserve"> acceptable</w:t>
      </w:r>
      <w:r w:rsidR="00B6035C" w:rsidRPr="001D19B3">
        <w:rPr>
          <w:rFonts w:ascii="Times New Roman" w:hAnsi="Times New Roman" w:cs="Times New Roman"/>
          <w:sz w:val="24"/>
          <w:szCs w:val="24"/>
        </w:rPr>
        <w:t>, Z.USL</w:t>
      </w:r>
      <w:r w:rsidR="0037143D" w:rsidRPr="001D19B3">
        <w:rPr>
          <w:rFonts w:ascii="Times New Roman" w:hAnsi="Times New Roman" w:cs="Times New Roman"/>
          <w:sz w:val="24"/>
          <w:szCs w:val="24"/>
        </w:rPr>
        <w:t xml:space="preserve"> showed values below Z.bench</w:t>
      </w:r>
      <w:r w:rsidR="005C4D6E" w:rsidRPr="001D19B3">
        <w:rPr>
          <w:rFonts w:ascii="Times New Roman" w:hAnsi="Times New Roman" w:cs="Times New Roman"/>
          <w:sz w:val="24"/>
          <w:szCs w:val="24"/>
        </w:rPr>
        <w:t>.</w:t>
      </w:r>
      <w:r w:rsidR="004F0F05" w:rsidRPr="001D19B3">
        <w:rPr>
          <w:rFonts w:ascii="Times New Roman" w:hAnsi="Times New Roman" w:cs="Times New Roman"/>
          <w:sz w:val="24"/>
          <w:szCs w:val="24"/>
        </w:rPr>
        <w:t xml:space="preserve">The predicted percentage of parts outside of the specified limitations is the percent total for expected overall performance. Calculating the expected value involves </w:t>
      </w:r>
      <w:r w:rsidR="00A757B8" w:rsidRPr="001D19B3">
        <w:rPr>
          <w:rFonts w:ascii="Times New Roman" w:hAnsi="Times New Roman" w:cs="Times New Roman"/>
          <w:sz w:val="24"/>
          <w:szCs w:val="24"/>
        </w:rPr>
        <w:t>utilizing</w:t>
      </w:r>
      <w:r w:rsidR="004F0F05" w:rsidRPr="001D19B3">
        <w:rPr>
          <w:rFonts w:ascii="Times New Roman" w:hAnsi="Times New Roman" w:cs="Times New Roman"/>
          <w:sz w:val="24"/>
          <w:szCs w:val="24"/>
        </w:rPr>
        <w:t xml:space="preserve"> the total standard deviation. The probability that the measurement of a randomly chosen portion from the overall process distribution is beyond the specified bounds is the percentage total for predicted overall performance.</w:t>
      </w:r>
    </w:p>
    <w:commentRangeEnd w:id="14"/>
    <w:p w:rsidR="00A10908" w:rsidRPr="001D19B3" w:rsidRDefault="00B30A45" w:rsidP="00A93730">
      <w:pPr>
        <w:spacing w:after="0"/>
        <w:jc w:val="both"/>
        <w:rPr>
          <w:rFonts w:ascii="Times New Roman" w:hAnsi="Times New Roman" w:cs="Times New Roman"/>
          <w:sz w:val="24"/>
          <w:szCs w:val="24"/>
        </w:rPr>
      </w:pPr>
      <w:r>
        <w:rPr>
          <w:rStyle w:val="CommentReference"/>
        </w:rPr>
        <w:commentReference w:id="14"/>
      </w:r>
      <w:commentRangeStart w:id="15"/>
      <w:r w:rsidR="002F77E3" w:rsidRPr="001D19B3">
        <w:rPr>
          <w:rFonts w:ascii="Times New Roman" w:hAnsi="Times New Roman" w:cs="Times New Roman"/>
          <w:sz w:val="24"/>
          <w:szCs w:val="24"/>
        </w:rPr>
        <w:t xml:space="preserve">Based on the overall variation of </w:t>
      </w:r>
      <w:r w:rsidR="004B5392" w:rsidRPr="001D19B3">
        <w:rPr>
          <w:rFonts w:ascii="Times New Roman" w:hAnsi="Times New Roman" w:cs="Times New Roman"/>
          <w:sz w:val="24"/>
          <w:szCs w:val="24"/>
        </w:rPr>
        <w:t>the monitored</w:t>
      </w:r>
      <w:r w:rsidR="002F77E3" w:rsidRPr="001D19B3">
        <w:rPr>
          <w:rFonts w:ascii="Times New Roman" w:hAnsi="Times New Roman" w:cs="Times New Roman"/>
          <w:sz w:val="24"/>
          <w:szCs w:val="24"/>
        </w:rPr>
        <w:t xml:space="preserve"> process, the percentage above USL is used for predicted overall performance to estimate the percentage of nonconforming products that might be expected to be above the upper specification limit.</w:t>
      </w:r>
      <w:r w:rsidR="00636543" w:rsidRPr="001D19B3">
        <w:rPr>
          <w:rFonts w:ascii="Times New Roman" w:hAnsi="Times New Roman" w:cs="Times New Roman"/>
          <w:sz w:val="24"/>
          <w:szCs w:val="24"/>
          <w:vertAlign w:val="superscript"/>
        </w:rPr>
        <w:t>38</w:t>
      </w:r>
      <w:r w:rsidR="002F77E3" w:rsidRPr="001D19B3">
        <w:rPr>
          <w:rFonts w:ascii="Times New Roman" w:hAnsi="Times New Roman" w:cs="Times New Roman"/>
          <w:sz w:val="24"/>
          <w:szCs w:val="24"/>
        </w:rPr>
        <w:t xml:space="preserve"> The actual process performance that the inspection property experiences over time is indicated by the overall performance values.</w:t>
      </w:r>
      <w:r w:rsidR="007D71E2" w:rsidRPr="001D19B3">
        <w:rPr>
          <w:rFonts w:ascii="Times New Roman" w:hAnsi="Times New Roman" w:cs="Times New Roman"/>
          <w:sz w:val="24"/>
          <w:szCs w:val="24"/>
          <w:vertAlign w:val="superscript"/>
        </w:rPr>
        <w:t>38</w:t>
      </w:r>
      <w:r w:rsidR="002F77E3" w:rsidRPr="001D19B3">
        <w:rPr>
          <w:rFonts w:ascii="Times New Roman" w:hAnsi="Times New Roman" w:cs="Times New Roman"/>
          <w:sz w:val="24"/>
          <w:szCs w:val="24"/>
        </w:rPr>
        <w:t xml:space="preserve"> In comparison to the maximum specification limit, lower values of the percentage over USL indicate more process capability. Few or no parts should have measurements that are higher than the highest limit of the specification.</w:t>
      </w:r>
      <w:r w:rsidR="00F16C65" w:rsidRPr="001D19B3">
        <w:rPr>
          <w:rFonts w:ascii="Times New Roman" w:hAnsi="Times New Roman" w:cs="Times New Roman"/>
          <w:sz w:val="24"/>
          <w:szCs w:val="24"/>
        </w:rPr>
        <w:t xml:space="preserve"> The same could be extrapolated for the percentage below</w:t>
      </w:r>
      <w:r w:rsidR="00A7344B" w:rsidRPr="001D19B3">
        <w:rPr>
          <w:rFonts w:ascii="Times New Roman" w:hAnsi="Times New Roman" w:cs="Times New Roman"/>
          <w:sz w:val="24"/>
          <w:szCs w:val="24"/>
        </w:rPr>
        <w:t xml:space="preserve"> LSL.</w:t>
      </w:r>
      <w:commentRangeEnd w:id="15"/>
      <w:r>
        <w:rPr>
          <w:rStyle w:val="CommentReference"/>
        </w:rPr>
        <w:commentReference w:id="15"/>
      </w:r>
    </w:p>
    <w:p w:rsidR="00D37AC5" w:rsidRPr="001D19B3" w:rsidRDefault="00D37AC5"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lastRenderedPageBreak/>
        <w:drawing>
          <wp:inline distT="0" distB="0" distL="0" distR="0">
            <wp:extent cx="5938651" cy="42862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289822"/>
                    </a:xfrm>
                    <a:prstGeom prst="rect">
                      <a:avLst/>
                    </a:prstGeom>
                    <a:noFill/>
                    <a:ln>
                      <a:noFill/>
                    </a:ln>
                  </pic:spPr>
                </pic:pic>
              </a:graphicData>
            </a:graphic>
          </wp:inline>
        </w:drawing>
      </w:r>
    </w:p>
    <w:p w:rsidR="00D306CF" w:rsidRPr="001D19B3" w:rsidRDefault="00D306CF"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drawing>
          <wp:inline distT="0" distB="0" distL="0" distR="0">
            <wp:extent cx="5943600" cy="3105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105150"/>
                    </a:xfrm>
                    <a:prstGeom prst="rect">
                      <a:avLst/>
                    </a:prstGeom>
                    <a:noFill/>
                    <a:ln>
                      <a:noFill/>
                    </a:ln>
                  </pic:spPr>
                </pic:pic>
              </a:graphicData>
            </a:graphic>
          </wp:inline>
        </w:drawing>
      </w:r>
    </w:p>
    <w:p w:rsidR="0072201B" w:rsidRPr="001D19B3" w:rsidRDefault="0072201B" w:rsidP="00A93730">
      <w:pPr>
        <w:spacing w:after="0"/>
        <w:jc w:val="center"/>
        <w:rPr>
          <w:rFonts w:ascii="Times New Roman" w:hAnsi="Times New Roman" w:cs="Times New Roman"/>
          <w:b/>
          <w:bCs/>
          <w:sz w:val="24"/>
          <w:szCs w:val="24"/>
        </w:rPr>
      </w:pPr>
      <w:r w:rsidRPr="001D19B3">
        <w:rPr>
          <w:rFonts w:ascii="Times New Roman" w:hAnsi="Times New Roman" w:cs="Times New Roman"/>
          <w:b/>
          <w:bCs/>
          <w:sz w:val="24"/>
          <w:szCs w:val="24"/>
        </w:rPr>
        <w:t>Figure 3:</w:t>
      </w:r>
      <w:r w:rsidR="00353D68" w:rsidRPr="001D19B3">
        <w:rPr>
          <w:rFonts w:ascii="Times New Roman" w:hAnsi="Times New Roman" w:cs="Times New Roman"/>
          <w:b/>
          <w:bCs/>
          <w:sz w:val="24"/>
          <w:szCs w:val="24"/>
        </w:rPr>
        <w:t xml:space="preserve">Process capability </w:t>
      </w:r>
      <w:r w:rsidR="00D306CF" w:rsidRPr="001D19B3">
        <w:rPr>
          <w:rFonts w:ascii="Times New Roman" w:hAnsi="Times New Roman" w:cs="Times New Roman"/>
          <w:b/>
          <w:bCs/>
          <w:sz w:val="24"/>
          <w:szCs w:val="24"/>
        </w:rPr>
        <w:t>six-pack</w:t>
      </w:r>
      <w:r w:rsidR="00F07112" w:rsidRPr="001D19B3">
        <w:rPr>
          <w:rFonts w:ascii="Times New Roman" w:hAnsi="Times New Roman" w:cs="Times New Roman"/>
          <w:b/>
          <w:bCs/>
          <w:sz w:val="24"/>
          <w:szCs w:val="24"/>
        </w:rPr>
        <w:t xml:space="preserve"> of</w:t>
      </w:r>
      <w:r w:rsidR="00CA28B5" w:rsidRPr="001D19B3">
        <w:rPr>
          <w:rFonts w:ascii="Times New Roman" w:hAnsi="Times New Roman" w:cs="Times New Roman"/>
          <w:b/>
          <w:bCs/>
          <w:sz w:val="24"/>
          <w:szCs w:val="24"/>
        </w:rPr>
        <w:t xml:space="preserve"> the assay using Johnson transformation </w:t>
      </w:r>
      <w:r w:rsidR="001E64BB" w:rsidRPr="001D19B3">
        <w:rPr>
          <w:rFonts w:ascii="Times New Roman" w:hAnsi="Times New Roman" w:cs="Times New Roman"/>
          <w:b/>
          <w:bCs/>
          <w:sz w:val="24"/>
          <w:szCs w:val="24"/>
        </w:rPr>
        <w:t>to the normal distribution</w:t>
      </w:r>
      <w:r w:rsidR="00F175C3" w:rsidRPr="001D19B3">
        <w:rPr>
          <w:rFonts w:ascii="Times New Roman" w:hAnsi="Times New Roman" w:cs="Times New Roman"/>
          <w:b/>
          <w:bCs/>
          <w:sz w:val="24"/>
          <w:szCs w:val="24"/>
        </w:rPr>
        <w:t>using transformation function γ + η ln [(x – ε) / (λ + ε – x)]</w:t>
      </w:r>
      <w:r w:rsidR="008162AE" w:rsidRPr="001D19B3">
        <w:rPr>
          <w:rFonts w:ascii="Times New Roman" w:hAnsi="Times New Roman" w:cs="Times New Roman"/>
          <w:b/>
          <w:bCs/>
          <w:sz w:val="24"/>
          <w:szCs w:val="24"/>
        </w:rPr>
        <w:t xml:space="preserve"> for Johnson family </w:t>
      </w:r>
      <w:r w:rsidR="00B50364" w:rsidRPr="001D19B3">
        <w:rPr>
          <w:rFonts w:ascii="Times New Roman" w:hAnsi="Times New Roman" w:cs="Times New Roman"/>
          <w:b/>
          <w:bCs/>
          <w:sz w:val="24"/>
          <w:szCs w:val="24"/>
        </w:rPr>
        <w:t xml:space="preserve">distribution with the variable bounded </w:t>
      </w:r>
      <w:r w:rsidR="00C648DE" w:rsidRPr="001D19B3">
        <w:rPr>
          <w:rFonts w:ascii="Times New Roman" w:hAnsi="Times New Roman" w:cs="Times New Roman"/>
          <w:b/>
          <w:bCs/>
          <w:sz w:val="24"/>
          <w:szCs w:val="24"/>
        </w:rPr>
        <w:t>{</w:t>
      </w:r>
      <w:r w:rsidR="00B50364" w:rsidRPr="001D19B3">
        <w:rPr>
          <w:rFonts w:ascii="Times New Roman" w:hAnsi="Times New Roman" w:cs="Times New Roman"/>
          <w:b/>
          <w:bCs/>
          <w:sz w:val="24"/>
          <w:szCs w:val="24"/>
        </w:rPr>
        <w:t>B</w:t>
      </w:r>
      <w:r w:rsidR="00C648DE" w:rsidRPr="001D19B3">
        <w:rPr>
          <w:rFonts w:ascii="Times New Roman" w:hAnsi="Times New Roman" w:cs="Times New Roman"/>
          <w:b/>
          <w:bCs/>
          <w:sz w:val="24"/>
          <w:szCs w:val="24"/>
        </w:rPr>
        <w:t>}(</w:t>
      </w:r>
      <w:r w:rsidR="008162AE" w:rsidRPr="001D19B3">
        <w:rPr>
          <w:rFonts w:ascii="Times New Roman" w:hAnsi="Times New Roman" w:cs="Times New Roman"/>
          <w:b/>
          <w:bCs/>
          <w:sz w:val="24"/>
          <w:szCs w:val="24"/>
        </w:rPr>
        <w:t>SB</w:t>
      </w:r>
      <w:r w:rsidR="00C648DE" w:rsidRPr="001D19B3">
        <w:rPr>
          <w:rFonts w:ascii="Times New Roman" w:hAnsi="Times New Roman" w:cs="Times New Roman"/>
          <w:b/>
          <w:bCs/>
          <w:sz w:val="24"/>
          <w:szCs w:val="24"/>
        </w:rPr>
        <w:t>)</w:t>
      </w:r>
      <w:r w:rsidR="00F62C7C" w:rsidRPr="001D19B3">
        <w:rPr>
          <w:rFonts w:ascii="Times New Roman" w:hAnsi="Times New Roman" w:cs="Times New Roman"/>
          <w:b/>
          <w:bCs/>
          <w:sz w:val="24"/>
          <w:szCs w:val="24"/>
        </w:rPr>
        <w:t xml:space="preserve"> with a</w:t>
      </w:r>
      <w:r w:rsidR="00DF541A" w:rsidRPr="001D19B3">
        <w:rPr>
          <w:rFonts w:ascii="Times New Roman" w:hAnsi="Times New Roman" w:cs="Times New Roman"/>
          <w:b/>
          <w:bCs/>
          <w:sz w:val="24"/>
          <w:szCs w:val="24"/>
        </w:rPr>
        <w:t xml:space="preserve"> range of η, λ &gt; 0, –∞ &lt; γ &lt;</w:t>
      </w:r>
      <w:r w:rsidR="0090604A" w:rsidRPr="001D19B3">
        <w:rPr>
          <w:rFonts w:ascii="Times New Roman" w:hAnsi="Times New Roman" w:cs="Times New Roman"/>
          <w:b/>
          <w:bCs/>
          <w:sz w:val="24"/>
          <w:szCs w:val="24"/>
        </w:rPr>
        <w:t>∞,</w:t>
      </w:r>
      <w:r w:rsidR="00DF541A" w:rsidRPr="001D19B3">
        <w:rPr>
          <w:rFonts w:ascii="Times New Roman" w:hAnsi="Times New Roman" w:cs="Times New Roman"/>
          <w:b/>
          <w:bCs/>
          <w:sz w:val="24"/>
          <w:szCs w:val="24"/>
        </w:rPr>
        <w:t xml:space="preserve"> –∞ &lt; ε &lt; ∞, ε &lt; x &lt; ε + λ</w:t>
      </w:r>
      <w:r w:rsidR="00C441AD" w:rsidRPr="001D19B3">
        <w:rPr>
          <w:rFonts w:ascii="Times New Roman" w:hAnsi="Times New Roman" w:cs="Times New Roman"/>
          <w:b/>
          <w:bCs/>
          <w:sz w:val="24"/>
          <w:szCs w:val="24"/>
        </w:rPr>
        <w:t>.</w:t>
      </w:r>
    </w:p>
    <w:p w:rsidR="00D007F3" w:rsidRPr="001D19B3" w:rsidRDefault="00D007F3"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lastRenderedPageBreak/>
        <w:drawing>
          <wp:inline distT="0" distB="0" distL="0" distR="0">
            <wp:extent cx="5943600" cy="445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inline>
        </w:drawing>
      </w:r>
    </w:p>
    <w:p w:rsidR="00D306CF" w:rsidRPr="001D19B3" w:rsidRDefault="00D306CF"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drawing>
          <wp:inline distT="0" distB="0" distL="0" distR="0">
            <wp:extent cx="5943600" cy="3381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381375"/>
                    </a:xfrm>
                    <a:prstGeom prst="rect">
                      <a:avLst/>
                    </a:prstGeom>
                    <a:noFill/>
                    <a:ln>
                      <a:noFill/>
                    </a:ln>
                  </pic:spPr>
                </pic:pic>
              </a:graphicData>
            </a:graphic>
          </wp:inline>
        </w:drawing>
      </w:r>
    </w:p>
    <w:p w:rsidR="00252EAB" w:rsidRPr="001D19B3" w:rsidRDefault="00252EAB" w:rsidP="00A93730">
      <w:pPr>
        <w:spacing w:after="0"/>
        <w:jc w:val="center"/>
        <w:rPr>
          <w:rFonts w:ascii="Times New Roman" w:hAnsi="Times New Roman" w:cs="Times New Roman"/>
          <w:sz w:val="24"/>
          <w:szCs w:val="24"/>
        </w:rPr>
      </w:pPr>
      <w:r w:rsidRPr="001D19B3">
        <w:rPr>
          <w:rFonts w:ascii="Times New Roman" w:hAnsi="Times New Roman" w:cs="Times New Roman"/>
          <w:b/>
          <w:bCs/>
          <w:sz w:val="24"/>
          <w:szCs w:val="24"/>
        </w:rPr>
        <w:t xml:space="preserve">Figure 4: Process capability </w:t>
      </w:r>
      <w:r w:rsidR="00D306CF" w:rsidRPr="001D19B3">
        <w:rPr>
          <w:rFonts w:ascii="Times New Roman" w:hAnsi="Times New Roman" w:cs="Times New Roman"/>
          <w:b/>
          <w:bCs/>
          <w:sz w:val="24"/>
          <w:szCs w:val="24"/>
        </w:rPr>
        <w:t>six-pack</w:t>
      </w:r>
      <w:r w:rsidRPr="001D19B3">
        <w:rPr>
          <w:rFonts w:ascii="Times New Roman" w:hAnsi="Times New Roman" w:cs="Times New Roman"/>
          <w:b/>
          <w:bCs/>
          <w:sz w:val="24"/>
          <w:szCs w:val="24"/>
        </w:rPr>
        <w:t xml:space="preserve"> of the assay using</w:t>
      </w:r>
      <w:r w:rsidR="00CA0D6C" w:rsidRPr="001D19B3">
        <w:rPr>
          <w:rFonts w:ascii="Times New Roman" w:hAnsi="Times New Roman" w:cs="Times New Roman"/>
          <w:b/>
          <w:bCs/>
          <w:sz w:val="24"/>
          <w:szCs w:val="24"/>
        </w:rPr>
        <w:t xml:space="preserve"> smallest extreme value distribution</w:t>
      </w:r>
      <w:r w:rsidR="00C441AD" w:rsidRPr="001D19B3">
        <w:rPr>
          <w:rFonts w:ascii="Times New Roman" w:hAnsi="Times New Roman" w:cs="Times New Roman"/>
          <w:b/>
          <w:bCs/>
          <w:sz w:val="24"/>
          <w:szCs w:val="24"/>
        </w:rPr>
        <w:t xml:space="preserve">. </w:t>
      </w:r>
    </w:p>
    <w:p w:rsidR="00D37AC5" w:rsidRPr="001D19B3" w:rsidRDefault="00D37AC5"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lastRenderedPageBreak/>
        <w:drawing>
          <wp:inline distT="0" distB="0" distL="0" distR="0">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57700"/>
                    </a:xfrm>
                    <a:prstGeom prst="rect">
                      <a:avLst/>
                    </a:prstGeom>
                    <a:noFill/>
                    <a:ln>
                      <a:noFill/>
                    </a:ln>
                  </pic:spPr>
                </pic:pic>
              </a:graphicData>
            </a:graphic>
          </wp:inline>
        </w:drawing>
      </w:r>
    </w:p>
    <w:p w:rsidR="00D306CF" w:rsidRPr="001D19B3" w:rsidRDefault="00D306CF" w:rsidP="00A93730">
      <w:pPr>
        <w:spacing w:after="0"/>
        <w:jc w:val="center"/>
        <w:rPr>
          <w:rFonts w:ascii="Times New Roman" w:hAnsi="Times New Roman" w:cs="Times New Roman"/>
          <w:sz w:val="24"/>
          <w:szCs w:val="24"/>
        </w:rPr>
      </w:pPr>
      <w:r w:rsidRPr="001D19B3">
        <w:rPr>
          <w:rFonts w:ascii="Times New Roman" w:hAnsi="Times New Roman" w:cs="Times New Roman"/>
          <w:noProof/>
          <w:sz w:val="24"/>
          <w:szCs w:val="24"/>
        </w:rPr>
        <w:drawing>
          <wp:inline distT="0" distB="0" distL="0" distR="0">
            <wp:extent cx="5943600"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09950"/>
                    </a:xfrm>
                    <a:prstGeom prst="rect">
                      <a:avLst/>
                    </a:prstGeom>
                    <a:noFill/>
                    <a:ln>
                      <a:noFill/>
                    </a:ln>
                  </pic:spPr>
                </pic:pic>
              </a:graphicData>
            </a:graphic>
          </wp:inline>
        </w:drawing>
      </w:r>
    </w:p>
    <w:p w:rsidR="00D37AC5" w:rsidRPr="001D19B3" w:rsidRDefault="00FB7B16" w:rsidP="00A93730">
      <w:pPr>
        <w:spacing w:after="0"/>
        <w:jc w:val="center"/>
        <w:rPr>
          <w:rFonts w:ascii="Times New Roman" w:hAnsi="Times New Roman" w:cs="Times New Roman"/>
          <w:b/>
          <w:bCs/>
          <w:sz w:val="24"/>
          <w:szCs w:val="24"/>
        </w:rPr>
      </w:pPr>
      <w:r w:rsidRPr="001D19B3">
        <w:rPr>
          <w:rFonts w:ascii="Times New Roman" w:hAnsi="Times New Roman" w:cs="Times New Roman"/>
          <w:b/>
          <w:bCs/>
          <w:sz w:val="24"/>
          <w:szCs w:val="24"/>
        </w:rPr>
        <w:t xml:space="preserve">Figure 5: Process capability </w:t>
      </w:r>
      <w:r w:rsidR="00D306CF" w:rsidRPr="001D19B3">
        <w:rPr>
          <w:rFonts w:ascii="Times New Roman" w:hAnsi="Times New Roman" w:cs="Times New Roman"/>
          <w:b/>
          <w:bCs/>
          <w:sz w:val="24"/>
          <w:szCs w:val="24"/>
        </w:rPr>
        <w:t>six-pack</w:t>
      </w:r>
      <w:r w:rsidRPr="001D19B3">
        <w:rPr>
          <w:rFonts w:ascii="Times New Roman" w:hAnsi="Times New Roman" w:cs="Times New Roman"/>
          <w:b/>
          <w:bCs/>
          <w:sz w:val="24"/>
          <w:szCs w:val="24"/>
        </w:rPr>
        <w:t xml:space="preserve"> of the assay using Weibull distribution.</w:t>
      </w:r>
    </w:p>
    <w:p w:rsidR="00030FBC" w:rsidRDefault="00DB3970" w:rsidP="00A93730">
      <w:pPr>
        <w:pStyle w:val="Default"/>
        <w:spacing w:line="276" w:lineRule="auto"/>
        <w:jc w:val="both"/>
      </w:pPr>
      <w:r w:rsidRPr="001D19B3">
        <w:t>It should be emphasized that establishing statistical quality monitoring from the beginning of the manufacturing process for chemical production is a mandatory activity that should not underestimated to ensure obtaining raw materials with stable, predictable and conforming inspection properties indicating a Good Manufacturing Practice (GMP) during the production processes.</w:t>
      </w:r>
      <w:r w:rsidR="00A90C17" w:rsidRPr="001D19B3">
        <w:rPr>
          <w:vertAlign w:val="superscript"/>
        </w:rPr>
        <w:t>39</w:t>
      </w:r>
      <w:r w:rsidRPr="001D19B3">
        <w:t xml:space="preserve"> It is important to implement GxP for any reputable company to take the lead in any </w:t>
      </w:r>
      <w:r w:rsidRPr="001D19B3">
        <w:lastRenderedPageBreak/>
        <w:t>competitive market where the common acronym for quality standards and recommendations that are considered to be "good practice" is GxP.</w:t>
      </w:r>
      <w:r w:rsidR="002A1344" w:rsidRPr="001D19B3">
        <w:rPr>
          <w:vertAlign w:val="superscript"/>
        </w:rPr>
        <w:t>40</w:t>
      </w:r>
      <w:r w:rsidRPr="001D19B3">
        <w:t xml:space="preserve"> The different areas it can be applied to are represented by the "x". GxP is an abbreviation that is frequently used to describe a group of quality standards</w:t>
      </w:r>
      <w:r w:rsidR="00D101C0" w:rsidRPr="001D19B3">
        <w:t>.</w:t>
      </w:r>
      <w:r w:rsidR="006867C9" w:rsidRPr="001D19B3">
        <w:t xml:space="preserve"> The quality of the single components would be reflected </w:t>
      </w:r>
      <w:r w:rsidR="002E71DF" w:rsidRPr="001D19B3">
        <w:t>in the functioning values of the final dosage forms.</w:t>
      </w:r>
      <w:r w:rsidR="001D19B3">
        <w:t xml:space="preserve"> </w:t>
      </w:r>
      <w:r w:rsidR="00160A25" w:rsidRPr="001D19B3">
        <w:t xml:space="preserve">This is crucial when considering the health and </w:t>
      </w:r>
      <w:r w:rsidR="00B50878" w:rsidRPr="001D19B3">
        <w:t>life of</w:t>
      </w:r>
      <w:r w:rsidR="00160A25" w:rsidRPr="001D19B3">
        <w:t xml:space="preserve"> the patients in the world of ever-growing populations of sick individuals</w:t>
      </w:r>
      <w:r w:rsidR="007F1E92" w:rsidRPr="001D19B3">
        <w:t>.</w:t>
      </w:r>
    </w:p>
    <w:p w:rsidR="001D19B3" w:rsidRDefault="001D19B3" w:rsidP="001D19B3">
      <w:pPr>
        <w:tabs>
          <w:tab w:val="left" w:pos="3281"/>
        </w:tabs>
        <w:spacing w:after="0"/>
        <w:rPr>
          <w:rFonts w:ascii="Bookman Old Style" w:hAnsi="Bookman Old Style" w:cs="Times New Roman"/>
          <w:b/>
          <w:color w:val="FF0000"/>
          <w:highlight w:val="yellow"/>
        </w:rPr>
      </w:pPr>
      <w:commentRangeStart w:id="16"/>
      <w:r>
        <w:rPr>
          <w:rFonts w:ascii="Bookman Old Style" w:hAnsi="Bookman Old Style" w:cs="Times New Roman"/>
          <w:b/>
          <w:color w:val="FF0000"/>
          <w:highlight w:val="yellow"/>
        </w:rPr>
        <w:t>Limitations of the study</w:t>
      </w:r>
      <w:commentRangeEnd w:id="16"/>
      <w:r>
        <w:rPr>
          <w:rStyle w:val="CommentReference"/>
          <w:rFonts w:ascii="Courier" w:eastAsia="Times New Roman" w:hAnsi="Courier" w:cs="Courier"/>
          <w:snapToGrid w:val="0"/>
        </w:rPr>
        <w:commentReference w:id="16"/>
      </w:r>
      <w:r>
        <w:rPr>
          <w:rFonts w:ascii="Bookman Old Style" w:hAnsi="Bookman Old Style" w:cs="Times New Roman"/>
          <w:b/>
          <w:color w:val="FF0000"/>
          <w:highlight w:val="yellow"/>
        </w:rPr>
        <w:tab/>
      </w:r>
    </w:p>
    <w:p w:rsidR="001D19B3" w:rsidRPr="001D19B3" w:rsidRDefault="001D19B3" w:rsidP="00A93730">
      <w:pPr>
        <w:pStyle w:val="Default"/>
        <w:spacing w:line="276" w:lineRule="auto"/>
        <w:jc w:val="both"/>
      </w:pPr>
    </w:p>
    <w:p w:rsidR="00F54E5F" w:rsidRPr="001D19B3" w:rsidRDefault="00784472" w:rsidP="00A93730">
      <w:pPr>
        <w:pStyle w:val="Default"/>
        <w:spacing w:line="276" w:lineRule="auto"/>
        <w:jc w:val="both"/>
        <w:rPr>
          <w:b/>
          <w:bCs/>
          <w:color w:val="auto"/>
        </w:rPr>
      </w:pPr>
      <w:r w:rsidRPr="001D19B3">
        <w:rPr>
          <w:b/>
          <w:bCs/>
          <w:color w:val="auto"/>
        </w:rPr>
        <w:t>CONCLUSION</w:t>
      </w:r>
    </w:p>
    <w:p w:rsidR="0002382B" w:rsidRPr="001D19B3" w:rsidRDefault="00FD57C6" w:rsidP="00A93730">
      <w:pPr>
        <w:pStyle w:val="Default"/>
        <w:spacing w:line="276" w:lineRule="auto"/>
        <w:jc w:val="both"/>
        <w:rPr>
          <w:color w:val="auto"/>
        </w:rPr>
      </w:pPr>
      <w:commentRangeStart w:id="17"/>
      <w:r w:rsidRPr="001D19B3">
        <w:rPr>
          <w:color w:val="auto"/>
        </w:rPr>
        <w:t xml:space="preserve">Process-behavior plots based on the non-normally distributed datasets showed the quality of the manufactured raw material did not demonstrate out-of-control states between the successive batches. However, the process capability monitoring showed that the performance needs improvements and tightening in the variations of the inspection characteristic (assay) between consecutive products is essential to achieve </w:t>
      </w:r>
      <w:r w:rsidR="00EC4D52" w:rsidRPr="001D19B3">
        <w:rPr>
          <w:color w:val="auto"/>
        </w:rPr>
        <w:t>better performance index level</w:t>
      </w:r>
      <w:r w:rsidR="00FC03B6" w:rsidRPr="001D19B3">
        <w:rPr>
          <w:color w:val="auto"/>
        </w:rPr>
        <w:t>.</w:t>
      </w:r>
      <w:r w:rsidR="006C5557" w:rsidRPr="001D19B3">
        <w:rPr>
          <w:color w:val="auto"/>
        </w:rPr>
        <w:t xml:space="preserve">Moreover, </w:t>
      </w:r>
      <w:r w:rsidR="00A37D76" w:rsidRPr="001D19B3">
        <w:rPr>
          <w:color w:val="auto"/>
        </w:rPr>
        <w:t xml:space="preserve">the average line is shifted towards the </w:t>
      </w:r>
      <w:r w:rsidR="007C5304" w:rsidRPr="001D19B3">
        <w:rPr>
          <w:color w:val="auto"/>
        </w:rPr>
        <w:t>USL. Accordingly, t</w:t>
      </w:r>
      <w:r w:rsidR="00CB38AC" w:rsidRPr="001D19B3">
        <w:rPr>
          <w:color w:val="auto"/>
        </w:rPr>
        <w:t xml:space="preserve">he </w:t>
      </w:r>
      <w:r w:rsidR="00273009" w:rsidRPr="001D19B3">
        <w:rPr>
          <w:color w:val="auto"/>
        </w:rPr>
        <w:t xml:space="preserve">mean of the </w:t>
      </w:r>
      <w:r w:rsidR="004F7F62" w:rsidRPr="001D19B3">
        <w:rPr>
          <w:color w:val="auto"/>
        </w:rPr>
        <w:t>process should be brought close to the center</w:t>
      </w:r>
      <w:r w:rsidR="00EC4D52" w:rsidRPr="001D19B3">
        <w:rPr>
          <w:color w:val="auto"/>
        </w:rPr>
        <w:t xml:space="preserve"> to avoid any risk of </w:t>
      </w:r>
      <w:r w:rsidR="00B85C41" w:rsidRPr="001D19B3">
        <w:rPr>
          <w:color w:val="auto"/>
        </w:rPr>
        <w:t xml:space="preserve">out-of-control results above the upper limiting threshold </w:t>
      </w:r>
      <w:r w:rsidR="0074705E" w:rsidRPr="001D19B3">
        <w:rPr>
          <w:color w:val="auto"/>
        </w:rPr>
        <w:t>in the future</w:t>
      </w:r>
      <w:r w:rsidR="00273009" w:rsidRPr="001D19B3">
        <w:rPr>
          <w:color w:val="auto"/>
        </w:rPr>
        <w:t>.</w:t>
      </w:r>
      <w:commentRangeEnd w:id="17"/>
      <w:r w:rsidR="00B30A45">
        <w:rPr>
          <w:rStyle w:val="CommentReference"/>
          <w:rFonts w:asciiTheme="minorHAnsi" w:hAnsiTheme="minorHAnsi" w:cstheme="minorBidi"/>
          <w:color w:val="auto"/>
        </w:rPr>
        <w:commentReference w:id="17"/>
      </w:r>
    </w:p>
    <w:p w:rsidR="0002382B" w:rsidRPr="001D19B3" w:rsidRDefault="0002382B" w:rsidP="00A93730">
      <w:pPr>
        <w:pStyle w:val="Default"/>
        <w:spacing w:line="276" w:lineRule="auto"/>
        <w:jc w:val="both"/>
        <w:rPr>
          <w:color w:val="auto"/>
        </w:rPr>
      </w:pPr>
      <w:r w:rsidRPr="001D19B3">
        <w:rPr>
          <w:b/>
          <w:bCs/>
          <w:color w:val="auto"/>
        </w:rPr>
        <w:t xml:space="preserve">RECOMMENDATIONS </w:t>
      </w:r>
    </w:p>
    <w:p w:rsidR="0002382B" w:rsidRPr="001D19B3" w:rsidRDefault="0002382B" w:rsidP="00A93730">
      <w:pPr>
        <w:pStyle w:val="Default"/>
        <w:spacing w:line="276" w:lineRule="auto"/>
        <w:jc w:val="both"/>
        <w:rPr>
          <w:color w:val="auto"/>
        </w:rPr>
      </w:pPr>
      <w:r w:rsidRPr="001D19B3">
        <w:rPr>
          <w:color w:val="auto"/>
        </w:rPr>
        <w:t>Fu</w:t>
      </w:r>
      <w:r w:rsidR="00967A45" w:rsidRPr="001D19B3">
        <w:rPr>
          <w:color w:val="auto"/>
        </w:rPr>
        <w:t>rther</w:t>
      </w:r>
      <w:r w:rsidRPr="001D19B3">
        <w:rPr>
          <w:color w:val="auto"/>
        </w:rPr>
        <w:t xml:space="preserve"> research studies with </w:t>
      </w:r>
      <w:r w:rsidR="002D1DA1" w:rsidRPr="001D19B3">
        <w:rPr>
          <w:color w:val="auto"/>
        </w:rPr>
        <w:t xml:space="preserve">other inspection characteristics of the </w:t>
      </w:r>
      <w:r w:rsidR="00CD4327" w:rsidRPr="001D19B3">
        <w:rPr>
          <w:color w:val="auto"/>
        </w:rPr>
        <w:t>pharmaceutical raw material</w:t>
      </w:r>
      <w:r w:rsidRPr="001D19B3">
        <w:rPr>
          <w:color w:val="auto"/>
        </w:rPr>
        <w:t xml:space="preserve"> should be </w:t>
      </w:r>
      <w:r w:rsidR="00CD4327" w:rsidRPr="001D19B3">
        <w:rPr>
          <w:color w:val="auto"/>
        </w:rPr>
        <w:t>conducted</w:t>
      </w:r>
      <w:r w:rsidR="00AE44FD" w:rsidRPr="001D19B3">
        <w:rPr>
          <w:color w:val="auto"/>
        </w:rPr>
        <w:t xml:space="preserve">and other medicinal ingredients </w:t>
      </w:r>
      <w:r w:rsidR="00D86C84" w:rsidRPr="001D19B3">
        <w:rPr>
          <w:color w:val="auto"/>
        </w:rPr>
        <w:t>produced by the manufacturer should be included</w:t>
      </w:r>
      <w:r w:rsidRPr="001D19B3">
        <w:rPr>
          <w:color w:val="auto"/>
        </w:rPr>
        <w:t xml:space="preserve">. </w:t>
      </w:r>
      <w:r w:rsidR="00244BA8" w:rsidRPr="001D19B3">
        <w:rPr>
          <w:color w:val="auto"/>
        </w:rPr>
        <w:t>Moreover,</w:t>
      </w:r>
      <w:r w:rsidRPr="001D19B3">
        <w:rPr>
          <w:color w:val="auto"/>
        </w:rPr>
        <w:t xml:space="preserve"> the </w:t>
      </w:r>
      <w:r w:rsidR="00D86C84" w:rsidRPr="001D19B3">
        <w:rPr>
          <w:color w:val="auto"/>
        </w:rPr>
        <w:t xml:space="preserve">investigationwould </w:t>
      </w:r>
      <w:r w:rsidR="005D54CF" w:rsidRPr="001D19B3">
        <w:rPr>
          <w:color w:val="auto"/>
        </w:rPr>
        <w:t xml:space="preserve">embrace all the chemicals produced by the </w:t>
      </w:r>
      <w:r w:rsidR="0055399C" w:rsidRPr="001D19B3">
        <w:rPr>
          <w:color w:val="auto"/>
        </w:rPr>
        <w:t xml:space="preserve">drug manufacturing company </w:t>
      </w:r>
      <w:r w:rsidR="008D7E8A" w:rsidRPr="001D19B3">
        <w:rPr>
          <w:color w:val="auto"/>
        </w:rPr>
        <w:t>as a</w:t>
      </w:r>
      <w:r w:rsidR="00EA478E" w:rsidRPr="001D19B3">
        <w:rPr>
          <w:color w:val="auto"/>
        </w:rPr>
        <w:t xml:space="preserve">n integral part of the </w:t>
      </w:r>
      <w:r w:rsidR="00DF6B1C" w:rsidRPr="001D19B3">
        <w:rPr>
          <w:color w:val="auto"/>
        </w:rPr>
        <w:t>quality improvement system</w:t>
      </w:r>
      <w:r w:rsidRPr="001D19B3">
        <w:rPr>
          <w:color w:val="auto"/>
        </w:rPr>
        <w:t xml:space="preserve">. </w:t>
      </w:r>
    </w:p>
    <w:p w:rsidR="0002382B" w:rsidRPr="001D19B3" w:rsidRDefault="0002382B" w:rsidP="00A93730">
      <w:pPr>
        <w:pStyle w:val="Default"/>
        <w:spacing w:line="276" w:lineRule="auto"/>
        <w:jc w:val="both"/>
        <w:rPr>
          <w:color w:val="auto"/>
        </w:rPr>
      </w:pPr>
      <w:r w:rsidRPr="001D19B3">
        <w:rPr>
          <w:b/>
          <w:bCs/>
          <w:color w:val="auto"/>
        </w:rPr>
        <w:t xml:space="preserve">CONFLICT OF INTERESTS </w:t>
      </w:r>
    </w:p>
    <w:p w:rsidR="00030FBC" w:rsidRDefault="0002382B" w:rsidP="00A93730">
      <w:pPr>
        <w:pStyle w:val="Default"/>
        <w:spacing w:line="276" w:lineRule="auto"/>
        <w:jc w:val="both"/>
        <w:rPr>
          <w:color w:val="auto"/>
        </w:rPr>
      </w:pPr>
      <w:r w:rsidRPr="001D19B3">
        <w:rPr>
          <w:color w:val="auto"/>
        </w:rPr>
        <w:t xml:space="preserve">The author does not have any conflict of interest. </w:t>
      </w:r>
    </w:p>
    <w:p w:rsidR="001D19B3" w:rsidRPr="00E75CD8" w:rsidRDefault="001D19B3" w:rsidP="001D19B3">
      <w:pPr>
        <w:spacing w:after="0"/>
        <w:rPr>
          <w:rFonts w:ascii="Bookman Old Style" w:hAnsi="Bookman Old Style" w:cs="Times New Roman"/>
          <w:b/>
          <w:highlight w:val="yellow"/>
        </w:rPr>
      </w:pPr>
      <w:commentRangeStart w:id="18"/>
      <w:r w:rsidRPr="00E75CD8">
        <w:rPr>
          <w:rFonts w:ascii="Bookman Old Style" w:hAnsi="Bookman Old Style" w:cs="Times New Roman"/>
          <w:b/>
          <w:highlight w:val="yellow"/>
        </w:rPr>
        <w:t>Author’s Contribution</w:t>
      </w:r>
      <w:commentRangeEnd w:id="18"/>
      <w:r w:rsidRPr="00E75CD8">
        <w:rPr>
          <w:rStyle w:val="CommentReference"/>
          <w:rFonts w:ascii="Courier" w:eastAsia="Times New Roman" w:hAnsi="Courier" w:cs="Courier"/>
          <w:snapToGrid w:val="0"/>
        </w:rPr>
        <w:commentReference w:id="18"/>
      </w:r>
    </w:p>
    <w:p w:rsidR="001D19B3" w:rsidRPr="001D19B3" w:rsidRDefault="001D19B3" w:rsidP="00A93730">
      <w:pPr>
        <w:pStyle w:val="Default"/>
        <w:spacing w:line="276" w:lineRule="auto"/>
        <w:jc w:val="both"/>
        <w:rPr>
          <w:color w:val="auto"/>
        </w:rPr>
      </w:pPr>
    </w:p>
    <w:p w:rsidR="0002382B" w:rsidRPr="001D19B3" w:rsidRDefault="0002382B" w:rsidP="00A93730">
      <w:pPr>
        <w:pStyle w:val="Default"/>
        <w:spacing w:line="276" w:lineRule="auto"/>
        <w:jc w:val="both"/>
        <w:rPr>
          <w:color w:val="auto"/>
        </w:rPr>
      </w:pPr>
      <w:r w:rsidRPr="001D19B3">
        <w:rPr>
          <w:b/>
          <w:bCs/>
          <w:color w:val="auto"/>
        </w:rPr>
        <w:t xml:space="preserve">ACKNOWLEDGEMENTS </w:t>
      </w:r>
    </w:p>
    <w:p w:rsidR="00030FBC" w:rsidRPr="001D19B3" w:rsidRDefault="00030FBC" w:rsidP="00A93730">
      <w:pPr>
        <w:pStyle w:val="Default"/>
        <w:spacing w:line="276" w:lineRule="auto"/>
        <w:rPr>
          <w:color w:val="auto"/>
        </w:rPr>
      </w:pPr>
      <w:r w:rsidRPr="001D19B3">
        <w:rPr>
          <w:color w:val="auto"/>
        </w:rPr>
        <w:t>None to declare</w:t>
      </w:r>
      <w:r w:rsidR="0002382B" w:rsidRPr="001D19B3">
        <w:rPr>
          <w:color w:val="auto"/>
        </w:rPr>
        <w:t xml:space="preserve">. </w:t>
      </w:r>
    </w:p>
    <w:p w:rsidR="0002382B" w:rsidRPr="001D19B3" w:rsidRDefault="0002382B" w:rsidP="00A93730">
      <w:pPr>
        <w:pStyle w:val="Default"/>
        <w:spacing w:line="276" w:lineRule="auto"/>
        <w:rPr>
          <w:color w:val="auto"/>
        </w:rPr>
      </w:pPr>
      <w:commentRangeStart w:id="19"/>
      <w:r w:rsidRPr="001D19B3">
        <w:rPr>
          <w:b/>
          <w:bCs/>
          <w:color w:val="auto"/>
        </w:rPr>
        <w:t>REFERENCES</w:t>
      </w:r>
      <w:commentRangeEnd w:id="19"/>
      <w:r w:rsidR="001D19B3">
        <w:rPr>
          <w:rStyle w:val="CommentReference"/>
          <w:rFonts w:asciiTheme="minorHAnsi" w:hAnsiTheme="minorHAnsi" w:cstheme="minorBidi"/>
          <w:color w:val="auto"/>
        </w:rPr>
        <w:commentReference w:id="19"/>
      </w:r>
    </w:p>
    <w:p w:rsidR="00F54E5F" w:rsidRPr="001D19B3" w:rsidRDefault="00E00C43"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Implementation of Modified Q-Control Chart in Monitoring of Inspection Characteristics with Finite Quantification Sensitivity Limits: A Case Study of Bioburden Enumeration in Capsule Shell. El-Cezeri. 2021;8(3):1093-107.</w:t>
      </w:r>
      <w:hyperlink r:id="rId19" w:history="1">
        <w:r w:rsidR="00F82215" w:rsidRPr="001D19B3">
          <w:rPr>
            <w:rStyle w:val="Hyperlink"/>
            <w:rFonts w:ascii="Times New Roman" w:hAnsi="Times New Roman" w:cs="Times New Roman"/>
            <w:i/>
            <w:iCs/>
            <w:sz w:val="24"/>
            <w:szCs w:val="24"/>
          </w:rPr>
          <w:t>https://doi.org/10.31202/ecjse.871179</w:t>
        </w:r>
      </w:hyperlink>
    </w:p>
    <w:p w:rsidR="00F82215" w:rsidRPr="001D19B3" w:rsidRDefault="0026153F"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Bioburden control in the biopharmaceutical industry. BioPharm International. 2017;30(9):24-7.</w:t>
      </w:r>
    </w:p>
    <w:p w:rsidR="0026153F" w:rsidRPr="001D19B3" w:rsidRDefault="00EA7E1C"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Mahmoud A, Nouby A. Evaluation and failure risk of microbiological air quality in production area of pharmaceutical plant. RGUHS J. Pharm. Sci. 2016;5:155-66.</w:t>
      </w:r>
      <w:r w:rsidR="000D580D" w:rsidRPr="001D19B3">
        <w:rPr>
          <w:rFonts w:ascii="Times New Roman" w:hAnsi="Times New Roman" w:cs="Times New Roman"/>
          <w:i/>
          <w:iCs/>
          <w:sz w:val="24"/>
          <w:szCs w:val="24"/>
        </w:rPr>
        <w:t>https://doi.org/</w:t>
      </w:r>
      <w:r w:rsidR="00532B33" w:rsidRPr="001D19B3">
        <w:rPr>
          <w:rFonts w:ascii="Times New Roman" w:hAnsi="Times New Roman" w:cs="Times New Roman"/>
          <w:i/>
          <w:iCs/>
          <w:sz w:val="24"/>
          <w:szCs w:val="24"/>
        </w:rPr>
        <w:t>10.5530/rjps.2015.4.5</w:t>
      </w:r>
    </w:p>
    <w:p w:rsidR="000D580D" w:rsidRPr="001D19B3" w:rsidRDefault="00CA56D3"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Establishment of Biocidal Activity Evaluation Study Protocol in Healthcare Facility for Routine Monitoring of Antibacterial Activity of Disinfectants. Journal of Experimental and Clinical Medicine. 2022;39(4):939-47.</w:t>
      </w:r>
      <w:hyperlink r:id="rId20" w:history="1">
        <w:r w:rsidR="00681C81" w:rsidRPr="001D19B3">
          <w:rPr>
            <w:rStyle w:val="Hyperlink"/>
            <w:rFonts w:ascii="Times New Roman" w:hAnsi="Times New Roman" w:cs="Times New Roman"/>
            <w:i/>
            <w:iCs/>
            <w:sz w:val="24"/>
            <w:szCs w:val="24"/>
          </w:rPr>
          <w:t>https://doi.org/10.52142/omujecm.39.4.4</w:t>
        </w:r>
      </w:hyperlink>
    </w:p>
    <w:p w:rsidR="00681C81" w:rsidRPr="001D19B3" w:rsidRDefault="00B56C19"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Essam Eissa</w:t>
      </w:r>
      <w:r w:rsidR="00E06299" w:rsidRPr="001D19B3">
        <w:rPr>
          <w:rFonts w:ascii="Times New Roman" w:hAnsi="Times New Roman" w:cs="Times New Roman"/>
          <w:sz w:val="24"/>
          <w:szCs w:val="24"/>
        </w:rPr>
        <w:t xml:space="preserve"> M. </w:t>
      </w:r>
      <w:r w:rsidR="00705A7F" w:rsidRPr="001D19B3">
        <w:rPr>
          <w:rFonts w:ascii="Times New Roman" w:hAnsi="Times New Roman" w:cs="Times New Roman"/>
          <w:sz w:val="24"/>
          <w:szCs w:val="24"/>
        </w:rPr>
        <w:t>Assessing the antimicrobial efficacy of eye drop products. European Pharmaceutical Review. 2019. Available from: https://www.europeanpharmaceuticalreview.com/article/40864/novel-approach-assessing-antimicrobial-efficacy-eye-drop-products/</w:t>
      </w:r>
    </w:p>
    <w:p w:rsidR="00EA7E1C" w:rsidRPr="001D19B3" w:rsidRDefault="00C30EA7"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lastRenderedPageBreak/>
        <w:t>Eissa ME. Conventional Culture Media: an Outdated Microbiological Tool but Still Useful. Int J Drug Disc. 2018;2(011).</w:t>
      </w:r>
    </w:p>
    <w:p w:rsidR="0095515A" w:rsidRPr="001D19B3" w:rsidRDefault="0052091B"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Essam M. Pharmaceutical Component Kinetics. 2023. Available from: </w:t>
      </w:r>
      <w:hyperlink r:id="rId21" w:history="1">
        <w:r w:rsidR="00677226" w:rsidRPr="001D19B3">
          <w:rPr>
            <w:rStyle w:val="Hyperlink"/>
            <w:rFonts w:ascii="Times New Roman" w:hAnsi="Times New Roman" w:cs="Times New Roman"/>
            <w:sz w:val="24"/>
            <w:szCs w:val="24"/>
          </w:rPr>
          <w:t>https://www.pharmafocusasia.com/articles/pharmaceutical-component-kinetics-inventory-dynamic-control-is-crucial</w:t>
        </w:r>
      </w:hyperlink>
    </w:p>
    <w:p w:rsidR="00677226" w:rsidRPr="001D19B3" w:rsidRDefault="0006376F"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Mostafa Eissa MEA. Quality Criteria Establishment for Dissolution of Ascorbic Acid from Sustained Release Pellets. Novel Techniques in Nutrition &amp; Food Science. 2018;2(2). </w:t>
      </w:r>
      <w:hyperlink r:id="rId22" w:history="1">
        <w:r w:rsidR="00C12587" w:rsidRPr="001D19B3">
          <w:rPr>
            <w:rStyle w:val="Hyperlink"/>
            <w:rFonts w:ascii="Times New Roman" w:hAnsi="Times New Roman" w:cs="Times New Roman"/>
            <w:i/>
            <w:iCs/>
            <w:sz w:val="24"/>
            <w:szCs w:val="24"/>
          </w:rPr>
          <w:t>http://dx.doi.org/10.31031/ntnf.2018.02.000531</w:t>
        </w:r>
      </w:hyperlink>
    </w:p>
    <w:p w:rsidR="00C12587" w:rsidRPr="001D19B3" w:rsidRDefault="00D66D7C"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Statistical Process Control and Quantitative Microbiological Risk Assessment Combination in Healthcare Industry</w:t>
      </w:r>
      <w:r w:rsidR="00641E19" w:rsidRPr="001D19B3">
        <w:rPr>
          <w:rFonts w:ascii="Times New Roman" w:hAnsi="Times New Roman" w:cs="Times New Roman"/>
          <w:sz w:val="24"/>
          <w:szCs w:val="24"/>
        </w:rPr>
        <w:t xml:space="preserve">. </w:t>
      </w:r>
      <w:r w:rsidRPr="001D19B3">
        <w:rPr>
          <w:rFonts w:ascii="Times New Roman" w:hAnsi="Times New Roman" w:cs="Times New Roman"/>
          <w:sz w:val="24"/>
          <w:szCs w:val="24"/>
        </w:rPr>
        <w:t>Biomed Engg and Biotech, 2018;2,</w:t>
      </w:r>
      <w:r w:rsidR="00641E19" w:rsidRPr="001D19B3">
        <w:rPr>
          <w:rFonts w:ascii="Times New Roman" w:hAnsi="Times New Roman" w:cs="Times New Roman"/>
          <w:sz w:val="24"/>
          <w:szCs w:val="24"/>
        </w:rPr>
        <w:t>(</w:t>
      </w:r>
      <w:r w:rsidRPr="001D19B3">
        <w:rPr>
          <w:rFonts w:ascii="Times New Roman" w:hAnsi="Times New Roman" w:cs="Times New Roman"/>
          <w:sz w:val="24"/>
          <w:szCs w:val="24"/>
        </w:rPr>
        <w:t>1</w:t>
      </w:r>
      <w:r w:rsidR="00724A0F" w:rsidRPr="001D19B3">
        <w:rPr>
          <w:rFonts w:ascii="Times New Roman" w:hAnsi="Times New Roman" w:cs="Times New Roman"/>
          <w:sz w:val="24"/>
          <w:szCs w:val="24"/>
        </w:rPr>
        <w:t>)</w:t>
      </w:r>
      <w:r w:rsidR="00DD01E6" w:rsidRPr="001D19B3">
        <w:rPr>
          <w:rFonts w:ascii="Times New Roman" w:hAnsi="Times New Roman" w:cs="Times New Roman"/>
          <w:sz w:val="24"/>
          <w:szCs w:val="24"/>
        </w:rPr>
        <w:t>:14-17</w:t>
      </w:r>
      <w:r w:rsidR="00641E19" w:rsidRPr="001D19B3">
        <w:rPr>
          <w:rFonts w:ascii="Times New Roman" w:hAnsi="Times New Roman" w:cs="Times New Roman"/>
          <w:sz w:val="24"/>
          <w:szCs w:val="24"/>
        </w:rPr>
        <w:t>.</w:t>
      </w:r>
    </w:p>
    <w:p w:rsidR="00641E19" w:rsidRPr="001D19B3" w:rsidRDefault="00F0041D"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Shewhart Control Chart in Microbiological Quality Control of Purified Water and its Use in Quantitative Risk Evaluation. UK Journal of Pharmaceutical Biosciences. 2016;4(1)</w:t>
      </w:r>
      <w:r w:rsidR="000355D7" w:rsidRPr="001D19B3">
        <w:rPr>
          <w:rFonts w:ascii="Times New Roman" w:hAnsi="Times New Roman" w:cs="Times New Roman"/>
        </w:rPr>
        <w:t>:</w:t>
      </w:r>
      <w:r w:rsidR="00600682" w:rsidRPr="001D19B3">
        <w:rPr>
          <w:rFonts w:ascii="Times New Roman" w:hAnsi="Times New Roman" w:cs="Times New Roman"/>
          <w:sz w:val="24"/>
          <w:szCs w:val="24"/>
        </w:rPr>
        <w:t>45-51.</w:t>
      </w:r>
      <w:hyperlink r:id="rId23" w:history="1">
        <w:r w:rsidR="000355D7" w:rsidRPr="001D19B3">
          <w:rPr>
            <w:rStyle w:val="Hyperlink"/>
            <w:rFonts w:ascii="Times New Roman" w:hAnsi="Times New Roman" w:cs="Times New Roman"/>
            <w:i/>
            <w:iCs/>
            <w:sz w:val="24"/>
            <w:szCs w:val="24"/>
          </w:rPr>
          <w:t>https://doi.org/10.20510/ukjpb/4/i1/87845</w:t>
        </w:r>
      </w:hyperlink>
    </w:p>
    <w:p w:rsidR="000355D7" w:rsidRPr="001D19B3" w:rsidRDefault="00390C5C"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RASHED E, EISSA DE. STUDY OF TELLURIUM-129m (129mTe) GROUND DEPOSITION FOLLOWING FUKUSHIMA NUCLEAR DISASTER: DESCRIPTIVE ANALYSIS OF UNSCEAR DATABASE USING STATISTICAL PROCESS TECHNIQUES. Mugla Journal of Science and Technology. 2021;7(2):67-72.</w:t>
      </w:r>
      <w:hyperlink r:id="rId24" w:history="1">
        <w:r w:rsidR="00A72792" w:rsidRPr="001D19B3">
          <w:rPr>
            <w:rStyle w:val="Hyperlink"/>
            <w:rFonts w:ascii="Times New Roman" w:hAnsi="Times New Roman" w:cs="Times New Roman"/>
            <w:i/>
            <w:iCs/>
            <w:sz w:val="24"/>
            <w:szCs w:val="24"/>
          </w:rPr>
          <w:t>https://doi.org/10.22531/muglajsci.955946</w:t>
        </w:r>
      </w:hyperlink>
    </w:p>
    <w:p w:rsidR="00A72792" w:rsidRPr="001D19B3" w:rsidRDefault="009F0EF4"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Studies on Morbidities and Mortalities from COVID-19: Novel Public Health Practice During Pandemic Periods. Asian Journal of Applied Sciences. 2023;16(3):84-94.</w:t>
      </w:r>
      <w:hyperlink r:id="rId25" w:history="1">
        <w:r w:rsidR="00661C3E" w:rsidRPr="001D19B3">
          <w:rPr>
            <w:rStyle w:val="Hyperlink"/>
            <w:rFonts w:ascii="Times New Roman" w:hAnsi="Times New Roman" w:cs="Times New Roman"/>
            <w:i/>
            <w:iCs/>
            <w:sz w:val="24"/>
            <w:szCs w:val="24"/>
          </w:rPr>
          <w:t>https://doi.org/10.3923/ajaps.2023.84.94</w:t>
        </w:r>
      </w:hyperlink>
    </w:p>
    <w:p w:rsidR="00661C3E" w:rsidRPr="001D19B3" w:rsidRDefault="004C5EEE"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D, RASHED E, EİSSA M. Measuring Public Health Effect of Coronavirus Disease 2019: A Novel Perspective in Healthcare in Pandemic Times. Batı Karadeniz TıpDergisi. 2023;7(2):266-8.</w:t>
      </w:r>
      <w:hyperlink r:id="rId26" w:history="1">
        <w:r w:rsidR="0065192E" w:rsidRPr="001D19B3">
          <w:rPr>
            <w:rStyle w:val="Hyperlink"/>
            <w:rFonts w:ascii="Times New Roman" w:hAnsi="Times New Roman" w:cs="Times New Roman"/>
            <w:i/>
            <w:iCs/>
            <w:sz w:val="24"/>
            <w:szCs w:val="24"/>
          </w:rPr>
          <w:t>https://doi.org/10.29058/mjwbs.1257163</w:t>
        </w:r>
      </w:hyperlink>
    </w:p>
    <w:p w:rsidR="0065192E" w:rsidRPr="001D19B3" w:rsidRDefault="009437CD"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RASHED E, EISSA DE. Quality improvement in routine inspection and control of healthcare products using statistical intervention of long-term data trend. Dicle Üniversitesi Fen BilimleriEnstitüsüDergisi. 2021;10(2):163-84.</w:t>
      </w:r>
    </w:p>
    <w:p w:rsidR="006C4491" w:rsidRPr="001D19B3" w:rsidRDefault="007151B3"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Food Outbreak: An Overview on Selected Cases over Long-Term Web-Based Monitoring. SM J Nutr Metab. 2019;5(1):1029.</w:t>
      </w:r>
    </w:p>
    <w:p w:rsidR="007151B3" w:rsidRPr="001D19B3" w:rsidRDefault="00E07D5A"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Mahmoud A. Evaluation of microbial recovery from raw materials for pharmaceutical use. Journal of Food and Pharmaceutical Sciences. 2016;4(1)</w:t>
      </w:r>
      <w:r w:rsidR="006B0CE4" w:rsidRPr="001D19B3">
        <w:rPr>
          <w:rFonts w:ascii="Times New Roman" w:hAnsi="Times New Roman" w:cs="Times New Roman"/>
          <w:sz w:val="24"/>
          <w:szCs w:val="24"/>
        </w:rPr>
        <w:t>:6-11</w:t>
      </w:r>
      <w:r w:rsidRPr="001D19B3">
        <w:rPr>
          <w:rFonts w:ascii="Times New Roman" w:hAnsi="Times New Roman" w:cs="Times New Roman"/>
          <w:sz w:val="24"/>
          <w:szCs w:val="24"/>
        </w:rPr>
        <w:t>.</w:t>
      </w:r>
      <w:hyperlink r:id="rId27" w:history="1">
        <w:r w:rsidR="00C0733A" w:rsidRPr="001D19B3">
          <w:rPr>
            <w:rStyle w:val="Hyperlink"/>
            <w:rFonts w:ascii="Times New Roman" w:hAnsi="Times New Roman" w:cs="Times New Roman"/>
            <w:i/>
            <w:iCs/>
            <w:sz w:val="24"/>
            <w:szCs w:val="24"/>
          </w:rPr>
          <w:t>https://doi.org/10.14499/jfps</w:t>
        </w:r>
      </w:hyperlink>
    </w:p>
    <w:p w:rsidR="00C0733A" w:rsidRPr="001D19B3" w:rsidRDefault="00592CB9"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Abid AM. Application of statistical process control for spotting compliance to good pharmaceutical practice. Brazilian Journal of Pharmaceutical Sciences. 2018;54.</w:t>
      </w:r>
      <w:hyperlink r:id="rId28" w:history="1">
        <w:r w:rsidR="006570BC" w:rsidRPr="001D19B3">
          <w:rPr>
            <w:rStyle w:val="Hyperlink"/>
            <w:rFonts w:ascii="Times New Roman" w:hAnsi="Times New Roman" w:cs="Times New Roman"/>
            <w:i/>
            <w:iCs/>
            <w:sz w:val="24"/>
            <w:szCs w:val="24"/>
          </w:rPr>
          <w:t>https://doi.org/10.1590/s2175-97902018000217499</w:t>
        </w:r>
      </w:hyperlink>
    </w:p>
    <w:p w:rsidR="006570BC" w:rsidRPr="001D19B3" w:rsidRDefault="003F7857"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Adulterated pharmaceutical product detection using statistical process control. Bangladesh Pharmaceutical Journal. 2018 Aug 15;21(1):7-15.</w:t>
      </w:r>
    </w:p>
    <w:p w:rsidR="00416511" w:rsidRPr="001D19B3" w:rsidRDefault="00416511"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Novel rapid method in ecological risk assessment of air-borne bacteria in pharmaceutical facility. Mahidol Univ J Pharm Sci. 2016;43(3):115-26.</w:t>
      </w:r>
      <w:hyperlink r:id="rId29" w:history="1">
        <w:r w:rsidR="00C865BA" w:rsidRPr="001D19B3">
          <w:rPr>
            <w:rStyle w:val="Hyperlink"/>
            <w:rFonts w:ascii="Times New Roman" w:hAnsi="Times New Roman" w:cs="Times New Roman"/>
            <w:i/>
            <w:iCs/>
            <w:sz w:val="24"/>
            <w:szCs w:val="24"/>
          </w:rPr>
          <w:t>https://doi.org/10.14456/mujps.2016.14</w:t>
        </w:r>
      </w:hyperlink>
    </w:p>
    <w:p w:rsidR="00C865BA" w:rsidRPr="001D19B3" w:rsidRDefault="004A1753"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Kappacher C, Neurauter M, Rainer M, Bonn GK, Huck CW. Innovative combination of dispersive solid phase extraction followed by NIR-detection and multivariate data analysis for prediction of total polyphenolic content. Molecules. 2021 Aug 9;26(16):4807.</w:t>
      </w:r>
      <w:hyperlink r:id="rId30" w:history="1">
        <w:r w:rsidR="00D90F07" w:rsidRPr="001D19B3">
          <w:rPr>
            <w:rStyle w:val="Hyperlink"/>
            <w:rFonts w:ascii="Times New Roman" w:hAnsi="Times New Roman" w:cs="Times New Roman"/>
            <w:i/>
            <w:iCs/>
            <w:sz w:val="24"/>
            <w:szCs w:val="24"/>
          </w:rPr>
          <w:t>https://doi.org/10.3390/molecules26164807</w:t>
        </w:r>
      </w:hyperlink>
    </w:p>
    <w:p w:rsidR="00D90F07" w:rsidRPr="001D19B3" w:rsidRDefault="00811EC4"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British Pharmacopoeia Commission. British Pharmacopoeia 20</w:t>
      </w:r>
      <w:r w:rsidR="00A24782" w:rsidRPr="001D19B3">
        <w:rPr>
          <w:rFonts w:ascii="Times New Roman" w:hAnsi="Times New Roman" w:cs="Times New Roman"/>
          <w:sz w:val="24"/>
          <w:szCs w:val="24"/>
        </w:rPr>
        <w:t>23</w:t>
      </w:r>
      <w:r w:rsidRPr="001D19B3">
        <w:rPr>
          <w:rFonts w:ascii="Times New Roman" w:hAnsi="Times New Roman" w:cs="Times New Roman"/>
          <w:sz w:val="24"/>
          <w:szCs w:val="24"/>
        </w:rPr>
        <w:t>. London: TSO; 20</w:t>
      </w:r>
      <w:r w:rsidR="00A24782" w:rsidRPr="001D19B3">
        <w:rPr>
          <w:rFonts w:ascii="Times New Roman" w:hAnsi="Times New Roman" w:cs="Times New Roman"/>
          <w:sz w:val="24"/>
          <w:szCs w:val="24"/>
        </w:rPr>
        <w:t>23</w:t>
      </w:r>
      <w:r w:rsidRPr="001D19B3">
        <w:rPr>
          <w:rFonts w:ascii="Times New Roman" w:hAnsi="Times New Roman" w:cs="Times New Roman"/>
          <w:sz w:val="24"/>
          <w:szCs w:val="24"/>
        </w:rPr>
        <w:t>.</w:t>
      </w:r>
    </w:p>
    <w:p w:rsidR="00811EC4" w:rsidRPr="001D19B3" w:rsidRDefault="00C30805"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lastRenderedPageBreak/>
        <w:t>Eissa M. Evaluation of microbiological purified water trend using two types of control chart. European Pharmaceutical Review. 2018;23(5):36-8.</w:t>
      </w:r>
    </w:p>
    <w:p w:rsidR="00C30805" w:rsidRPr="001D19B3" w:rsidRDefault="00A00B17"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Seif M, Fares M. Assessment of purified water quality in pharmaceutical facility using six sigma tools. Int. J. Qual. Assur. 2015;6(2):54-72.</w:t>
      </w:r>
      <w:hyperlink r:id="rId31" w:history="1">
        <w:r w:rsidR="00F25935" w:rsidRPr="001D19B3">
          <w:rPr>
            <w:rStyle w:val="Hyperlink"/>
            <w:rFonts w:ascii="Times New Roman" w:hAnsi="Times New Roman" w:cs="Times New Roman"/>
            <w:i/>
            <w:iCs/>
            <w:sz w:val="24"/>
            <w:szCs w:val="24"/>
          </w:rPr>
          <w:t>https://doi.org/10.25258/ijpqa.6.2.4</w:t>
        </w:r>
      </w:hyperlink>
    </w:p>
    <w:p w:rsidR="00F25935" w:rsidRPr="001D19B3" w:rsidRDefault="00AC0487"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Mahmoud AM, Nouby AS. Control chart in microbiological cleaning efficacy of pharmaceutical facility. Dhaka University Journal of Pharmaceutical Sciences. 2016 Jun 28;14(2):133-8.</w:t>
      </w:r>
    </w:p>
    <w:p w:rsidR="001167F1" w:rsidRPr="001D19B3" w:rsidRDefault="00AC5A12"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Variable and attribute control charts in trend analysis of active pharmaceutical components: Process efficiency monitoring and comparative study. Experimental Medicine (EM). 2018;1(1):32-44.</w:t>
      </w:r>
    </w:p>
    <w:p w:rsidR="00B066CB" w:rsidRPr="001D19B3" w:rsidRDefault="00D34513"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Implementation of trending charts in analysis of inventory pattern. European Pharmaceutical Review. 2021;26(2):30-3.</w:t>
      </w:r>
    </w:p>
    <w:p w:rsidR="00003AF8" w:rsidRPr="001D19B3" w:rsidRDefault="000B273E"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Barone A. What Is Total Quality Management (TQM) and Why Is It Important? Investopedia. 2023. Available from: </w:t>
      </w:r>
      <w:hyperlink r:id="rId32" w:history="1">
        <w:r w:rsidR="003E7511" w:rsidRPr="001D19B3">
          <w:rPr>
            <w:rStyle w:val="Hyperlink"/>
            <w:rFonts w:ascii="Times New Roman" w:hAnsi="Times New Roman" w:cs="Times New Roman"/>
            <w:sz w:val="24"/>
            <w:szCs w:val="24"/>
          </w:rPr>
          <w:t>https://www.investopedia.com/terms/t/total-quality-management-tqm.asp</w:t>
        </w:r>
      </w:hyperlink>
    </w:p>
    <w:p w:rsidR="003E7511" w:rsidRPr="001D19B3" w:rsidRDefault="00E732D9"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Rashed ER, Eissa ME. Long-term monitoring of Cancer Mortality Rates in USA: A descriptive analysis using statistical process control tools. Iberoamerican Journal of Medicine. 2020;2(2):55-60.</w:t>
      </w:r>
      <w:r w:rsidR="00075A86" w:rsidRPr="001D19B3">
        <w:rPr>
          <w:rFonts w:ascii="Times New Roman" w:hAnsi="Times New Roman" w:cs="Times New Roman"/>
          <w:i/>
          <w:iCs/>
          <w:sz w:val="24"/>
          <w:szCs w:val="24"/>
        </w:rPr>
        <w:t>https://doi.org/10.53986/ibjm.2020.0012</w:t>
      </w:r>
    </w:p>
    <w:p w:rsidR="00EB75F4" w:rsidRPr="001D19B3" w:rsidRDefault="00C43D34"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Statistical Comparison of Parallel-Line Symmetrical Microbiological Models: Analysis of Agar Diffusion Assay in 8 x 8 Large Rectangular Plates. İstatistikveUygulamalıBilimlerDergisi. 2021 Dec 12;2(2):48-64.</w:t>
      </w:r>
      <w:hyperlink r:id="rId33" w:history="1">
        <w:r w:rsidR="00BA2C46" w:rsidRPr="001D19B3">
          <w:rPr>
            <w:rStyle w:val="Hyperlink"/>
            <w:rFonts w:ascii="Times New Roman" w:hAnsi="Times New Roman" w:cs="Times New Roman"/>
            <w:i/>
            <w:iCs/>
            <w:sz w:val="24"/>
            <w:szCs w:val="24"/>
          </w:rPr>
          <w:t>https://doi.org/10.52693/jsas.989584</w:t>
        </w:r>
      </w:hyperlink>
    </w:p>
    <w:p w:rsidR="00EE60D2" w:rsidRPr="001D19B3" w:rsidRDefault="00C36E8C"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Rashed ER. Analysis and modeling of morbidity and mortality from coronavirus outbreak in Brazil: A case study of public health challenge using unique statistical tools. Journal of Health Science Research.;8(2):57-61.</w:t>
      </w:r>
      <w:hyperlink r:id="rId34" w:history="1">
        <w:r w:rsidRPr="001D19B3">
          <w:rPr>
            <w:rStyle w:val="Hyperlink"/>
            <w:rFonts w:ascii="Times New Roman" w:hAnsi="Times New Roman" w:cs="Times New Roman"/>
            <w:sz w:val="24"/>
            <w:szCs w:val="24"/>
          </w:rPr>
          <w:t>https://doi.org/</w:t>
        </w:r>
      </w:hyperlink>
      <w:r w:rsidRPr="001D19B3">
        <w:rPr>
          <w:rFonts w:ascii="Times New Roman" w:hAnsi="Times New Roman" w:cs="Times New Roman"/>
          <w:sz w:val="24"/>
          <w:szCs w:val="24"/>
        </w:rPr>
        <w:t>10.25259/JHSR_3_2023</w:t>
      </w:r>
    </w:p>
    <w:p w:rsidR="00C36E8C" w:rsidRPr="001D19B3" w:rsidRDefault="008309B7"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Global Health Quality Assessment Using Statistical Control Monitoring Tools Based on Who Database Record: A Descriptive Analysis. Health Research. 2019;3:8-18.</w:t>
      </w:r>
      <w:hyperlink r:id="rId35" w:history="1">
        <w:r w:rsidR="00EE60D2" w:rsidRPr="001D19B3">
          <w:rPr>
            <w:rStyle w:val="Hyperlink"/>
            <w:rFonts w:ascii="Times New Roman" w:hAnsi="Times New Roman" w:cs="Times New Roman"/>
            <w:sz w:val="24"/>
            <w:szCs w:val="24"/>
          </w:rPr>
          <w:t>https://doi.org/10.31058/j.hr.2019.32001</w:t>
        </w:r>
      </w:hyperlink>
    </w:p>
    <w:p w:rsidR="00EE60D2" w:rsidRPr="001D19B3" w:rsidRDefault="00767F9E"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SPC and Evaluation of Analyst Performance| Pharma Articles [Internet]. Pharmafocusasia. com. 2020 [cited 9 August 2020].</w:t>
      </w:r>
    </w:p>
    <w:p w:rsidR="00C8346B" w:rsidRPr="001D19B3" w:rsidRDefault="00811FE5"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ME, Hamed HS. Application of Statistical Quality Control Tools for Monitoring of Pharmaceutical Product Properties: SISPQ, GxP, pharmaceutical product, drug properties. Biological Sciences-PJSIR. 2019;62(1):39-48.</w:t>
      </w:r>
    </w:p>
    <w:p w:rsidR="00BF4DBF" w:rsidRPr="001D19B3" w:rsidRDefault="00BF4DBF"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Staff iSixSigma. Voice Of The Process vs. Voice Of The Customer: What’s the Difference? - isixsigma.com. isixsigma.com. 2023. Available from: </w:t>
      </w:r>
      <w:hyperlink r:id="rId36" w:history="1">
        <w:r w:rsidRPr="001D19B3">
          <w:rPr>
            <w:rStyle w:val="Hyperlink"/>
            <w:rFonts w:ascii="Times New Roman" w:hAnsi="Times New Roman" w:cs="Times New Roman"/>
            <w:sz w:val="24"/>
            <w:szCs w:val="24"/>
          </w:rPr>
          <w:t>https://www.isixsigma.com/methodology/voice-of-the-process-vs-voice-of-the-customer-whats-the-difference/</w:t>
        </w:r>
      </w:hyperlink>
    </w:p>
    <w:p w:rsidR="00BF4DBF" w:rsidRPr="001D19B3" w:rsidRDefault="004A05EC"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Capability indices: Ppk | Data collection tools | Quality Advisor. Available from: </w:t>
      </w:r>
      <w:hyperlink r:id="rId37" w:history="1">
        <w:r w:rsidR="00793C45" w:rsidRPr="001D19B3">
          <w:rPr>
            <w:rStyle w:val="Hyperlink"/>
            <w:rFonts w:ascii="Times New Roman" w:hAnsi="Times New Roman" w:cs="Times New Roman"/>
            <w:sz w:val="24"/>
            <w:szCs w:val="24"/>
          </w:rPr>
          <w:t>https://www.pqsystems.com/qualityadvisor/DataAnalysisTools/capability_ppk.php</w:t>
        </w:r>
      </w:hyperlink>
    </w:p>
    <w:p w:rsidR="00793C45" w:rsidRPr="001D19B3" w:rsidRDefault="004E2ABF"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Singla M. What is Process Capability Analysis? -. 2021. Available from: </w:t>
      </w:r>
      <w:hyperlink r:id="rId38" w:history="1">
        <w:r w:rsidRPr="001D19B3">
          <w:rPr>
            <w:rStyle w:val="Hyperlink"/>
            <w:rFonts w:ascii="Times New Roman" w:hAnsi="Times New Roman" w:cs="Times New Roman"/>
            <w:sz w:val="24"/>
            <w:szCs w:val="24"/>
          </w:rPr>
          <w:t>https://qidemy.com/what-is-process-capability-analysis/</w:t>
        </w:r>
      </w:hyperlink>
    </w:p>
    <w:p w:rsidR="004E2ABF" w:rsidRPr="001D19B3" w:rsidRDefault="00DB0331"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 xml:space="preserve">Z.bench as an estimate of sigma capability - Minitab. (C) Minitab, LLC. All rights Reserved. 2023. Available from: </w:t>
      </w:r>
      <w:hyperlink r:id="rId39" w:history="1">
        <w:r w:rsidRPr="001D19B3">
          <w:rPr>
            <w:rStyle w:val="Hyperlink"/>
            <w:rFonts w:ascii="Times New Roman" w:hAnsi="Times New Roman" w:cs="Times New Roman"/>
            <w:sz w:val="24"/>
            <w:szCs w:val="24"/>
          </w:rPr>
          <w:t>https://support.minitab.com/en-us/minitab/21/help-and-how-to/quality-and-process-improvement/capability-analysis/supporting-topics/capability-metrics/z-bench-as-an-estimate-of-sigma-capability/</w:t>
        </w:r>
      </w:hyperlink>
    </w:p>
    <w:p w:rsidR="00DB0331" w:rsidRPr="001D19B3" w:rsidRDefault="007D71E2"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lastRenderedPageBreak/>
        <w:t xml:space="preserve">Expected overall performance for Normal Capability Analysis - Minitab. (C) Minitab, LLC. All rights Reserved. 2023. Available from: </w:t>
      </w:r>
      <w:hyperlink r:id="rId40" w:history="1">
        <w:r w:rsidRPr="001D19B3">
          <w:rPr>
            <w:rStyle w:val="Hyperlink"/>
            <w:rFonts w:ascii="Times New Roman" w:hAnsi="Times New Roman" w:cs="Times New Roman"/>
            <w:sz w:val="24"/>
            <w:szCs w:val="24"/>
          </w:rPr>
          <w:t>https://support.minitab.com/en-us/minitab/20/help-and-how-to/quality-and-process-improvement/capability-analysis/how-to/capability-analysis/normal-capability-analysis/interpret-the-results/all-statistics-and-graphs/expected-overall-performance/</w:t>
        </w:r>
      </w:hyperlink>
    </w:p>
    <w:p w:rsidR="009B03E0" w:rsidRPr="001D19B3" w:rsidRDefault="00A2150E"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Eissa M, Rashed E. Application of statistical process optimization tools in inventory management of goods quality: suppliers evaluation in healthcare facility. Journal of Turkish Operations Management. 2020 Jun 6;4(1):388-408.</w:t>
      </w:r>
    </w:p>
    <w:p w:rsidR="00C1288B" w:rsidRPr="001D19B3" w:rsidRDefault="00C1288B" w:rsidP="00A93730">
      <w:pPr>
        <w:pStyle w:val="ListParagraph"/>
        <w:numPr>
          <w:ilvl w:val="0"/>
          <w:numId w:val="1"/>
        </w:numPr>
        <w:spacing w:after="0"/>
        <w:ind w:left="360"/>
        <w:jc w:val="both"/>
        <w:rPr>
          <w:rFonts w:ascii="Times New Roman" w:hAnsi="Times New Roman" w:cs="Times New Roman"/>
          <w:sz w:val="24"/>
          <w:szCs w:val="24"/>
        </w:rPr>
      </w:pPr>
      <w:r w:rsidRPr="001D19B3">
        <w:rPr>
          <w:rFonts w:ascii="Times New Roman" w:hAnsi="Times New Roman" w:cs="Times New Roman"/>
          <w:sz w:val="24"/>
          <w:szCs w:val="24"/>
        </w:rPr>
        <w:t>Grumbach C, Czermak P. Process Analytical Technology for the Production of Parenteral Lipid Emulsions According to Good Manufacturing Practices. Processes. 2022 Jun 10;10(6):1174.</w:t>
      </w:r>
      <w:r w:rsidRPr="001D19B3">
        <w:rPr>
          <w:rFonts w:ascii="Times New Roman" w:hAnsi="Times New Roman" w:cs="Times New Roman"/>
          <w:i/>
          <w:iCs/>
          <w:sz w:val="24"/>
          <w:szCs w:val="24"/>
        </w:rPr>
        <w:t>https://doi.org/10.3390/pr10061174</w:t>
      </w:r>
    </w:p>
    <w:p w:rsidR="007D71E2" w:rsidRPr="001D19B3" w:rsidRDefault="007D71E2" w:rsidP="00A93730">
      <w:pPr>
        <w:pStyle w:val="ListParagraph"/>
        <w:spacing w:after="0"/>
        <w:ind w:left="360"/>
        <w:jc w:val="both"/>
        <w:rPr>
          <w:rFonts w:ascii="Times New Roman" w:hAnsi="Times New Roman" w:cs="Times New Roman"/>
          <w:sz w:val="24"/>
          <w:szCs w:val="24"/>
        </w:rPr>
      </w:pPr>
    </w:p>
    <w:sectPr w:rsidR="007D71E2" w:rsidRPr="001D19B3" w:rsidSect="00A93730">
      <w:headerReference w:type="even" r:id="rId41"/>
      <w:headerReference w:type="default" r:id="rId42"/>
      <w:footerReference w:type="even" r:id="rId43"/>
      <w:footerReference w:type="default" r:id="rId44"/>
      <w:headerReference w:type="first" r:id="rId45"/>
      <w:footerReference w:type="first" r:id="rId46"/>
      <w:pgSz w:w="12240" w:h="15840"/>
      <w:pgMar w:top="541" w:right="1440" w:bottom="720" w:left="1440" w:header="270" w:footer="18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INGH" w:date="2023-11-10T14:33:00Z" w:initials="S">
    <w:p w:rsidR="001D19B3" w:rsidRDefault="001D19B3" w:rsidP="001D19B3">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D19B3" w:rsidRPr="00B07E1A" w:rsidRDefault="001D19B3" w:rsidP="001D19B3">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3</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1D19B3" w:rsidRDefault="001D19B3" w:rsidP="001D19B3">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w:t>
      </w:r>
    </w:p>
    <w:p w:rsidR="001D19B3" w:rsidRDefault="001D19B3">
      <w:pPr>
        <w:pStyle w:val="CommentText"/>
      </w:pPr>
    </w:p>
  </w:comment>
  <w:comment w:id="1" w:author="SINGH" w:date="2023-11-10T15:09:00Z" w:initials="S">
    <w:p w:rsidR="006A785D" w:rsidRDefault="006A785D">
      <w:pPr>
        <w:pStyle w:val="CommentText"/>
      </w:pPr>
      <w:r>
        <w:rPr>
          <w:rStyle w:val="CommentReference"/>
        </w:rPr>
        <w:annotationRef/>
      </w:r>
      <w:r>
        <w:t>Article is suitable for publication after some minor corrections.</w:t>
      </w:r>
    </w:p>
  </w:comment>
  <w:comment w:id="2" w:author="SINGH" w:date="2023-11-10T14:34:00Z" w:initials="S">
    <w:p w:rsidR="001D19B3" w:rsidRPr="003210B9" w:rsidRDefault="001D19B3" w:rsidP="001D19B3">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1D19B3" w:rsidRDefault="001D19B3">
      <w:pPr>
        <w:pStyle w:val="CommentText"/>
      </w:pPr>
    </w:p>
  </w:comment>
  <w:comment w:id="3" w:author="intel" w:date="2023-11-14T16:10:00Z" w:initials="i">
    <w:p w:rsidR="00B30A45" w:rsidRPr="003C699C" w:rsidRDefault="00B30A45" w:rsidP="00B30A45">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B30A45" w:rsidRPr="00EF03F5" w:rsidRDefault="00B30A45" w:rsidP="00B30A45">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B30A45" w:rsidRDefault="00B30A45">
      <w:pPr>
        <w:pStyle w:val="CommentText"/>
      </w:pPr>
    </w:p>
  </w:comment>
  <w:comment w:id="4" w:author="intel" w:date="2023-11-14T16:10:00Z" w:initials="i">
    <w:p w:rsidR="00B30A45" w:rsidRPr="009A6D46" w:rsidRDefault="00B30A45" w:rsidP="00B30A45">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B30A45" w:rsidRDefault="00B30A45">
      <w:pPr>
        <w:pStyle w:val="CommentText"/>
      </w:pPr>
    </w:p>
  </w:comment>
  <w:comment w:id="5" w:author="intel" w:date="2023-11-14T16:10:00Z" w:initials="i">
    <w:p w:rsidR="00B30A45" w:rsidRDefault="00B30A45" w:rsidP="00B30A45">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B30A45" w:rsidRDefault="00B30A45">
      <w:pPr>
        <w:pStyle w:val="CommentText"/>
      </w:pPr>
    </w:p>
  </w:comment>
  <w:comment w:id="6" w:author="intel" w:date="2023-11-14T16:11:00Z" w:initials="i">
    <w:p w:rsidR="00B30A45" w:rsidRPr="00A86E8B" w:rsidRDefault="00B30A45" w:rsidP="00B30A45">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B30A45" w:rsidRDefault="00B30A45">
      <w:pPr>
        <w:pStyle w:val="CommentText"/>
      </w:pPr>
    </w:p>
  </w:comment>
  <w:comment w:id="7" w:author="intel" w:date="2023-11-14T16:11:00Z" w:initials="i">
    <w:p w:rsidR="00B30A45" w:rsidRDefault="00B30A45" w:rsidP="00B30A45">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B30A45" w:rsidRDefault="00B30A45">
      <w:pPr>
        <w:pStyle w:val="CommentText"/>
      </w:pPr>
    </w:p>
  </w:comment>
  <w:comment w:id="8" w:author="intel" w:date="2023-11-14T16:11:00Z" w:initials="i">
    <w:p w:rsidR="00B30A45" w:rsidRDefault="00B30A45" w:rsidP="00B30A45">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30A45" w:rsidRDefault="00B30A45">
      <w:pPr>
        <w:pStyle w:val="CommentText"/>
      </w:pPr>
    </w:p>
  </w:comment>
  <w:comment w:id="9" w:author="Kapil" w:date="2023-11-10T14:35:00Z" w:initials="K">
    <w:p w:rsidR="001D19B3" w:rsidRDefault="001D19B3" w:rsidP="001D19B3">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1D19B3" w:rsidRDefault="001D19B3" w:rsidP="001D19B3">
      <w:pPr>
        <w:pStyle w:val="CommentText"/>
      </w:pPr>
    </w:p>
  </w:comment>
  <w:comment w:id="10" w:author="intel" w:date="2023-11-14T16:11:00Z" w:initials="i">
    <w:p w:rsidR="00B30A45" w:rsidRDefault="00B30A45" w:rsidP="00B30A45">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B30A45" w:rsidRDefault="00B30A45">
      <w:pPr>
        <w:pStyle w:val="CommentText"/>
      </w:pPr>
    </w:p>
  </w:comment>
  <w:comment w:id="11" w:author="intel" w:date="2023-11-14T16:12:00Z" w:initials="i">
    <w:p w:rsidR="00B30A45" w:rsidRDefault="00B30A45">
      <w:pPr>
        <w:pStyle w:val="CommentText"/>
      </w:pPr>
      <w:r>
        <w:rPr>
          <w:rStyle w:val="CommentReference"/>
        </w:rPr>
        <w:annotationRef/>
      </w:r>
      <w:r>
        <w:t>It should be in italic</w:t>
      </w:r>
    </w:p>
  </w:comment>
  <w:comment w:id="12" w:author="intel" w:date="2023-11-14T16:12:00Z" w:initials="i">
    <w:p w:rsidR="00B30A45" w:rsidRDefault="00B30A45" w:rsidP="00B30A45">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B30A45" w:rsidRDefault="00B30A45">
      <w:pPr>
        <w:pStyle w:val="CommentText"/>
      </w:pPr>
    </w:p>
  </w:comment>
  <w:comment w:id="13" w:author="intel" w:date="2023-11-14T16:12:00Z" w:initials="i">
    <w:p w:rsidR="00B30A45" w:rsidRDefault="00B30A45" w:rsidP="00B30A45">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B30A45" w:rsidRDefault="00B30A45">
      <w:pPr>
        <w:pStyle w:val="CommentText"/>
      </w:pPr>
    </w:p>
  </w:comment>
  <w:comment w:id="14" w:author="intel" w:date="2023-11-14T16:12:00Z" w:initials="i">
    <w:p w:rsidR="00B30A45" w:rsidRPr="00262C0D" w:rsidRDefault="00B30A45" w:rsidP="00B30A45">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B30A45" w:rsidRDefault="00B30A45" w:rsidP="00B30A45">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B30A45" w:rsidRDefault="00B30A45">
      <w:pPr>
        <w:pStyle w:val="CommentText"/>
      </w:pPr>
    </w:p>
  </w:comment>
  <w:comment w:id="15" w:author="intel" w:date="2023-11-14T16:12:00Z" w:initials="i">
    <w:p w:rsidR="00B30A45" w:rsidRDefault="00B30A45" w:rsidP="00B30A45">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B30A45" w:rsidRDefault="00B30A45">
      <w:pPr>
        <w:pStyle w:val="CommentText"/>
      </w:pPr>
    </w:p>
  </w:comment>
  <w:comment w:id="16" w:author="Kapil" w:date="2023-11-10T14:34:00Z" w:initials="K">
    <w:p w:rsidR="001D19B3" w:rsidRDefault="001D19B3" w:rsidP="001D19B3">
      <w:pPr>
        <w:pStyle w:val="CommentText"/>
      </w:pPr>
      <w:r>
        <w:rPr>
          <w:rStyle w:val="CommentReference"/>
        </w:rPr>
        <w:annotationRef/>
      </w:r>
      <w:r w:rsidRPr="008E2CB3">
        <w:rPr>
          <w:rFonts w:ascii="Bookman Old Style" w:hAnsi="Bookman Old Style" w:cs="Times New Roman"/>
        </w:rPr>
        <w:t>Please add this section</w:t>
      </w:r>
    </w:p>
  </w:comment>
  <w:comment w:id="17" w:author="intel" w:date="2023-11-14T16:13:00Z" w:initials="i">
    <w:p w:rsidR="00B30A45" w:rsidRDefault="00B30A45" w:rsidP="00B30A45">
      <w:pPr>
        <w:spacing w:after="0"/>
        <w:rPr>
          <w:rFonts w:ascii="Bookman Old Style" w:hAnsi="Bookman Old Style" w:cs="Times New Roman"/>
        </w:rPr>
      </w:pPr>
      <w:r>
        <w:rPr>
          <w:rStyle w:val="CommentReference"/>
        </w:rPr>
        <w:annotationRef/>
      </w:r>
      <w:r w:rsidRPr="009639CF">
        <w:rPr>
          <w:rFonts w:ascii="Bookman Old Style" w:hAnsi="Bookman Old Style" w:cs="Times New Roman"/>
        </w:rPr>
        <w:t>The arguments and conclusions of the paper under review are valid and supported by data reported in the paper or referenced in other paper</w:t>
      </w:r>
    </w:p>
    <w:p w:rsidR="00B30A45" w:rsidRDefault="00B30A45">
      <w:pPr>
        <w:pStyle w:val="CommentText"/>
      </w:pPr>
    </w:p>
  </w:comment>
  <w:comment w:id="18" w:author="Kapil" w:date="2023-11-10T14:37:00Z" w:initials="K">
    <w:p w:rsidR="001D19B3" w:rsidRDefault="001D19B3" w:rsidP="001D19B3">
      <w:pPr>
        <w:pStyle w:val="CommentText"/>
      </w:pPr>
      <w:r>
        <w:rPr>
          <w:rStyle w:val="CommentReference"/>
        </w:rPr>
        <w:annotationRef/>
      </w:r>
      <w:r w:rsidRPr="008E2CB3">
        <w:rPr>
          <w:rFonts w:ascii="Bookman Old Style" w:hAnsi="Bookman Old Style" w:cs="Times New Roman"/>
        </w:rPr>
        <w:t>Please add this section</w:t>
      </w:r>
    </w:p>
  </w:comment>
  <w:comment w:id="19" w:author="SINGH" w:date="2023-11-10T14:38:00Z" w:initials="S">
    <w:p w:rsidR="001D19B3" w:rsidRPr="006212BC" w:rsidRDefault="001D19B3" w:rsidP="001D19B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D19B3" w:rsidRDefault="001D19B3" w:rsidP="001D19B3">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1D19B3" w:rsidRDefault="001D19B3" w:rsidP="001D19B3">
      <w:pPr>
        <w:spacing w:after="0"/>
        <w:rPr>
          <w:rFonts w:ascii="Bookman Old Style" w:hAnsi="Bookman Old Style" w:cs="Times New Roman"/>
          <w:b/>
          <w:color w:val="00B050"/>
        </w:rPr>
      </w:pPr>
    </w:p>
    <w:p w:rsidR="001D19B3" w:rsidRDefault="001D19B3" w:rsidP="001D19B3">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1D19B3" w:rsidRPr="00100B8B" w:rsidRDefault="001D19B3" w:rsidP="001D19B3">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1D19B3" w:rsidRDefault="001D19B3">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E10" w:rsidRDefault="00723E10" w:rsidP="004D052D">
      <w:pPr>
        <w:spacing w:after="0" w:line="240" w:lineRule="auto"/>
      </w:pPr>
      <w:r>
        <w:separator/>
      </w:r>
    </w:p>
  </w:endnote>
  <w:endnote w:type="continuationSeparator" w:id="1">
    <w:p w:rsidR="00723E10" w:rsidRDefault="00723E10" w:rsidP="004D0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168" w:rsidRDefault="004A0168">
    <w:pPr>
      <w:pStyle w:val="Footer"/>
      <w:jc w:val="center"/>
    </w:pPr>
  </w:p>
  <w:p w:rsidR="004D052D" w:rsidRDefault="004D0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A93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E10" w:rsidRDefault="00723E10" w:rsidP="004D052D">
      <w:pPr>
        <w:spacing w:after="0" w:line="240" w:lineRule="auto"/>
      </w:pPr>
      <w:r>
        <w:separator/>
      </w:r>
    </w:p>
  </w:footnote>
  <w:footnote w:type="continuationSeparator" w:id="1">
    <w:p w:rsidR="00723E10" w:rsidRDefault="00723E10" w:rsidP="004D0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013D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907"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013D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908"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30" w:rsidRDefault="00013D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2906"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7520"/>
    <w:multiLevelType w:val="hybridMultilevel"/>
    <w:tmpl w:val="999A4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742DA2"/>
    <w:rsid w:val="00003AF8"/>
    <w:rsid w:val="00011213"/>
    <w:rsid w:val="00013DC6"/>
    <w:rsid w:val="0002382B"/>
    <w:rsid w:val="00023B9E"/>
    <w:rsid w:val="00030FBC"/>
    <w:rsid w:val="000355D7"/>
    <w:rsid w:val="00041FAE"/>
    <w:rsid w:val="000476F3"/>
    <w:rsid w:val="00050CFB"/>
    <w:rsid w:val="00062EF5"/>
    <w:rsid w:val="0006376F"/>
    <w:rsid w:val="00063B2C"/>
    <w:rsid w:val="00066A17"/>
    <w:rsid w:val="00072C2B"/>
    <w:rsid w:val="00075A86"/>
    <w:rsid w:val="000778FB"/>
    <w:rsid w:val="00086487"/>
    <w:rsid w:val="000867C8"/>
    <w:rsid w:val="0009394A"/>
    <w:rsid w:val="000970BE"/>
    <w:rsid w:val="000A0C51"/>
    <w:rsid w:val="000B273E"/>
    <w:rsid w:val="000B34F8"/>
    <w:rsid w:val="000B5FBD"/>
    <w:rsid w:val="000D385D"/>
    <w:rsid w:val="000D580D"/>
    <w:rsid w:val="000D7E61"/>
    <w:rsid w:val="000E0DFD"/>
    <w:rsid w:val="000E5CCC"/>
    <w:rsid w:val="000E7481"/>
    <w:rsid w:val="001027CF"/>
    <w:rsid w:val="00103B6C"/>
    <w:rsid w:val="0011168B"/>
    <w:rsid w:val="001167F1"/>
    <w:rsid w:val="00120880"/>
    <w:rsid w:val="001263C2"/>
    <w:rsid w:val="00130431"/>
    <w:rsid w:val="00137F61"/>
    <w:rsid w:val="00143D2C"/>
    <w:rsid w:val="00146077"/>
    <w:rsid w:val="00146DA9"/>
    <w:rsid w:val="001515EC"/>
    <w:rsid w:val="00160A25"/>
    <w:rsid w:val="00182C0F"/>
    <w:rsid w:val="00183DF7"/>
    <w:rsid w:val="00186301"/>
    <w:rsid w:val="00187ACE"/>
    <w:rsid w:val="0019278C"/>
    <w:rsid w:val="00194C7B"/>
    <w:rsid w:val="001A5571"/>
    <w:rsid w:val="001A6B11"/>
    <w:rsid w:val="001C149F"/>
    <w:rsid w:val="001D19B3"/>
    <w:rsid w:val="001D61B6"/>
    <w:rsid w:val="001E64BB"/>
    <w:rsid w:val="001F1414"/>
    <w:rsid w:val="0020167D"/>
    <w:rsid w:val="00212CFB"/>
    <w:rsid w:val="00221BBC"/>
    <w:rsid w:val="00236700"/>
    <w:rsid w:val="00236E23"/>
    <w:rsid w:val="00244BA8"/>
    <w:rsid w:val="0025248A"/>
    <w:rsid w:val="00252EAB"/>
    <w:rsid w:val="0026153F"/>
    <w:rsid w:val="00273009"/>
    <w:rsid w:val="00273B69"/>
    <w:rsid w:val="002808A4"/>
    <w:rsid w:val="0028365A"/>
    <w:rsid w:val="00287F27"/>
    <w:rsid w:val="002A1344"/>
    <w:rsid w:val="002A25AB"/>
    <w:rsid w:val="002A5E06"/>
    <w:rsid w:val="002A5EC9"/>
    <w:rsid w:val="002A677D"/>
    <w:rsid w:val="002B4221"/>
    <w:rsid w:val="002B4604"/>
    <w:rsid w:val="002B463E"/>
    <w:rsid w:val="002D1DA1"/>
    <w:rsid w:val="002E2E15"/>
    <w:rsid w:val="002E71DF"/>
    <w:rsid w:val="002F77E3"/>
    <w:rsid w:val="00304A3D"/>
    <w:rsid w:val="00313B19"/>
    <w:rsid w:val="00321E50"/>
    <w:rsid w:val="00322348"/>
    <w:rsid w:val="00333F31"/>
    <w:rsid w:val="003373B5"/>
    <w:rsid w:val="00347681"/>
    <w:rsid w:val="00353D68"/>
    <w:rsid w:val="00357296"/>
    <w:rsid w:val="00364FFC"/>
    <w:rsid w:val="003670AB"/>
    <w:rsid w:val="0037143D"/>
    <w:rsid w:val="00376090"/>
    <w:rsid w:val="00390440"/>
    <w:rsid w:val="00390C5C"/>
    <w:rsid w:val="003A19E9"/>
    <w:rsid w:val="003A4116"/>
    <w:rsid w:val="003A791A"/>
    <w:rsid w:val="003C21D2"/>
    <w:rsid w:val="003C5D03"/>
    <w:rsid w:val="003E3462"/>
    <w:rsid w:val="003E7511"/>
    <w:rsid w:val="003F7857"/>
    <w:rsid w:val="003F79BD"/>
    <w:rsid w:val="004057EF"/>
    <w:rsid w:val="004116A7"/>
    <w:rsid w:val="00416511"/>
    <w:rsid w:val="00420F44"/>
    <w:rsid w:val="00430147"/>
    <w:rsid w:val="00441B47"/>
    <w:rsid w:val="00445858"/>
    <w:rsid w:val="00452594"/>
    <w:rsid w:val="0045331C"/>
    <w:rsid w:val="004574FE"/>
    <w:rsid w:val="0045766D"/>
    <w:rsid w:val="0046203F"/>
    <w:rsid w:val="004634AD"/>
    <w:rsid w:val="00470C91"/>
    <w:rsid w:val="00471246"/>
    <w:rsid w:val="00474DB7"/>
    <w:rsid w:val="00475D64"/>
    <w:rsid w:val="00480BE9"/>
    <w:rsid w:val="00494A61"/>
    <w:rsid w:val="004A0168"/>
    <w:rsid w:val="004A05EC"/>
    <w:rsid w:val="004A1753"/>
    <w:rsid w:val="004A39AB"/>
    <w:rsid w:val="004A7480"/>
    <w:rsid w:val="004B4E2D"/>
    <w:rsid w:val="004B5392"/>
    <w:rsid w:val="004C189B"/>
    <w:rsid w:val="004C5EEE"/>
    <w:rsid w:val="004D052D"/>
    <w:rsid w:val="004E1926"/>
    <w:rsid w:val="004E2ABF"/>
    <w:rsid w:val="004F0F05"/>
    <w:rsid w:val="004F7F62"/>
    <w:rsid w:val="005040F1"/>
    <w:rsid w:val="00507249"/>
    <w:rsid w:val="00513E35"/>
    <w:rsid w:val="0052091B"/>
    <w:rsid w:val="00524A06"/>
    <w:rsid w:val="005258AE"/>
    <w:rsid w:val="00530D43"/>
    <w:rsid w:val="00532B33"/>
    <w:rsid w:val="00534490"/>
    <w:rsid w:val="005348B2"/>
    <w:rsid w:val="005367CE"/>
    <w:rsid w:val="005415F7"/>
    <w:rsid w:val="0055399C"/>
    <w:rsid w:val="00562B56"/>
    <w:rsid w:val="00570159"/>
    <w:rsid w:val="00581EAF"/>
    <w:rsid w:val="00582396"/>
    <w:rsid w:val="00592CB9"/>
    <w:rsid w:val="005C1153"/>
    <w:rsid w:val="005C4D6E"/>
    <w:rsid w:val="005C69D9"/>
    <w:rsid w:val="005D1034"/>
    <w:rsid w:val="005D159B"/>
    <w:rsid w:val="005D1DB9"/>
    <w:rsid w:val="005D54CF"/>
    <w:rsid w:val="005D59B7"/>
    <w:rsid w:val="005D7B94"/>
    <w:rsid w:val="005E2165"/>
    <w:rsid w:val="005F6300"/>
    <w:rsid w:val="00600682"/>
    <w:rsid w:val="0060161B"/>
    <w:rsid w:val="00606B5B"/>
    <w:rsid w:val="00610A3F"/>
    <w:rsid w:val="00611C69"/>
    <w:rsid w:val="00613029"/>
    <w:rsid w:val="00616AEA"/>
    <w:rsid w:val="006178A5"/>
    <w:rsid w:val="00617ACC"/>
    <w:rsid w:val="00636543"/>
    <w:rsid w:val="00641E19"/>
    <w:rsid w:val="00642A0C"/>
    <w:rsid w:val="0065192E"/>
    <w:rsid w:val="00656F49"/>
    <w:rsid w:val="006570BC"/>
    <w:rsid w:val="00661C3E"/>
    <w:rsid w:val="00672126"/>
    <w:rsid w:val="00677226"/>
    <w:rsid w:val="00681C81"/>
    <w:rsid w:val="006867C9"/>
    <w:rsid w:val="00690DBC"/>
    <w:rsid w:val="00692BC0"/>
    <w:rsid w:val="00696288"/>
    <w:rsid w:val="006A5391"/>
    <w:rsid w:val="006A785D"/>
    <w:rsid w:val="006B0CE4"/>
    <w:rsid w:val="006C0418"/>
    <w:rsid w:val="006C3DAD"/>
    <w:rsid w:val="006C4491"/>
    <w:rsid w:val="006C5557"/>
    <w:rsid w:val="006D0E4D"/>
    <w:rsid w:val="006D3266"/>
    <w:rsid w:val="006D4F2C"/>
    <w:rsid w:val="006D5E32"/>
    <w:rsid w:val="006D7ABA"/>
    <w:rsid w:val="006E0E62"/>
    <w:rsid w:val="006E4755"/>
    <w:rsid w:val="006E4B38"/>
    <w:rsid w:val="006E7E3E"/>
    <w:rsid w:val="006F2410"/>
    <w:rsid w:val="006F6C1A"/>
    <w:rsid w:val="00700EB4"/>
    <w:rsid w:val="00705A7F"/>
    <w:rsid w:val="007151B3"/>
    <w:rsid w:val="007174FF"/>
    <w:rsid w:val="0072201B"/>
    <w:rsid w:val="00722EC3"/>
    <w:rsid w:val="00723E10"/>
    <w:rsid w:val="00724A0F"/>
    <w:rsid w:val="00726CA6"/>
    <w:rsid w:val="00742DA2"/>
    <w:rsid w:val="00745B1F"/>
    <w:rsid w:val="00746426"/>
    <w:rsid w:val="0074705E"/>
    <w:rsid w:val="007503B4"/>
    <w:rsid w:val="00755040"/>
    <w:rsid w:val="007555F5"/>
    <w:rsid w:val="00761D3D"/>
    <w:rsid w:val="0076247A"/>
    <w:rsid w:val="007654D0"/>
    <w:rsid w:val="007674C8"/>
    <w:rsid w:val="00767F9E"/>
    <w:rsid w:val="00784472"/>
    <w:rsid w:val="00784E63"/>
    <w:rsid w:val="00787C8D"/>
    <w:rsid w:val="007934C3"/>
    <w:rsid w:val="00793C45"/>
    <w:rsid w:val="007A3BAC"/>
    <w:rsid w:val="007B70E2"/>
    <w:rsid w:val="007C06D3"/>
    <w:rsid w:val="007C5304"/>
    <w:rsid w:val="007C7285"/>
    <w:rsid w:val="007D08CF"/>
    <w:rsid w:val="007D71E2"/>
    <w:rsid w:val="007E71E5"/>
    <w:rsid w:val="007F0209"/>
    <w:rsid w:val="007F1E92"/>
    <w:rsid w:val="008018BA"/>
    <w:rsid w:val="00803E7D"/>
    <w:rsid w:val="00811EC4"/>
    <w:rsid w:val="00811FE5"/>
    <w:rsid w:val="00813624"/>
    <w:rsid w:val="008162AE"/>
    <w:rsid w:val="008207C5"/>
    <w:rsid w:val="00821E28"/>
    <w:rsid w:val="00821EC2"/>
    <w:rsid w:val="00823C65"/>
    <w:rsid w:val="00830961"/>
    <w:rsid w:val="008309B7"/>
    <w:rsid w:val="008440C0"/>
    <w:rsid w:val="00857489"/>
    <w:rsid w:val="008672B9"/>
    <w:rsid w:val="00870560"/>
    <w:rsid w:val="00870E3D"/>
    <w:rsid w:val="00873DED"/>
    <w:rsid w:val="00876FC1"/>
    <w:rsid w:val="0088158F"/>
    <w:rsid w:val="00887188"/>
    <w:rsid w:val="008A02B6"/>
    <w:rsid w:val="008A180E"/>
    <w:rsid w:val="008A4C24"/>
    <w:rsid w:val="008A6501"/>
    <w:rsid w:val="008B628E"/>
    <w:rsid w:val="008B75C6"/>
    <w:rsid w:val="008C434B"/>
    <w:rsid w:val="008D08F7"/>
    <w:rsid w:val="008D7E8A"/>
    <w:rsid w:val="008E2449"/>
    <w:rsid w:val="008E3856"/>
    <w:rsid w:val="008E5EE5"/>
    <w:rsid w:val="008F0869"/>
    <w:rsid w:val="008F6639"/>
    <w:rsid w:val="008F7DBC"/>
    <w:rsid w:val="00901D73"/>
    <w:rsid w:val="0090604A"/>
    <w:rsid w:val="00911765"/>
    <w:rsid w:val="0091580B"/>
    <w:rsid w:val="00920598"/>
    <w:rsid w:val="009277A9"/>
    <w:rsid w:val="00927CEF"/>
    <w:rsid w:val="00942D70"/>
    <w:rsid w:val="009437CD"/>
    <w:rsid w:val="0094407E"/>
    <w:rsid w:val="00952D2E"/>
    <w:rsid w:val="0095515A"/>
    <w:rsid w:val="00967A45"/>
    <w:rsid w:val="009720EA"/>
    <w:rsid w:val="00974E73"/>
    <w:rsid w:val="00990A0C"/>
    <w:rsid w:val="00994841"/>
    <w:rsid w:val="00996DE9"/>
    <w:rsid w:val="009B03E0"/>
    <w:rsid w:val="009C5508"/>
    <w:rsid w:val="009D0478"/>
    <w:rsid w:val="009D3FEB"/>
    <w:rsid w:val="009D795A"/>
    <w:rsid w:val="009E10D5"/>
    <w:rsid w:val="009E3161"/>
    <w:rsid w:val="009F0EF4"/>
    <w:rsid w:val="00A00B17"/>
    <w:rsid w:val="00A10908"/>
    <w:rsid w:val="00A11FC0"/>
    <w:rsid w:val="00A13BF5"/>
    <w:rsid w:val="00A2150E"/>
    <w:rsid w:val="00A24782"/>
    <w:rsid w:val="00A35EC5"/>
    <w:rsid w:val="00A37D76"/>
    <w:rsid w:val="00A42F4B"/>
    <w:rsid w:val="00A44792"/>
    <w:rsid w:val="00A508A3"/>
    <w:rsid w:val="00A5124B"/>
    <w:rsid w:val="00A56FCD"/>
    <w:rsid w:val="00A72792"/>
    <w:rsid w:val="00A72824"/>
    <w:rsid w:val="00A7344B"/>
    <w:rsid w:val="00A757B8"/>
    <w:rsid w:val="00A775A3"/>
    <w:rsid w:val="00A80275"/>
    <w:rsid w:val="00A90C17"/>
    <w:rsid w:val="00A93730"/>
    <w:rsid w:val="00AB6C3E"/>
    <w:rsid w:val="00AC0487"/>
    <w:rsid w:val="00AC246A"/>
    <w:rsid w:val="00AC5A12"/>
    <w:rsid w:val="00AD0DBE"/>
    <w:rsid w:val="00AD560E"/>
    <w:rsid w:val="00AE3533"/>
    <w:rsid w:val="00AE3882"/>
    <w:rsid w:val="00AE44FD"/>
    <w:rsid w:val="00AE73E7"/>
    <w:rsid w:val="00AF254D"/>
    <w:rsid w:val="00B00F9A"/>
    <w:rsid w:val="00B066CB"/>
    <w:rsid w:val="00B11C03"/>
    <w:rsid w:val="00B13375"/>
    <w:rsid w:val="00B14B57"/>
    <w:rsid w:val="00B17225"/>
    <w:rsid w:val="00B2200B"/>
    <w:rsid w:val="00B22E6D"/>
    <w:rsid w:val="00B30A45"/>
    <w:rsid w:val="00B45C93"/>
    <w:rsid w:val="00B50364"/>
    <w:rsid w:val="00B50878"/>
    <w:rsid w:val="00B56C19"/>
    <w:rsid w:val="00B57B7D"/>
    <w:rsid w:val="00B6035C"/>
    <w:rsid w:val="00B62FEA"/>
    <w:rsid w:val="00B754EC"/>
    <w:rsid w:val="00B80C6E"/>
    <w:rsid w:val="00B84898"/>
    <w:rsid w:val="00B85C41"/>
    <w:rsid w:val="00BA21C1"/>
    <w:rsid w:val="00BA2ABE"/>
    <w:rsid w:val="00BA2C46"/>
    <w:rsid w:val="00BB0F21"/>
    <w:rsid w:val="00BC7654"/>
    <w:rsid w:val="00BD2AA4"/>
    <w:rsid w:val="00BD6F59"/>
    <w:rsid w:val="00BF4DBF"/>
    <w:rsid w:val="00BF5D8E"/>
    <w:rsid w:val="00C0733A"/>
    <w:rsid w:val="00C12587"/>
    <w:rsid w:val="00C1288B"/>
    <w:rsid w:val="00C2569C"/>
    <w:rsid w:val="00C30556"/>
    <w:rsid w:val="00C30805"/>
    <w:rsid w:val="00C30EA7"/>
    <w:rsid w:val="00C36AE3"/>
    <w:rsid w:val="00C36E8C"/>
    <w:rsid w:val="00C41847"/>
    <w:rsid w:val="00C43D34"/>
    <w:rsid w:val="00C441AD"/>
    <w:rsid w:val="00C640F4"/>
    <w:rsid w:val="00C648DE"/>
    <w:rsid w:val="00C64EE1"/>
    <w:rsid w:val="00C6752C"/>
    <w:rsid w:val="00C8346B"/>
    <w:rsid w:val="00C83CE7"/>
    <w:rsid w:val="00C865BA"/>
    <w:rsid w:val="00C947B7"/>
    <w:rsid w:val="00C94A47"/>
    <w:rsid w:val="00C958C2"/>
    <w:rsid w:val="00C972A9"/>
    <w:rsid w:val="00CA0D6C"/>
    <w:rsid w:val="00CA1FA0"/>
    <w:rsid w:val="00CA28B5"/>
    <w:rsid w:val="00CA56D3"/>
    <w:rsid w:val="00CA60F4"/>
    <w:rsid w:val="00CA7216"/>
    <w:rsid w:val="00CB3458"/>
    <w:rsid w:val="00CB38AC"/>
    <w:rsid w:val="00CC5FFE"/>
    <w:rsid w:val="00CD4327"/>
    <w:rsid w:val="00CD70D3"/>
    <w:rsid w:val="00CD7C56"/>
    <w:rsid w:val="00CE073C"/>
    <w:rsid w:val="00CF3769"/>
    <w:rsid w:val="00CF3EDF"/>
    <w:rsid w:val="00CF7AA4"/>
    <w:rsid w:val="00D00082"/>
    <w:rsid w:val="00D007F3"/>
    <w:rsid w:val="00D02C16"/>
    <w:rsid w:val="00D0467E"/>
    <w:rsid w:val="00D046BD"/>
    <w:rsid w:val="00D101C0"/>
    <w:rsid w:val="00D12E5A"/>
    <w:rsid w:val="00D167FE"/>
    <w:rsid w:val="00D1691E"/>
    <w:rsid w:val="00D23B57"/>
    <w:rsid w:val="00D24058"/>
    <w:rsid w:val="00D306CF"/>
    <w:rsid w:val="00D309D5"/>
    <w:rsid w:val="00D34513"/>
    <w:rsid w:val="00D37AC5"/>
    <w:rsid w:val="00D472FD"/>
    <w:rsid w:val="00D50297"/>
    <w:rsid w:val="00D51130"/>
    <w:rsid w:val="00D55C0D"/>
    <w:rsid w:val="00D625C1"/>
    <w:rsid w:val="00D66D7C"/>
    <w:rsid w:val="00D67EF0"/>
    <w:rsid w:val="00D71E15"/>
    <w:rsid w:val="00D83D1C"/>
    <w:rsid w:val="00D84518"/>
    <w:rsid w:val="00D86C84"/>
    <w:rsid w:val="00D8715E"/>
    <w:rsid w:val="00D90526"/>
    <w:rsid w:val="00D90F07"/>
    <w:rsid w:val="00D91E34"/>
    <w:rsid w:val="00DB0331"/>
    <w:rsid w:val="00DB0510"/>
    <w:rsid w:val="00DB3970"/>
    <w:rsid w:val="00DB5531"/>
    <w:rsid w:val="00DC2A3B"/>
    <w:rsid w:val="00DD01E6"/>
    <w:rsid w:val="00DD39E0"/>
    <w:rsid w:val="00DE28D2"/>
    <w:rsid w:val="00DE2C63"/>
    <w:rsid w:val="00DF1B80"/>
    <w:rsid w:val="00DF541A"/>
    <w:rsid w:val="00DF5A85"/>
    <w:rsid w:val="00DF6B1C"/>
    <w:rsid w:val="00DF7C96"/>
    <w:rsid w:val="00E00C43"/>
    <w:rsid w:val="00E04106"/>
    <w:rsid w:val="00E06299"/>
    <w:rsid w:val="00E07D5A"/>
    <w:rsid w:val="00E26687"/>
    <w:rsid w:val="00E30B0B"/>
    <w:rsid w:val="00E31827"/>
    <w:rsid w:val="00E418D9"/>
    <w:rsid w:val="00E732D9"/>
    <w:rsid w:val="00E7416D"/>
    <w:rsid w:val="00E7765E"/>
    <w:rsid w:val="00E82072"/>
    <w:rsid w:val="00E9567B"/>
    <w:rsid w:val="00EA2202"/>
    <w:rsid w:val="00EA478E"/>
    <w:rsid w:val="00EA57B1"/>
    <w:rsid w:val="00EA7E1C"/>
    <w:rsid w:val="00EB03FA"/>
    <w:rsid w:val="00EB0AA3"/>
    <w:rsid w:val="00EB2371"/>
    <w:rsid w:val="00EB375C"/>
    <w:rsid w:val="00EB75F4"/>
    <w:rsid w:val="00EC4D52"/>
    <w:rsid w:val="00ED3E34"/>
    <w:rsid w:val="00ED5431"/>
    <w:rsid w:val="00EE2612"/>
    <w:rsid w:val="00EE5EC0"/>
    <w:rsid w:val="00EE60D2"/>
    <w:rsid w:val="00F0041D"/>
    <w:rsid w:val="00F070C7"/>
    <w:rsid w:val="00F07112"/>
    <w:rsid w:val="00F13515"/>
    <w:rsid w:val="00F15E87"/>
    <w:rsid w:val="00F16C65"/>
    <w:rsid w:val="00F175C3"/>
    <w:rsid w:val="00F23E62"/>
    <w:rsid w:val="00F2462C"/>
    <w:rsid w:val="00F25935"/>
    <w:rsid w:val="00F32AD3"/>
    <w:rsid w:val="00F358F2"/>
    <w:rsid w:val="00F36C1A"/>
    <w:rsid w:val="00F41A17"/>
    <w:rsid w:val="00F44819"/>
    <w:rsid w:val="00F5088D"/>
    <w:rsid w:val="00F54E5F"/>
    <w:rsid w:val="00F62BE1"/>
    <w:rsid w:val="00F62C7C"/>
    <w:rsid w:val="00F71188"/>
    <w:rsid w:val="00F82215"/>
    <w:rsid w:val="00F835EE"/>
    <w:rsid w:val="00FA715A"/>
    <w:rsid w:val="00FB7B16"/>
    <w:rsid w:val="00FC03B6"/>
    <w:rsid w:val="00FC19DF"/>
    <w:rsid w:val="00FC6DF0"/>
    <w:rsid w:val="00FD57C6"/>
    <w:rsid w:val="00FD5D01"/>
    <w:rsid w:val="00FD60FE"/>
    <w:rsid w:val="00FE3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AC5"/>
    <w:rPr>
      <w:rFonts w:ascii="Tahoma" w:hAnsi="Tahoma" w:cs="Tahoma"/>
      <w:sz w:val="16"/>
      <w:szCs w:val="16"/>
    </w:rPr>
  </w:style>
  <w:style w:type="paragraph" w:styleId="Header">
    <w:name w:val="header"/>
    <w:basedOn w:val="Normal"/>
    <w:link w:val="HeaderChar"/>
    <w:uiPriority w:val="99"/>
    <w:unhideWhenUsed/>
    <w:rsid w:val="004D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52D"/>
  </w:style>
  <w:style w:type="paragraph" w:styleId="Footer">
    <w:name w:val="footer"/>
    <w:basedOn w:val="Normal"/>
    <w:link w:val="FooterChar"/>
    <w:uiPriority w:val="99"/>
    <w:unhideWhenUsed/>
    <w:rsid w:val="004D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2D"/>
  </w:style>
  <w:style w:type="paragraph" w:customStyle="1" w:styleId="Default">
    <w:name w:val="Default"/>
    <w:rsid w:val="00F54E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00C43"/>
    <w:pPr>
      <w:ind w:left="720"/>
      <w:contextualSpacing/>
    </w:pPr>
  </w:style>
  <w:style w:type="character" w:styleId="Hyperlink">
    <w:name w:val="Hyperlink"/>
    <w:basedOn w:val="DefaultParagraphFont"/>
    <w:unhideWhenUsed/>
    <w:rsid w:val="00F82215"/>
    <w:rPr>
      <w:color w:val="0000FF" w:themeColor="hyperlink"/>
      <w:u w:val="single"/>
    </w:rPr>
  </w:style>
  <w:style w:type="character" w:customStyle="1" w:styleId="UnresolvedMention">
    <w:name w:val="Unresolved Mention"/>
    <w:basedOn w:val="DefaultParagraphFont"/>
    <w:uiPriority w:val="99"/>
    <w:semiHidden/>
    <w:unhideWhenUsed/>
    <w:rsid w:val="00F82215"/>
    <w:rPr>
      <w:color w:val="605E5C"/>
      <w:shd w:val="clear" w:color="auto" w:fill="E1DFDD"/>
    </w:rPr>
  </w:style>
  <w:style w:type="character" w:styleId="CommentReference">
    <w:name w:val="annotation reference"/>
    <w:basedOn w:val="DefaultParagraphFont"/>
    <w:uiPriority w:val="99"/>
    <w:unhideWhenUsed/>
    <w:rsid w:val="001D19B3"/>
    <w:rPr>
      <w:sz w:val="16"/>
      <w:szCs w:val="16"/>
    </w:rPr>
  </w:style>
  <w:style w:type="paragraph" w:styleId="CommentText">
    <w:name w:val="annotation text"/>
    <w:basedOn w:val="Normal"/>
    <w:link w:val="CommentTextChar"/>
    <w:uiPriority w:val="99"/>
    <w:unhideWhenUsed/>
    <w:rsid w:val="001D19B3"/>
    <w:pPr>
      <w:spacing w:line="240" w:lineRule="auto"/>
    </w:pPr>
    <w:rPr>
      <w:sz w:val="20"/>
      <w:szCs w:val="20"/>
    </w:rPr>
  </w:style>
  <w:style w:type="character" w:customStyle="1" w:styleId="CommentTextChar">
    <w:name w:val="Comment Text Char"/>
    <w:basedOn w:val="DefaultParagraphFont"/>
    <w:link w:val="CommentText"/>
    <w:uiPriority w:val="99"/>
    <w:rsid w:val="001D19B3"/>
    <w:rPr>
      <w:sz w:val="20"/>
      <w:szCs w:val="20"/>
    </w:rPr>
  </w:style>
  <w:style w:type="paragraph" w:styleId="CommentSubject">
    <w:name w:val="annotation subject"/>
    <w:basedOn w:val="CommentText"/>
    <w:next w:val="CommentText"/>
    <w:link w:val="CommentSubjectChar"/>
    <w:uiPriority w:val="99"/>
    <w:semiHidden/>
    <w:unhideWhenUsed/>
    <w:rsid w:val="001D19B3"/>
    <w:rPr>
      <w:b/>
      <w:bCs/>
    </w:rPr>
  </w:style>
  <w:style w:type="character" w:customStyle="1" w:styleId="CommentSubjectChar">
    <w:name w:val="Comment Subject Char"/>
    <w:basedOn w:val="CommentTextChar"/>
    <w:link w:val="CommentSubject"/>
    <w:uiPriority w:val="99"/>
    <w:semiHidden/>
    <w:rsid w:val="001D19B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yperlink" Target="https://doi.org/10.29058/mjwbs.1257163" TargetMode="External"/><Relationship Id="rId39" Type="http://schemas.openxmlformats.org/officeDocument/2006/relationships/hyperlink" Target="https://support.minitab.com/en-us/minitab/21/help-and-how-to/quality-and-process-improvement/capability-analysis/supporting-topics/capability-metrics/z-bench-as-an-estimate-of-sigma-capability/" TargetMode="External"/><Relationship Id="rId3" Type="http://schemas.openxmlformats.org/officeDocument/2006/relationships/settings" Target="settings.xml"/><Relationship Id="rId21" Type="http://schemas.openxmlformats.org/officeDocument/2006/relationships/hyperlink" Target="https://www.pharmafocusasia.com/articles/pharmaceutical-component-kinetics-inventory-dynamic-control-is-crucial" TargetMode="External"/><Relationship Id="rId34" Type="http://schemas.openxmlformats.org/officeDocument/2006/relationships/hyperlink" Target="https://doi.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doi.org/10.3923/ajaps.2023.84.94" TargetMode="External"/><Relationship Id="rId33" Type="http://schemas.openxmlformats.org/officeDocument/2006/relationships/hyperlink" Target="https://doi.org/10.52693/jsas.989584" TargetMode="External"/><Relationship Id="rId38" Type="http://schemas.openxmlformats.org/officeDocument/2006/relationships/hyperlink" Target="https://qidemy.com/what-is-process-capability-analysis/"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doi.org/10.52142/omujecm.39.4.4" TargetMode="External"/><Relationship Id="rId29" Type="http://schemas.openxmlformats.org/officeDocument/2006/relationships/hyperlink" Target="https://doi.org/10.14456/mujps.2016.14"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22531/muglajsci.955946" TargetMode="External"/><Relationship Id="rId32" Type="http://schemas.openxmlformats.org/officeDocument/2006/relationships/hyperlink" Target="https://www.investopedia.com/terms/t/total-quality-management-tqm.asp" TargetMode="External"/><Relationship Id="rId37" Type="http://schemas.openxmlformats.org/officeDocument/2006/relationships/hyperlink" Target="https://www.pqsystems.com/qualityadvisor/DataAnalysisTools/capability_ppk.php" TargetMode="External"/><Relationship Id="rId40" Type="http://schemas.openxmlformats.org/officeDocument/2006/relationships/hyperlink" Target="https://support.minitab.com/en-us/minitab/20/help-and-how-to/quality-and-process-improvement/capability-analysis/how-to/capability-analysis/normal-capability-analysis/interpret-the-results/all-statistics-and-graphs/expected-overall-performance/"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doi.org/10.20510/ukjpb/4/i1/87845" TargetMode="External"/><Relationship Id="rId28" Type="http://schemas.openxmlformats.org/officeDocument/2006/relationships/hyperlink" Target="https://doi.org/10.1590/s2175-97902018000217499" TargetMode="External"/><Relationship Id="rId36" Type="http://schemas.openxmlformats.org/officeDocument/2006/relationships/hyperlink" Target="https://www.isixsigma.com/methodology/voice-of-the-process-vs-voice-of-the-customer-whats-the-difference/" TargetMode="External"/><Relationship Id="rId10" Type="http://schemas.openxmlformats.org/officeDocument/2006/relationships/image" Target="media/image4.emf"/><Relationship Id="rId19" Type="http://schemas.openxmlformats.org/officeDocument/2006/relationships/hyperlink" Target="https://doi.org/10.31202/ecjse.871179" TargetMode="External"/><Relationship Id="rId31" Type="http://schemas.openxmlformats.org/officeDocument/2006/relationships/hyperlink" Target="https://doi.org/10.25258/ijpqa.6.2.4"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dx.doi.org/10.31031/ntnf.2018.02.000531" TargetMode="External"/><Relationship Id="rId27" Type="http://schemas.openxmlformats.org/officeDocument/2006/relationships/hyperlink" Target="https://doi.org/10.14499/jfps" TargetMode="External"/><Relationship Id="rId30" Type="http://schemas.openxmlformats.org/officeDocument/2006/relationships/hyperlink" Target="https://doi.org/10.3390/molecules26164807" TargetMode="External"/><Relationship Id="rId35" Type="http://schemas.openxmlformats.org/officeDocument/2006/relationships/hyperlink" Target="https://doi.org/10.31058/j.hr.2019.32001"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13</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intel</cp:lastModifiedBy>
  <cp:revision>194</cp:revision>
  <dcterms:created xsi:type="dcterms:W3CDTF">2023-11-05T09:03:00Z</dcterms:created>
  <dcterms:modified xsi:type="dcterms:W3CDTF">2023-11-14T10:43:00Z</dcterms:modified>
</cp:coreProperties>
</file>