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31" w:rsidRPr="007824F8" w:rsidRDefault="00895131" w:rsidP="00895131">
      <w:pPr>
        <w:shd w:val="clear" w:color="auto" w:fill="00B050"/>
        <w:spacing w:line="276" w:lineRule="auto"/>
        <w:jc w:val="center"/>
        <w:rPr>
          <w:rFonts w:ascii="Times New Roman" w:eastAsia="Calibri" w:hAnsi="Times New Roman"/>
          <w:b/>
          <w:bCs/>
          <w:color w:val="FFFFFF"/>
          <w:sz w:val="32"/>
          <w:szCs w:val="32"/>
        </w:rPr>
      </w:pPr>
      <w:r w:rsidRPr="007824F8">
        <w:rPr>
          <w:rFonts w:ascii="Times New Roman" w:eastAsia="Calibri" w:hAnsi="Times New Roman"/>
          <w:b/>
          <w:bCs/>
          <w:color w:val="FFFFFF"/>
          <w:sz w:val="32"/>
          <w:szCs w:val="32"/>
        </w:rPr>
        <w:t>Original Research Article</w:t>
      </w:r>
    </w:p>
    <w:p w:rsidR="001F56F7" w:rsidRDefault="001F56F7" w:rsidP="00842452">
      <w:pPr>
        <w:pStyle w:val="Title"/>
        <w:spacing w:after="0"/>
        <w:jc w:val="center"/>
        <w:rPr>
          <w:rFonts w:ascii="Arial" w:hAnsi="Arial" w:cs="Arial"/>
        </w:rPr>
      </w:pPr>
    </w:p>
    <w:p w:rsidR="00D63906" w:rsidRPr="001F56F7" w:rsidRDefault="00D63906" w:rsidP="001F56F7">
      <w:pPr>
        <w:spacing w:line="276" w:lineRule="auto"/>
        <w:jc w:val="center"/>
        <w:rPr>
          <w:rFonts w:ascii="Times New Roman" w:hAnsi="Times New Roman"/>
          <w:b/>
          <w:sz w:val="26"/>
          <w:szCs w:val="26"/>
        </w:rPr>
      </w:pPr>
      <w:r w:rsidRPr="001F56F7">
        <w:rPr>
          <w:rFonts w:ascii="Times New Roman" w:hAnsi="Times New Roman"/>
          <w:b/>
          <w:bCs/>
          <w:sz w:val="26"/>
          <w:szCs w:val="26"/>
        </w:rPr>
        <w:t>Structure Based-Design of Novel Analogues Carbonitrile</w:t>
      </w:r>
      <w:r w:rsidR="00BF7178" w:rsidRPr="001F56F7">
        <w:rPr>
          <w:rFonts w:ascii="Times New Roman" w:hAnsi="Times New Roman"/>
          <w:b/>
          <w:bCs/>
          <w:sz w:val="26"/>
          <w:szCs w:val="26"/>
        </w:rPr>
        <w:t>s</w:t>
      </w:r>
      <w:r w:rsidRPr="001F56F7">
        <w:rPr>
          <w:rFonts w:ascii="Times New Roman" w:hAnsi="Times New Roman"/>
          <w:b/>
          <w:bCs/>
          <w:sz w:val="26"/>
          <w:szCs w:val="26"/>
        </w:rPr>
        <w:t xml:space="preserve"> Pyrimidine Targeting the Cysteine Protease </w:t>
      </w:r>
      <w:r w:rsidRPr="001F56F7">
        <w:rPr>
          <w:rFonts w:ascii="Times New Roman" w:hAnsi="Times New Roman"/>
          <w:b/>
          <w:bCs/>
          <w:i/>
          <w:iCs/>
          <w:sz w:val="26"/>
          <w:szCs w:val="26"/>
        </w:rPr>
        <w:t>falcipain 2</w:t>
      </w:r>
      <w:r w:rsidRPr="001F56F7">
        <w:rPr>
          <w:rFonts w:ascii="Times New Roman" w:hAnsi="Times New Roman"/>
          <w:b/>
          <w:bCs/>
          <w:sz w:val="26"/>
          <w:szCs w:val="26"/>
        </w:rPr>
        <w:t xml:space="preserve"> of </w:t>
      </w:r>
      <w:r w:rsidR="00EC1B4E" w:rsidRPr="001F56F7">
        <w:rPr>
          <w:rFonts w:ascii="Times New Roman" w:hAnsi="Times New Roman"/>
          <w:b/>
          <w:bCs/>
          <w:i/>
          <w:sz w:val="26"/>
          <w:szCs w:val="26"/>
        </w:rPr>
        <w:t>P</w:t>
      </w:r>
      <w:r w:rsidRPr="001F56F7">
        <w:rPr>
          <w:rFonts w:ascii="Times New Roman" w:hAnsi="Times New Roman"/>
          <w:b/>
          <w:bCs/>
          <w:i/>
          <w:sz w:val="26"/>
          <w:szCs w:val="26"/>
        </w:rPr>
        <w:t xml:space="preserve">lasmodium </w:t>
      </w:r>
      <w:r w:rsidR="00EC1B4E" w:rsidRPr="001F56F7">
        <w:rPr>
          <w:rFonts w:ascii="Times New Roman" w:hAnsi="Times New Roman"/>
          <w:b/>
          <w:bCs/>
          <w:i/>
          <w:sz w:val="26"/>
          <w:szCs w:val="26"/>
        </w:rPr>
        <w:t>f</w:t>
      </w:r>
      <w:r w:rsidRPr="001F56F7">
        <w:rPr>
          <w:rFonts w:ascii="Times New Roman" w:hAnsi="Times New Roman"/>
          <w:b/>
          <w:bCs/>
          <w:i/>
          <w:sz w:val="26"/>
          <w:szCs w:val="26"/>
        </w:rPr>
        <w:t>alciparum</w:t>
      </w:r>
      <w:r w:rsidRPr="001F56F7">
        <w:rPr>
          <w:rFonts w:ascii="Times New Roman" w:hAnsi="Times New Roman"/>
          <w:b/>
          <w:bCs/>
          <w:sz w:val="26"/>
          <w:szCs w:val="26"/>
        </w:rPr>
        <w:t xml:space="preserve"> (</w:t>
      </w:r>
      <w:r w:rsidRPr="001F56F7">
        <w:rPr>
          <w:rFonts w:ascii="Times New Roman" w:hAnsi="Times New Roman"/>
          <w:b/>
          <w:bCs/>
          <w:i/>
          <w:iCs/>
          <w:sz w:val="26"/>
          <w:szCs w:val="26"/>
        </w:rPr>
        <w:t>pf</w:t>
      </w:r>
      <w:r w:rsidRPr="001F56F7">
        <w:rPr>
          <w:rFonts w:ascii="Times New Roman" w:hAnsi="Times New Roman"/>
          <w:b/>
          <w:bCs/>
          <w:iCs/>
          <w:sz w:val="26"/>
          <w:szCs w:val="26"/>
        </w:rPr>
        <w:t>FP2</w:t>
      </w:r>
      <w:r w:rsidRPr="001F56F7">
        <w:rPr>
          <w:rFonts w:ascii="Times New Roman" w:hAnsi="Times New Roman"/>
          <w:b/>
          <w:bCs/>
          <w:sz w:val="26"/>
          <w:szCs w:val="26"/>
        </w:rPr>
        <w:t>) in Trop</w:t>
      </w:r>
      <w:r w:rsidR="00CF29D3" w:rsidRPr="001F56F7">
        <w:rPr>
          <w:rFonts w:ascii="Times New Roman" w:hAnsi="Times New Roman"/>
          <w:b/>
          <w:bCs/>
          <w:sz w:val="26"/>
          <w:szCs w:val="26"/>
        </w:rPr>
        <w:t>hozoï</w:t>
      </w:r>
      <w:r w:rsidR="00BF7178" w:rsidRPr="001F56F7">
        <w:rPr>
          <w:rFonts w:ascii="Times New Roman" w:hAnsi="Times New Roman"/>
          <w:b/>
          <w:bCs/>
          <w:sz w:val="26"/>
          <w:szCs w:val="26"/>
        </w:rPr>
        <w:t>te Stage with ADME Properties</w:t>
      </w:r>
      <w:r w:rsidRPr="001F56F7">
        <w:rPr>
          <w:rFonts w:ascii="Times New Roman" w:hAnsi="Times New Roman"/>
          <w:b/>
          <w:sz w:val="26"/>
          <w:szCs w:val="26"/>
        </w:rPr>
        <w:t xml:space="preserve"> Favorable</w:t>
      </w:r>
    </w:p>
    <w:p w:rsidR="00D63906" w:rsidRPr="00FB3A86" w:rsidRDefault="00D63906" w:rsidP="00D63906">
      <w:pPr>
        <w:pStyle w:val="Affiliation"/>
        <w:spacing w:after="0" w:line="240" w:lineRule="auto"/>
        <w:jc w:val="both"/>
        <w:rPr>
          <w:rFonts w:ascii="Arial" w:hAnsi="Arial" w:cs="Arial"/>
        </w:rPr>
      </w:pPr>
    </w:p>
    <w:p w:rsidR="00D63906" w:rsidRPr="00FB3A86" w:rsidRDefault="009A671C" w:rsidP="00D63906">
      <w:pPr>
        <w:pStyle w:val="Copyright"/>
        <w:spacing w:after="0" w:line="240" w:lineRule="auto"/>
        <w:jc w:val="both"/>
        <w:rPr>
          <w:rFonts w:ascii="Arial" w:hAnsi="Arial" w:cs="Arial"/>
        </w:rPr>
        <w:sectPr w:rsidR="00D63906" w:rsidRPr="00FB3A86" w:rsidSect="00895131">
          <w:headerReference w:type="even" r:id="rId8"/>
          <w:headerReference w:type="default" r:id="rId9"/>
          <w:headerReference w:type="first" r:id="rId10"/>
          <w:footerReference w:type="first" r:id="rId11"/>
          <w:pgSz w:w="12240" w:h="15840" w:code="1"/>
          <w:pgMar w:top="568" w:right="1134" w:bottom="1134" w:left="1134" w:header="284" w:footer="22" w:gutter="0"/>
          <w:cols w:space="720"/>
          <w:docGrid w:linePitch="272"/>
        </w:sectPr>
      </w:pPr>
      <w:r w:rsidRPr="009A671C">
        <w:rPr>
          <w:rFonts w:ascii="Arial" w:hAnsi="Arial" w:cs="Arial"/>
          <w:noProof/>
          <w:lang w:val="fr-FR" w:eastAsia="fr-FR"/>
        </w:rPr>
      </w:r>
      <w:r w:rsidRPr="009A671C">
        <w:rPr>
          <w:rFonts w:ascii="Arial" w:hAnsi="Arial" w:cs="Arial"/>
          <w:noProof/>
          <w:lang w:val="fr-FR" w:eastAsia="fr-FR"/>
        </w:rPr>
        <w:pict>
          <v:shapetype id="_x0000_t32" coordsize="21600,21600" o:spt="32" o:oned="t" path="m,l21600,21600e" filled="f">
            <v:path arrowok="t" fillok="f" o:connecttype="none"/>
            <o:lock v:ext="edit" shapetype="t"/>
          </v:shapetype>
          <v:shape id="AutoShape 2" o:spid="_x0000_s1027" type="#_x0000_t32" style="width:417.6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wrap type="none"/>
            <w10:anchorlock/>
          </v:shape>
        </w:pict>
      </w:r>
      <w:r w:rsidR="00D63906">
        <w:rPr>
          <w:rFonts w:ascii="Arial" w:hAnsi="Arial" w:cs="Arial"/>
        </w:rPr>
        <w:t>.</w:t>
      </w:r>
    </w:p>
    <w:p w:rsidR="00D63906" w:rsidRPr="00FB3A86" w:rsidRDefault="00D63906" w:rsidP="00D6390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D63906" w:rsidRPr="001E44FE" w:rsidTr="00584A1E">
        <w:tc>
          <w:tcPr>
            <w:tcW w:w="9576" w:type="dxa"/>
            <w:shd w:val="clear" w:color="auto" w:fill="F2F2F2"/>
          </w:tcPr>
          <w:p w:rsidR="009F69C8" w:rsidRPr="009F69C8" w:rsidRDefault="009F69C8" w:rsidP="00504E67">
            <w:pPr>
              <w:autoSpaceDE w:val="0"/>
              <w:autoSpaceDN w:val="0"/>
              <w:adjustRightInd w:val="0"/>
              <w:rPr>
                <w:rFonts w:ascii="Times New Roman" w:eastAsiaTheme="minorHAnsi" w:hAnsi="Times New Roman"/>
                <w:b/>
                <w:color w:val="000000"/>
                <w:sz w:val="24"/>
                <w:szCs w:val="24"/>
              </w:rPr>
            </w:pPr>
            <w:r w:rsidRPr="003B6510">
              <w:rPr>
                <w:rFonts w:ascii="Times New Roman" w:eastAsiaTheme="minorHAnsi" w:hAnsi="Times New Roman"/>
                <w:b/>
                <w:bCs/>
                <w:color w:val="000000"/>
                <w:sz w:val="18"/>
                <w:szCs w:val="18"/>
              </w:rPr>
              <w:t>ABSTRACT</w:t>
            </w:r>
          </w:p>
          <w:p w:rsidR="009F69C8" w:rsidRPr="009F69C8" w:rsidRDefault="009F69C8" w:rsidP="00504E67">
            <w:pPr>
              <w:pStyle w:val="EndnoteText"/>
              <w:spacing w:after="0" w:line="240" w:lineRule="auto"/>
              <w:jc w:val="both"/>
              <w:rPr>
                <w:rFonts w:ascii="Times New Roman" w:eastAsiaTheme="minorHAnsi" w:hAnsi="Times New Roman"/>
                <w:color w:val="000000"/>
                <w:sz w:val="18"/>
                <w:szCs w:val="18"/>
                <w:lang w:val="en-US" w:eastAsia="en-US"/>
              </w:rPr>
            </w:pPr>
            <w:r w:rsidRPr="009F69C8">
              <w:rPr>
                <w:rFonts w:ascii="Times New Roman" w:eastAsiaTheme="minorHAnsi" w:hAnsi="Times New Roman"/>
                <w:b/>
                <w:bCs/>
                <w:color w:val="000000"/>
                <w:sz w:val="18"/>
                <w:szCs w:val="18"/>
                <w:lang w:val="en-US" w:eastAsia="en-US"/>
              </w:rPr>
              <w:t xml:space="preserve">Aim and Objective: </w:t>
            </w:r>
            <w:r w:rsidR="003B6510">
              <w:rPr>
                <w:rFonts w:ascii="Times New Roman" w:eastAsiaTheme="minorHAnsi" w:hAnsi="Times New Roman"/>
                <w:color w:val="000000"/>
                <w:sz w:val="18"/>
                <w:szCs w:val="18"/>
                <w:lang w:val="en-US" w:eastAsia="en-US"/>
              </w:rPr>
              <w:t>S</w:t>
            </w:r>
            <w:r w:rsidR="003B6510" w:rsidRPr="003B6510">
              <w:rPr>
                <w:rFonts w:ascii="Times New Roman" w:eastAsiaTheme="minorHAnsi" w:hAnsi="Times New Roman"/>
                <w:color w:val="000000"/>
                <w:sz w:val="18"/>
                <w:szCs w:val="18"/>
                <w:lang w:val="en-US" w:eastAsia="en-US"/>
              </w:rPr>
              <w:t>tructure-based drug design (SBDD)</w:t>
            </w:r>
            <w:r w:rsidR="003B6510">
              <w:rPr>
                <w:rFonts w:ascii="Times New Roman" w:eastAsiaTheme="minorHAnsi" w:hAnsi="Times New Roman"/>
                <w:color w:val="000000"/>
                <w:sz w:val="18"/>
                <w:szCs w:val="18"/>
                <w:lang w:val="en-US" w:eastAsia="en-US"/>
              </w:rPr>
              <w:t xml:space="preserve"> of </w:t>
            </w:r>
            <w:r w:rsidR="003B6510" w:rsidRPr="003B6510">
              <w:rPr>
                <w:rFonts w:ascii="Times New Roman" w:eastAsiaTheme="minorHAnsi" w:hAnsi="Times New Roman"/>
                <w:color w:val="000000"/>
                <w:sz w:val="18"/>
                <w:szCs w:val="18"/>
                <w:lang w:val="en-US" w:eastAsia="en-US"/>
              </w:rPr>
              <w:t xml:space="preserve">new </w:t>
            </w:r>
            <w:r w:rsidR="003B6510">
              <w:rPr>
                <w:rFonts w:ascii="Times New Roman" w:eastAsiaTheme="minorHAnsi" w:hAnsi="Times New Roman"/>
                <w:color w:val="000000"/>
                <w:sz w:val="18"/>
                <w:szCs w:val="18"/>
                <w:lang w:val="en-US" w:eastAsia="en-US"/>
              </w:rPr>
              <w:t xml:space="preserve">antimalarials at a moment resistance of the most causative agent, </w:t>
            </w:r>
            <w:r w:rsidR="003B6510" w:rsidRPr="003B6510">
              <w:rPr>
                <w:rFonts w:ascii="Times New Roman" w:eastAsiaTheme="minorHAnsi" w:hAnsi="Times New Roman"/>
                <w:i/>
                <w:color w:val="000000"/>
                <w:sz w:val="18"/>
                <w:szCs w:val="18"/>
                <w:lang w:val="en-US" w:eastAsia="en-US"/>
              </w:rPr>
              <w:t>Plasmodium falciparum</w:t>
            </w:r>
            <w:r w:rsidR="003B6510">
              <w:rPr>
                <w:rFonts w:ascii="Times New Roman" w:eastAsiaTheme="minorHAnsi" w:hAnsi="Times New Roman"/>
                <w:color w:val="000000"/>
                <w:sz w:val="18"/>
                <w:szCs w:val="18"/>
                <w:lang w:val="en-US" w:eastAsia="en-US"/>
              </w:rPr>
              <w:t xml:space="preserve">against the most valuable artemisinin combined therapy (ACT) is more than urgent. </w:t>
            </w:r>
            <w:r w:rsidR="003B6510" w:rsidRPr="003B6510">
              <w:rPr>
                <w:rFonts w:ascii="Times New Roman" w:eastAsiaTheme="minorHAnsi" w:hAnsi="Times New Roman"/>
                <w:color w:val="000000"/>
                <w:sz w:val="18"/>
                <w:szCs w:val="18"/>
                <w:lang w:val="en-US" w:eastAsia="en-US"/>
              </w:rPr>
              <w:t xml:space="preserve">Carbonitriles pyrimidine derivatives (CNP) </w:t>
            </w:r>
            <w:r w:rsidR="003B6510">
              <w:rPr>
                <w:rFonts w:ascii="Times New Roman" w:eastAsiaTheme="minorHAnsi" w:hAnsi="Times New Roman"/>
                <w:color w:val="000000"/>
                <w:sz w:val="18"/>
                <w:szCs w:val="18"/>
                <w:lang w:val="en-US" w:eastAsia="en-US"/>
              </w:rPr>
              <w:t xml:space="preserve">has emerged as </w:t>
            </w:r>
            <w:r w:rsidR="003B6510" w:rsidRPr="003B6510">
              <w:rPr>
                <w:rFonts w:ascii="Times New Roman" w:eastAsiaTheme="minorHAnsi" w:hAnsi="Times New Roman"/>
                <w:color w:val="000000"/>
                <w:sz w:val="18"/>
                <w:szCs w:val="18"/>
                <w:lang w:val="en-US" w:eastAsia="en-US"/>
              </w:rPr>
              <w:t xml:space="preserve">potential inhibitors of the cysteine protease falcipain 2 of </w:t>
            </w:r>
            <w:r w:rsidR="003B6510" w:rsidRPr="003B6510">
              <w:rPr>
                <w:rFonts w:ascii="Times New Roman" w:eastAsiaTheme="minorHAnsi" w:hAnsi="Times New Roman"/>
                <w:i/>
                <w:color w:val="000000"/>
                <w:sz w:val="18"/>
                <w:szCs w:val="18"/>
                <w:lang w:val="en-US" w:eastAsia="en-US"/>
              </w:rPr>
              <w:t>Plasmodium falciparum</w:t>
            </w:r>
            <w:r w:rsidR="003B6510" w:rsidRPr="003B6510">
              <w:rPr>
                <w:rFonts w:ascii="Times New Roman" w:eastAsiaTheme="minorHAnsi" w:hAnsi="Times New Roman"/>
                <w:color w:val="000000"/>
                <w:sz w:val="18"/>
                <w:szCs w:val="18"/>
                <w:lang w:val="en-US" w:eastAsia="en-US"/>
              </w:rPr>
              <w:t xml:space="preserve"> (</w:t>
            </w:r>
            <w:r w:rsidR="003B6510" w:rsidRPr="003B6510">
              <w:rPr>
                <w:rFonts w:ascii="Times New Roman" w:eastAsiaTheme="minorHAnsi" w:hAnsi="Times New Roman"/>
                <w:i/>
                <w:color w:val="000000"/>
                <w:sz w:val="18"/>
                <w:szCs w:val="18"/>
                <w:lang w:val="en-US" w:eastAsia="en-US"/>
              </w:rPr>
              <w:t>pf</w:t>
            </w:r>
            <w:r w:rsidR="003B6510" w:rsidRPr="003B6510">
              <w:rPr>
                <w:rFonts w:ascii="Times New Roman" w:eastAsiaTheme="minorHAnsi" w:hAnsi="Times New Roman"/>
                <w:color w:val="000000"/>
                <w:sz w:val="18"/>
                <w:szCs w:val="18"/>
                <w:lang w:val="en-US" w:eastAsia="en-US"/>
              </w:rPr>
              <w:t xml:space="preserve">FP2), </w:t>
            </w:r>
            <w:r w:rsidR="003B6510">
              <w:rPr>
                <w:rFonts w:ascii="Times New Roman" w:eastAsiaTheme="minorHAnsi" w:hAnsi="Times New Roman"/>
                <w:color w:val="000000"/>
                <w:sz w:val="18"/>
                <w:szCs w:val="18"/>
                <w:lang w:val="en-US" w:eastAsia="en-US"/>
              </w:rPr>
              <w:t xml:space="preserve">therefore </w:t>
            </w:r>
            <w:r w:rsidR="003B6510" w:rsidRPr="003B6510">
              <w:rPr>
                <w:rFonts w:ascii="Times New Roman" w:eastAsiaTheme="minorHAnsi" w:hAnsi="Times New Roman"/>
                <w:color w:val="000000"/>
                <w:sz w:val="18"/>
                <w:szCs w:val="18"/>
                <w:lang w:val="en-US" w:eastAsia="en-US"/>
              </w:rPr>
              <w:t xml:space="preserve">we report here a </w:t>
            </w:r>
            <w:r w:rsidR="003B6510">
              <w:rPr>
                <w:rFonts w:ascii="Times New Roman" w:eastAsiaTheme="minorHAnsi" w:hAnsi="Times New Roman"/>
                <w:color w:val="000000"/>
                <w:sz w:val="18"/>
                <w:szCs w:val="18"/>
                <w:lang w:val="en-US" w:eastAsia="en-US"/>
              </w:rPr>
              <w:t xml:space="preserve">pharmacophore based </w:t>
            </w:r>
            <w:r w:rsidR="003B6510" w:rsidRPr="003B6510">
              <w:rPr>
                <w:rFonts w:ascii="Times New Roman" w:eastAsiaTheme="minorHAnsi" w:hAnsi="Times New Roman"/>
                <w:color w:val="000000"/>
                <w:sz w:val="18"/>
                <w:szCs w:val="18"/>
                <w:lang w:val="en-US" w:eastAsia="en-US"/>
              </w:rPr>
              <w:t xml:space="preserve">virtual </w:t>
            </w:r>
            <w:r w:rsidR="003B6510">
              <w:rPr>
                <w:rFonts w:ascii="Times New Roman" w:eastAsiaTheme="minorHAnsi" w:hAnsi="Times New Roman"/>
                <w:color w:val="000000"/>
                <w:sz w:val="18"/>
                <w:szCs w:val="18"/>
                <w:lang w:val="en-US" w:eastAsia="en-US"/>
              </w:rPr>
              <w:t xml:space="preserve">screening of the CNP chemical subspace yielding new CNP analogs with high predicted inhibitory potency against </w:t>
            </w:r>
            <w:r w:rsidR="003B6510" w:rsidRPr="003B6510">
              <w:rPr>
                <w:rFonts w:ascii="Times New Roman" w:eastAsiaTheme="minorHAnsi" w:hAnsi="Times New Roman"/>
                <w:i/>
                <w:color w:val="000000"/>
                <w:sz w:val="18"/>
                <w:szCs w:val="18"/>
                <w:lang w:val="en-US" w:eastAsia="en-US"/>
              </w:rPr>
              <w:t>pf</w:t>
            </w:r>
            <w:r w:rsidR="003B6510" w:rsidRPr="003B6510">
              <w:rPr>
                <w:rFonts w:ascii="Times New Roman" w:eastAsiaTheme="minorHAnsi" w:hAnsi="Times New Roman"/>
                <w:color w:val="000000"/>
                <w:sz w:val="18"/>
                <w:szCs w:val="18"/>
                <w:lang w:val="en-US" w:eastAsia="en-US"/>
              </w:rPr>
              <w:t>FP2.</w:t>
            </w:r>
          </w:p>
          <w:p w:rsidR="009F69C8" w:rsidRPr="009F69C8" w:rsidRDefault="009F69C8" w:rsidP="00504E67">
            <w:pPr>
              <w:pStyle w:val="EndnoteText"/>
              <w:spacing w:after="0" w:line="240" w:lineRule="auto"/>
              <w:jc w:val="both"/>
              <w:rPr>
                <w:rFonts w:ascii="Times New Roman" w:eastAsiaTheme="minorHAnsi" w:hAnsi="Times New Roman"/>
                <w:color w:val="000000"/>
                <w:sz w:val="18"/>
                <w:szCs w:val="18"/>
                <w:lang w:val="en-US" w:eastAsia="en-US"/>
              </w:rPr>
            </w:pPr>
            <w:r w:rsidRPr="009F69C8">
              <w:rPr>
                <w:rFonts w:ascii="Times New Roman" w:eastAsiaTheme="minorHAnsi" w:hAnsi="Times New Roman"/>
                <w:b/>
                <w:bCs/>
                <w:color w:val="000000"/>
                <w:sz w:val="18"/>
                <w:szCs w:val="18"/>
                <w:lang w:val="en-US" w:eastAsia="en-US"/>
              </w:rPr>
              <w:t xml:space="preserve">Methods: </w:t>
            </w:r>
            <w:r w:rsidR="003B6510" w:rsidRPr="003B6510">
              <w:rPr>
                <w:rFonts w:ascii="Times New Roman" w:hAnsi="Times New Roman"/>
                <w:sz w:val="18"/>
                <w:szCs w:val="18"/>
                <w:lang w:val="en-US"/>
              </w:rPr>
              <w:t>A quantitative structure activity relationship</w:t>
            </w:r>
            <w:r w:rsidR="003B6510">
              <w:rPr>
                <w:rFonts w:ascii="Times New Roman" w:hAnsi="Times New Roman"/>
                <w:sz w:val="18"/>
                <w:szCs w:val="18"/>
                <w:lang w:val="en-US"/>
              </w:rPr>
              <w:t>s</w:t>
            </w:r>
            <w:r w:rsidR="003B6510" w:rsidRPr="003B6510">
              <w:rPr>
                <w:rFonts w:ascii="Times New Roman" w:hAnsi="Times New Roman"/>
                <w:sz w:val="18"/>
                <w:szCs w:val="18"/>
                <w:lang w:val="en-US"/>
              </w:rPr>
              <w:t xml:space="preserve"> (QSAR) complexation model has been developed from a series of fifteen carbonitriles pyrimidine derivatives</w:t>
            </w:r>
            <w:r w:rsidR="003B6510">
              <w:rPr>
                <w:rFonts w:ascii="Times New Roman" w:hAnsi="Times New Roman"/>
                <w:sz w:val="18"/>
                <w:szCs w:val="18"/>
                <w:lang w:val="en-US"/>
              </w:rPr>
              <w:t xml:space="preserve"> to </w:t>
            </w:r>
            <w:r w:rsidR="003B6510" w:rsidRPr="003B6510">
              <w:rPr>
                <w:rFonts w:ascii="Times New Roman" w:hAnsi="Times New Roman"/>
                <w:sz w:val="18"/>
                <w:szCs w:val="18"/>
                <w:lang w:val="en-US"/>
              </w:rPr>
              <w:t xml:space="preserve">establish </w:t>
            </w:r>
            <w:r w:rsidR="003B6510">
              <w:rPr>
                <w:rFonts w:ascii="Times New Roman" w:hAnsi="Times New Roman"/>
                <w:sz w:val="18"/>
                <w:szCs w:val="18"/>
                <w:lang w:val="en-US"/>
              </w:rPr>
              <w:t>a</w:t>
            </w:r>
            <w:r w:rsidR="003B6510" w:rsidRPr="003B6510">
              <w:rPr>
                <w:rFonts w:ascii="Times New Roman" w:hAnsi="Times New Roman"/>
                <w:sz w:val="18"/>
                <w:szCs w:val="18"/>
                <w:lang w:val="en-US"/>
              </w:rPr>
              <w:t xml:space="preserve"> linear correlation between the calculated Gibbs free energies (GFE: </w:t>
            </w:r>
            <w:r w:rsidR="003B6510" w:rsidRPr="003B6510">
              <w:rPr>
                <w:rFonts w:ascii="Times New Roman" w:hAnsi="Times New Roman"/>
                <w:sz w:val="18"/>
                <w:szCs w:val="18"/>
              </w:rPr>
              <w:t>ΔΔ</w:t>
            </w:r>
            <w:r w:rsidR="003B6510" w:rsidRPr="003B6510">
              <w:rPr>
                <w:rFonts w:ascii="Times New Roman" w:hAnsi="Times New Roman"/>
                <w:sz w:val="18"/>
                <w:szCs w:val="18"/>
                <w:lang w:val="en-US"/>
              </w:rPr>
              <w:t>G</w:t>
            </w:r>
            <w:r w:rsidR="003B6510" w:rsidRPr="003B6510">
              <w:rPr>
                <w:rFonts w:ascii="Times New Roman" w:hAnsi="Times New Roman"/>
                <w:sz w:val="18"/>
                <w:szCs w:val="18"/>
                <w:vertAlign w:val="subscript"/>
                <w:lang w:val="en-US"/>
              </w:rPr>
              <w:t>com</w:t>
            </w:r>
            <w:r w:rsidR="003B6510" w:rsidRPr="003B6510">
              <w:rPr>
                <w:rFonts w:ascii="Times New Roman" w:hAnsi="Times New Roman"/>
                <w:sz w:val="18"/>
                <w:szCs w:val="18"/>
                <w:lang w:val="en-US"/>
              </w:rPr>
              <w:t xml:space="preserve">) </w:t>
            </w:r>
            <w:r w:rsidR="003B6510">
              <w:rPr>
                <w:rFonts w:ascii="Times New Roman" w:hAnsi="Times New Roman"/>
                <w:sz w:val="18"/>
                <w:szCs w:val="18"/>
                <w:lang w:val="en-US"/>
              </w:rPr>
              <w:t xml:space="preserve">of </w:t>
            </w:r>
            <w:r w:rsidR="003B6510" w:rsidRPr="003B6510">
              <w:rPr>
                <w:rFonts w:ascii="Times New Roman" w:eastAsiaTheme="minorHAnsi" w:hAnsi="Times New Roman"/>
                <w:i/>
                <w:color w:val="000000"/>
                <w:sz w:val="18"/>
                <w:szCs w:val="18"/>
                <w:lang w:val="en-US" w:eastAsia="en-US"/>
              </w:rPr>
              <w:t>pf</w:t>
            </w:r>
            <w:r w:rsidR="003B6510" w:rsidRPr="003B6510">
              <w:rPr>
                <w:rFonts w:ascii="Times New Roman" w:eastAsiaTheme="minorHAnsi" w:hAnsi="Times New Roman"/>
                <w:color w:val="000000"/>
                <w:sz w:val="18"/>
                <w:szCs w:val="18"/>
                <w:lang w:val="en-US" w:eastAsia="en-US"/>
              </w:rPr>
              <w:t>FP2</w:t>
            </w:r>
            <w:r w:rsidR="003B6510">
              <w:rPr>
                <w:rFonts w:ascii="Times New Roman" w:eastAsiaTheme="minorHAnsi" w:hAnsi="Times New Roman"/>
                <w:color w:val="000000"/>
                <w:sz w:val="18"/>
                <w:szCs w:val="18"/>
                <w:lang w:val="en-US" w:eastAsia="en-US"/>
              </w:rPr>
              <w:t xml:space="preserve">-CNP complex formation </w:t>
            </w:r>
            <w:r w:rsidR="003B6510" w:rsidRPr="003B6510">
              <w:rPr>
                <w:rFonts w:ascii="Times New Roman" w:hAnsi="Times New Roman"/>
                <w:sz w:val="18"/>
                <w:szCs w:val="18"/>
                <w:lang w:val="en-US"/>
              </w:rPr>
              <w:t xml:space="preserve">and the experimental </w:t>
            </w:r>
            <w:r w:rsidR="003E2F1C">
              <w:rPr>
                <w:rFonts w:ascii="Times New Roman" w:hAnsi="Times New Roman"/>
                <w:sz w:val="18"/>
                <w:szCs w:val="18"/>
                <w:lang w:val="en-US"/>
              </w:rPr>
              <w:t xml:space="preserve">half-maximal </w:t>
            </w:r>
            <w:r w:rsidR="003B6510" w:rsidRPr="003B6510">
              <w:rPr>
                <w:rFonts w:ascii="Times New Roman" w:hAnsi="Times New Roman"/>
                <w:sz w:val="18"/>
                <w:szCs w:val="18"/>
                <w:lang w:val="en-US"/>
              </w:rPr>
              <w:t xml:space="preserve">enzymatic inhibition </w:t>
            </w:r>
            <w:r w:rsidR="003E2F1C">
              <w:rPr>
                <w:rFonts w:ascii="Times New Roman" w:hAnsi="Times New Roman"/>
                <w:sz w:val="18"/>
                <w:szCs w:val="18"/>
                <w:lang w:val="en-US"/>
              </w:rPr>
              <w:t>concentration (</w:t>
            </w:r>
            <m:oMath>
              <m:sSubSup>
                <m:sSubSupPr>
                  <m:ctrlPr>
                    <w:rPr>
                      <w:rFonts w:ascii="Cambria Math" w:hAnsi="Cambria Math" w:cs="Arial"/>
                      <w:lang w:val="en-US"/>
                    </w:rPr>
                  </m:ctrlPr>
                </m:sSubSupPr>
                <m:e>
                  <m:r>
                    <m:rPr>
                      <m:sty m:val="p"/>
                    </m:rPr>
                    <w:rPr>
                      <w:rFonts w:ascii="Cambria Math" w:hAnsi="Cambria Math" w:cs="Arial"/>
                      <w:lang w:val="en-US"/>
                    </w:rPr>
                    <m:t>IC</m:t>
                  </m:r>
                </m:e>
                <m:sub>
                  <m:r>
                    <m:rPr>
                      <m:sty m:val="p"/>
                    </m:rPr>
                    <w:rPr>
                      <w:rFonts w:ascii="Cambria Math" w:hAnsi="Cambria Math" w:cs="Arial"/>
                      <w:lang w:val="en-US"/>
                    </w:rPr>
                    <m:t>50</m:t>
                  </m:r>
                </m:sub>
                <m:sup>
                  <m:r>
                    <m:rPr>
                      <m:sty m:val="p"/>
                    </m:rPr>
                    <w:rPr>
                      <w:rFonts w:ascii="Cambria Math" w:hAnsi="Cambria Math" w:cs="Arial"/>
                      <w:lang w:val="en-US"/>
                    </w:rPr>
                    <m:t>exp</m:t>
                  </m:r>
                </m:sup>
              </m:sSubSup>
            </m:oMath>
            <w:r w:rsidR="003E2F1C">
              <w:rPr>
                <w:rFonts w:ascii="Times New Roman" w:hAnsi="Times New Roman"/>
                <w:sz w:val="18"/>
                <w:szCs w:val="18"/>
                <w:lang w:val="en-US"/>
              </w:rPr>
              <w:t>).</w:t>
            </w:r>
            <w:r w:rsidR="004C0D70" w:rsidRPr="004C0D70">
              <w:rPr>
                <w:rFonts w:ascii="Times New Roman" w:hAnsi="Times New Roman"/>
                <w:sz w:val="18"/>
                <w:szCs w:val="18"/>
                <w:lang w:val="en-US"/>
              </w:rPr>
              <w:t>The predictive power of the QSAR model was then validated with the generation of a 3D-QSAR-PH4 pharmacophore (PH4) model</w:t>
            </w:r>
            <w:r w:rsidR="004C0D70">
              <w:rPr>
                <w:rFonts w:ascii="Times New Roman" w:hAnsi="Times New Roman"/>
                <w:sz w:val="18"/>
                <w:szCs w:val="18"/>
                <w:lang w:val="en-US"/>
              </w:rPr>
              <w:t xml:space="preserve"> as CNP chemical subspace </w:t>
            </w:r>
            <w:r w:rsidR="006B1A22">
              <w:rPr>
                <w:rFonts w:ascii="Times New Roman" w:hAnsi="Times New Roman"/>
                <w:sz w:val="18"/>
                <w:szCs w:val="18"/>
                <w:lang w:val="en-US"/>
              </w:rPr>
              <w:t xml:space="preserve">(exemplified as a </w:t>
            </w:r>
            <w:r w:rsidR="006B1A22" w:rsidRPr="006B1A22">
              <w:rPr>
                <w:rFonts w:ascii="Times New Roman" w:hAnsi="Times New Roman"/>
                <w:sz w:val="18"/>
                <w:szCs w:val="18"/>
                <w:lang w:val="en-US"/>
              </w:rPr>
              <w:t>virtual combinatorial library of more than 83</w:t>
            </w:r>
            <w:r w:rsidR="00BB59AF">
              <w:rPr>
                <w:rFonts w:ascii="Times New Roman" w:hAnsi="Times New Roman"/>
                <w:sz w:val="18"/>
                <w:szCs w:val="18"/>
                <w:lang w:val="en-US"/>
              </w:rPr>
              <w:t>,</w:t>
            </w:r>
            <w:r w:rsidR="006B1A22" w:rsidRPr="006B1A22">
              <w:rPr>
                <w:rFonts w:ascii="Times New Roman" w:hAnsi="Times New Roman"/>
                <w:sz w:val="18"/>
                <w:szCs w:val="18"/>
                <w:lang w:val="en-US"/>
              </w:rPr>
              <w:t>300 CNP</w:t>
            </w:r>
            <w:r w:rsidR="006B1A22">
              <w:rPr>
                <w:rFonts w:ascii="Times New Roman" w:hAnsi="Times New Roman"/>
                <w:sz w:val="18"/>
                <w:szCs w:val="18"/>
                <w:lang w:val="en-US"/>
              </w:rPr>
              <w:t xml:space="preserve"> analog</w:t>
            </w:r>
            <w:r w:rsidR="006B1A22" w:rsidRPr="006B1A22">
              <w:rPr>
                <w:rFonts w:ascii="Times New Roman" w:hAnsi="Times New Roman"/>
                <w:sz w:val="18"/>
                <w:szCs w:val="18"/>
                <w:lang w:val="en-US"/>
              </w:rPr>
              <w:t>s</w:t>
            </w:r>
            <w:r w:rsidR="006B1A22">
              <w:rPr>
                <w:rFonts w:ascii="Times New Roman" w:hAnsi="Times New Roman"/>
                <w:sz w:val="18"/>
                <w:szCs w:val="18"/>
                <w:lang w:val="en-US"/>
              </w:rPr>
              <w:t xml:space="preserve">) </w:t>
            </w:r>
            <w:r w:rsidR="004C0D70">
              <w:rPr>
                <w:rFonts w:ascii="Times New Roman" w:hAnsi="Times New Roman"/>
                <w:sz w:val="18"/>
                <w:szCs w:val="18"/>
                <w:lang w:val="en-US"/>
              </w:rPr>
              <w:t>explorer for novel predicted more potent CNP analogs.</w:t>
            </w:r>
            <w:r w:rsidR="006B1A22">
              <w:rPr>
                <w:rFonts w:ascii="Times New Roman" w:hAnsi="Times New Roman"/>
                <w:sz w:val="18"/>
                <w:szCs w:val="18"/>
                <w:lang w:val="en-US"/>
              </w:rPr>
              <w:t xml:space="preserve"> Finally the best PH4 hits were evaluated with the initial QSAR model for predicted potency </w:t>
            </w:r>
            <w:r w:rsidR="006B1A22" w:rsidRPr="00966CCF">
              <w:rPr>
                <w:rFonts w:ascii="Times New Roman" w:hAnsi="Times New Roman"/>
                <w:sz w:val="18"/>
                <w:szCs w:val="18"/>
                <w:lang w:val="en-US"/>
              </w:rPr>
              <w:t>(</w:t>
            </w:r>
            <m:oMath>
              <m:sSubSup>
                <m:sSubSupPr>
                  <m:ctrlPr>
                    <w:rPr>
                      <w:rFonts w:ascii="Cambria Math" w:hAnsi="Cambria Math" w:cs="Arial"/>
                      <w:sz w:val="18"/>
                      <w:szCs w:val="18"/>
                      <w:lang w:val="en-US"/>
                    </w:rPr>
                  </m:ctrlPr>
                </m:sSubSupPr>
                <m:e>
                  <m:r>
                    <m:rPr>
                      <m:sty m:val="p"/>
                    </m:rPr>
                    <w:rPr>
                      <w:rFonts w:ascii="Cambria Math" w:hAnsi="Cambria Math" w:cs="Arial"/>
                      <w:sz w:val="18"/>
                      <w:szCs w:val="18"/>
                      <w:lang w:val="en-US"/>
                    </w:rPr>
                    <m:t>IC</m:t>
                  </m:r>
                </m:e>
                <m:sub>
                  <m:r>
                    <m:rPr>
                      <m:sty m:val="p"/>
                    </m:rPr>
                    <w:rPr>
                      <w:rFonts w:ascii="Cambria Math" w:hAnsi="Cambria Math" w:cs="Arial"/>
                      <w:sz w:val="18"/>
                      <w:szCs w:val="18"/>
                      <w:lang w:val="en-US"/>
                    </w:rPr>
                    <m:t>50</m:t>
                  </m:r>
                </m:sub>
                <m:sup>
                  <m:r>
                    <m:rPr>
                      <m:sty m:val="p"/>
                    </m:rPr>
                    <w:rPr>
                      <w:rFonts w:ascii="Cambria Math" w:hAnsi="Cambria Math" w:cs="Arial"/>
                      <w:sz w:val="18"/>
                      <w:szCs w:val="18"/>
                      <w:lang w:val="en-US"/>
                    </w:rPr>
                    <m:t>pre</m:t>
                  </m:r>
                </m:sup>
              </m:sSubSup>
            </m:oMath>
            <w:r w:rsidR="006B1A22" w:rsidRPr="00966CCF">
              <w:rPr>
                <w:rFonts w:ascii="Times New Roman" w:hAnsi="Times New Roman"/>
                <w:sz w:val="18"/>
                <w:szCs w:val="18"/>
                <w:lang w:val="en-US"/>
              </w:rPr>
              <w:t>)</w:t>
            </w:r>
            <w:r w:rsidR="006B1A22">
              <w:rPr>
                <w:rFonts w:ascii="Times New Roman" w:hAnsi="Times New Roman"/>
                <w:sz w:val="18"/>
                <w:szCs w:val="18"/>
                <w:lang w:val="en-US"/>
              </w:rPr>
              <w:t xml:space="preserve"> and pharmacokinetic profile.</w:t>
            </w:r>
          </w:p>
          <w:p w:rsidR="009F69C8" w:rsidRPr="00966CCF" w:rsidRDefault="009F69C8" w:rsidP="00504E67">
            <w:pPr>
              <w:pStyle w:val="EndnoteText"/>
              <w:spacing w:after="0" w:line="240" w:lineRule="auto"/>
              <w:jc w:val="both"/>
              <w:rPr>
                <w:rFonts w:ascii="Times New Roman" w:eastAsiaTheme="minorHAnsi" w:hAnsi="Times New Roman"/>
                <w:color w:val="000000"/>
                <w:sz w:val="18"/>
                <w:szCs w:val="18"/>
                <w:lang w:val="en-US" w:eastAsia="en-US"/>
              </w:rPr>
            </w:pPr>
            <w:r w:rsidRPr="009F69C8">
              <w:rPr>
                <w:rFonts w:ascii="Times New Roman" w:eastAsiaTheme="minorHAnsi" w:hAnsi="Times New Roman"/>
                <w:b/>
                <w:bCs/>
                <w:color w:val="000000"/>
                <w:sz w:val="18"/>
                <w:szCs w:val="18"/>
                <w:lang w:val="en-US" w:eastAsia="en-US"/>
              </w:rPr>
              <w:t xml:space="preserve">Results: </w:t>
            </w:r>
            <w:r w:rsidR="00827402">
              <w:rPr>
                <w:rFonts w:ascii="Times New Roman" w:eastAsiaTheme="minorHAnsi" w:hAnsi="Times New Roman"/>
                <w:color w:val="000000"/>
                <w:sz w:val="18"/>
                <w:szCs w:val="18"/>
                <w:lang w:val="en-US" w:eastAsia="en-US"/>
              </w:rPr>
              <w:t>The QSAR model linear correlation equation</w:t>
            </w:r>
            <w:r w:rsidR="00966CCF">
              <w:rPr>
                <w:rFonts w:ascii="Times New Roman" w:eastAsiaTheme="minorHAnsi" w:hAnsi="Times New Roman"/>
                <w:color w:val="000000"/>
                <w:sz w:val="18"/>
                <w:szCs w:val="18"/>
                <w:lang w:val="en-US" w:eastAsia="en-US"/>
              </w:rPr>
              <w:t>:</w:t>
            </w:r>
            <w:r w:rsidR="00827402" w:rsidRPr="00827402">
              <w:rPr>
                <w:rFonts w:ascii="Times New Roman" w:hAnsi="Times New Roman"/>
                <w:sz w:val="18"/>
                <w:szCs w:val="18"/>
                <w:lang w:val="en-US"/>
              </w:rPr>
              <w:t>p</w:t>
            </w:r>
            <m:oMath>
              <m:sSubSup>
                <m:sSubSupPr>
                  <m:ctrlPr>
                    <w:rPr>
                      <w:rFonts w:ascii="Cambria Math" w:hAnsi="Cambria Math"/>
                      <w:sz w:val="18"/>
                      <w:szCs w:val="18"/>
                      <w:lang w:val="en-US"/>
                    </w:rPr>
                  </m:ctrlPr>
                </m:sSubSupPr>
                <m:e>
                  <m:r>
                    <m:rPr>
                      <m:sty m:val="p"/>
                    </m:rPr>
                    <w:rPr>
                      <w:rFonts w:ascii="Cambria Math" w:hAnsi="Cambria Math"/>
                      <w:sz w:val="18"/>
                      <w:szCs w:val="18"/>
                      <w:lang w:val="en-US"/>
                    </w:rPr>
                    <m:t>IC</m:t>
                  </m:r>
                </m:e>
                <m:sub>
                  <m:r>
                    <m:rPr>
                      <m:sty m:val="p"/>
                    </m:rPr>
                    <w:rPr>
                      <w:rFonts w:ascii="Cambria Math" w:hAnsi="Cambria Math"/>
                      <w:sz w:val="18"/>
                      <w:szCs w:val="18"/>
                      <w:lang w:val="en-US"/>
                    </w:rPr>
                    <m:t>50</m:t>
                  </m:r>
                </m:sub>
                <m:sup>
                  <m:r>
                    <m:rPr>
                      <m:sty m:val="p"/>
                    </m:rPr>
                    <w:rPr>
                      <w:rFonts w:ascii="Cambria Math" w:hAnsi="Cambria Math"/>
                      <w:sz w:val="18"/>
                      <w:szCs w:val="18"/>
                      <w:lang w:val="en-US"/>
                    </w:rPr>
                    <m:t>exp</m:t>
                  </m:r>
                </m:sup>
              </m:sSubSup>
            </m:oMath>
            <w:r w:rsidR="00827402" w:rsidRPr="00827402">
              <w:rPr>
                <w:rFonts w:ascii="Times New Roman" w:hAnsi="Times New Roman"/>
                <w:sz w:val="18"/>
                <w:szCs w:val="18"/>
                <w:lang w:val="en-US"/>
              </w:rPr>
              <w:t>= -0.1025 x ∆∆G</w:t>
            </w:r>
            <w:r w:rsidR="00827402" w:rsidRPr="00827402">
              <w:rPr>
                <w:rFonts w:ascii="Times New Roman" w:hAnsi="Times New Roman"/>
                <w:sz w:val="18"/>
                <w:szCs w:val="18"/>
                <w:vertAlign w:val="subscript"/>
                <w:lang w:val="en-US"/>
              </w:rPr>
              <w:t>com</w:t>
            </w:r>
            <w:r w:rsidR="00827402" w:rsidRPr="00827402">
              <w:rPr>
                <w:rFonts w:ascii="Times New Roman" w:hAnsi="Times New Roman"/>
                <w:sz w:val="18"/>
                <w:szCs w:val="18"/>
                <w:lang w:val="en-US"/>
              </w:rPr>
              <w:t xml:space="preserve"> + 7.2867, R</w:t>
            </w:r>
            <w:r w:rsidR="00827402" w:rsidRPr="00827402">
              <w:rPr>
                <w:rFonts w:ascii="Times New Roman" w:hAnsi="Times New Roman"/>
                <w:sz w:val="18"/>
                <w:szCs w:val="18"/>
                <w:vertAlign w:val="superscript"/>
                <w:lang w:val="en-US"/>
              </w:rPr>
              <w:t>2</w:t>
            </w:r>
            <w:r w:rsidR="00827402" w:rsidRPr="00827402">
              <w:rPr>
                <w:rFonts w:ascii="Times New Roman" w:hAnsi="Times New Roman"/>
                <w:sz w:val="18"/>
                <w:szCs w:val="18"/>
                <w:lang w:val="en-US"/>
              </w:rPr>
              <w:t xml:space="preserve"> = 0.94</w:t>
            </w:r>
            <w:r w:rsidR="00827402">
              <w:rPr>
                <w:rFonts w:ascii="Times New Roman" w:hAnsi="Times New Roman"/>
                <w:sz w:val="18"/>
                <w:szCs w:val="18"/>
                <w:lang w:val="en-US"/>
              </w:rPr>
              <w:t>, the</w:t>
            </w:r>
            <w:r w:rsidR="00966CCF">
              <w:rPr>
                <w:rFonts w:ascii="Times New Roman" w:hAnsi="Times New Roman"/>
                <w:sz w:val="18"/>
                <w:szCs w:val="18"/>
                <w:lang w:val="en-US"/>
              </w:rPr>
              <w:t xml:space="preserve"> subsequentPH4 model linear correlation between experiment and PH4-estimated IC</w:t>
            </w:r>
            <w:r w:rsidR="00966CCF" w:rsidRPr="00966CCF">
              <w:rPr>
                <w:rFonts w:ascii="Times New Roman" w:hAnsi="Times New Roman"/>
                <w:sz w:val="18"/>
                <w:szCs w:val="18"/>
                <w:vertAlign w:val="subscript"/>
                <w:lang w:val="en-US"/>
              </w:rPr>
              <w:t>50</w:t>
            </w:r>
            <w:r w:rsidR="00966CCF" w:rsidRPr="00966CCF">
              <w:rPr>
                <w:rFonts w:ascii="Times New Roman" w:hAnsi="Times New Roman"/>
                <w:sz w:val="18"/>
                <w:szCs w:val="18"/>
                <w:lang w:val="en-US"/>
              </w:rPr>
              <w:t>: p</w:t>
            </w:r>
            <m:oMath>
              <m:sSubSup>
                <m:sSubSupPr>
                  <m:ctrlPr>
                    <w:rPr>
                      <w:rFonts w:ascii="Cambria Math" w:hAnsi="Cambria Math"/>
                      <w:sz w:val="18"/>
                      <w:szCs w:val="18"/>
                      <w:lang w:val="en-US"/>
                    </w:rPr>
                  </m:ctrlPr>
                </m:sSubSupPr>
                <m:e>
                  <m:r>
                    <m:rPr>
                      <m:sty m:val="p"/>
                    </m:rPr>
                    <w:rPr>
                      <w:rFonts w:ascii="Cambria Math" w:hAnsi="Cambria Math"/>
                      <w:sz w:val="18"/>
                      <w:szCs w:val="18"/>
                      <w:lang w:val="en-US"/>
                    </w:rPr>
                    <m:t>IC</m:t>
                  </m:r>
                </m:e>
                <m:sub>
                  <m:r>
                    <m:rPr>
                      <m:sty m:val="p"/>
                    </m:rPr>
                    <w:rPr>
                      <w:rFonts w:ascii="Cambria Math" w:hAnsi="Cambria Math"/>
                      <w:sz w:val="18"/>
                      <w:szCs w:val="18"/>
                      <w:lang w:val="en-US"/>
                    </w:rPr>
                    <m:t>50</m:t>
                  </m:r>
                </m:sub>
                <m:sup>
                  <m:r>
                    <m:rPr>
                      <m:sty m:val="p"/>
                    </m:rPr>
                    <w:rPr>
                      <w:rFonts w:ascii="Cambria Math" w:hAnsi="Cambria Math"/>
                      <w:sz w:val="18"/>
                      <w:szCs w:val="18"/>
                      <w:lang w:val="en-US"/>
                    </w:rPr>
                    <m:t>exp</m:t>
                  </m:r>
                </m:sup>
              </m:sSubSup>
            </m:oMath>
            <w:r w:rsidR="00966CCF" w:rsidRPr="00966CCF">
              <w:rPr>
                <w:rFonts w:ascii="Times New Roman" w:hAnsi="Times New Roman"/>
                <w:sz w:val="18"/>
                <w:szCs w:val="18"/>
                <w:lang w:val="en-US"/>
              </w:rPr>
              <w:t>= 0.9366 x p</w:t>
            </w:r>
            <m:oMath>
              <m:sSubSup>
                <m:sSubSupPr>
                  <m:ctrlPr>
                    <w:rPr>
                      <w:rFonts w:ascii="Cambria Math" w:hAnsi="Cambria Math"/>
                      <w:sz w:val="18"/>
                      <w:szCs w:val="18"/>
                      <w:lang w:val="en-US"/>
                    </w:rPr>
                  </m:ctrlPr>
                </m:sSubSupPr>
                <m:e>
                  <m:r>
                    <m:rPr>
                      <m:sty m:val="p"/>
                    </m:rPr>
                    <w:rPr>
                      <w:rFonts w:ascii="Cambria Math" w:hAnsi="Cambria Math"/>
                      <w:sz w:val="18"/>
                      <w:szCs w:val="18"/>
                      <w:lang w:val="en-US"/>
                    </w:rPr>
                    <m:t>IC</m:t>
                  </m:r>
                </m:e>
                <m:sub>
                  <m:r>
                    <m:rPr>
                      <m:sty m:val="p"/>
                    </m:rPr>
                    <w:rPr>
                      <w:rFonts w:ascii="Cambria Math" w:hAnsi="Cambria Math"/>
                      <w:sz w:val="18"/>
                      <w:szCs w:val="18"/>
                      <w:lang w:val="en-US"/>
                    </w:rPr>
                    <m:t>50</m:t>
                  </m:r>
                </m:sub>
                <m:sup>
                  <m:r>
                    <m:rPr>
                      <m:sty m:val="p"/>
                    </m:rPr>
                    <w:rPr>
                      <w:rFonts w:ascii="Cambria Math" w:hAnsi="Cambria Math"/>
                      <w:sz w:val="18"/>
                      <w:szCs w:val="18"/>
                      <w:lang w:val="en-US"/>
                    </w:rPr>
                    <m:t>pre</m:t>
                  </m:r>
                </m:sup>
              </m:sSubSup>
            </m:oMath>
            <w:r w:rsidR="00966CCF" w:rsidRPr="00966CCF">
              <w:rPr>
                <w:rFonts w:ascii="Times New Roman" w:hAnsi="Times New Roman"/>
                <w:sz w:val="18"/>
                <w:szCs w:val="18"/>
                <w:lang w:val="en-US"/>
              </w:rPr>
              <w:t>+ 0.2849, R</w:t>
            </w:r>
            <w:r w:rsidR="00966CCF" w:rsidRPr="00966CCF">
              <w:rPr>
                <w:rFonts w:ascii="Times New Roman" w:hAnsi="Times New Roman"/>
                <w:sz w:val="18"/>
                <w:szCs w:val="18"/>
                <w:vertAlign w:val="superscript"/>
                <w:lang w:val="en-US"/>
              </w:rPr>
              <w:t>2</w:t>
            </w:r>
            <w:r w:rsidR="00966CCF" w:rsidRPr="00966CCF">
              <w:rPr>
                <w:rFonts w:ascii="Times New Roman" w:hAnsi="Times New Roman"/>
                <w:sz w:val="18"/>
                <w:szCs w:val="18"/>
                <w:lang w:val="en-US"/>
              </w:rPr>
              <w:t xml:space="preserve"> = 0.91</w:t>
            </w:r>
            <w:r w:rsidR="00966CCF">
              <w:rPr>
                <w:rFonts w:ascii="Times New Roman" w:hAnsi="Times New Roman"/>
                <w:sz w:val="18"/>
                <w:szCs w:val="18"/>
                <w:lang w:val="en-US"/>
              </w:rPr>
              <w:t xml:space="preserve"> documents the high predictive power of this approach. Finally the screening of the virtual library of CNP analogs yielded 52 orally bioavailable candidates the best reaching a predicted potency </w:t>
            </w:r>
            <w:r w:rsidR="00966CCF" w:rsidRPr="00966CCF">
              <w:rPr>
                <w:rFonts w:ascii="Times New Roman" w:hAnsi="Times New Roman"/>
                <w:sz w:val="18"/>
                <w:szCs w:val="18"/>
                <w:lang w:val="en-US"/>
              </w:rPr>
              <w:t>(</w:t>
            </w:r>
            <m:oMath>
              <m:sSubSup>
                <m:sSubSupPr>
                  <m:ctrlPr>
                    <w:rPr>
                      <w:rFonts w:ascii="Cambria Math" w:hAnsi="Cambria Math" w:cs="Arial"/>
                      <w:sz w:val="18"/>
                      <w:szCs w:val="18"/>
                      <w:lang w:val="en-US"/>
                    </w:rPr>
                  </m:ctrlPr>
                </m:sSubSupPr>
                <m:e>
                  <m:r>
                    <m:rPr>
                      <m:sty m:val="p"/>
                    </m:rPr>
                    <w:rPr>
                      <w:rFonts w:ascii="Cambria Math" w:hAnsi="Cambria Math" w:cs="Arial"/>
                      <w:sz w:val="18"/>
                      <w:szCs w:val="18"/>
                      <w:lang w:val="en-US"/>
                    </w:rPr>
                    <m:t>IC</m:t>
                  </m:r>
                </m:e>
                <m:sub>
                  <m:r>
                    <m:rPr>
                      <m:sty m:val="p"/>
                    </m:rPr>
                    <w:rPr>
                      <w:rFonts w:ascii="Cambria Math" w:hAnsi="Cambria Math" w:cs="Arial"/>
                      <w:sz w:val="18"/>
                      <w:szCs w:val="18"/>
                      <w:lang w:val="en-US"/>
                    </w:rPr>
                    <m:t>50</m:t>
                  </m:r>
                </m:sub>
                <m:sup>
                  <m:r>
                    <m:rPr>
                      <m:sty m:val="p"/>
                    </m:rPr>
                    <w:rPr>
                      <w:rFonts w:ascii="Cambria Math" w:hAnsi="Cambria Math" w:cs="Arial"/>
                      <w:sz w:val="18"/>
                      <w:szCs w:val="18"/>
                      <w:lang w:val="en-US"/>
                    </w:rPr>
                    <m:t>pre</m:t>
                  </m:r>
                </m:sup>
              </m:sSubSup>
            </m:oMath>
            <w:r w:rsidR="00966CCF" w:rsidRPr="00966CCF">
              <w:rPr>
                <w:rFonts w:ascii="Times New Roman" w:hAnsi="Times New Roman"/>
                <w:sz w:val="18"/>
                <w:szCs w:val="18"/>
                <w:lang w:val="en-US"/>
              </w:rPr>
              <w:t>)</w:t>
            </w:r>
            <w:r w:rsidR="00966CCF">
              <w:rPr>
                <w:rFonts w:ascii="Times New Roman" w:hAnsi="Times New Roman"/>
                <w:sz w:val="18"/>
                <w:szCs w:val="18"/>
                <w:lang w:val="en-US"/>
              </w:rPr>
              <w:t xml:space="preserve"> of 14 pM and displaying favorable pharmacokinetic profile.</w:t>
            </w:r>
          </w:p>
          <w:p w:rsidR="009F69C8" w:rsidRPr="009F69C8" w:rsidRDefault="009F69C8" w:rsidP="00504E67">
            <w:pPr>
              <w:pStyle w:val="EndnoteText"/>
              <w:spacing w:after="0" w:line="240" w:lineRule="auto"/>
              <w:jc w:val="both"/>
              <w:rPr>
                <w:rFonts w:ascii="Times New Roman" w:eastAsiaTheme="minorHAnsi" w:hAnsi="Times New Roman"/>
                <w:color w:val="000000"/>
                <w:sz w:val="18"/>
                <w:szCs w:val="18"/>
                <w:lang w:val="en-US" w:eastAsia="en-US"/>
              </w:rPr>
            </w:pPr>
            <w:r w:rsidRPr="009F69C8">
              <w:rPr>
                <w:rFonts w:ascii="Times New Roman" w:eastAsiaTheme="minorHAnsi" w:hAnsi="Times New Roman"/>
                <w:b/>
                <w:bCs/>
                <w:color w:val="000000"/>
                <w:sz w:val="18"/>
                <w:szCs w:val="18"/>
                <w:lang w:val="en-US" w:eastAsia="en-US"/>
              </w:rPr>
              <w:t xml:space="preserve">Conclusion: </w:t>
            </w:r>
            <w:r w:rsidR="00BB59AF">
              <w:rPr>
                <w:rFonts w:ascii="Times New Roman" w:eastAsiaTheme="minorHAnsi" w:hAnsi="Times New Roman"/>
                <w:color w:val="000000"/>
                <w:sz w:val="18"/>
                <w:szCs w:val="18"/>
                <w:lang w:val="en-US" w:eastAsia="en-US"/>
              </w:rPr>
              <w:t xml:space="preserve">The combined use of one descriptor complexation QSAR model and 3D-QSAR Pharmacophore model </w:t>
            </w:r>
            <w:r w:rsidR="00396D29">
              <w:rPr>
                <w:rFonts w:ascii="Times New Roman" w:eastAsiaTheme="minorHAnsi" w:hAnsi="Times New Roman"/>
                <w:color w:val="000000"/>
                <w:sz w:val="18"/>
                <w:szCs w:val="18"/>
                <w:lang w:val="en-US" w:eastAsia="en-US"/>
              </w:rPr>
              <w:t xml:space="preserve">performs well in the identification of novel CNP analogs against </w:t>
            </w:r>
            <w:r w:rsidR="00396D29" w:rsidRPr="003B6510">
              <w:rPr>
                <w:rFonts w:ascii="Times New Roman" w:eastAsiaTheme="minorHAnsi" w:hAnsi="Times New Roman"/>
                <w:i/>
                <w:color w:val="000000"/>
                <w:sz w:val="18"/>
                <w:szCs w:val="18"/>
                <w:lang w:val="en-US" w:eastAsia="en-US"/>
              </w:rPr>
              <w:t>pf</w:t>
            </w:r>
            <w:r w:rsidR="00396D29" w:rsidRPr="003B6510">
              <w:rPr>
                <w:rFonts w:ascii="Times New Roman" w:eastAsiaTheme="minorHAnsi" w:hAnsi="Times New Roman"/>
                <w:color w:val="000000"/>
                <w:sz w:val="18"/>
                <w:szCs w:val="18"/>
                <w:lang w:val="en-US" w:eastAsia="en-US"/>
              </w:rPr>
              <w:t>FP2</w:t>
            </w:r>
            <w:r w:rsidR="001E743A">
              <w:rPr>
                <w:rFonts w:ascii="Times New Roman" w:eastAsiaTheme="minorHAnsi" w:hAnsi="Times New Roman"/>
                <w:color w:val="000000"/>
                <w:sz w:val="18"/>
                <w:szCs w:val="18"/>
                <w:lang w:val="en-US" w:eastAsia="en-US"/>
              </w:rPr>
              <w:t xml:space="preserve"> and the handful of top predicted analogs are worth undergoing synthesis and biological evaluation.</w:t>
            </w:r>
          </w:p>
          <w:p w:rsidR="00D63906" w:rsidRPr="002A71C7" w:rsidRDefault="009F69C8" w:rsidP="003B6510">
            <w:pPr>
              <w:pStyle w:val="EndnoteText"/>
              <w:spacing w:after="0"/>
              <w:jc w:val="both"/>
              <w:rPr>
                <w:rFonts w:ascii="Times New Roman" w:eastAsiaTheme="minorHAnsi" w:hAnsi="Times New Roman"/>
                <w:color w:val="000000"/>
                <w:sz w:val="18"/>
                <w:szCs w:val="18"/>
                <w:lang w:val="en-US" w:eastAsia="en-US"/>
              </w:rPr>
            </w:pPr>
            <w:r w:rsidRPr="003B6510">
              <w:rPr>
                <w:rFonts w:ascii="Times New Roman" w:eastAsiaTheme="minorHAnsi" w:hAnsi="Times New Roman"/>
                <w:b/>
                <w:bCs/>
                <w:color w:val="000000"/>
                <w:sz w:val="18"/>
                <w:szCs w:val="18"/>
                <w:lang w:val="en-US" w:eastAsia="en-US"/>
              </w:rPr>
              <w:t xml:space="preserve">Keywords: </w:t>
            </w:r>
            <w:r w:rsidR="00504E2E">
              <w:rPr>
                <w:rFonts w:ascii="Times New Roman" w:eastAsiaTheme="minorHAnsi" w:hAnsi="Times New Roman"/>
                <w:color w:val="000000"/>
                <w:sz w:val="18"/>
                <w:szCs w:val="18"/>
                <w:lang w:val="en-US" w:eastAsia="en-US"/>
              </w:rPr>
              <w:t>M</w:t>
            </w:r>
            <w:r w:rsidR="00504E2E" w:rsidRPr="00504E2E">
              <w:rPr>
                <w:rFonts w:ascii="Times New Roman" w:eastAsiaTheme="minorHAnsi" w:hAnsi="Times New Roman"/>
                <w:color w:val="000000"/>
                <w:sz w:val="18"/>
                <w:szCs w:val="18"/>
                <w:lang w:val="en-US" w:eastAsia="en-US"/>
              </w:rPr>
              <w:t>alaria; CNP; FP2, QSAR; pharmacophore; virtual screening,</w:t>
            </w:r>
            <w:r w:rsidRPr="003B6510">
              <w:rPr>
                <w:rFonts w:ascii="Times New Roman" w:eastAsiaTheme="minorHAnsi" w:hAnsi="Times New Roman"/>
                <w:color w:val="000000"/>
                <w:sz w:val="18"/>
                <w:szCs w:val="18"/>
                <w:lang w:val="en-US" w:eastAsia="en-US"/>
              </w:rPr>
              <w:t>ADMET</w:t>
            </w:r>
          </w:p>
        </w:tc>
      </w:tr>
    </w:tbl>
    <w:p w:rsidR="00D63906" w:rsidRDefault="00D63906" w:rsidP="00D63906">
      <w:pPr>
        <w:pStyle w:val="Body"/>
        <w:spacing w:after="0"/>
        <w:rPr>
          <w:rFonts w:ascii="Arial" w:hAnsi="Arial" w:cs="Arial"/>
          <w:i/>
        </w:rPr>
      </w:pPr>
    </w:p>
    <w:p w:rsidR="00BF2DF4" w:rsidRDefault="00BF2DF4" w:rsidP="00BF2DF4">
      <w:pPr>
        <w:pStyle w:val="AbstHead"/>
        <w:spacing w:after="0"/>
        <w:jc w:val="both"/>
        <w:rPr>
          <w:rFonts w:ascii="Times New Roman" w:hAnsi="Times New Roman"/>
          <w:sz w:val="20"/>
        </w:rPr>
        <w:sectPr w:rsidR="00BF2DF4" w:rsidSect="00895131">
          <w:headerReference w:type="even" r:id="rId12"/>
          <w:headerReference w:type="default" r:id="rId13"/>
          <w:footerReference w:type="default" r:id="rId14"/>
          <w:headerReference w:type="first" r:id="rId15"/>
          <w:endnotePr>
            <w:numFmt w:val="decimal"/>
          </w:endnotePr>
          <w:type w:val="continuous"/>
          <w:pgSz w:w="12240" w:h="15840"/>
          <w:pgMar w:top="284" w:right="1134" w:bottom="426" w:left="1134" w:header="284" w:footer="22" w:gutter="0"/>
          <w:cols w:space="720"/>
          <w:docGrid w:linePitch="272"/>
        </w:sectPr>
      </w:pPr>
    </w:p>
    <w:p w:rsidR="00D63906" w:rsidRPr="00BF2DF4" w:rsidRDefault="00D63906" w:rsidP="00BF2DF4">
      <w:pPr>
        <w:pStyle w:val="AbstHead"/>
        <w:spacing w:after="0"/>
        <w:jc w:val="both"/>
        <w:rPr>
          <w:rFonts w:ascii="Times New Roman" w:hAnsi="Times New Roman"/>
          <w:sz w:val="20"/>
        </w:rPr>
      </w:pPr>
      <w:r w:rsidRPr="00BF2DF4">
        <w:rPr>
          <w:rFonts w:ascii="Times New Roman" w:hAnsi="Times New Roman"/>
          <w:sz w:val="20"/>
        </w:rPr>
        <w:lastRenderedPageBreak/>
        <w:t xml:space="preserve">INTRODUCTION </w:t>
      </w:r>
    </w:p>
    <w:p w:rsidR="00EA5301" w:rsidRDefault="000518C2" w:rsidP="00BF2DF4">
      <w:pPr>
        <w:pStyle w:val="Paragraph"/>
        <w:spacing w:before="0" w:line="240" w:lineRule="auto"/>
        <w:jc w:val="both"/>
        <w:rPr>
          <w:rFonts w:eastAsia="TimesNewRoman"/>
          <w:sz w:val="20"/>
          <w:szCs w:val="20"/>
          <w:lang w:val="en-US"/>
        </w:rPr>
      </w:pPr>
      <w:r w:rsidRPr="00BF2DF4">
        <w:rPr>
          <w:sz w:val="20"/>
          <w:szCs w:val="20"/>
        </w:rPr>
        <w:t>Malaria is an endemic disease that occurs mainly in tropical areas and is caused by unicellular eukaryotic parasites of the genus plasmodium. Among the five known malaria parasites infecting humans (plasmodium falciparum, plasmodium vivax, plasmodium malariae, plasmodium ovale and plasmodium knowlesi), plasmodium f</w:t>
      </w:r>
      <w:r w:rsidR="00F47932">
        <w:rPr>
          <w:sz w:val="20"/>
          <w:szCs w:val="20"/>
        </w:rPr>
        <w:t>alciparum is the most virulent</w:t>
      </w:r>
      <w:r w:rsidR="003448C0" w:rsidRPr="00F47932">
        <w:rPr>
          <w:rStyle w:val="EndnoteReference"/>
          <w:b/>
          <w:color w:val="8DB3E2" w:themeColor="text2" w:themeTint="66"/>
          <w:sz w:val="20"/>
          <w:szCs w:val="20"/>
        </w:rPr>
        <w:endnoteReference w:id="2"/>
      </w:r>
      <w:r w:rsidRPr="00BF2DF4">
        <w:rPr>
          <w:sz w:val="20"/>
          <w:szCs w:val="20"/>
        </w:rPr>
        <w:t>.</w:t>
      </w:r>
      <w:r w:rsidR="003448C0" w:rsidRPr="00BF2DF4">
        <w:rPr>
          <w:sz w:val="20"/>
          <w:szCs w:val="20"/>
          <w:lang w:val="en-US"/>
        </w:rPr>
        <w:t>This disease continues to be one of the main causes of death in the world and according to the WHO Malaria report 2022, there were an estimated 247 million clinical cases and 619</w:t>
      </w:r>
      <w:r w:rsidR="00E33B86" w:rsidRPr="00BF2DF4">
        <w:rPr>
          <w:sz w:val="20"/>
          <w:szCs w:val="20"/>
          <w:lang w:val="en-US"/>
        </w:rPr>
        <w:t>.</w:t>
      </w:r>
      <w:r w:rsidR="003448C0" w:rsidRPr="00BF2DF4">
        <w:rPr>
          <w:sz w:val="20"/>
          <w:szCs w:val="20"/>
          <w:lang w:val="en-US"/>
        </w:rPr>
        <w:t>000 deaths due to malaria. Africa is paying a heavy price and bears a disproportionate share of the global malaria burden with 95% of malaria cases and 96% of deaths due to this disease. Children under the age of 5 are the most vulnerable group to malaria; in 2021, they accounted for almost 80% of all malaria deaths in the WHO Africa region. Children under the age of 5 are the most vulnerable group to malaria; in 2021, they accounted for almost 80% of all malaria d</w:t>
      </w:r>
      <w:r w:rsidR="00F47932">
        <w:rPr>
          <w:sz w:val="20"/>
          <w:szCs w:val="20"/>
          <w:lang w:val="en-US"/>
        </w:rPr>
        <w:t>eaths in the WHO Africa region</w:t>
      </w:r>
      <w:r w:rsidR="003448C0" w:rsidRPr="00F47932">
        <w:rPr>
          <w:rStyle w:val="EndnoteReference"/>
          <w:b/>
          <w:color w:val="8DB3E2" w:themeColor="text2" w:themeTint="66"/>
          <w:sz w:val="20"/>
          <w:szCs w:val="20"/>
          <w:lang w:val="en-US"/>
        </w:rPr>
        <w:endnoteReference w:id="3"/>
      </w:r>
      <w:r w:rsidR="003448C0" w:rsidRPr="00BF2DF4">
        <w:rPr>
          <w:sz w:val="20"/>
          <w:szCs w:val="20"/>
        </w:rPr>
        <w:t xml:space="preserve">. </w:t>
      </w:r>
      <w:r w:rsidR="003448C0" w:rsidRPr="00BF2DF4">
        <w:rPr>
          <w:sz w:val="20"/>
          <w:szCs w:val="20"/>
          <w:lang w:val="en-US"/>
        </w:rPr>
        <w:t>An obstacle in the treatment of malaria is the spread of resis</w:t>
      </w:r>
      <w:r w:rsidR="003448C0" w:rsidRPr="00BF2DF4">
        <w:rPr>
          <w:sz w:val="20"/>
          <w:szCs w:val="20"/>
        </w:rPr>
        <w:t>tance to most drugs, including C</w:t>
      </w:r>
      <w:r w:rsidR="003448C0" w:rsidRPr="00BF2DF4">
        <w:rPr>
          <w:sz w:val="20"/>
          <w:szCs w:val="20"/>
          <w:lang w:val="en-US"/>
        </w:rPr>
        <w:t>hloroquine, which was one of the pil</w:t>
      </w:r>
      <w:bookmarkStart w:id="0" w:name="_Ref144570942"/>
      <w:r w:rsidR="00F47932">
        <w:rPr>
          <w:sz w:val="20"/>
          <w:szCs w:val="20"/>
          <w:lang w:val="en-US"/>
        </w:rPr>
        <w:t>lars of antimalarial treatment</w:t>
      </w:r>
      <w:r w:rsidR="003448C0" w:rsidRPr="00F47932">
        <w:rPr>
          <w:b/>
          <w:color w:val="8DB3E2" w:themeColor="text2" w:themeTint="66"/>
          <w:sz w:val="20"/>
          <w:szCs w:val="20"/>
          <w:vertAlign w:val="superscript"/>
          <w:lang w:val="en-US"/>
        </w:rPr>
        <w:endnoteReference w:id="4"/>
      </w:r>
      <w:bookmarkEnd w:id="0"/>
      <w:r w:rsidR="003448C0" w:rsidRPr="00BF2DF4">
        <w:rPr>
          <w:sz w:val="20"/>
          <w:szCs w:val="20"/>
          <w:lang w:val="en-US"/>
        </w:rPr>
        <w:t>.</w:t>
      </w:r>
      <w:r w:rsidR="00867C5B" w:rsidRPr="00BF2DF4">
        <w:rPr>
          <w:sz w:val="20"/>
          <w:szCs w:val="20"/>
          <w:lang w:val="en-US"/>
        </w:rPr>
        <w:t>Current efforts to control malaria and prevent its spread to new regions have been hampered by the emergence of new resistance to existing available antimalarial drugs, in particular Artemis</w:t>
      </w:r>
      <w:r w:rsidR="00F47932">
        <w:rPr>
          <w:sz w:val="20"/>
          <w:szCs w:val="20"/>
          <w:lang w:val="en-US"/>
        </w:rPr>
        <w:t>inin, our last line of defense</w:t>
      </w:r>
      <w:r w:rsidR="00867C5B" w:rsidRPr="00F47932">
        <w:rPr>
          <w:b/>
          <w:color w:val="8DB3E2" w:themeColor="text2" w:themeTint="66"/>
          <w:sz w:val="20"/>
          <w:szCs w:val="20"/>
          <w:vertAlign w:val="superscript"/>
          <w:lang w:val="en-US"/>
        </w:rPr>
        <w:endnoteReference w:id="5"/>
      </w:r>
      <w:r w:rsidR="00867C5B" w:rsidRPr="00F47932">
        <w:rPr>
          <w:b/>
          <w:color w:val="8DB3E2" w:themeColor="text2" w:themeTint="66"/>
          <w:sz w:val="20"/>
          <w:szCs w:val="20"/>
          <w:vertAlign w:val="superscript"/>
          <w:lang w:val="en-US"/>
        </w:rPr>
        <w:t>,</w:t>
      </w:r>
      <w:r w:rsidR="00867C5B" w:rsidRPr="00F47932">
        <w:rPr>
          <w:b/>
          <w:color w:val="8DB3E2" w:themeColor="text2" w:themeTint="66"/>
          <w:sz w:val="20"/>
          <w:szCs w:val="20"/>
          <w:vertAlign w:val="superscript"/>
          <w:lang w:val="en-US"/>
        </w:rPr>
        <w:endnoteReference w:id="6"/>
      </w:r>
      <w:r w:rsidR="00867C5B" w:rsidRPr="00BF2DF4">
        <w:rPr>
          <w:sz w:val="20"/>
          <w:szCs w:val="20"/>
          <w:lang w:val="en-US"/>
        </w:rPr>
        <w:t>including Artemisinin-based Combination Therapies (ACT</w:t>
      </w:r>
      <w:r w:rsidR="00515653" w:rsidRPr="00BF2DF4">
        <w:rPr>
          <w:sz w:val="20"/>
          <w:szCs w:val="20"/>
          <w:lang w:val="en-US"/>
        </w:rPr>
        <w:t>s</w:t>
      </w:r>
      <w:r w:rsidR="00F47932">
        <w:rPr>
          <w:sz w:val="20"/>
          <w:szCs w:val="20"/>
          <w:lang w:val="en-US"/>
        </w:rPr>
        <w:t>)</w:t>
      </w:r>
      <w:r w:rsidR="00867C5B" w:rsidRPr="00F47932">
        <w:rPr>
          <w:b/>
          <w:color w:val="8DB3E2" w:themeColor="text2" w:themeTint="66"/>
          <w:sz w:val="20"/>
          <w:szCs w:val="20"/>
          <w:vertAlign w:val="superscript"/>
          <w:lang w:val="en-US"/>
        </w:rPr>
        <w:endnoteReference w:id="7"/>
      </w:r>
      <w:r w:rsidR="00867C5B" w:rsidRPr="00F47932">
        <w:rPr>
          <w:b/>
          <w:color w:val="8DB3E2" w:themeColor="text2" w:themeTint="66"/>
          <w:sz w:val="20"/>
          <w:szCs w:val="20"/>
          <w:vertAlign w:val="superscript"/>
          <w:lang w:val="en-US"/>
        </w:rPr>
        <w:t>,</w:t>
      </w:r>
      <w:r w:rsidR="00867C5B" w:rsidRPr="00F47932">
        <w:rPr>
          <w:b/>
          <w:color w:val="8DB3E2" w:themeColor="text2" w:themeTint="66"/>
          <w:sz w:val="20"/>
          <w:szCs w:val="20"/>
          <w:vertAlign w:val="superscript"/>
          <w:lang w:val="en-US"/>
        </w:rPr>
        <w:endnoteReference w:id="8"/>
      </w:r>
      <w:r w:rsidR="00867C5B" w:rsidRPr="00F47932">
        <w:rPr>
          <w:b/>
          <w:color w:val="8DB3E2" w:themeColor="text2" w:themeTint="66"/>
          <w:sz w:val="20"/>
          <w:szCs w:val="20"/>
          <w:vertAlign w:val="superscript"/>
          <w:lang w:val="en-US"/>
        </w:rPr>
        <w:t>,</w:t>
      </w:r>
      <w:r w:rsidR="00867C5B" w:rsidRPr="00F47932">
        <w:rPr>
          <w:b/>
          <w:color w:val="8DB3E2" w:themeColor="text2" w:themeTint="66"/>
          <w:sz w:val="20"/>
          <w:szCs w:val="20"/>
          <w:vertAlign w:val="superscript"/>
          <w:lang w:val="en-US"/>
        </w:rPr>
        <w:endnoteReference w:id="9"/>
      </w:r>
      <w:r w:rsidR="00867C5B" w:rsidRPr="00BF2DF4">
        <w:rPr>
          <w:sz w:val="20"/>
          <w:szCs w:val="20"/>
          <w:lang w:val="en-US"/>
        </w:rPr>
        <w:t>. Given that resistance covers a wide range of antimalarial drugs and that it spreads in populations “at risk of parasitic infection" around the world and that no p</w:t>
      </w:r>
      <w:r w:rsidR="00F47932">
        <w:rPr>
          <w:sz w:val="20"/>
          <w:szCs w:val="20"/>
          <w:lang w:val="en-US"/>
        </w:rPr>
        <w:t>rotective vaccine is available</w:t>
      </w:r>
      <w:r w:rsidR="00867C5B" w:rsidRPr="00F47932">
        <w:rPr>
          <w:b/>
          <w:color w:val="8DB3E2" w:themeColor="text2" w:themeTint="66"/>
          <w:sz w:val="20"/>
          <w:szCs w:val="20"/>
          <w:vertAlign w:val="superscript"/>
          <w:lang w:val="en-US"/>
        </w:rPr>
        <w:endnoteReference w:id="10"/>
      </w:r>
      <w:r w:rsidR="00867C5B" w:rsidRPr="00BF2DF4">
        <w:rPr>
          <w:sz w:val="20"/>
          <w:szCs w:val="20"/>
          <w:lang w:val="en-US"/>
        </w:rPr>
        <w:t xml:space="preserve">, there is therefore an urgent and imperative need to identify and develop new classes of antimalarial drugs with a view to a </w:t>
      </w:r>
      <w:r w:rsidR="00F47932">
        <w:rPr>
          <w:sz w:val="20"/>
          <w:szCs w:val="20"/>
        </w:rPr>
        <w:t>new antimalarial therapy</w:t>
      </w:r>
      <w:r w:rsidR="00867C5B" w:rsidRPr="00F47932">
        <w:rPr>
          <w:b/>
          <w:color w:val="8DB3E2" w:themeColor="text2" w:themeTint="66"/>
          <w:sz w:val="20"/>
          <w:szCs w:val="20"/>
          <w:vertAlign w:val="superscript"/>
          <w:lang w:val="en-US"/>
        </w:rPr>
        <w:endnoteReference w:id="11"/>
      </w:r>
      <w:r w:rsidR="00867C5B" w:rsidRPr="00BF2DF4">
        <w:rPr>
          <w:sz w:val="20"/>
          <w:szCs w:val="20"/>
          <w:lang w:val="en-US"/>
        </w:rPr>
        <w:t>.The development of new inexpensive antimalarial drugs bioavailable by oral route, overcoming drug resistance is an urgent necessity. This is subject to the constraint of finding a new attractive potential target while proceeding to a rational drug design approach and filtering a large diversified library of components to finally obtain an almost perfect pharmacokinetic profi</w:t>
      </w:r>
      <w:bookmarkStart w:id="1" w:name="_Ref145054945"/>
      <w:r w:rsidR="00F47932">
        <w:rPr>
          <w:sz w:val="20"/>
          <w:szCs w:val="20"/>
          <w:lang w:val="en-US"/>
        </w:rPr>
        <w:t>le and a multi-target compound</w:t>
      </w:r>
      <w:r w:rsidR="00867C5B" w:rsidRPr="00F47932">
        <w:rPr>
          <w:b/>
          <w:color w:val="8DB3E2" w:themeColor="text2" w:themeTint="66"/>
          <w:sz w:val="20"/>
          <w:szCs w:val="20"/>
          <w:vertAlign w:val="superscript"/>
          <w:lang w:val="en-US"/>
        </w:rPr>
        <w:endnoteReference w:id="12"/>
      </w:r>
      <w:bookmarkEnd w:id="1"/>
      <w:r w:rsidR="00867C5B" w:rsidRPr="00BF2DF4">
        <w:rPr>
          <w:sz w:val="20"/>
          <w:szCs w:val="20"/>
          <w:lang w:val="en-US"/>
        </w:rPr>
        <w:t xml:space="preserve">. </w:t>
      </w:r>
      <w:r w:rsidR="00867C5B" w:rsidRPr="00BF2DF4">
        <w:rPr>
          <w:rFonts w:eastAsia="MinionPro-Regular"/>
          <w:sz w:val="20"/>
          <w:szCs w:val="20"/>
          <w:lang w:val="en-US"/>
        </w:rPr>
        <w:t xml:space="preserve">The parasite survival depends on the digestion of 3/4 of the hemoglobin contained in infected erythrocytes for supplying the amino acids </w:t>
      </w:r>
      <w:r w:rsidR="00F47932">
        <w:rPr>
          <w:rFonts w:eastAsia="MinionPro-Regular"/>
          <w:sz w:val="20"/>
          <w:szCs w:val="20"/>
          <w:lang w:val="en-US"/>
        </w:rPr>
        <w:t>needed for the parasite growth</w:t>
      </w:r>
      <w:r w:rsidR="00867C5B" w:rsidRPr="00F47932">
        <w:rPr>
          <w:rFonts w:eastAsia="MinionPro-Regular"/>
          <w:b/>
          <w:color w:val="8DB3E2" w:themeColor="text2" w:themeTint="66"/>
          <w:sz w:val="20"/>
          <w:szCs w:val="20"/>
          <w:vertAlign w:val="superscript"/>
          <w:lang w:val="en-US"/>
        </w:rPr>
        <w:endnoteReference w:id="13"/>
      </w:r>
      <w:r w:rsidR="00867C5B" w:rsidRPr="00F47932">
        <w:rPr>
          <w:rFonts w:eastAsia="MinionPro-Regular"/>
          <w:b/>
          <w:color w:val="8DB3E2" w:themeColor="text2" w:themeTint="66"/>
          <w:sz w:val="20"/>
          <w:szCs w:val="20"/>
          <w:vertAlign w:val="superscript"/>
          <w:lang w:val="en-US"/>
        </w:rPr>
        <w:t>,</w:t>
      </w:r>
      <w:r w:rsidR="00867C5B" w:rsidRPr="00F47932">
        <w:rPr>
          <w:rFonts w:eastAsia="MinionPro-Regular"/>
          <w:b/>
          <w:color w:val="8DB3E2" w:themeColor="text2" w:themeTint="66"/>
          <w:sz w:val="20"/>
          <w:szCs w:val="20"/>
          <w:vertAlign w:val="superscript"/>
          <w:lang w:val="en-US"/>
        </w:rPr>
        <w:endnoteReference w:id="14"/>
      </w:r>
      <w:r w:rsidR="00867C5B" w:rsidRPr="00F47932">
        <w:rPr>
          <w:rFonts w:eastAsia="MinionPro-Regular"/>
          <w:b/>
          <w:color w:val="8DB3E2" w:themeColor="text2" w:themeTint="66"/>
          <w:sz w:val="20"/>
          <w:szCs w:val="20"/>
          <w:vertAlign w:val="superscript"/>
          <w:lang w:val="en-US"/>
        </w:rPr>
        <w:t>,</w:t>
      </w:r>
      <w:r w:rsidR="00867C5B" w:rsidRPr="00F47932">
        <w:rPr>
          <w:rFonts w:eastAsia="MinionPro-Regular"/>
          <w:b/>
          <w:color w:val="8DB3E2" w:themeColor="text2" w:themeTint="66"/>
          <w:sz w:val="20"/>
          <w:szCs w:val="20"/>
          <w:vertAlign w:val="superscript"/>
          <w:lang w:val="en-US"/>
        </w:rPr>
        <w:endnoteReference w:id="15"/>
      </w:r>
      <w:r w:rsidR="00867C5B" w:rsidRPr="00BF2DF4">
        <w:rPr>
          <w:rFonts w:eastAsia="MinionPro-Regular"/>
          <w:sz w:val="20"/>
          <w:szCs w:val="20"/>
          <w:lang w:val="en-US"/>
        </w:rPr>
        <w:t>. Four parasitic proteases families well known namely aspartic proteases, cysteine proteases, aminopeptidases and metalloproteases, involved in this metabolic process, are expressed during the erythrocytic stage of the parasite life cycle and their inhibition has proven to be central t</w:t>
      </w:r>
      <w:r w:rsidR="00CB422C">
        <w:rPr>
          <w:rFonts w:eastAsia="MinionPro-Regular"/>
          <w:sz w:val="20"/>
          <w:szCs w:val="20"/>
          <w:lang w:val="en-US"/>
        </w:rPr>
        <w:t>o avoid parasite proliferation</w:t>
      </w:r>
      <w:fldSimple w:instr=" NOTEREF _Ref144570942 \h  \* MERGEFORMAT ">
        <w:r w:rsidR="00993553" w:rsidRPr="00CB422C">
          <w:rPr>
            <w:rFonts w:eastAsia="MinionPro-Regular"/>
            <w:b/>
            <w:color w:val="8DB3E2" w:themeColor="text2" w:themeTint="66"/>
            <w:sz w:val="20"/>
            <w:szCs w:val="20"/>
            <w:vertAlign w:val="superscript"/>
            <w:lang w:val="en-US"/>
          </w:rPr>
          <w:t>3</w:t>
        </w:r>
      </w:fldSimple>
      <w:r w:rsidR="00CB422C" w:rsidRPr="00CB422C">
        <w:rPr>
          <w:rFonts w:eastAsia="MinionPro-Regular"/>
          <w:b/>
          <w:color w:val="8DB3E2" w:themeColor="text2" w:themeTint="66"/>
          <w:sz w:val="20"/>
          <w:szCs w:val="20"/>
          <w:vertAlign w:val="superscript"/>
          <w:lang w:val="en-US"/>
        </w:rPr>
        <w:t>,</w:t>
      </w:r>
      <w:r w:rsidR="00867C5B" w:rsidRPr="00CB422C">
        <w:rPr>
          <w:rFonts w:eastAsia="MinionPro-Regular"/>
          <w:b/>
          <w:color w:val="8DB3E2" w:themeColor="text2" w:themeTint="66"/>
          <w:sz w:val="20"/>
          <w:szCs w:val="20"/>
          <w:vertAlign w:val="superscript"/>
          <w:lang w:val="en-US"/>
        </w:rPr>
        <w:endnoteReference w:id="16"/>
      </w:r>
      <w:r w:rsidR="00867C5B" w:rsidRPr="00BF2DF4">
        <w:rPr>
          <w:rFonts w:eastAsia="MinionPro-Regular"/>
          <w:sz w:val="20"/>
          <w:szCs w:val="20"/>
          <w:lang w:val="en-US"/>
        </w:rPr>
        <w:t xml:space="preserve">. </w:t>
      </w:r>
      <w:r w:rsidR="00867C5B" w:rsidRPr="00BF2DF4">
        <w:rPr>
          <w:sz w:val="20"/>
          <w:szCs w:val="20"/>
          <w:lang w:val="en-US"/>
        </w:rPr>
        <w:t xml:space="preserve">Hemoglobin degradation is blocked by cysteine protease inhibitors (I), causing characteristic morphological abnormality in which the food vacuole is full of </w:t>
      </w:r>
      <w:r w:rsidR="00EA5301" w:rsidRPr="00BF2DF4">
        <w:rPr>
          <w:sz w:val="20"/>
          <w:szCs w:val="20"/>
        </w:rPr>
        <w:t>non-degraded</w:t>
      </w:r>
      <w:r w:rsidR="00867C5B" w:rsidRPr="00BF2DF4">
        <w:rPr>
          <w:sz w:val="20"/>
          <w:szCs w:val="20"/>
          <w:lang w:val="en-US"/>
        </w:rPr>
        <w:t xml:space="preserve"> hemoglobin blocking b</w:t>
      </w:r>
      <w:r w:rsidR="003D3FE6">
        <w:rPr>
          <w:sz w:val="20"/>
          <w:szCs w:val="20"/>
          <w:lang w:val="en-US"/>
        </w:rPr>
        <w:t>y this way parasite development</w:t>
      </w:r>
      <w:r w:rsidR="00867C5B" w:rsidRPr="003D3FE6">
        <w:rPr>
          <w:b/>
          <w:color w:val="8DB3E2" w:themeColor="text2" w:themeTint="66"/>
          <w:sz w:val="20"/>
          <w:szCs w:val="20"/>
          <w:vertAlign w:val="superscript"/>
          <w:lang w:val="en-US"/>
        </w:rPr>
        <w:endnoteReference w:id="17"/>
      </w:r>
      <w:r w:rsidR="003D3FE6" w:rsidRPr="003D3FE6">
        <w:rPr>
          <w:b/>
          <w:color w:val="8DB3E2" w:themeColor="text2" w:themeTint="66"/>
          <w:sz w:val="20"/>
          <w:szCs w:val="20"/>
          <w:vertAlign w:val="superscript"/>
          <w:lang w:val="en-US"/>
        </w:rPr>
        <w:t>,</w:t>
      </w:r>
      <w:r w:rsidR="00867C5B" w:rsidRPr="003D3FE6">
        <w:rPr>
          <w:b/>
          <w:color w:val="8DB3E2" w:themeColor="text2" w:themeTint="66"/>
          <w:sz w:val="20"/>
          <w:szCs w:val="20"/>
          <w:vertAlign w:val="superscript"/>
          <w:lang w:val="en-US"/>
        </w:rPr>
        <w:endnoteReference w:id="18"/>
      </w:r>
      <w:r w:rsidR="00867C5B" w:rsidRPr="00BF2DF4">
        <w:rPr>
          <w:sz w:val="20"/>
          <w:szCs w:val="20"/>
          <w:lang w:val="en-US"/>
        </w:rPr>
        <w:t>.</w:t>
      </w:r>
      <w:r w:rsidR="00EA5301" w:rsidRPr="00BF2DF4">
        <w:rPr>
          <w:sz w:val="20"/>
          <w:szCs w:val="20"/>
          <w:lang w:val="en-US"/>
        </w:rPr>
        <w:t xml:space="preserve">Falcipains have drawn great interest due to their central role in the life cycle of Pf </w:t>
      </w:r>
      <w:r w:rsidR="003D3FE6">
        <w:rPr>
          <w:sz w:val="20"/>
          <w:szCs w:val="20"/>
          <w:lang w:val="en-US"/>
        </w:rPr>
        <w:t>through hemoglobin degradation</w:t>
      </w:r>
      <w:r w:rsidR="00EA5301" w:rsidRPr="003D3FE6">
        <w:rPr>
          <w:b/>
          <w:color w:val="8DB3E2" w:themeColor="text2" w:themeTint="66"/>
          <w:sz w:val="20"/>
          <w:szCs w:val="20"/>
          <w:vertAlign w:val="superscript"/>
          <w:lang w:val="en-US"/>
        </w:rPr>
        <w:endnoteReference w:id="19"/>
      </w:r>
      <w:r w:rsidR="00EA5301" w:rsidRPr="00BF2DF4">
        <w:rPr>
          <w:sz w:val="20"/>
          <w:szCs w:val="20"/>
          <w:lang w:val="en-US"/>
        </w:rPr>
        <w:t xml:space="preserve">. </w:t>
      </w:r>
      <w:r w:rsidR="00EA5301" w:rsidRPr="00BF2DF4">
        <w:rPr>
          <w:rFonts w:eastAsia="MinionPro-Regular"/>
          <w:sz w:val="20"/>
          <w:szCs w:val="20"/>
          <w:lang w:val="en-US"/>
        </w:rPr>
        <w:t xml:space="preserve">Falcipain-2 (FP2) and Falcipain-3 (FP3) are key papain-family (C1) Clan CA trophozoite cysteine proteases localized in the Digestive Food Vacuole (DFV) that cleave host native or denatured human hemoglobin. FP2, the most expressed and best studied enzyme among falcipains, is a promising </w:t>
      </w:r>
      <w:r w:rsidR="00EA5301" w:rsidRPr="00BF2DF4">
        <w:rPr>
          <w:rFonts w:eastAsia="MinionPro-Regular"/>
          <w:sz w:val="20"/>
          <w:szCs w:val="20"/>
          <w:lang w:val="en-US"/>
        </w:rPr>
        <w:lastRenderedPageBreak/>
        <w:t xml:space="preserve">target for novel </w:t>
      </w:r>
      <w:bookmarkStart w:id="2" w:name="_Ref145051949"/>
      <w:r w:rsidR="003D3FE6">
        <w:rPr>
          <w:rFonts w:eastAsia="MinionPro-Regular"/>
          <w:sz w:val="20"/>
          <w:szCs w:val="20"/>
          <w:lang w:val="en-US"/>
        </w:rPr>
        <w:t>antimalarial drugs development</w:t>
      </w:r>
      <w:r w:rsidR="00EA5301" w:rsidRPr="003D3FE6">
        <w:rPr>
          <w:rFonts w:eastAsia="MinionPro-Regular"/>
          <w:b/>
          <w:color w:val="8DB3E2" w:themeColor="text2" w:themeTint="66"/>
          <w:sz w:val="20"/>
          <w:szCs w:val="20"/>
          <w:vertAlign w:val="superscript"/>
          <w:lang w:val="en-US"/>
        </w:rPr>
        <w:endnoteReference w:id="20"/>
      </w:r>
      <w:bookmarkEnd w:id="2"/>
      <w:r w:rsidR="00EA5301" w:rsidRPr="00BF2DF4">
        <w:rPr>
          <w:rFonts w:eastAsia="MinionPro-Regular"/>
          <w:sz w:val="20"/>
          <w:szCs w:val="20"/>
          <w:lang w:val="en-US"/>
        </w:rPr>
        <w:t xml:space="preserve">. Falcipain 2 and related plasmodial cysteine proteases are thus logical targets for antiparasitic chemotherapy, and therefore, we were interested in the development of inhibitors of </w:t>
      </w:r>
      <w:bookmarkStart w:id="3" w:name="_Ref144976154"/>
      <w:r w:rsidR="003D3FE6">
        <w:rPr>
          <w:rFonts w:eastAsia="MinionPro-Regular"/>
          <w:sz w:val="20"/>
          <w:szCs w:val="20"/>
          <w:lang w:val="en-US"/>
        </w:rPr>
        <w:t>these enzymes as antiparasitic</w:t>
      </w:r>
      <w:r w:rsidR="00EA5301" w:rsidRPr="003D3FE6">
        <w:rPr>
          <w:rFonts w:eastAsia="MinionPro-Regular"/>
          <w:b/>
          <w:color w:val="8DB3E2" w:themeColor="text2" w:themeTint="66"/>
          <w:sz w:val="20"/>
          <w:szCs w:val="20"/>
          <w:vertAlign w:val="superscript"/>
          <w:lang w:val="en-US"/>
        </w:rPr>
        <w:endnoteReference w:id="21"/>
      </w:r>
      <w:bookmarkEnd w:id="3"/>
      <w:r w:rsidR="00EA5301" w:rsidRPr="00BF2DF4">
        <w:rPr>
          <w:rFonts w:eastAsia="MinionPro-Regular"/>
          <w:sz w:val="20"/>
          <w:szCs w:val="20"/>
          <w:lang w:val="en-US"/>
        </w:rPr>
        <w:t xml:space="preserve">. </w:t>
      </w:r>
      <w:r w:rsidR="00EA5301" w:rsidRPr="00BF2DF4">
        <w:rPr>
          <w:sz w:val="20"/>
          <w:szCs w:val="20"/>
          <w:lang w:val="en-US"/>
        </w:rPr>
        <w:t>The active site of FP2 is large and contains four pockets, S1, S’1, S2 and S3, each pocket accommodating one substituent, P1, P’1, P2 and P3 of substrate. Recent studies have shown the selective specific</w:t>
      </w:r>
      <w:r w:rsidR="009E3E56">
        <w:rPr>
          <w:sz w:val="20"/>
          <w:szCs w:val="20"/>
          <w:lang w:val="en-US"/>
        </w:rPr>
        <w:t>ity of the pockets of falcipain2</w:t>
      </w:r>
      <w:r w:rsidR="00EA5301" w:rsidRPr="00BF2DF4">
        <w:rPr>
          <w:sz w:val="20"/>
          <w:szCs w:val="20"/>
          <w:lang w:val="en-US"/>
        </w:rPr>
        <w:t xml:space="preserve"> (FP2 II). According to these studies, the S1 pocket has a strong affinity for compounds bearing a </w:t>
      </w:r>
      <w:r w:rsidR="003D3FE6">
        <w:rPr>
          <w:sz w:val="20"/>
          <w:szCs w:val="20"/>
          <w:lang w:val="en-US"/>
        </w:rPr>
        <w:t>nitrile group at P1</w:t>
      </w:r>
      <w:r w:rsidR="00EA5301" w:rsidRPr="003D3FE6">
        <w:rPr>
          <w:b/>
          <w:color w:val="8DB3E2" w:themeColor="text2" w:themeTint="66"/>
          <w:sz w:val="20"/>
          <w:szCs w:val="20"/>
          <w:vertAlign w:val="superscript"/>
          <w:lang w:val="en-US"/>
        </w:rPr>
        <w:endnoteReference w:id="22"/>
      </w:r>
      <w:r w:rsidR="00EA5301" w:rsidRPr="00BF2DF4">
        <w:rPr>
          <w:sz w:val="20"/>
          <w:szCs w:val="20"/>
          <w:lang w:val="en-US"/>
        </w:rPr>
        <w:t xml:space="preserve"> and the S2 pocket has a marked preference for compounds ha</w:t>
      </w:r>
      <w:bookmarkStart w:id="4" w:name="_Ref145051272"/>
      <w:r w:rsidR="003D3FE6">
        <w:rPr>
          <w:sz w:val="20"/>
          <w:szCs w:val="20"/>
          <w:lang w:val="en-US"/>
        </w:rPr>
        <w:t>ving a hydrophobic group at P2</w:t>
      </w:r>
      <w:r w:rsidR="00EA5301" w:rsidRPr="003D3FE6">
        <w:rPr>
          <w:b/>
          <w:color w:val="8DB3E2" w:themeColor="text2" w:themeTint="66"/>
          <w:sz w:val="20"/>
          <w:szCs w:val="20"/>
          <w:vertAlign w:val="superscript"/>
          <w:lang w:val="en-US"/>
        </w:rPr>
        <w:endnoteReference w:id="23"/>
      </w:r>
      <w:bookmarkEnd w:id="4"/>
      <w:r w:rsidR="00EA5301" w:rsidRPr="00BF2DF4">
        <w:rPr>
          <w:sz w:val="20"/>
          <w:szCs w:val="20"/>
          <w:lang w:val="en-US"/>
        </w:rPr>
        <w:t>.The main classes of FP2 inhibitors bearing the most popular pharmacophore of cysteine protease inhibitors, such as vinyl sulfones, halomethyl ketones, and aldehydes. Furthermore, many other chemotypes have been identified as FP2 inhibitors, such as isoquinolines, thi</w:t>
      </w:r>
      <w:r w:rsidR="003D3FE6">
        <w:rPr>
          <w:sz w:val="20"/>
          <w:szCs w:val="20"/>
          <w:lang w:val="en-US"/>
        </w:rPr>
        <w:t>osemicarbazones, and chalcones</w:t>
      </w:r>
      <w:r w:rsidR="00EA5301" w:rsidRPr="003D3FE6">
        <w:rPr>
          <w:b/>
          <w:color w:val="8DB3E2" w:themeColor="text2" w:themeTint="66"/>
          <w:sz w:val="20"/>
          <w:szCs w:val="20"/>
          <w:vertAlign w:val="superscript"/>
          <w:lang w:val="en-US"/>
        </w:rPr>
        <w:endnoteReference w:id="24"/>
      </w:r>
      <w:r w:rsidR="00EA5301" w:rsidRPr="00BF2DF4">
        <w:rPr>
          <w:sz w:val="20"/>
          <w:szCs w:val="20"/>
          <w:lang w:val="en-US"/>
        </w:rPr>
        <w:t>. Also Different non peptide heteroarylnitrile derivatives were studied as potential falcipain inhibitors and therefore potential antiparasitic lead compounds, with the 5-substituted-2-cyanopyrimidine chemical class well know under the name of carbonitriles pyrimidine (CNP) emerging as the most po</w:t>
      </w:r>
      <w:r w:rsidR="003D3FE6">
        <w:rPr>
          <w:sz w:val="20"/>
          <w:szCs w:val="20"/>
          <w:lang w:val="en-US"/>
        </w:rPr>
        <w:t>tent and promising lead series</w:t>
      </w:r>
      <w:fldSimple w:instr=" NOTEREF _Ref144976154 \h  \* MERGEFORMAT ">
        <w:r w:rsidR="00993553" w:rsidRPr="003D3FE6">
          <w:rPr>
            <w:b/>
            <w:color w:val="8DB3E2" w:themeColor="text2" w:themeTint="66"/>
            <w:sz w:val="20"/>
            <w:szCs w:val="20"/>
            <w:vertAlign w:val="superscript"/>
            <w:lang w:val="en-US"/>
          </w:rPr>
          <w:t>20</w:t>
        </w:r>
      </w:fldSimple>
      <w:r w:rsidR="00EA5301" w:rsidRPr="00BF2DF4">
        <w:rPr>
          <w:sz w:val="20"/>
          <w:szCs w:val="20"/>
          <w:lang w:val="en-US"/>
        </w:rPr>
        <w:t>. However, the P1 side chain of the carbonitrile</w:t>
      </w:r>
      <w:r w:rsidR="00515653" w:rsidRPr="00BF2DF4">
        <w:rPr>
          <w:sz w:val="20"/>
          <w:szCs w:val="20"/>
          <w:lang w:val="en-US"/>
        </w:rPr>
        <w:t>s</w:t>
      </w:r>
      <w:r w:rsidR="00EA5301" w:rsidRPr="00BF2DF4">
        <w:rPr>
          <w:sz w:val="20"/>
          <w:szCs w:val="20"/>
          <w:lang w:val="en-US"/>
        </w:rPr>
        <w:t xml:space="preserve"> pyrimidine family comprising the 2-cyanopyrimidine nucleus offers a great possibility of substitution in the S1 pocket. Pyrimidines are organic molecules similar to benzene but with two nitrogen atoms (N) in positions 1 and 3. In this family of active molecules, thanks to a process of sequential optimization of derivation taking into account the different positions present in the initial scaffold of the pyrimidine nucleus, inhibitors of FP2 having an activity against parasites cultured in nanomolars and subn</w:t>
      </w:r>
      <w:r w:rsidR="003D3FE6">
        <w:rPr>
          <w:sz w:val="20"/>
          <w:szCs w:val="20"/>
          <w:lang w:val="en-US"/>
        </w:rPr>
        <w:t>anomolars have been identified</w:t>
      </w:r>
      <w:r w:rsidR="00EA5301" w:rsidRPr="003D3FE6">
        <w:rPr>
          <w:b/>
          <w:color w:val="8DB3E2" w:themeColor="text2" w:themeTint="66"/>
          <w:sz w:val="20"/>
          <w:szCs w:val="20"/>
          <w:vertAlign w:val="superscript"/>
          <w:lang w:val="en-US"/>
        </w:rPr>
        <w:endnoteReference w:id="25"/>
      </w:r>
      <w:r w:rsidR="00EA5301" w:rsidRPr="00BF2DF4">
        <w:rPr>
          <w:sz w:val="20"/>
          <w:szCs w:val="20"/>
          <w:lang w:val="en-US"/>
        </w:rPr>
        <w:t>.The introduction of protonable amines (cyano/carbonitriles) into the molecules led to a clear improvement of up to 1000 times the activity against the cultivated parasites without noticeable alteration of the other trends in terms of s</w:t>
      </w:r>
      <w:r w:rsidR="003D3FE6">
        <w:rPr>
          <w:sz w:val="20"/>
          <w:szCs w:val="20"/>
          <w:lang w:val="en-US"/>
        </w:rPr>
        <w:t>tructure-activity relationship</w:t>
      </w:r>
      <w:fldSimple w:instr=" NOTEREF _Ref144976154 \h  \* MERGEFORMAT ">
        <w:r w:rsidR="00993553" w:rsidRPr="003D3FE6">
          <w:rPr>
            <w:b/>
            <w:color w:val="8DB3E2" w:themeColor="text2" w:themeTint="66"/>
            <w:sz w:val="20"/>
            <w:szCs w:val="20"/>
            <w:vertAlign w:val="superscript"/>
            <w:lang w:val="en-US"/>
          </w:rPr>
          <w:t>20</w:t>
        </w:r>
      </w:fldSimple>
      <w:r w:rsidR="00EA5301" w:rsidRPr="00BF2DF4">
        <w:rPr>
          <w:sz w:val="20"/>
          <w:szCs w:val="20"/>
          <w:lang w:val="en-US"/>
        </w:rPr>
        <w:t xml:space="preserve">. The possibilities in terms of structural diversity have a strong advantage because they are very useful in the fight against drug resistance of certain pathogens and constitute a reliable means for designing powerful, bioavailable and favorable oral pharmacokinetic antimalarial. Having no crystallographic structure of FP2-CNP complexes available in the literature, we therefore used the results of a previous study on azadipeptides </w:t>
      </w:r>
      <w:r w:rsidR="00515653" w:rsidRPr="00BF2DF4">
        <w:rPr>
          <w:sz w:val="20"/>
          <w:szCs w:val="20"/>
          <w:lang w:val="en-US"/>
        </w:rPr>
        <w:t xml:space="preserve">nitrile </w:t>
      </w:r>
      <w:r w:rsidR="00EA5301" w:rsidRPr="00BF2DF4">
        <w:rPr>
          <w:sz w:val="20"/>
          <w:szCs w:val="20"/>
          <w:lang w:val="en-US"/>
        </w:rPr>
        <w:t>(A</w:t>
      </w:r>
      <w:bookmarkStart w:id="5" w:name="_Ref144997725"/>
      <w:r w:rsidR="003D3FE6">
        <w:rPr>
          <w:sz w:val="20"/>
          <w:szCs w:val="20"/>
          <w:lang w:val="en-US"/>
        </w:rPr>
        <w:t>DPN) peptide inhibitors of FP2</w:t>
      </w:r>
      <w:r w:rsidR="00EA5301" w:rsidRPr="003D3FE6">
        <w:rPr>
          <w:b/>
          <w:color w:val="8DB3E2" w:themeColor="text2" w:themeTint="66"/>
          <w:sz w:val="20"/>
          <w:szCs w:val="20"/>
          <w:vertAlign w:val="superscript"/>
          <w:lang w:val="en-US"/>
        </w:rPr>
        <w:endnoteReference w:id="26"/>
      </w:r>
      <w:bookmarkEnd w:id="5"/>
      <w:r w:rsidR="00EA5301" w:rsidRPr="00BF2DF4">
        <w:rPr>
          <w:sz w:val="20"/>
          <w:szCs w:val="20"/>
          <w:lang w:val="en-US"/>
        </w:rPr>
        <w:t xml:space="preserve">, by </w:t>
      </w:r>
      <w:r w:rsidR="00EA5301" w:rsidRPr="009E3E56">
        <w:rPr>
          <w:i/>
          <w:sz w:val="20"/>
          <w:szCs w:val="20"/>
          <w:lang w:val="en-US"/>
        </w:rPr>
        <w:t>in situ</w:t>
      </w:r>
      <w:r w:rsidR="00EA5301" w:rsidRPr="00BF2DF4">
        <w:rPr>
          <w:sz w:val="20"/>
          <w:szCs w:val="20"/>
          <w:lang w:val="en-US"/>
        </w:rPr>
        <w:t xml:space="preserve"> modification to explore the active site of FP2 with CNPs.The structural information obtained with the ADPNs, guided the simulations carried out with the CNPs and opened a gate to the structure-based design of novel potent antimalarial agents. In this work we start from training set of CNP to construct a one descriptor (Gibbs free energy, GFE upon FP2-Inhibitor complex formation) QSAR model of FP2 inhibition, correlating GFE with experimental </w:t>
      </w:r>
      <w:r w:rsidR="00CF29D3" w:rsidRPr="00BF2DF4">
        <w:rPr>
          <w:sz w:val="20"/>
          <w:szCs w:val="20"/>
          <w:lang w:val="en-US"/>
        </w:rPr>
        <w:t xml:space="preserve">activity </w:t>
      </w:r>
      <m:oMath>
        <m:sSubSup>
          <m:sSubSupPr>
            <m:ctrlPr>
              <w:rPr>
                <w:rFonts w:ascii="Cambria Math" w:hAnsi="Cambria Math"/>
                <w:sz w:val="20"/>
                <w:szCs w:val="20"/>
                <w:lang w:val="en-US"/>
              </w:rPr>
            </m:ctrlPr>
          </m:sSubSupPr>
          <m:e>
            <m:r>
              <m:rPr>
                <m:sty m:val="p"/>
              </m:rPr>
              <w:rPr>
                <w:rFonts w:ascii="Cambria Math" w:hAnsi="Cambria Math"/>
                <w:sz w:val="20"/>
                <w:szCs w:val="20"/>
                <w:lang w:val="en-US"/>
              </w:rPr>
              <m:t>IC</m:t>
            </m:r>
          </m:e>
          <m:sub>
            <m:r>
              <m:rPr>
                <m:sty m:val="p"/>
              </m:rPr>
              <w:rPr>
                <w:rFonts w:ascii="Cambria Math" w:hAnsi="Cambria Math"/>
                <w:sz w:val="20"/>
                <w:szCs w:val="20"/>
                <w:lang w:val="en-US"/>
              </w:rPr>
              <m:t>50</m:t>
            </m:r>
          </m:sub>
          <m:sup>
            <m:r>
              <m:rPr>
                <m:sty m:val="p"/>
              </m:rPr>
              <w:rPr>
                <w:rFonts w:ascii="Cambria Math" w:hAnsi="Cambria Math"/>
                <w:sz w:val="20"/>
                <w:szCs w:val="20"/>
                <w:lang w:val="en-US"/>
              </w:rPr>
              <m:t>exp</m:t>
            </m:r>
          </m:sup>
        </m:sSubSup>
      </m:oMath>
      <w:r w:rsidR="00EA5301" w:rsidRPr="00BF2DF4">
        <w:rPr>
          <w:sz w:val="20"/>
          <w:szCs w:val="20"/>
          <w:lang w:val="en-US"/>
        </w:rPr>
        <w:t>. Subsequently, a 3D-QSAR pharmacophore protocol was used to prepare a four-feature pharmacophore (PH4) model from FP2 active site bound CNP conformations.</w:t>
      </w:r>
      <w:r w:rsidR="00EA5301" w:rsidRPr="00BF2DF4">
        <w:rPr>
          <w:rFonts w:eastAsia="TimesNewRoman"/>
          <w:sz w:val="20"/>
          <w:szCs w:val="20"/>
          <w:lang w:val="en-US"/>
        </w:rPr>
        <w:t>Moreover, the computed enzyme – ligand interaction energy map E</w:t>
      </w:r>
      <w:r w:rsidR="00EA5301" w:rsidRPr="007F29AC">
        <w:rPr>
          <w:rFonts w:eastAsia="TimesNewRoman"/>
          <w:sz w:val="20"/>
          <w:szCs w:val="20"/>
          <w:vertAlign w:val="subscript"/>
          <w:lang w:val="en-US"/>
        </w:rPr>
        <w:t>int</w:t>
      </w:r>
      <w:r w:rsidR="00EA5301" w:rsidRPr="00BF2DF4">
        <w:rPr>
          <w:rFonts w:eastAsia="TimesNewRoman"/>
          <w:sz w:val="20"/>
          <w:szCs w:val="20"/>
          <w:lang w:val="en-US"/>
        </w:rPr>
        <w:t xml:space="preserve"> correlates well with </w:t>
      </w:r>
      <m:oMath>
        <m:sSubSup>
          <m:sSubSupPr>
            <m:ctrlPr>
              <w:rPr>
                <w:rFonts w:ascii="Cambria Math" w:hAnsi="Cambria Math"/>
                <w:sz w:val="20"/>
                <w:szCs w:val="20"/>
                <w:lang w:val="en-US"/>
              </w:rPr>
            </m:ctrlPr>
          </m:sSubSupPr>
          <m:e>
            <m:r>
              <m:rPr>
                <m:sty m:val="p"/>
              </m:rPr>
              <w:rPr>
                <w:rFonts w:ascii="Cambria Math" w:hAnsi="Cambria Math"/>
                <w:sz w:val="20"/>
                <w:szCs w:val="20"/>
                <w:lang w:val="en-US"/>
              </w:rPr>
              <m:t>IC</m:t>
            </m:r>
          </m:e>
          <m:sub>
            <m:r>
              <m:rPr>
                <m:sty m:val="p"/>
              </m:rPr>
              <w:rPr>
                <w:rFonts w:ascii="Cambria Math" w:hAnsi="Cambria Math"/>
                <w:sz w:val="20"/>
                <w:szCs w:val="20"/>
                <w:lang w:val="en-US"/>
              </w:rPr>
              <m:t>50</m:t>
            </m:r>
          </m:sub>
          <m:sup>
            <m:r>
              <m:rPr>
                <m:sty m:val="p"/>
              </m:rPr>
              <w:rPr>
                <w:rFonts w:ascii="Cambria Math" w:hAnsi="Cambria Math"/>
                <w:sz w:val="20"/>
                <w:szCs w:val="20"/>
                <w:lang w:val="en-US"/>
              </w:rPr>
              <m:t>exp</m:t>
            </m:r>
          </m:sup>
        </m:sSubSup>
      </m:oMath>
      <w:r w:rsidR="00EA5301" w:rsidRPr="00BF2DF4">
        <w:rPr>
          <w:rFonts w:eastAsia="TimesNewRoman"/>
          <w:sz w:val="20"/>
          <w:szCs w:val="20"/>
          <w:lang w:val="en-US"/>
        </w:rPr>
        <w:t xml:space="preserve">; thus allowing us to reach its breakdown to each active site residue contribution. From this last structural information we were able to select P1 and P2 suitable fragments as building blocks for a Virtual Library (VL) of </w:t>
      </w:r>
      <w:r w:rsidR="00EA5301" w:rsidRPr="009A0D0F">
        <w:rPr>
          <w:rFonts w:eastAsia="TimesNewRoman"/>
          <w:i/>
          <w:sz w:val="20"/>
          <w:szCs w:val="20"/>
          <w:lang w:val="en-US"/>
        </w:rPr>
        <w:t>pf</w:t>
      </w:r>
      <w:r w:rsidR="00EA5301" w:rsidRPr="00BF2DF4">
        <w:rPr>
          <w:rFonts w:eastAsia="TimesNewRoman"/>
          <w:sz w:val="20"/>
          <w:szCs w:val="20"/>
          <w:lang w:val="en-US"/>
        </w:rPr>
        <w:t>FP2 inhibitors. In order to prevent any toxicity issue and access good pharmacokinetic profile analogues, the VL was focused, prior to any screeni</w:t>
      </w:r>
      <w:r w:rsidR="00515653" w:rsidRPr="00BF2DF4">
        <w:rPr>
          <w:rFonts w:eastAsia="TimesNewRoman"/>
          <w:sz w:val="20"/>
          <w:szCs w:val="20"/>
          <w:lang w:val="en-US"/>
        </w:rPr>
        <w:t>ng, to those compounds the ADME</w:t>
      </w:r>
      <w:r w:rsidR="00EA5301" w:rsidRPr="00BF2DF4">
        <w:rPr>
          <w:rFonts w:eastAsia="TimesNewRoman"/>
          <w:sz w:val="20"/>
          <w:szCs w:val="20"/>
          <w:lang w:val="en-US"/>
        </w:rPr>
        <w:t xml:space="preserve"> of which has 0 property descriptors that fall outside the range of values determined for 95% of known drugs out of 24 selected descr</w:t>
      </w:r>
      <w:bookmarkStart w:id="6" w:name="_Ref145001275"/>
      <w:r w:rsidR="003D3FE6">
        <w:rPr>
          <w:rFonts w:eastAsia="TimesNewRoman"/>
          <w:sz w:val="20"/>
          <w:szCs w:val="20"/>
          <w:lang w:val="en-US"/>
        </w:rPr>
        <w:t>iptors computed by the QikProp</w:t>
      </w:r>
      <w:r w:rsidR="00EA5301" w:rsidRPr="003D3FE6">
        <w:rPr>
          <w:rFonts w:eastAsia="TimesNewRoman"/>
          <w:b/>
          <w:color w:val="8DB3E2" w:themeColor="text2" w:themeTint="66"/>
          <w:sz w:val="20"/>
          <w:szCs w:val="20"/>
          <w:vertAlign w:val="superscript"/>
          <w:lang w:val="en-US"/>
        </w:rPr>
        <w:endnoteReference w:id="27"/>
      </w:r>
      <w:bookmarkEnd w:id="6"/>
      <w:r w:rsidR="00EA5301" w:rsidRPr="00BF2DF4">
        <w:rPr>
          <w:rFonts w:eastAsia="TimesNewRoman"/>
          <w:sz w:val="20"/>
          <w:szCs w:val="20"/>
          <w:lang w:val="en-US"/>
        </w:rPr>
        <w:t>.The predictability of the obtained QSAR models of inhibitor-enzyme binding cross-checked with a PH4 3D-QSAR pharmacophore model was used to screen the VL. The best Hit Fits from the PH4-based virtual screening of the VL have been in silico MM-PB evaluated to yield a predicted inhibitory activity reaching the picomolar range for the most potent analogues.</w:t>
      </w:r>
    </w:p>
    <w:p w:rsidR="00AA65E8" w:rsidRDefault="00AA65E8" w:rsidP="007F29AC">
      <w:pPr>
        <w:jc w:val="both"/>
        <w:rPr>
          <w:rFonts w:eastAsia="TimesNewRoman"/>
          <w:lang w:eastAsia="en-GB"/>
        </w:rPr>
      </w:pPr>
    </w:p>
    <w:p w:rsidR="00817656" w:rsidRPr="00AA65E8" w:rsidRDefault="00817656" w:rsidP="00817656">
      <w:pPr>
        <w:pStyle w:val="AbstHead"/>
        <w:spacing w:after="0"/>
        <w:jc w:val="both"/>
        <w:rPr>
          <w:rFonts w:ascii="Times New Roman" w:hAnsi="Times New Roman"/>
          <w:sz w:val="20"/>
        </w:rPr>
      </w:pPr>
      <w:r w:rsidRPr="00AA65E8">
        <w:rPr>
          <w:rFonts w:ascii="Times New Roman" w:hAnsi="Times New Roman"/>
          <w:sz w:val="20"/>
        </w:rPr>
        <w:t xml:space="preserve">material and methods </w:t>
      </w:r>
    </w:p>
    <w:p w:rsidR="00817656" w:rsidRPr="00AA65E8" w:rsidRDefault="00817656" w:rsidP="00504E67">
      <w:pPr>
        <w:pStyle w:val="Body"/>
        <w:spacing w:before="120" w:after="0"/>
        <w:jc w:val="left"/>
        <w:rPr>
          <w:rFonts w:ascii="Times New Roman" w:hAnsi="Times New Roman"/>
          <w:b/>
        </w:rPr>
      </w:pPr>
      <w:r w:rsidRPr="00AA65E8">
        <w:rPr>
          <w:rFonts w:ascii="Times New Roman" w:hAnsi="Times New Roman"/>
          <w:b/>
        </w:rPr>
        <w:t>Training and validation set</w:t>
      </w:r>
    </w:p>
    <w:p w:rsidR="00817656" w:rsidRPr="00AA65E8" w:rsidRDefault="00817656" w:rsidP="00817656">
      <w:pPr>
        <w:pStyle w:val="Body"/>
        <w:spacing w:after="0"/>
        <w:rPr>
          <w:rFonts w:ascii="Times New Roman" w:hAnsi="Times New Roman"/>
          <w:b/>
        </w:rPr>
      </w:pPr>
      <w:r w:rsidRPr="00AA65E8">
        <w:rPr>
          <w:rFonts w:ascii="Times New Roman" w:hAnsi="Times New Roman"/>
        </w:rPr>
        <w:t xml:space="preserve">The chemical structures of the class of 5-substituted-2-cyanopyrimidines well known </w:t>
      </w:r>
      <w:r w:rsidR="00907C4D">
        <w:rPr>
          <w:rFonts w:ascii="Times New Roman" w:hAnsi="Times New Roman"/>
        </w:rPr>
        <w:t>as</w:t>
      </w:r>
      <w:r w:rsidRPr="00AA65E8">
        <w:rPr>
          <w:rFonts w:ascii="Times New Roman" w:hAnsi="Times New Roman"/>
        </w:rPr>
        <w:t xml:space="preserve"> carbonitriles pyrimidine (CNP) and their experimental biological activities </w:t>
      </w:r>
      <m:oMath>
        <m:sSubSup>
          <m:sSubSupPr>
            <m:ctrlPr>
              <w:rPr>
                <w:rFonts w:ascii="Cambria Math" w:hAnsi="Cambria Math"/>
                <w:bCs/>
                <w:color w:val="000000"/>
                <w:vertAlign w:val="superscript"/>
                <w:lang w:eastAsia="fr-FR"/>
              </w:rPr>
            </m:ctrlPr>
          </m:sSubSupPr>
          <m:e>
            <m:r>
              <m:rPr>
                <m:sty m:val="p"/>
              </m:rPr>
              <w:rPr>
                <w:rFonts w:ascii="Cambria Math" w:hAnsi="Cambria Math"/>
                <w:color w:val="000000"/>
                <w:vertAlign w:val="superscript"/>
                <w:lang w:eastAsia="fr-FR"/>
              </w:rPr>
              <m:t>IC</m:t>
            </m:r>
          </m:e>
          <m:sub>
            <m:r>
              <m:rPr>
                <m:sty m:val="p"/>
              </m:rPr>
              <w:rPr>
                <w:rFonts w:ascii="Cambria Math" w:hAnsi="Cambria Math"/>
                <w:color w:val="000000"/>
                <w:vertAlign w:val="superscript"/>
                <w:lang w:eastAsia="fr-FR"/>
              </w:rPr>
              <m:t>50</m:t>
            </m:r>
          </m:sub>
          <m:sup>
            <m:r>
              <m:rPr>
                <m:sty m:val="p"/>
              </m:rPr>
              <w:rPr>
                <w:rFonts w:ascii="Cambria Math" w:hAnsi="Cambria Math"/>
                <w:color w:val="000000"/>
                <w:vertAlign w:val="superscript"/>
                <w:lang w:eastAsia="fr-FR"/>
              </w:rPr>
              <m:t>exp</m:t>
            </m:r>
          </m:sup>
        </m:sSubSup>
      </m:oMath>
      <w:r w:rsidR="00907C4D">
        <w:rPr>
          <w:rFonts w:ascii="Times New Roman" w:hAnsi="Times New Roman"/>
        </w:rPr>
        <w:t xml:space="preserve">in </w:t>
      </w:r>
      <w:r w:rsidRPr="00AA65E8">
        <w:rPr>
          <w:rFonts w:ascii="Times New Roman" w:hAnsi="Times New Roman"/>
        </w:rPr>
        <w:t>the training and validation set</w:t>
      </w:r>
      <w:r w:rsidR="00907C4D">
        <w:rPr>
          <w:rFonts w:ascii="Times New Roman" w:hAnsi="Times New Roman"/>
        </w:rPr>
        <w:t>s</w:t>
      </w:r>
      <w:r w:rsidRPr="00AA65E8">
        <w:rPr>
          <w:rFonts w:ascii="Times New Roman" w:hAnsi="Times New Roman"/>
        </w:rPr>
        <w:t xml:space="preserve"> used in this work have </w:t>
      </w:r>
      <w:r w:rsidR="003D3FE6">
        <w:rPr>
          <w:rFonts w:ascii="Times New Roman" w:hAnsi="Times New Roman"/>
        </w:rPr>
        <w:t>been taken from the literature</w:t>
      </w:r>
      <w:fldSimple w:instr=" NOTEREF _Ref144976154 \h  \* MERGEFORMAT ">
        <w:r w:rsidRPr="003D3FE6">
          <w:rPr>
            <w:rFonts w:ascii="Times New Roman" w:hAnsi="Times New Roman"/>
            <w:b/>
            <w:color w:val="8DB3E2" w:themeColor="text2" w:themeTint="66"/>
            <w:vertAlign w:val="superscript"/>
          </w:rPr>
          <w:t>20</w:t>
        </w:r>
      </w:fldSimple>
      <w:r w:rsidRPr="00AA65E8">
        <w:rPr>
          <w:rFonts w:ascii="Times New Roman" w:hAnsi="Times New Roman"/>
        </w:rPr>
        <w:t>. The</w:t>
      </w:r>
      <w:r w:rsidR="00907C4D">
        <w:rPr>
          <w:rFonts w:ascii="Times New Roman" w:hAnsi="Times New Roman"/>
        </w:rPr>
        <w:t>ir</w:t>
      </w:r>
      <w:r w:rsidRPr="00AA65E8">
        <w:rPr>
          <w:rFonts w:ascii="Times New Roman" w:hAnsi="Times New Roman"/>
        </w:rPr>
        <w:t xml:space="preserve"> activities cover a sufficiently wide range of activity to allow the construction of a reliable QSAR model. The </w:t>
      </w:r>
      <w:r w:rsidR="00907C4D">
        <w:rPr>
          <w:rFonts w:ascii="Times New Roman" w:hAnsi="Times New Roman"/>
        </w:rPr>
        <w:t>TS</w:t>
      </w:r>
      <w:r w:rsidRPr="00AA65E8">
        <w:rPr>
          <w:rFonts w:ascii="Times New Roman" w:hAnsi="Times New Roman"/>
        </w:rPr>
        <w:t xml:space="preserve"> containing 12 CNP ligands and the </w:t>
      </w:r>
      <w:r w:rsidR="00907C4D">
        <w:rPr>
          <w:rFonts w:ascii="Times New Roman" w:hAnsi="Times New Roman"/>
        </w:rPr>
        <w:t>VS</w:t>
      </w:r>
      <w:r w:rsidR="003D3FE6">
        <w:rPr>
          <w:rFonts w:ascii="Times New Roman" w:hAnsi="Times New Roman"/>
        </w:rPr>
        <w:t>3 CNP taken from the reference</w:t>
      </w:r>
      <w:fldSimple w:instr=" NOTEREF _Ref144976154 \h  \* MERGEFORMAT ">
        <w:r w:rsidRPr="003D3FE6">
          <w:rPr>
            <w:rFonts w:ascii="Times New Roman" w:hAnsi="Times New Roman"/>
            <w:b/>
            <w:color w:val="8DB3E2" w:themeColor="text2" w:themeTint="66"/>
            <w:vertAlign w:val="superscript"/>
          </w:rPr>
          <w:t>20</w:t>
        </w:r>
      </w:fldSimple>
      <w:r w:rsidRPr="00AA65E8">
        <w:rPr>
          <w:rFonts w:ascii="Times New Roman" w:hAnsi="Times New Roman"/>
        </w:rPr>
        <w:t xml:space="preserve">. </w:t>
      </w:r>
    </w:p>
    <w:p w:rsidR="00C40C70" w:rsidRPr="00504E67" w:rsidRDefault="00817656" w:rsidP="00504E67">
      <w:pPr>
        <w:pStyle w:val="Body"/>
        <w:spacing w:before="120" w:after="0"/>
        <w:jc w:val="left"/>
        <w:rPr>
          <w:rFonts w:ascii="Times New Roman" w:hAnsi="Times New Roman"/>
          <w:b/>
        </w:rPr>
      </w:pPr>
      <w:r w:rsidRPr="00504E67">
        <w:rPr>
          <w:rFonts w:ascii="Times New Roman" w:hAnsi="Times New Roman"/>
          <w:b/>
        </w:rPr>
        <w:t>Model building and calculation of binding affinity</w:t>
      </w:r>
    </w:p>
    <w:p w:rsidR="00817656" w:rsidRPr="00AA65E8" w:rsidRDefault="00817656" w:rsidP="00817656">
      <w:pPr>
        <w:pStyle w:val="Body"/>
        <w:spacing w:after="0"/>
        <w:rPr>
          <w:rFonts w:ascii="Times New Roman" w:hAnsi="Times New Roman"/>
        </w:rPr>
      </w:pPr>
      <w:r w:rsidRPr="00AA65E8">
        <w:rPr>
          <w:rFonts w:ascii="Times New Roman" w:hAnsi="Times New Roman"/>
          <w:bCs/>
        </w:rPr>
        <w:t xml:space="preserve">No crystallographic structures of the FP2-CNP complexes exist. </w:t>
      </w:r>
      <w:r w:rsidR="00C40C70">
        <w:rPr>
          <w:rFonts w:ascii="Times New Roman" w:hAnsi="Times New Roman"/>
          <w:bCs/>
        </w:rPr>
        <w:t>T</w:t>
      </w:r>
      <w:r w:rsidRPr="00AA65E8">
        <w:rPr>
          <w:rFonts w:ascii="Times New Roman" w:hAnsi="Times New Roman"/>
          <w:bCs/>
        </w:rPr>
        <w:t>he FP2:</w:t>
      </w:r>
      <w:r w:rsidR="00C40C70">
        <w:rPr>
          <w:rFonts w:ascii="Times New Roman" w:hAnsi="Times New Roman"/>
          <w:bCs/>
        </w:rPr>
        <w:t>CNP</w:t>
      </w:r>
      <w:r w:rsidRPr="00AA65E8">
        <w:rPr>
          <w:rFonts w:ascii="Times New Roman" w:hAnsi="Times New Roman"/>
          <w:bCs/>
        </w:rPr>
        <w:t xml:space="preserve"> complexes </w:t>
      </w:r>
      <w:r w:rsidR="00C40C70">
        <w:rPr>
          <w:rFonts w:ascii="Times New Roman" w:hAnsi="Times New Roman"/>
          <w:bCs/>
        </w:rPr>
        <w:t xml:space="preserve">were built </w:t>
      </w:r>
      <w:r w:rsidRPr="00AA65E8">
        <w:rPr>
          <w:rFonts w:ascii="Times New Roman" w:hAnsi="Times New Roman"/>
          <w:bCs/>
        </w:rPr>
        <w:t xml:space="preserve">by </w:t>
      </w:r>
      <w:r w:rsidRPr="00C40C70">
        <w:rPr>
          <w:rFonts w:ascii="Times New Roman" w:hAnsi="Times New Roman"/>
          <w:bCs/>
          <w:i/>
        </w:rPr>
        <w:t>in situ</w:t>
      </w:r>
      <w:r w:rsidR="00F33BA7">
        <w:rPr>
          <w:rFonts w:ascii="Times New Roman" w:hAnsi="Times New Roman"/>
          <w:bCs/>
        </w:rPr>
        <w:t>modify-</w:t>
      </w:r>
      <w:r w:rsidRPr="00AA65E8">
        <w:rPr>
          <w:rFonts w:ascii="Times New Roman" w:hAnsi="Times New Roman"/>
          <w:bCs/>
        </w:rPr>
        <w:t>cation of the high-resolution crystallographic structure of the reference complex FP2:E64 (PDB code 3BPF</w:t>
      </w:r>
      <w:r w:rsidR="00C40C70">
        <w:rPr>
          <w:rFonts w:ascii="Times New Roman" w:hAnsi="Times New Roman"/>
          <w:bCs/>
        </w:rPr>
        <w:t xml:space="preserve"> at a resolution of </w:t>
      </w:r>
      <w:r w:rsidR="00F33BA7" w:rsidRPr="003D3FE6">
        <w:rPr>
          <w:rFonts w:ascii="Times New Roman" w:hAnsi="Times New Roman"/>
          <w:bCs/>
        </w:rPr>
        <w:t>2.90</w:t>
      </w:r>
      <w:r w:rsidR="00C40C70" w:rsidRPr="003D3FE6">
        <w:rPr>
          <w:rFonts w:ascii="Times New Roman" w:hAnsi="Times New Roman"/>
          <w:bCs/>
        </w:rPr>
        <w:t> Å</w:t>
      </w:r>
      <w:r w:rsidR="008E032B">
        <w:rPr>
          <w:rFonts w:ascii="Times New Roman" w:hAnsi="Times New Roman"/>
          <w:bCs/>
        </w:rPr>
        <w:t>)</w:t>
      </w:r>
      <w:r w:rsidRPr="00AA65E8">
        <w:rPr>
          <w:rFonts w:ascii="Times New Roman" w:hAnsi="Times New Roman"/>
          <w:bCs/>
        </w:rPr>
        <w:t xml:space="preserve"> using the Insight-II 2</w:t>
      </w:r>
      <w:r w:rsidR="003D3FE6">
        <w:rPr>
          <w:rFonts w:ascii="Times New Roman" w:hAnsi="Times New Roman"/>
          <w:bCs/>
        </w:rPr>
        <w:t>005 Molecular Modeling program</w:t>
      </w:r>
      <w:r w:rsidRPr="003D3FE6">
        <w:rPr>
          <w:rStyle w:val="EndnoteReference"/>
          <w:rFonts w:ascii="Times New Roman" w:hAnsi="Times New Roman"/>
          <w:b/>
          <w:bCs/>
          <w:color w:val="8DB3E2" w:themeColor="text2" w:themeTint="66"/>
        </w:rPr>
        <w:endnoteReference w:id="28"/>
      </w:r>
      <w:r w:rsidRPr="00AA65E8">
        <w:rPr>
          <w:rFonts w:ascii="Times New Roman" w:hAnsi="Times New Roman"/>
          <w:bCs/>
        </w:rPr>
        <w:t>.The structures of the proteins and their comp</w:t>
      </w:r>
      <w:r w:rsidR="00F33BA7">
        <w:rPr>
          <w:rFonts w:ascii="Times New Roman" w:hAnsi="Times New Roman"/>
          <w:bCs/>
        </w:rPr>
        <w:t>-</w:t>
      </w:r>
      <w:r w:rsidRPr="00AA65E8">
        <w:rPr>
          <w:rFonts w:ascii="Times New Roman" w:hAnsi="Times New Roman"/>
          <w:bCs/>
        </w:rPr>
        <w:t>lexes were considered at a pH of 7 with neutral N- and C-terminal residues and all charged "protonable" and "ioni</w:t>
      </w:r>
      <w:r w:rsidR="00F33BA7">
        <w:rPr>
          <w:rFonts w:ascii="Times New Roman" w:hAnsi="Times New Roman"/>
          <w:bCs/>
        </w:rPr>
        <w:t>-</w:t>
      </w:r>
      <w:r w:rsidRPr="00AA65E8">
        <w:rPr>
          <w:rFonts w:ascii="Times New Roman" w:hAnsi="Times New Roman"/>
          <w:bCs/>
        </w:rPr>
        <w:t>zable" residues. No water molecules from the crystallogra</w:t>
      </w:r>
      <w:r w:rsidR="00F33BA7">
        <w:rPr>
          <w:rFonts w:ascii="Times New Roman" w:hAnsi="Times New Roman"/>
          <w:bCs/>
        </w:rPr>
        <w:t>-</w:t>
      </w:r>
      <w:r w:rsidRPr="00AA65E8">
        <w:rPr>
          <w:rFonts w:ascii="Times New Roman" w:hAnsi="Times New Roman"/>
          <w:bCs/>
        </w:rPr>
        <w:t xml:space="preserve">phic structure were </w:t>
      </w:r>
      <w:r w:rsidR="00C40C70">
        <w:rPr>
          <w:rFonts w:ascii="Times New Roman" w:hAnsi="Times New Roman"/>
          <w:bCs/>
        </w:rPr>
        <w:t>kept</w:t>
      </w:r>
      <w:r w:rsidRPr="00AA65E8">
        <w:rPr>
          <w:rFonts w:ascii="Times New Roman" w:hAnsi="Times New Roman"/>
          <w:bCs/>
        </w:rPr>
        <w:t xml:space="preserve"> in the model. An exhaustive confor</w:t>
      </w:r>
      <w:r w:rsidR="00F33BA7">
        <w:rPr>
          <w:rFonts w:ascii="Times New Roman" w:hAnsi="Times New Roman"/>
          <w:bCs/>
        </w:rPr>
        <w:t>-</w:t>
      </w:r>
      <w:r w:rsidRPr="00AA65E8">
        <w:rPr>
          <w:rFonts w:ascii="Times New Roman" w:hAnsi="Times New Roman"/>
          <w:bCs/>
        </w:rPr>
        <w:t>mational search on all the single bonds of the newly created residues coupled with an energy minimization of the inhibi</w:t>
      </w:r>
      <w:r w:rsidR="00F33BA7">
        <w:rPr>
          <w:rFonts w:ascii="Times New Roman" w:hAnsi="Times New Roman"/>
          <w:bCs/>
        </w:rPr>
        <w:t>-</w:t>
      </w:r>
      <w:r w:rsidRPr="00AA65E8">
        <w:rPr>
          <w:rFonts w:ascii="Times New Roman" w:hAnsi="Times New Roman"/>
          <w:bCs/>
        </w:rPr>
        <w:t>tor and the active site of the protein was necessary to identify the lowest energy bound conformation of the modified inhi</w:t>
      </w:r>
      <w:r w:rsidR="00F33BA7">
        <w:rPr>
          <w:rFonts w:ascii="Times New Roman" w:hAnsi="Times New Roman"/>
          <w:bCs/>
        </w:rPr>
        <w:t>-</w:t>
      </w:r>
      <w:r w:rsidRPr="00AA65E8">
        <w:rPr>
          <w:rFonts w:ascii="Times New Roman" w:hAnsi="Times New Roman"/>
          <w:bCs/>
        </w:rPr>
        <w:t xml:space="preserve">bitor. The low-energy structure of the complex thus obtained is carefully optimized by minimizing the entire complex. In practice, the </w:t>
      </w:r>
      <w:r w:rsidRPr="0057008E">
        <w:rPr>
          <w:rFonts w:ascii="Times New Roman" w:hAnsi="Times New Roman"/>
          <w:bCs/>
          <w:i/>
        </w:rPr>
        <w:t>insitu</w:t>
      </w:r>
      <w:r w:rsidRPr="00AA65E8">
        <w:rPr>
          <w:rFonts w:ascii="Times New Roman" w:hAnsi="Times New Roman"/>
          <w:bCs/>
        </w:rPr>
        <w:t xml:space="preserve"> modifications generate variations in the torsion angles and the bond angles of the ligand substituents. Then, in order to avoid steric </w:t>
      </w:r>
      <w:r w:rsidR="0057008E">
        <w:rPr>
          <w:rFonts w:ascii="Times New Roman" w:hAnsi="Times New Roman"/>
          <w:bCs/>
        </w:rPr>
        <w:t>bumps</w:t>
      </w:r>
      <w:r w:rsidRPr="00AA65E8">
        <w:rPr>
          <w:rFonts w:ascii="Times New Roman" w:hAnsi="Times New Roman"/>
          <w:bCs/>
        </w:rPr>
        <w:t xml:space="preserve"> and to take into account the flexibility of the lateral chains of the residues of the active site of the ligand receptor, a local minimization is carried out (within a radius of 5 Angstroms around the current modification), followed by a global minimization of the receptor-ligand complex to obtain stable structure. The complete description of the computation of relative ligand binding affinity (ΔΔG</w:t>
      </w:r>
      <w:r w:rsidRPr="00817656">
        <w:rPr>
          <w:rFonts w:ascii="Times New Roman" w:hAnsi="Times New Roman"/>
          <w:bCs/>
          <w:vertAlign w:val="subscript"/>
        </w:rPr>
        <w:t>com</w:t>
      </w:r>
      <w:r w:rsidR="003D3FE6">
        <w:rPr>
          <w:rFonts w:ascii="Times New Roman" w:hAnsi="Times New Roman"/>
          <w:bCs/>
        </w:rPr>
        <w:t>) has been reported earlier</w:t>
      </w:r>
      <w:r w:rsidRPr="003D3FE6">
        <w:rPr>
          <w:rStyle w:val="EndnoteReference"/>
          <w:rFonts w:ascii="Times New Roman" w:hAnsi="Times New Roman"/>
          <w:b/>
          <w:bCs/>
          <w:color w:val="8DB3E2" w:themeColor="text2" w:themeTint="66"/>
        </w:rPr>
        <w:endnoteReference w:id="29"/>
      </w:r>
      <w:r w:rsidRPr="00AA65E8">
        <w:rPr>
          <w:rFonts w:ascii="Times New Roman" w:hAnsi="Times New Roman"/>
          <w:bCs/>
        </w:rPr>
        <w:t>.</w:t>
      </w:r>
    </w:p>
    <w:p w:rsidR="00817656" w:rsidRPr="00F33BA7" w:rsidRDefault="00817656" w:rsidP="009A0D0F">
      <w:pPr>
        <w:pStyle w:val="ListParagraph"/>
        <w:spacing w:before="60" w:after="60" w:line="276" w:lineRule="auto"/>
        <w:ind w:left="907" w:right="-34" w:hanging="907"/>
        <w:contextualSpacing w:val="0"/>
        <w:jc w:val="both"/>
        <w:rPr>
          <w:rFonts w:ascii="Times New Roman" w:hAnsi="Times New Roman" w:cs="Times New Roman"/>
          <w:bCs/>
          <w:sz w:val="20"/>
          <w:szCs w:val="20"/>
          <w:lang w:val="en-US"/>
        </w:rPr>
      </w:pPr>
      <w:r w:rsidRPr="00F33BA7">
        <w:rPr>
          <w:rStyle w:val="A1"/>
          <w:rFonts w:ascii="Times New Roman" w:hAnsi="Times New Roman" w:cs="Times New Roman"/>
          <w:sz w:val="20"/>
          <w:szCs w:val="20"/>
        </w:rPr>
        <w:t>ΔΔ</w:t>
      </w:r>
      <w:r w:rsidRPr="00F33BA7">
        <w:rPr>
          <w:rStyle w:val="A1"/>
          <w:rFonts w:ascii="Times New Roman" w:hAnsi="Times New Roman" w:cs="Times New Roman"/>
          <w:i/>
          <w:iCs/>
          <w:sz w:val="20"/>
          <w:szCs w:val="20"/>
          <w:lang w:val="en-US"/>
        </w:rPr>
        <w:t>G</w:t>
      </w:r>
      <w:r w:rsidRPr="00F33BA7">
        <w:rPr>
          <w:rStyle w:val="A2"/>
          <w:rFonts w:ascii="Times New Roman" w:hAnsi="Times New Roman" w:cs="Times New Roman"/>
          <w:sz w:val="20"/>
          <w:szCs w:val="20"/>
          <w:vertAlign w:val="subscript"/>
          <w:lang w:val="en-US"/>
        </w:rPr>
        <w:t>com</w:t>
      </w:r>
      <w:r w:rsidR="00F33BA7">
        <w:rPr>
          <w:rStyle w:val="A1"/>
          <w:rFonts w:ascii="Times New Roman" w:hAnsi="Times New Roman" w:cs="Times New Roman"/>
          <w:sz w:val="20"/>
          <w:szCs w:val="20"/>
          <w:lang w:val="en-US"/>
        </w:rPr>
        <w:t>=</w:t>
      </w:r>
      <w:r w:rsidRPr="00F33BA7">
        <w:rPr>
          <w:rStyle w:val="A1"/>
          <w:rFonts w:ascii="Times New Roman" w:hAnsi="Times New Roman" w:cs="Times New Roman"/>
          <w:sz w:val="20"/>
          <w:szCs w:val="20"/>
        </w:rPr>
        <w:t>Δ</w:t>
      </w:r>
      <w:r w:rsidRPr="00F33BA7">
        <w:rPr>
          <w:rStyle w:val="A1"/>
          <w:rFonts w:ascii="Times New Roman" w:hAnsi="Times New Roman" w:cs="Times New Roman"/>
          <w:i/>
          <w:iCs/>
          <w:sz w:val="20"/>
          <w:szCs w:val="20"/>
          <w:lang w:val="en-US"/>
        </w:rPr>
        <w:t>G</w:t>
      </w:r>
      <w:r w:rsidRPr="00F33BA7">
        <w:rPr>
          <w:rStyle w:val="A2"/>
          <w:rFonts w:ascii="Times New Roman" w:hAnsi="Times New Roman" w:cs="Times New Roman"/>
          <w:sz w:val="20"/>
          <w:szCs w:val="20"/>
          <w:vertAlign w:val="subscript"/>
          <w:lang w:val="en-US"/>
        </w:rPr>
        <w:t>com</w:t>
      </w:r>
      <w:r w:rsidR="00F33BA7">
        <w:rPr>
          <w:rStyle w:val="A1"/>
          <w:rFonts w:ascii="Times New Roman" w:hAnsi="Times New Roman" w:cs="Times New Roman"/>
          <w:sz w:val="20"/>
          <w:szCs w:val="20"/>
          <w:lang w:val="en-US"/>
        </w:rPr>
        <w:t>(I)</w:t>
      </w:r>
      <w:r w:rsidRPr="00F33BA7">
        <w:rPr>
          <w:rStyle w:val="A1"/>
          <w:rFonts w:ascii="Times New Roman" w:hAnsi="Times New Roman" w:cs="Times New Roman"/>
          <w:sz w:val="20"/>
          <w:szCs w:val="20"/>
          <w:lang w:val="en-US"/>
        </w:rPr>
        <w:t>−</w:t>
      </w:r>
      <w:r w:rsidRPr="00F33BA7">
        <w:rPr>
          <w:rStyle w:val="A1"/>
          <w:rFonts w:ascii="Times New Roman" w:hAnsi="Times New Roman" w:cs="Times New Roman"/>
          <w:sz w:val="20"/>
          <w:szCs w:val="20"/>
        </w:rPr>
        <w:t>Δ</w:t>
      </w:r>
      <w:r w:rsidRPr="00F33BA7">
        <w:rPr>
          <w:rStyle w:val="A1"/>
          <w:rFonts w:ascii="Times New Roman" w:hAnsi="Times New Roman" w:cs="Times New Roman"/>
          <w:i/>
          <w:iCs/>
          <w:sz w:val="20"/>
          <w:szCs w:val="20"/>
          <w:lang w:val="en-US"/>
        </w:rPr>
        <w:t>G</w:t>
      </w:r>
      <w:r w:rsidRPr="00F33BA7">
        <w:rPr>
          <w:rStyle w:val="A2"/>
          <w:rFonts w:ascii="Times New Roman" w:hAnsi="Times New Roman" w:cs="Times New Roman"/>
          <w:sz w:val="20"/>
          <w:szCs w:val="20"/>
          <w:vertAlign w:val="subscript"/>
          <w:lang w:val="en-US"/>
        </w:rPr>
        <w:t>com</w:t>
      </w:r>
      <w:r w:rsidRPr="00F33BA7">
        <w:rPr>
          <w:rStyle w:val="A1"/>
          <w:rFonts w:ascii="Times New Roman" w:hAnsi="Times New Roman" w:cs="Times New Roman"/>
          <w:sz w:val="20"/>
          <w:szCs w:val="20"/>
          <w:lang w:val="en-US"/>
        </w:rPr>
        <w:t>(I</w:t>
      </w:r>
      <w:r w:rsidRPr="00F33BA7">
        <w:rPr>
          <w:rStyle w:val="A2"/>
          <w:rFonts w:ascii="Times New Roman" w:hAnsi="Times New Roman" w:cs="Times New Roman"/>
          <w:sz w:val="20"/>
          <w:szCs w:val="20"/>
          <w:vertAlign w:val="subscript"/>
          <w:lang w:val="en-US"/>
        </w:rPr>
        <w:t>ref</w:t>
      </w:r>
      <w:r w:rsidR="00F33BA7">
        <w:rPr>
          <w:rStyle w:val="A1"/>
          <w:rFonts w:ascii="Times New Roman" w:hAnsi="Times New Roman" w:cs="Times New Roman"/>
          <w:sz w:val="20"/>
          <w:szCs w:val="20"/>
          <w:lang w:val="en-US"/>
        </w:rPr>
        <w:t>)=</w:t>
      </w:r>
      <w:r w:rsidRPr="00F33BA7">
        <w:rPr>
          <w:rStyle w:val="A1"/>
          <w:rFonts w:ascii="Times New Roman" w:hAnsi="Times New Roman" w:cs="Times New Roman"/>
          <w:sz w:val="20"/>
          <w:szCs w:val="20"/>
        </w:rPr>
        <w:t>ΔΔ</w:t>
      </w:r>
      <w:r w:rsidRPr="00F33BA7">
        <w:rPr>
          <w:rStyle w:val="A1"/>
          <w:rFonts w:ascii="Times New Roman" w:hAnsi="Times New Roman" w:cs="Times New Roman"/>
          <w:i/>
          <w:iCs/>
          <w:sz w:val="20"/>
          <w:szCs w:val="20"/>
          <w:lang w:val="en-US"/>
        </w:rPr>
        <w:t>H</w:t>
      </w:r>
      <w:r w:rsidRPr="00F33BA7">
        <w:rPr>
          <w:rStyle w:val="A2"/>
          <w:rFonts w:ascii="Times New Roman" w:hAnsi="Times New Roman" w:cs="Times New Roman"/>
          <w:sz w:val="20"/>
          <w:szCs w:val="20"/>
          <w:vertAlign w:val="subscript"/>
          <w:lang w:val="en-US"/>
        </w:rPr>
        <w:t>MM</w:t>
      </w:r>
      <w:r w:rsidR="00F33BA7">
        <w:rPr>
          <w:rStyle w:val="A1"/>
          <w:rFonts w:ascii="Times New Roman" w:hAnsi="Times New Roman" w:cs="Times New Roman"/>
          <w:sz w:val="20"/>
          <w:szCs w:val="20"/>
          <w:lang w:val="en-US"/>
        </w:rPr>
        <w:t>–</w:t>
      </w:r>
      <w:r w:rsidRPr="00F33BA7">
        <w:rPr>
          <w:rStyle w:val="A1"/>
          <w:rFonts w:ascii="Times New Roman" w:hAnsi="Times New Roman" w:cs="Times New Roman"/>
          <w:sz w:val="20"/>
          <w:szCs w:val="20"/>
        </w:rPr>
        <w:t>ΔΔ</w:t>
      </w:r>
      <w:r w:rsidRPr="00F33BA7">
        <w:rPr>
          <w:rStyle w:val="A1"/>
          <w:rFonts w:ascii="Times New Roman" w:hAnsi="Times New Roman" w:cs="Times New Roman"/>
          <w:i/>
          <w:iCs/>
          <w:sz w:val="20"/>
          <w:szCs w:val="20"/>
          <w:lang w:val="en-US"/>
        </w:rPr>
        <w:t>TS</w:t>
      </w:r>
      <w:r w:rsidRPr="00F33BA7">
        <w:rPr>
          <w:rStyle w:val="A2"/>
          <w:rFonts w:ascii="Times New Roman" w:hAnsi="Times New Roman" w:cs="Times New Roman"/>
          <w:sz w:val="20"/>
          <w:szCs w:val="20"/>
          <w:vertAlign w:val="subscript"/>
          <w:lang w:val="en-US"/>
        </w:rPr>
        <w:t>vib</w:t>
      </w:r>
      <w:r w:rsidR="00F33BA7">
        <w:rPr>
          <w:rStyle w:val="A1"/>
          <w:rFonts w:ascii="Times New Roman" w:hAnsi="Times New Roman" w:cs="Times New Roman"/>
          <w:sz w:val="20"/>
          <w:szCs w:val="20"/>
          <w:lang w:val="en-US"/>
        </w:rPr>
        <w:t>+</w:t>
      </w:r>
      <w:r w:rsidRPr="00F33BA7">
        <w:rPr>
          <w:rStyle w:val="A1"/>
          <w:rFonts w:ascii="Times New Roman" w:hAnsi="Times New Roman" w:cs="Times New Roman"/>
          <w:sz w:val="20"/>
          <w:szCs w:val="20"/>
        </w:rPr>
        <w:t>ΔΔ</w:t>
      </w:r>
      <w:r w:rsidRPr="00F33BA7">
        <w:rPr>
          <w:rStyle w:val="A1"/>
          <w:rFonts w:ascii="Times New Roman" w:hAnsi="Times New Roman" w:cs="Times New Roman"/>
          <w:i/>
          <w:iCs/>
          <w:sz w:val="20"/>
          <w:szCs w:val="20"/>
          <w:lang w:val="en-US"/>
        </w:rPr>
        <w:t>G</w:t>
      </w:r>
      <w:r w:rsidRPr="00F33BA7">
        <w:rPr>
          <w:rStyle w:val="A2"/>
          <w:rFonts w:ascii="Times New Roman" w:hAnsi="Times New Roman" w:cs="Times New Roman"/>
          <w:sz w:val="20"/>
          <w:szCs w:val="20"/>
          <w:vertAlign w:val="subscript"/>
          <w:lang w:val="en-US"/>
        </w:rPr>
        <w:t>sol</w:t>
      </w:r>
      <w:r w:rsidR="00F33BA7">
        <w:rPr>
          <w:rStyle w:val="A1"/>
          <w:rFonts w:ascii="Times New Roman" w:hAnsi="Times New Roman" w:cs="Times New Roman"/>
          <w:sz w:val="20"/>
          <w:szCs w:val="20"/>
          <w:lang w:val="en-US"/>
        </w:rPr>
        <w:t>(1)</w:t>
      </w:r>
    </w:p>
    <w:p w:rsidR="00817656" w:rsidRDefault="00817656" w:rsidP="00504E67">
      <w:pPr>
        <w:pStyle w:val="ListParagraph"/>
        <w:spacing w:after="0" w:line="240" w:lineRule="auto"/>
        <w:ind w:left="0"/>
        <w:contextualSpacing w:val="0"/>
        <w:jc w:val="both"/>
        <w:rPr>
          <w:rStyle w:val="A1"/>
          <w:rFonts w:ascii="Times New Roman" w:hAnsi="Times New Roman" w:cs="Times New Roman"/>
          <w:sz w:val="20"/>
          <w:szCs w:val="20"/>
          <w:lang w:val="en-US"/>
        </w:rPr>
      </w:pPr>
      <w:r w:rsidRPr="00AA65E8">
        <w:rPr>
          <w:rStyle w:val="A1"/>
          <w:rFonts w:ascii="Times New Roman" w:hAnsi="Times New Roman" w:cs="Times New Roman"/>
          <w:sz w:val="20"/>
          <w:szCs w:val="20"/>
        </w:rPr>
        <w:lastRenderedPageBreak/>
        <w:t>ΔΔ</w:t>
      </w:r>
      <w:r w:rsidRPr="00AA65E8">
        <w:rPr>
          <w:rStyle w:val="A1"/>
          <w:rFonts w:ascii="Times New Roman" w:hAnsi="Times New Roman" w:cs="Times New Roman"/>
          <w:i/>
          <w:iCs/>
          <w:sz w:val="20"/>
          <w:szCs w:val="20"/>
          <w:lang w:val="en-US"/>
        </w:rPr>
        <w:t>H</w:t>
      </w:r>
      <w:r w:rsidRPr="00AA65E8">
        <w:rPr>
          <w:rStyle w:val="A2"/>
          <w:rFonts w:ascii="Times New Roman" w:hAnsi="Times New Roman" w:cs="Times New Roman"/>
          <w:sz w:val="20"/>
          <w:szCs w:val="20"/>
          <w:vertAlign w:val="subscript"/>
          <w:lang w:val="en-US"/>
        </w:rPr>
        <w:t>MM</w:t>
      </w:r>
      <w:r w:rsidRPr="00AA65E8">
        <w:rPr>
          <w:rStyle w:val="A1"/>
          <w:rFonts w:ascii="Times New Roman" w:hAnsi="Times New Roman" w:cs="Times New Roman"/>
          <w:sz w:val="20"/>
          <w:szCs w:val="20"/>
          <w:lang w:val="en-US"/>
        </w:rPr>
        <w:t xml:space="preserve">describes the relative enthalpic contribution to the GFE change related to the intermolecular interactions in E:I complex derived by molecular mechanics (MM), </w:t>
      </w:r>
      <w:r w:rsidRPr="00AA65E8">
        <w:rPr>
          <w:rStyle w:val="A1"/>
          <w:rFonts w:ascii="Times New Roman" w:hAnsi="Times New Roman" w:cs="Times New Roman"/>
          <w:sz w:val="20"/>
          <w:szCs w:val="20"/>
        </w:rPr>
        <w:t>ΔΔ</w:t>
      </w:r>
      <w:r w:rsidRPr="00AA65E8">
        <w:rPr>
          <w:rStyle w:val="A1"/>
          <w:rFonts w:ascii="Times New Roman" w:hAnsi="Times New Roman" w:cs="Times New Roman"/>
          <w:i/>
          <w:iCs/>
          <w:sz w:val="20"/>
          <w:szCs w:val="20"/>
          <w:lang w:val="en-US"/>
        </w:rPr>
        <w:t>G</w:t>
      </w:r>
      <w:r w:rsidRPr="00817656">
        <w:rPr>
          <w:rStyle w:val="A2"/>
          <w:rFonts w:ascii="Times New Roman" w:hAnsi="Times New Roman" w:cs="Times New Roman"/>
          <w:sz w:val="20"/>
          <w:szCs w:val="20"/>
          <w:vertAlign w:val="subscript"/>
          <w:lang w:val="en-US"/>
        </w:rPr>
        <w:t>sol</w:t>
      </w:r>
      <w:r w:rsidRPr="00AA65E8">
        <w:rPr>
          <w:rStyle w:val="A1"/>
          <w:rFonts w:ascii="Times New Roman" w:hAnsi="Times New Roman" w:cs="Times New Roman"/>
          <w:sz w:val="20"/>
          <w:szCs w:val="20"/>
          <w:lang w:val="en-US"/>
        </w:rPr>
        <w:t xml:space="preserve">and </w:t>
      </w:r>
      <w:r w:rsidRPr="00AA65E8">
        <w:rPr>
          <w:rStyle w:val="A1"/>
          <w:rFonts w:ascii="Times New Roman" w:hAnsi="Times New Roman" w:cs="Times New Roman"/>
          <w:sz w:val="20"/>
          <w:szCs w:val="20"/>
        </w:rPr>
        <w:t>ΔΔ</w:t>
      </w:r>
      <w:r w:rsidRPr="00AA65E8">
        <w:rPr>
          <w:rStyle w:val="A1"/>
          <w:rFonts w:ascii="Times New Roman" w:hAnsi="Times New Roman" w:cs="Times New Roman"/>
          <w:i/>
          <w:iCs/>
          <w:sz w:val="20"/>
          <w:szCs w:val="20"/>
          <w:lang w:val="en-US"/>
        </w:rPr>
        <w:t>TS</w:t>
      </w:r>
      <w:r w:rsidRPr="00817656">
        <w:rPr>
          <w:rStyle w:val="A2"/>
          <w:rFonts w:ascii="Times New Roman" w:hAnsi="Times New Roman" w:cs="Times New Roman"/>
          <w:sz w:val="20"/>
          <w:szCs w:val="20"/>
          <w:vertAlign w:val="subscript"/>
          <w:lang w:val="en-US"/>
        </w:rPr>
        <w:t>vib</w:t>
      </w:r>
      <w:r w:rsidRPr="00AA65E8">
        <w:rPr>
          <w:rStyle w:val="A1"/>
          <w:rFonts w:ascii="Times New Roman" w:hAnsi="Times New Roman" w:cs="Times New Roman"/>
          <w:sz w:val="20"/>
          <w:szCs w:val="20"/>
          <w:lang w:val="en-US"/>
        </w:rPr>
        <w:t>represent, respectively, the relative solvation GFE and simplified relative vibrational entropy.</w:t>
      </w:r>
    </w:p>
    <w:p w:rsidR="0057008E" w:rsidRDefault="00817656" w:rsidP="00504E67">
      <w:pPr>
        <w:pStyle w:val="Body"/>
        <w:spacing w:before="120" w:after="0"/>
        <w:jc w:val="left"/>
        <w:rPr>
          <w:rFonts w:ascii="Times New Roman" w:hAnsi="Times New Roman"/>
          <w:b/>
        </w:rPr>
      </w:pPr>
      <w:r w:rsidRPr="00AA65E8">
        <w:rPr>
          <w:rFonts w:ascii="Times New Roman" w:hAnsi="Times New Roman"/>
          <w:b/>
          <w:bCs/>
        </w:rPr>
        <w:t xml:space="preserve">Molecular </w:t>
      </w:r>
      <w:r w:rsidRPr="00504E67">
        <w:rPr>
          <w:rFonts w:ascii="Times New Roman" w:hAnsi="Times New Roman"/>
          <w:b/>
        </w:rPr>
        <w:t>mechanic</w:t>
      </w:r>
      <w:r w:rsidR="002411D9" w:rsidRPr="00504E67">
        <w:rPr>
          <w:rFonts w:ascii="Times New Roman" w:hAnsi="Times New Roman"/>
          <w:b/>
        </w:rPr>
        <w:t>s</w:t>
      </w:r>
    </w:p>
    <w:p w:rsidR="00817656" w:rsidRPr="00AA65E8" w:rsidRDefault="00817656" w:rsidP="009E3E56">
      <w:pPr>
        <w:pStyle w:val="ListParagraph"/>
        <w:keepNext/>
        <w:spacing w:line="240" w:lineRule="auto"/>
        <w:ind w:left="0"/>
        <w:jc w:val="both"/>
        <w:rPr>
          <w:rFonts w:ascii="Times New Roman" w:hAnsi="Times New Roman" w:cs="Times New Roman"/>
          <w:color w:val="000000"/>
          <w:sz w:val="20"/>
          <w:szCs w:val="20"/>
          <w:lang w:val="en-US"/>
        </w:rPr>
      </w:pPr>
      <w:r w:rsidRPr="00AA65E8">
        <w:rPr>
          <w:rFonts w:ascii="Times New Roman" w:hAnsi="Times New Roman" w:cs="Times New Roman"/>
          <w:bCs/>
          <w:sz w:val="20"/>
          <w:szCs w:val="20"/>
          <w:lang w:val="en-US"/>
        </w:rPr>
        <w:t xml:space="preserve">Simulations of the inhibitors and their complexes models FP2-CNPx were carried out with all-atom </w:t>
      </w:r>
      <w:r w:rsidR="00F33BA7">
        <w:rPr>
          <w:rFonts w:ascii="Times New Roman" w:hAnsi="Times New Roman" w:cs="Times New Roman"/>
          <w:bCs/>
          <w:sz w:val="20"/>
          <w:szCs w:val="20"/>
          <w:lang w:val="en-US"/>
        </w:rPr>
        <w:t>represen</w:t>
      </w:r>
      <w:r w:rsidRPr="00AA65E8">
        <w:rPr>
          <w:rFonts w:ascii="Times New Roman" w:hAnsi="Times New Roman" w:cs="Times New Roman"/>
          <w:bCs/>
          <w:sz w:val="20"/>
          <w:szCs w:val="20"/>
          <w:lang w:val="en-US"/>
        </w:rPr>
        <w:t>tation using atomic and charge parameters of the class II consistent force field CFF</w:t>
      </w:r>
      <w:r w:rsidRPr="003D3FE6">
        <w:rPr>
          <w:rStyle w:val="EndnoteReference"/>
          <w:rFonts w:ascii="Times New Roman" w:hAnsi="Times New Roman" w:cs="Times New Roman"/>
          <w:b/>
          <w:bCs/>
          <w:color w:val="8DB3E2" w:themeColor="text2" w:themeTint="66"/>
          <w:sz w:val="20"/>
          <w:szCs w:val="20"/>
          <w:lang w:val="en-US"/>
        </w:rPr>
        <w:endnoteReference w:id="30"/>
      </w:r>
      <w:r w:rsidRPr="00AA65E8">
        <w:rPr>
          <w:rFonts w:ascii="Times New Roman" w:hAnsi="Times New Roman" w:cs="Times New Roman"/>
          <w:bCs/>
          <w:sz w:val="20"/>
          <w:szCs w:val="20"/>
          <w:lang w:val="en-US"/>
        </w:rPr>
        <w:t xml:space="preserve">. </w:t>
      </w:r>
      <w:r w:rsidR="009A0D0F">
        <w:rPr>
          <w:rFonts w:ascii="Times New Roman" w:hAnsi="Times New Roman" w:cs="Times New Roman"/>
          <w:bCs/>
          <w:sz w:val="20"/>
          <w:szCs w:val="20"/>
          <w:lang w:val="en-US"/>
        </w:rPr>
        <w:t>The</w:t>
      </w:r>
      <w:r w:rsidRPr="00AA65E8">
        <w:rPr>
          <w:rFonts w:ascii="Times New Roman" w:hAnsi="Times New Roman" w:cs="Times New Roman"/>
          <w:bCs/>
          <w:sz w:val="20"/>
          <w:szCs w:val="20"/>
          <w:lang w:val="en-US"/>
        </w:rPr>
        <w:t xml:space="preserve"> dielectric constant of </w:t>
      </w:r>
      <w:r w:rsidR="009A0D0F" w:rsidRPr="00AA65E8">
        <w:rPr>
          <w:rFonts w:ascii="Times New Roman" w:hAnsi="Times New Roman" w:cs="Times New Roman"/>
          <w:bCs/>
          <w:sz w:val="20"/>
          <w:szCs w:val="20"/>
          <w:lang w:val="en-US"/>
        </w:rPr>
        <w:t xml:space="preserve">was </w:t>
      </w:r>
      <w:r w:rsidR="009A0D0F">
        <w:rPr>
          <w:rFonts w:ascii="Times New Roman" w:hAnsi="Times New Roman" w:cs="Times New Roman"/>
          <w:bCs/>
          <w:sz w:val="20"/>
          <w:szCs w:val="20"/>
          <w:lang w:val="en-US"/>
        </w:rPr>
        <w:t xml:space="preserve">set to </w:t>
      </w:r>
      <w:r w:rsidRPr="00AA65E8">
        <w:rPr>
          <w:rFonts w:ascii="Times New Roman" w:hAnsi="Times New Roman" w:cs="Times New Roman"/>
          <w:bCs/>
          <w:sz w:val="20"/>
          <w:szCs w:val="20"/>
          <w:lang w:val="en-US"/>
        </w:rPr>
        <w:t>4 for all molecular mechanics calculations tak</w:t>
      </w:r>
      <w:r w:rsidR="009A0D0F">
        <w:rPr>
          <w:rFonts w:ascii="Times New Roman" w:hAnsi="Times New Roman" w:cs="Times New Roman"/>
          <w:bCs/>
          <w:sz w:val="20"/>
          <w:szCs w:val="20"/>
          <w:lang w:val="en-US"/>
        </w:rPr>
        <w:t>ing</w:t>
      </w:r>
      <w:r w:rsidRPr="00AA65E8">
        <w:rPr>
          <w:rFonts w:ascii="Times New Roman" w:hAnsi="Times New Roman" w:cs="Times New Roman"/>
          <w:bCs/>
          <w:sz w:val="20"/>
          <w:szCs w:val="20"/>
          <w:lang w:val="en-US"/>
        </w:rPr>
        <w:t xml:space="preserve"> account </w:t>
      </w:r>
      <w:r w:rsidR="009A0D0F">
        <w:rPr>
          <w:rFonts w:ascii="Times New Roman" w:hAnsi="Times New Roman" w:cs="Times New Roman"/>
          <w:bCs/>
          <w:sz w:val="20"/>
          <w:szCs w:val="20"/>
          <w:lang w:val="en-US"/>
        </w:rPr>
        <w:t xml:space="preserve">of </w:t>
      </w:r>
      <w:r w:rsidRPr="00AA65E8">
        <w:rPr>
          <w:rFonts w:ascii="Times New Roman" w:hAnsi="Times New Roman" w:cs="Times New Roman"/>
          <w:bCs/>
          <w:sz w:val="20"/>
          <w:szCs w:val="20"/>
          <w:lang w:val="en-US"/>
        </w:rPr>
        <w:t>the dielectric shielding effect in proteins. Minimizations of the E:I complexes, free E and I were carried out by relaxing the structures gradually, starting with added hydrogen atoms, then with residue side chain heavy atoms and by the protein backbone relaxation. In all the geometry optimiza</w:t>
      </w:r>
      <w:r w:rsidR="009A0D0F">
        <w:rPr>
          <w:rFonts w:ascii="Times New Roman" w:hAnsi="Times New Roman" w:cs="Times New Roman"/>
          <w:bCs/>
          <w:sz w:val="20"/>
          <w:szCs w:val="20"/>
          <w:lang w:val="en-US"/>
        </w:rPr>
        <w:t>-</w:t>
      </w:r>
      <w:r w:rsidRPr="00AA65E8">
        <w:rPr>
          <w:rFonts w:ascii="Times New Roman" w:hAnsi="Times New Roman" w:cs="Times New Roman"/>
          <w:bCs/>
          <w:sz w:val="20"/>
          <w:szCs w:val="20"/>
          <w:lang w:val="en-US"/>
        </w:rPr>
        <w:t>tions, a sufficient number of steepest descent and conjugate gradient iterative cycles were used with the convergence criterion for the average gradient set to 0.01</w:t>
      </w:r>
      <w:r w:rsidR="0057008E">
        <w:rPr>
          <w:rFonts w:ascii="Times New Roman" w:hAnsi="Times New Roman" w:cs="Times New Roman"/>
          <w:bCs/>
          <w:sz w:val="20"/>
          <w:szCs w:val="20"/>
          <w:lang w:val="en-US"/>
        </w:rPr>
        <w:t> </w:t>
      </w:r>
      <w:r w:rsidRPr="00AA65E8">
        <w:rPr>
          <w:rFonts w:ascii="Times New Roman" w:hAnsi="Times New Roman" w:cs="Times New Roman"/>
          <w:bCs/>
          <w:sz w:val="20"/>
          <w:szCs w:val="20"/>
          <w:lang w:val="en-US"/>
        </w:rPr>
        <w:t>kcal/molÅ</w:t>
      </w:r>
      <w:r w:rsidRPr="0057008E">
        <w:rPr>
          <w:rFonts w:ascii="Times New Roman" w:hAnsi="Times New Roman" w:cs="Times New Roman"/>
          <w:bCs/>
          <w:sz w:val="20"/>
          <w:szCs w:val="20"/>
          <w:vertAlign w:val="superscript"/>
          <w:lang w:val="en-US"/>
        </w:rPr>
        <w:t>−1</w:t>
      </w:r>
      <w:r w:rsidRPr="00AA65E8">
        <w:rPr>
          <w:rFonts w:ascii="Times New Roman" w:hAnsi="Times New Roman" w:cs="Times New Roman"/>
          <w:bCs/>
          <w:sz w:val="20"/>
          <w:szCs w:val="20"/>
          <w:lang w:val="en-US"/>
        </w:rPr>
        <w:t>.</w:t>
      </w:r>
    </w:p>
    <w:p w:rsidR="0057008E" w:rsidRDefault="00817656" w:rsidP="00504E67">
      <w:pPr>
        <w:pStyle w:val="Body"/>
        <w:spacing w:before="120" w:after="0"/>
        <w:jc w:val="left"/>
        <w:rPr>
          <w:rFonts w:ascii="Times New Roman" w:hAnsi="Times New Roman"/>
          <w:b/>
          <w:bCs/>
        </w:rPr>
      </w:pPr>
      <w:r w:rsidRPr="00504E67">
        <w:rPr>
          <w:rFonts w:ascii="Times New Roman" w:hAnsi="Times New Roman"/>
          <w:b/>
        </w:rPr>
        <w:t>Conformational</w:t>
      </w:r>
      <w:r w:rsidRPr="00AA65E8">
        <w:rPr>
          <w:rFonts w:ascii="Times New Roman" w:hAnsi="Times New Roman"/>
          <w:b/>
          <w:bCs/>
        </w:rPr>
        <w:t xml:space="preserve"> search</w:t>
      </w:r>
    </w:p>
    <w:p w:rsidR="00817656" w:rsidRPr="00AA65E8" w:rsidRDefault="00817656" w:rsidP="007F29AC">
      <w:pPr>
        <w:pStyle w:val="ListParagraph"/>
        <w:spacing w:line="240" w:lineRule="auto"/>
        <w:ind w:left="0"/>
        <w:jc w:val="both"/>
        <w:rPr>
          <w:rFonts w:ascii="Times New Roman" w:hAnsi="Times New Roman" w:cs="Times New Roman"/>
          <w:bCs/>
          <w:sz w:val="20"/>
          <w:szCs w:val="20"/>
          <w:lang w:val="en-US"/>
        </w:rPr>
      </w:pPr>
      <w:r w:rsidRPr="00AA65E8">
        <w:rPr>
          <w:rFonts w:ascii="Times New Roman" w:hAnsi="Times New Roman" w:cs="Times New Roman"/>
          <w:sz w:val="20"/>
          <w:szCs w:val="20"/>
          <w:lang w:val="en-US"/>
        </w:rPr>
        <w:t>Conformational research is a method for calculating the rela</w:t>
      </w:r>
      <w:r w:rsidR="00C44EC5">
        <w:rPr>
          <w:rFonts w:ascii="Times New Roman" w:hAnsi="Times New Roman" w:cs="Times New Roman"/>
          <w:sz w:val="20"/>
          <w:szCs w:val="20"/>
          <w:lang w:val="en-US"/>
        </w:rPr>
        <w:t>-</w:t>
      </w:r>
      <w:r w:rsidRPr="00AA65E8">
        <w:rPr>
          <w:rFonts w:ascii="Times New Roman" w:hAnsi="Times New Roman" w:cs="Times New Roman"/>
          <w:sz w:val="20"/>
          <w:szCs w:val="20"/>
          <w:lang w:val="en-US"/>
        </w:rPr>
        <w:t xml:space="preserve">tive energy associated with </w:t>
      </w:r>
      <w:bookmarkStart w:id="7" w:name="_Ref145002801"/>
      <w:r w:rsidR="003D3FE6">
        <w:rPr>
          <w:rFonts w:ascii="Times New Roman" w:hAnsi="Times New Roman" w:cs="Times New Roman"/>
          <w:sz w:val="20"/>
          <w:szCs w:val="20"/>
          <w:lang w:val="en-US"/>
        </w:rPr>
        <w:t>the conformation of a molecule</w:t>
      </w:r>
      <w:r w:rsidRPr="003D3FE6">
        <w:rPr>
          <w:rStyle w:val="EndnoteReference"/>
          <w:rFonts w:ascii="Times New Roman" w:hAnsi="Times New Roman" w:cs="Times New Roman"/>
          <w:b/>
          <w:color w:val="8DB3E2" w:themeColor="text2" w:themeTint="66"/>
          <w:sz w:val="20"/>
          <w:szCs w:val="20"/>
          <w:lang w:val="en-US"/>
        </w:rPr>
        <w:endnoteReference w:id="31"/>
      </w:r>
      <w:bookmarkEnd w:id="7"/>
      <w:r w:rsidRPr="00AA65E8">
        <w:rPr>
          <w:rFonts w:ascii="Times New Roman" w:hAnsi="Times New Roman" w:cs="Times New Roman"/>
          <w:sz w:val="20"/>
          <w:szCs w:val="20"/>
          <w:lang w:val="en-US"/>
        </w:rPr>
        <w:t>. Its aim is therefore to find the minimum possible and to calculate Boltzmann's population, which gives us infor</w:t>
      </w:r>
      <w:r w:rsidR="00C44EC5">
        <w:rPr>
          <w:rFonts w:ascii="Times New Roman" w:hAnsi="Times New Roman" w:cs="Times New Roman"/>
          <w:sz w:val="20"/>
          <w:szCs w:val="20"/>
          <w:lang w:val="en-US"/>
        </w:rPr>
        <w:t>-</w:t>
      </w:r>
      <w:r w:rsidRPr="00AA65E8">
        <w:rPr>
          <w:rFonts w:ascii="Times New Roman" w:hAnsi="Times New Roman" w:cs="Times New Roman"/>
          <w:sz w:val="20"/>
          <w:szCs w:val="20"/>
          <w:lang w:val="en-US"/>
        </w:rPr>
        <w:t>mation on the population of occupied levels at a given tem</w:t>
      </w:r>
      <w:r w:rsidR="003D3FE6">
        <w:rPr>
          <w:rFonts w:ascii="Times New Roman" w:hAnsi="Times New Roman" w:cs="Times New Roman"/>
          <w:sz w:val="20"/>
          <w:szCs w:val="20"/>
          <w:lang w:val="en-US"/>
        </w:rPr>
        <w:t>perature</w:t>
      </w:r>
      <w:r w:rsidRPr="003D3FE6">
        <w:rPr>
          <w:rStyle w:val="EndnoteReference"/>
          <w:rFonts w:ascii="Times New Roman" w:hAnsi="Times New Roman" w:cs="Times New Roman"/>
          <w:b/>
          <w:color w:val="8DB3E2" w:themeColor="text2" w:themeTint="66"/>
          <w:sz w:val="20"/>
          <w:szCs w:val="20"/>
          <w:lang w:val="en-US"/>
        </w:rPr>
        <w:endnoteReference w:id="32"/>
      </w:r>
      <w:r w:rsidRPr="00AA65E8">
        <w:rPr>
          <w:rFonts w:ascii="Times New Roman" w:hAnsi="Times New Roman" w:cs="Times New Roman"/>
          <w:sz w:val="20"/>
          <w:szCs w:val="20"/>
          <w:lang w:val="en-US"/>
        </w:rPr>
        <w:t>. This met</w:t>
      </w:r>
      <w:r w:rsidR="003D3FE6">
        <w:rPr>
          <w:rFonts w:ascii="Times New Roman" w:hAnsi="Times New Roman" w:cs="Times New Roman"/>
          <w:sz w:val="20"/>
          <w:szCs w:val="20"/>
          <w:lang w:val="en-US"/>
        </w:rPr>
        <w:t>hod has been described earlier</w:t>
      </w:r>
      <w:fldSimple w:instr=" NOTEREF _Ref144997725 \h  \* MERGEFORMAT ">
        <w:r w:rsidRPr="003D3FE6">
          <w:rPr>
            <w:rFonts w:ascii="Times New Roman" w:hAnsi="Times New Roman" w:cs="Times New Roman"/>
            <w:b/>
            <w:color w:val="8DB3E2" w:themeColor="text2" w:themeTint="66"/>
            <w:sz w:val="20"/>
            <w:szCs w:val="20"/>
            <w:vertAlign w:val="superscript"/>
            <w:lang w:val="en-US"/>
          </w:rPr>
          <w:t>25</w:t>
        </w:r>
      </w:fldSimple>
      <w:r w:rsidRPr="00AA65E8">
        <w:rPr>
          <w:rFonts w:ascii="Times New Roman" w:hAnsi="Times New Roman" w:cs="Times New Roman"/>
          <w:sz w:val="20"/>
          <w:szCs w:val="20"/>
          <w:lang w:val="en-US"/>
        </w:rPr>
        <w:t>.</w:t>
      </w:r>
    </w:p>
    <w:p w:rsidR="009E3E56" w:rsidRDefault="00EA69CB" w:rsidP="00EA69CB">
      <w:pPr>
        <w:pStyle w:val="Body"/>
        <w:keepNext/>
        <w:spacing w:before="120" w:after="0"/>
        <w:jc w:val="left"/>
        <w:rPr>
          <w:rFonts w:ascii="Times New Roman" w:hAnsi="Times New Roman"/>
          <w:b/>
          <w:bCs/>
        </w:rPr>
      </w:pPr>
      <w:r w:rsidRPr="00AA65E8">
        <w:rPr>
          <w:rFonts w:ascii="Times New Roman" w:hAnsi="Times New Roman"/>
          <w:b/>
          <w:bCs/>
        </w:rPr>
        <w:t>Solvation</w:t>
      </w:r>
      <w:r w:rsidR="00817656" w:rsidRPr="00504E67">
        <w:rPr>
          <w:rFonts w:ascii="Times New Roman" w:hAnsi="Times New Roman"/>
          <w:b/>
        </w:rPr>
        <w:t>Gibbs</w:t>
      </w:r>
      <w:r w:rsidR="00817656" w:rsidRPr="00AA65E8">
        <w:rPr>
          <w:rFonts w:ascii="Times New Roman" w:hAnsi="Times New Roman"/>
          <w:b/>
          <w:bCs/>
        </w:rPr>
        <w:t xml:space="preserve"> free energy</w:t>
      </w:r>
    </w:p>
    <w:p w:rsidR="00817656" w:rsidRPr="00AA65E8" w:rsidRDefault="00817656" w:rsidP="00EA69CB">
      <w:pPr>
        <w:pStyle w:val="Body"/>
        <w:keepNext/>
        <w:spacing w:after="0"/>
        <w:rPr>
          <w:rFonts w:ascii="Times New Roman" w:hAnsi="Times New Roman"/>
          <w:b/>
          <w:bCs/>
        </w:rPr>
      </w:pPr>
      <w:r w:rsidRPr="00AA65E8">
        <w:rPr>
          <w:rFonts w:ascii="Times New Roman" w:hAnsi="Times New Roman"/>
          <w:bCs/>
        </w:rPr>
        <w:t>The process of protein ligand interaction takes place in the biological medium in a solvent. It contributes through hydrogen bonding and solvation phenomena to the bonding process. The electrostatic component of the solvation GFE which includes the effect of ionic strength via solving the nonlinear Poisson-Boltz</w:t>
      </w:r>
      <w:r w:rsidR="00027818">
        <w:rPr>
          <w:rFonts w:ascii="Times New Roman" w:hAnsi="Times New Roman"/>
          <w:bCs/>
        </w:rPr>
        <w:t>mann (PB) equation</w:t>
      </w:r>
      <w:r w:rsidRPr="00027818">
        <w:rPr>
          <w:rStyle w:val="EndnoteReference"/>
          <w:rFonts w:ascii="Times New Roman" w:hAnsi="Times New Roman"/>
          <w:b/>
          <w:bCs/>
          <w:color w:val="8DB3E2" w:themeColor="text2" w:themeTint="66"/>
        </w:rPr>
        <w:endnoteReference w:id="33"/>
      </w:r>
      <w:r w:rsidRPr="00027818">
        <w:rPr>
          <w:rFonts w:ascii="Times New Roman" w:hAnsi="Times New Roman"/>
          <w:b/>
          <w:bCs/>
          <w:color w:val="8DB3E2" w:themeColor="text2" w:themeTint="66"/>
          <w:vertAlign w:val="superscript"/>
        </w:rPr>
        <w:t>,</w:t>
      </w:r>
      <w:r w:rsidRPr="00027818">
        <w:rPr>
          <w:rStyle w:val="EndnoteReference"/>
          <w:rFonts w:ascii="Times New Roman" w:hAnsi="Times New Roman"/>
          <w:b/>
          <w:bCs/>
          <w:color w:val="8DB3E2" w:themeColor="text2" w:themeTint="66"/>
        </w:rPr>
        <w:endnoteReference w:id="34"/>
      </w:r>
      <w:r w:rsidRPr="00AA65E8">
        <w:rPr>
          <w:rFonts w:ascii="Times New Roman" w:hAnsi="Times New Roman"/>
          <w:bCs/>
        </w:rPr>
        <w:t>was computed by the Del</w:t>
      </w:r>
      <w:bookmarkStart w:id="8" w:name="_Ref144999973"/>
      <w:r w:rsidR="00027818">
        <w:rPr>
          <w:rFonts w:ascii="Times New Roman" w:hAnsi="Times New Roman"/>
          <w:bCs/>
        </w:rPr>
        <w:t>Phi module of Discovery Studio</w:t>
      </w:r>
      <w:r w:rsidRPr="00027818">
        <w:rPr>
          <w:rStyle w:val="EndnoteReference"/>
          <w:rFonts w:ascii="Times New Roman" w:hAnsi="Times New Roman"/>
          <w:b/>
          <w:bCs/>
          <w:color w:val="8DB3E2" w:themeColor="text2" w:themeTint="66"/>
        </w:rPr>
        <w:endnoteReference w:id="35"/>
      </w:r>
      <w:bookmarkEnd w:id="8"/>
      <w:r w:rsidRPr="00AA65E8">
        <w:rPr>
          <w:rFonts w:ascii="Times New Roman" w:hAnsi="Times New Roman"/>
          <w:bCs/>
        </w:rPr>
        <w:t xml:space="preserve">. </w:t>
      </w:r>
      <w:r w:rsidRPr="00AA65E8">
        <w:rPr>
          <w:rFonts w:ascii="Times New Roman" w:hAnsi="Times New Roman"/>
        </w:rPr>
        <w:t>This method ha</w:t>
      </w:r>
      <w:r w:rsidR="00027818">
        <w:rPr>
          <w:rFonts w:ascii="Times New Roman" w:hAnsi="Times New Roman"/>
        </w:rPr>
        <w:t>s been described fully earlier</w:t>
      </w:r>
      <w:fldSimple w:instr=" NOTEREF _Ref144997725 \h  \* MERGEFORMAT ">
        <w:r w:rsidRPr="00027818">
          <w:rPr>
            <w:rFonts w:ascii="Times New Roman" w:hAnsi="Times New Roman"/>
            <w:b/>
            <w:color w:val="8DB3E2" w:themeColor="text2" w:themeTint="66"/>
            <w:vertAlign w:val="superscript"/>
          </w:rPr>
          <w:t>25</w:t>
        </w:r>
      </w:fldSimple>
      <w:r w:rsidRPr="00AA65E8">
        <w:rPr>
          <w:rFonts w:ascii="Times New Roman" w:hAnsi="Times New Roman"/>
        </w:rPr>
        <w:t>.</w:t>
      </w:r>
    </w:p>
    <w:p w:rsidR="004B718C" w:rsidRDefault="00817656" w:rsidP="00504E67">
      <w:pPr>
        <w:pStyle w:val="Body"/>
        <w:spacing w:before="120" w:after="0"/>
        <w:jc w:val="left"/>
        <w:rPr>
          <w:rFonts w:ascii="Times New Roman" w:hAnsi="Times New Roman"/>
        </w:rPr>
      </w:pPr>
      <w:r w:rsidRPr="00AA65E8">
        <w:rPr>
          <w:rFonts w:ascii="Times New Roman" w:hAnsi="Times New Roman"/>
          <w:b/>
        </w:rPr>
        <w:t>Interaction energy</w:t>
      </w:r>
    </w:p>
    <w:p w:rsidR="00817656" w:rsidRPr="00AA65E8" w:rsidRDefault="00817656" w:rsidP="00504E67">
      <w:pPr>
        <w:pStyle w:val="ListParagraph"/>
        <w:spacing w:after="0" w:line="240" w:lineRule="auto"/>
        <w:ind w:left="0"/>
        <w:contextualSpacing w:val="0"/>
        <w:jc w:val="both"/>
        <w:rPr>
          <w:rFonts w:ascii="Times New Roman" w:hAnsi="Times New Roman" w:cs="Times New Roman"/>
          <w:sz w:val="20"/>
          <w:szCs w:val="20"/>
          <w:lang w:val="en-US"/>
        </w:rPr>
      </w:pPr>
      <w:r w:rsidRPr="00AA65E8">
        <w:rPr>
          <w:rFonts w:ascii="Times New Roman" w:hAnsi="Times New Roman" w:cs="Times New Roman"/>
          <w:bCs/>
          <w:sz w:val="20"/>
          <w:szCs w:val="20"/>
          <w:lang w:val="en-US"/>
        </w:rPr>
        <w:t>The MM interaction energy (E</w:t>
      </w:r>
      <w:r w:rsidRPr="004B718C">
        <w:rPr>
          <w:rFonts w:ascii="Times New Roman" w:hAnsi="Times New Roman" w:cs="Times New Roman"/>
          <w:bCs/>
          <w:sz w:val="20"/>
          <w:szCs w:val="20"/>
          <w:vertAlign w:val="subscript"/>
          <w:lang w:val="en-US"/>
        </w:rPr>
        <w:t>int</w:t>
      </w:r>
      <w:r w:rsidRPr="00AA65E8">
        <w:rPr>
          <w:rFonts w:ascii="Times New Roman" w:hAnsi="Times New Roman" w:cs="Times New Roman"/>
          <w:bCs/>
          <w:sz w:val="20"/>
          <w:szCs w:val="20"/>
          <w:lang w:val="en-US"/>
        </w:rPr>
        <w:t>) calculation protocol ava</w:t>
      </w:r>
      <w:r w:rsidR="00027818">
        <w:rPr>
          <w:rFonts w:ascii="Times New Roman" w:hAnsi="Times New Roman" w:cs="Times New Roman"/>
          <w:bCs/>
          <w:sz w:val="20"/>
          <w:szCs w:val="20"/>
          <w:lang w:val="en-US"/>
        </w:rPr>
        <w:t>ilable in Discovery Studio 2.5</w:t>
      </w:r>
      <w:fldSimple w:instr=" NOTEREF _Ref144999973 \h  \* MERGEFORMAT ">
        <w:r w:rsidRPr="00027818">
          <w:rPr>
            <w:rFonts w:ascii="Times New Roman" w:hAnsi="Times New Roman" w:cs="Times New Roman"/>
            <w:b/>
            <w:bCs/>
            <w:color w:val="8DB3E2" w:themeColor="text2" w:themeTint="66"/>
            <w:sz w:val="20"/>
            <w:szCs w:val="20"/>
            <w:vertAlign w:val="superscript"/>
            <w:lang w:val="en-US"/>
          </w:rPr>
          <w:t>34</w:t>
        </w:r>
      </w:fldSimple>
      <w:r w:rsidRPr="00AA65E8">
        <w:rPr>
          <w:rFonts w:ascii="Times New Roman" w:hAnsi="Times New Roman" w:cs="Times New Roman"/>
          <w:bCs/>
          <w:sz w:val="20"/>
          <w:szCs w:val="20"/>
          <w:lang w:val="en-US"/>
        </w:rPr>
        <w:t xml:space="preserve"> was used to compute the non-bonded interactions (van der Waals and electrostatic interatomic potential terms) between two sets of atoms in the E:I complexes was described e</w:t>
      </w:r>
      <w:r w:rsidR="00027818">
        <w:rPr>
          <w:rFonts w:ascii="Times New Roman" w:hAnsi="Times New Roman" w:cs="Times New Roman"/>
          <w:bCs/>
          <w:sz w:val="20"/>
          <w:szCs w:val="20"/>
          <w:lang w:val="en-US"/>
        </w:rPr>
        <w:t>arlier</w:t>
      </w:r>
      <w:fldSimple w:instr=" NOTEREF _Ref144997725 \h  \* MERGEFORMAT ">
        <w:r w:rsidRPr="00027818">
          <w:rPr>
            <w:rFonts w:ascii="Times New Roman" w:hAnsi="Times New Roman" w:cs="Times New Roman"/>
            <w:b/>
            <w:bCs/>
            <w:color w:val="8DB3E2" w:themeColor="text2" w:themeTint="66"/>
            <w:sz w:val="20"/>
            <w:szCs w:val="20"/>
            <w:vertAlign w:val="superscript"/>
            <w:lang w:val="en-US"/>
          </w:rPr>
          <w:t>25</w:t>
        </w:r>
      </w:fldSimple>
      <w:r w:rsidRPr="00AA65E8">
        <w:rPr>
          <w:rFonts w:ascii="Times New Roman" w:hAnsi="Times New Roman" w:cs="Times New Roman"/>
          <w:bCs/>
          <w:sz w:val="20"/>
          <w:szCs w:val="20"/>
          <w:lang w:val="en-US"/>
        </w:rPr>
        <w:t>.</w:t>
      </w:r>
    </w:p>
    <w:p w:rsidR="004B718C" w:rsidRDefault="00817656" w:rsidP="00504E67">
      <w:pPr>
        <w:pStyle w:val="Body"/>
        <w:spacing w:before="120" w:after="0"/>
        <w:jc w:val="left"/>
        <w:rPr>
          <w:rFonts w:ascii="Times New Roman" w:hAnsi="Times New Roman"/>
          <w:bCs/>
        </w:rPr>
      </w:pPr>
      <w:r w:rsidRPr="00504E67">
        <w:rPr>
          <w:rFonts w:ascii="Times New Roman" w:hAnsi="Times New Roman"/>
          <w:b/>
        </w:rPr>
        <w:t>Pharmacophore</w:t>
      </w:r>
      <w:r w:rsidRPr="00AA65E8">
        <w:rPr>
          <w:rFonts w:ascii="Times New Roman" w:hAnsi="Times New Roman"/>
          <w:b/>
          <w:bCs/>
        </w:rPr>
        <w:t xml:space="preserve"> generation</w:t>
      </w:r>
    </w:p>
    <w:p w:rsidR="00817656" w:rsidRPr="00AA65E8" w:rsidRDefault="00817656" w:rsidP="007F29AC">
      <w:pPr>
        <w:pStyle w:val="ListParagraph"/>
        <w:spacing w:line="240" w:lineRule="auto"/>
        <w:ind w:left="0"/>
        <w:jc w:val="both"/>
        <w:rPr>
          <w:rFonts w:ascii="Times New Roman" w:hAnsi="Times New Roman" w:cs="Times New Roman"/>
          <w:bCs/>
          <w:sz w:val="20"/>
          <w:szCs w:val="20"/>
          <w:lang w:val="en-US"/>
        </w:rPr>
      </w:pPr>
      <w:r w:rsidRPr="00AA65E8">
        <w:rPr>
          <w:rFonts w:ascii="Times New Roman" w:hAnsi="Times New Roman" w:cs="Times New Roman"/>
          <w:bCs/>
          <w:sz w:val="20"/>
          <w:szCs w:val="20"/>
          <w:lang w:val="en-US"/>
        </w:rPr>
        <w:t>The Discovery Studio's Catalyst Hypogen algorithm pro</w:t>
      </w:r>
      <w:r w:rsidR="009A0D0F">
        <w:rPr>
          <w:rFonts w:ascii="Times New Roman" w:hAnsi="Times New Roman" w:cs="Times New Roman"/>
          <w:bCs/>
          <w:sz w:val="20"/>
          <w:szCs w:val="20"/>
          <w:lang w:val="en-US"/>
        </w:rPr>
        <w:t>-</w:t>
      </w:r>
      <w:r w:rsidR="00027818">
        <w:rPr>
          <w:rFonts w:ascii="Times New Roman" w:hAnsi="Times New Roman" w:cs="Times New Roman"/>
          <w:bCs/>
          <w:sz w:val="20"/>
          <w:szCs w:val="20"/>
          <w:lang w:val="en-US"/>
        </w:rPr>
        <w:t>gram</w:t>
      </w:r>
      <w:r w:rsidRPr="00027818">
        <w:rPr>
          <w:rStyle w:val="EndnoteReference"/>
          <w:rFonts w:ascii="Times New Roman" w:hAnsi="Times New Roman" w:cs="Times New Roman"/>
          <w:b/>
          <w:bCs/>
          <w:color w:val="8DB3E2" w:themeColor="text2" w:themeTint="66"/>
          <w:sz w:val="20"/>
          <w:szCs w:val="20"/>
          <w:lang w:val="en-US"/>
        </w:rPr>
        <w:endnoteReference w:id="36"/>
      </w:r>
      <w:r w:rsidRPr="00AA65E8">
        <w:rPr>
          <w:rFonts w:ascii="Times New Roman" w:hAnsi="Times New Roman" w:cs="Times New Roman"/>
          <w:bCs/>
          <w:sz w:val="20"/>
          <w:szCs w:val="20"/>
          <w:lang w:val="en-US"/>
        </w:rPr>
        <w:t xml:space="preserve">allowed us, based on the models of the various EI complexes used, to </w:t>
      </w:r>
      <w:r w:rsidR="009A0D0F">
        <w:rPr>
          <w:rFonts w:ascii="Times New Roman" w:hAnsi="Times New Roman" w:cs="Times New Roman"/>
          <w:bCs/>
          <w:sz w:val="20"/>
          <w:szCs w:val="20"/>
          <w:lang w:val="en-US"/>
        </w:rPr>
        <w:t>generate the hypotheses</w:t>
      </w:r>
      <w:r w:rsidR="008A04F5">
        <w:rPr>
          <w:rFonts w:ascii="Times New Roman" w:hAnsi="Times New Roman" w:cs="Times New Roman"/>
          <w:bCs/>
          <w:sz w:val="20"/>
          <w:szCs w:val="20"/>
          <w:lang w:val="en-US"/>
        </w:rPr>
        <w:t>to</w:t>
      </w:r>
      <w:r w:rsidRPr="00AA65E8">
        <w:rPr>
          <w:rFonts w:ascii="Times New Roman" w:hAnsi="Times New Roman" w:cs="Times New Roman"/>
          <w:bCs/>
          <w:sz w:val="20"/>
          <w:szCs w:val="20"/>
          <w:lang w:val="en-US"/>
        </w:rPr>
        <w:t xml:space="preserve"> construct a 3D-QSAR pharmac</w:t>
      </w:r>
      <w:r w:rsidR="00027818">
        <w:rPr>
          <w:rFonts w:ascii="Times New Roman" w:hAnsi="Times New Roman" w:cs="Times New Roman"/>
          <w:bCs/>
          <w:sz w:val="20"/>
          <w:szCs w:val="20"/>
          <w:lang w:val="en-US"/>
        </w:rPr>
        <w:t>ophore as described previously</w:t>
      </w:r>
      <w:fldSimple w:instr=" NOTEREF _Ref144997725 \h  \* MERGEFORMAT ">
        <w:r w:rsidRPr="00027818">
          <w:rPr>
            <w:rFonts w:ascii="Times New Roman" w:hAnsi="Times New Roman" w:cs="Times New Roman"/>
            <w:b/>
            <w:bCs/>
            <w:color w:val="8DB3E2" w:themeColor="text2" w:themeTint="66"/>
            <w:sz w:val="20"/>
            <w:szCs w:val="20"/>
            <w:vertAlign w:val="superscript"/>
            <w:lang w:val="en-US"/>
          </w:rPr>
          <w:t>25</w:t>
        </w:r>
      </w:fldSimple>
      <w:r w:rsidRPr="00AA65E8">
        <w:rPr>
          <w:rFonts w:ascii="Times New Roman" w:hAnsi="Times New Roman" w:cs="Times New Roman"/>
          <w:bCs/>
          <w:sz w:val="20"/>
          <w:szCs w:val="20"/>
          <w:lang w:val="en-US"/>
        </w:rPr>
        <w:t>.</w:t>
      </w:r>
    </w:p>
    <w:p w:rsidR="004B718C" w:rsidRDefault="00817656" w:rsidP="00504E67">
      <w:pPr>
        <w:pStyle w:val="Body"/>
        <w:spacing w:before="120" w:after="0"/>
        <w:jc w:val="left"/>
        <w:rPr>
          <w:rFonts w:ascii="Times New Roman" w:hAnsi="Times New Roman"/>
          <w:b/>
          <w:bCs/>
          <w:color w:val="000000"/>
        </w:rPr>
      </w:pPr>
      <w:r w:rsidRPr="00504E67">
        <w:rPr>
          <w:rFonts w:ascii="Times New Roman" w:hAnsi="Times New Roman"/>
          <w:b/>
        </w:rPr>
        <w:t>ADME</w:t>
      </w:r>
      <w:r w:rsidRPr="00AA65E8">
        <w:rPr>
          <w:rFonts w:ascii="Times New Roman" w:hAnsi="Times New Roman"/>
          <w:b/>
          <w:bCs/>
          <w:color w:val="000000"/>
        </w:rPr>
        <w:t>-related properties</w:t>
      </w:r>
    </w:p>
    <w:p w:rsidR="00817656" w:rsidRDefault="00817656" w:rsidP="007F29AC">
      <w:pPr>
        <w:pStyle w:val="ListParagraph"/>
        <w:spacing w:after="0" w:line="240" w:lineRule="auto"/>
        <w:ind w:left="0"/>
        <w:jc w:val="both"/>
        <w:rPr>
          <w:rFonts w:ascii="Times New Roman" w:hAnsi="Times New Roman" w:cs="Times New Roman"/>
          <w:color w:val="000000"/>
          <w:sz w:val="20"/>
          <w:szCs w:val="20"/>
          <w:lang w:val="en-US"/>
        </w:rPr>
      </w:pPr>
      <w:r w:rsidRPr="00AA65E8">
        <w:rPr>
          <w:rFonts w:ascii="Times New Roman" w:hAnsi="Times New Roman" w:cs="Times New Roman"/>
          <w:color w:val="000000"/>
          <w:sz w:val="20"/>
          <w:szCs w:val="20"/>
          <w:lang w:val="en-US"/>
        </w:rPr>
        <w:t>Properties that determine the pharmacokinetics profile of a compound, besides octanol/water partitioning coefficient, aqueous solubility, blood/brain partition coefficient, Caco-2 cell permeability, serum protein binding, number of likely metabolic reactions and other eighteen descriptors related to adsorption, distribution, metabolism and excretion (ADME properties) of the inhibitors were c</w:t>
      </w:r>
      <w:r w:rsidR="00027818">
        <w:rPr>
          <w:rFonts w:ascii="Times New Roman" w:hAnsi="Times New Roman" w:cs="Times New Roman"/>
          <w:color w:val="000000"/>
          <w:sz w:val="20"/>
          <w:szCs w:val="20"/>
          <w:lang w:val="en-US"/>
        </w:rPr>
        <w:t>omputed by the QikProp program</w:t>
      </w:r>
      <w:fldSimple w:instr=" NOTEREF _Ref145001275 \h  \* MERGEFORMAT ">
        <w:r w:rsidRPr="00027818">
          <w:rPr>
            <w:rFonts w:ascii="Times New Roman" w:hAnsi="Times New Roman" w:cs="Times New Roman"/>
            <w:b/>
            <w:color w:val="8DB3E2" w:themeColor="text2" w:themeTint="66"/>
            <w:sz w:val="20"/>
            <w:szCs w:val="20"/>
            <w:vertAlign w:val="superscript"/>
            <w:lang w:val="en-US"/>
          </w:rPr>
          <w:t>26</w:t>
        </w:r>
      </w:fldSimple>
      <w:r w:rsidRPr="00AA65E8">
        <w:rPr>
          <w:rFonts w:ascii="Times New Roman" w:hAnsi="Times New Roman" w:cs="Times New Roman"/>
          <w:color w:val="000000"/>
          <w:sz w:val="20"/>
          <w:szCs w:val="20"/>
          <w:lang w:val="en-US"/>
        </w:rPr>
        <w:t xml:space="preserve"> ba</w:t>
      </w:r>
      <w:r w:rsidR="00027818">
        <w:rPr>
          <w:rFonts w:ascii="Times New Roman" w:hAnsi="Times New Roman" w:cs="Times New Roman"/>
          <w:color w:val="000000"/>
          <w:sz w:val="20"/>
          <w:szCs w:val="20"/>
          <w:lang w:val="en-US"/>
        </w:rPr>
        <w:t>sed on the methods of Jorgensen</w:t>
      </w:r>
      <w:r w:rsidRPr="00027818">
        <w:rPr>
          <w:rStyle w:val="EndnoteReference"/>
          <w:rFonts w:ascii="Times New Roman" w:hAnsi="Times New Roman" w:cs="Times New Roman"/>
          <w:b/>
          <w:color w:val="8DB3E2" w:themeColor="text2" w:themeTint="66"/>
          <w:sz w:val="20"/>
          <w:szCs w:val="20"/>
          <w:lang w:val="en-US"/>
        </w:rPr>
        <w:endnoteReference w:id="37"/>
      </w:r>
      <w:r w:rsidR="00027818">
        <w:rPr>
          <w:rFonts w:ascii="Times New Roman" w:hAnsi="Times New Roman" w:cs="Times New Roman"/>
          <w:b/>
          <w:color w:val="8DB3E2" w:themeColor="text2" w:themeTint="66"/>
          <w:sz w:val="20"/>
          <w:szCs w:val="20"/>
          <w:vertAlign w:val="superscript"/>
          <w:lang w:val="en-US"/>
        </w:rPr>
        <w:t>,</w:t>
      </w:r>
      <w:r w:rsidRPr="00027818">
        <w:rPr>
          <w:rStyle w:val="EndnoteReference"/>
          <w:rFonts w:ascii="Times New Roman" w:hAnsi="Times New Roman" w:cs="Times New Roman"/>
          <w:b/>
          <w:color w:val="8DB3E2" w:themeColor="text2" w:themeTint="66"/>
          <w:sz w:val="20"/>
          <w:szCs w:val="20"/>
          <w:lang w:val="en-US"/>
        </w:rPr>
        <w:endnoteReference w:id="38"/>
      </w:r>
      <w:r w:rsidR="00027818">
        <w:rPr>
          <w:rFonts w:ascii="Times New Roman" w:hAnsi="Times New Roman" w:cs="Times New Roman"/>
          <w:b/>
          <w:color w:val="8DB3E2" w:themeColor="text2" w:themeTint="66"/>
          <w:sz w:val="20"/>
          <w:szCs w:val="20"/>
          <w:vertAlign w:val="superscript"/>
          <w:lang w:val="en-US"/>
        </w:rPr>
        <w:t>,</w:t>
      </w:r>
      <w:r w:rsidRPr="00027818">
        <w:rPr>
          <w:rStyle w:val="EndnoteReference"/>
          <w:rFonts w:ascii="Times New Roman" w:hAnsi="Times New Roman" w:cs="Times New Roman"/>
          <w:b/>
          <w:color w:val="8DB3E2" w:themeColor="text2" w:themeTint="66"/>
          <w:sz w:val="20"/>
          <w:szCs w:val="20"/>
          <w:lang w:val="en-US"/>
        </w:rPr>
        <w:endnoteReference w:id="39"/>
      </w:r>
      <w:r w:rsidRPr="00AA65E8">
        <w:rPr>
          <w:rFonts w:ascii="Times New Roman" w:hAnsi="Times New Roman" w:cs="Times New Roman"/>
          <w:color w:val="000000"/>
          <w:sz w:val="20"/>
          <w:szCs w:val="20"/>
          <w:lang w:val="en-US"/>
        </w:rPr>
        <w:t xml:space="preserve"> as descri</w:t>
      </w:r>
      <w:r w:rsidR="00C44EC5" w:rsidRPr="00AA65E8">
        <w:rPr>
          <w:rFonts w:ascii="Times New Roman" w:hAnsi="Times New Roman" w:cs="Times New Roman"/>
          <w:color w:val="000000"/>
          <w:sz w:val="20"/>
          <w:szCs w:val="20"/>
          <w:lang w:val="en-US"/>
        </w:rPr>
        <w:t>b</w:t>
      </w:r>
      <w:r w:rsidRPr="00AA65E8">
        <w:rPr>
          <w:rFonts w:ascii="Times New Roman" w:hAnsi="Times New Roman" w:cs="Times New Roman"/>
          <w:color w:val="000000"/>
          <w:sz w:val="20"/>
          <w:szCs w:val="20"/>
          <w:lang w:val="en-US"/>
        </w:rPr>
        <w:t>e</w:t>
      </w:r>
      <w:r w:rsidR="00C44EC5">
        <w:rPr>
          <w:rFonts w:ascii="Times New Roman" w:hAnsi="Times New Roman" w:cs="Times New Roman"/>
          <w:color w:val="000000"/>
          <w:sz w:val="20"/>
          <w:szCs w:val="20"/>
          <w:lang w:val="en-US"/>
        </w:rPr>
        <w:t>d</w:t>
      </w:r>
      <w:r w:rsidR="00027818">
        <w:rPr>
          <w:rFonts w:ascii="Times New Roman" w:hAnsi="Times New Roman" w:cs="Times New Roman"/>
          <w:color w:val="000000"/>
          <w:sz w:val="20"/>
          <w:szCs w:val="20"/>
          <w:lang w:val="en-US"/>
        </w:rPr>
        <w:t xml:space="preserve"> previously</w:t>
      </w:r>
      <w:fldSimple w:instr=" NOTEREF _Ref144997725 \h  \* MERGEFORMAT ">
        <w:r w:rsidRPr="00027818">
          <w:rPr>
            <w:rFonts w:ascii="Times New Roman" w:hAnsi="Times New Roman" w:cs="Times New Roman"/>
            <w:b/>
            <w:color w:val="8DB3E2" w:themeColor="text2" w:themeTint="66"/>
            <w:sz w:val="20"/>
            <w:szCs w:val="20"/>
            <w:vertAlign w:val="superscript"/>
            <w:lang w:val="en-US"/>
          </w:rPr>
          <w:t>25</w:t>
        </w:r>
      </w:fldSimple>
      <w:r w:rsidRPr="00AA65E8">
        <w:rPr>
          <w:rFonts w:ascii="Times New Roman" w:hAnsi="Times New Roman" w:cs="Times New Roman"/>
          <w:color w:val="000000"/>
          <w:sz w:val="20"/>
          <w:szCs w:val="20"/>
          <w:lang w:val="en-US"/>
        </w:rPr>
        <w:t>.</w:t>
      </w:r>
    </w:p>
    <w:p w:rsidR="004B718C" w:rsidRDefault="00817656" w:rsidP="00504E67">
      <w:pPr>
        <w:pStyle w:val="Body"/>
        <w:spacing w:before="120" w:after="0"/>
        <w:jc w:val="left"/>
        <w:rPr>
          <w:rFonts w:ascii="Times New Roman" w:hAnsi="Times New Roman"/>
          <w:b/>
          <w:bCs/>
        </w:rPr>
      </w:pPr>
      <w:r w:rsidRPr="00504E67">
        <w:rPr>
          <w:rFonts w:ascii="Times New Roman" w:hAnsi="Times New Roman"/>
          <w:b/>
        </w:rPr>
        <w:t>Virtual</w:t>
      </w:r>
      <w:r w:rsidRPr="00AA65E8">
        <w:rPr>
          <w:rFonts w:ascii="Times New Roman" w:hAnsi="Times New Roman"/>
          <w:b/>
          <w:bCs/>
        </w:rPr>
        <w:t xml:space="preserve"> library generation</w:t>
      </w:r>
    </w:p>
    <w:p w:rsidR="00817656" w:rsidRPr="00AA65E8" w:rsidRDefault="00817656" w:rsidP="007F29AC">
      <w:pPr>
        <w:pStyle w:val="ListParagraph"/>
        <w:spacing w:line="240" w:lineRule="auto"/>
        <w:ind w:left="0"/>
        <w:jc w:val="both"/>
        <w:rPr>
          <w:rFonts w:ascii="Times New Roman" w:hAnsi="Times New Roman" w:cs="Times New Roman"/>
          <w:b/>
          <w:bCs/>
          <w:sz w:val="20"/>
          <w:szCs w:val="20"/>
          <w:lang w:val="en-US"/>
        </w:rPr>
      </w:pPr>
      <w:r w:rsidRPr="00AA65E8">
        <w:rPr>
          <w:rFonts w:ascii="Times New Roman" w:hAnsi="Times New Roman" w:cs="Times New Roman"/>
          <w:sz w:val="20"/>
          <w:szCs w:val="20"/>
          <w:lang w:val="en-US"/>
        </w:rPr>
        <w:t xml:space="preserve">The virtual library (VL) generation was </w:t>
      </w:r>
      <w:r w:rsidR="00027818">
        <w:rPr>
          <w:rFonts w:ascii="Times New Roman" w:hAnsi="Times New Roman" w:cs="Times New Roman"/>
          <w:sz w:val="20"/>
          <w:szCs w:val="20"/>
          <w:lang w:val="en-US"/>
        </w:rPr>
        <w:t>performed as described earlier</w:t>
      </w:r>
      <w:fldSimple w:instr=" NOTEREF _Ref144997725 \h  \* MERGEFORMAT ">
        <w:r w:rsidRPr="00027818">
          <w:rPr>
            <w:rFonts w:ascii="Times New Roman" w:hAnsi="Times New Roman" w:cs="Times New Roman"/>
            <w:b/>
            <w:color w:val="8DB3E2" w:themeColor="text2" w:themeTint="66"/>
            <w:sz w:val="20"/>
            <w:szCs w:val="20"/>
            <w:vertAlign w:val="superscript"/>
            <w:lang w:val="en-US"/>
          </w:rPr>
          <w:t>25</w:t>
        </w:r>
      </w:fldSimple>
      <w:r w:rsidRPr="00AA65E8">
        <w:rPr>
          <w:rFonts w:ascii="Times New Roman" w:hAnsi="Times New Roman" w:cs="Times New Roman"/>
          <w:sz w:val="20"/>
          <w:szCs w:val="20"/>
          <w:lang w:val="en-US"/>
        </w:rPr>
        <w:t>.</w:t>
      </w:r>
    </w:p>
    <w:p w:rsidR="004B718C" w:rsidRDefault="00817656" w:rsidP="00504E67">
      <w:pPr>
        <w:pStyle w:val="Body"/>
        <w:spacing w:before="120" w:after="0"/>
        <w:jc w:val="left"/>
        <w:rPr>
          <w:rFonts w:ascii="Times New Roman" w:hAnsi="Times New Roman"/>
        </w:rPr>
      </w:pPr>
      <w:r w:rsidRPr="00504E67">
        <w:rPr>
          <w:rFonts w:ascii="Times New Roman" w:hAnsi="Times New Roman"/>
          <w:b/>
        </w:rPr>
        <w:t>ADME</w:t>
      </w:r>
      <w:r w:rsidRPr="00AA65E8">
        <w:rPr>
          <w:rFonts w:ascii="Times New Roman" w:hAnsi="Times New Roman"/>
          <w:b/>
          <w:bCs/>
        </w:rPr>
        <w:t xml:space="preserve"> based library focusing</w:t>
      </w:r>
    </w:p>
    <w:p w:rsidR="00817656" w:rsidRPr="00AA65E8" w:rsidRDefault="00817656" w:rsidP="007F29AC">
      <w:pPr>
        <w:pStyle w:val="ListParagraph"/>
        <w:spacing w:after="0" w:line="240" w:lineRule="auto"/>
        <w:ind w:left="0"/>
        <w:jc w:val="both"/>
        <w:rPr>
          <w:rFonts w:ascii="Times New Roman" w:hAnsi="Times New Roman" w:cs="Times New Roman"/>
          <w:sz w:val="20"/>
          <w:szCs w:val="20"/>
          <w:lang w:val="en-US"/>
        </w:rPr>
      </w:pPr>
      <w:r w:rsidRPr="00AA65E8">
        <w:rPr>
          <w:rFonts w:ascii="Times New Roman" w:hAnsi="Times New Roman" w:cs="Times New Roman"/>
          <w:sz w:val="20"/>
          <w:szCs w:val="20"/>
          <w:lang w:val="en-US"/>
        </w:rPr>
        <w:t>The orientation of the virtual library has been made thanks to numerous selection criteria as described above [</w:t>
      </w:r>
      <w:fldSimple w:instr=" NOTEREF _Ref145002801 \h  \* MERGEFORMAT ">
        <w:r w:rsidRPr="00AA65E8">
          <w:rPr>
            <w:rFonts w:ascii="Times New Roman" w:hAnsi="Times New Roman" w:cs="Times New Roman"/>
            <w:sz w:val="20"/>
            <w:szCs w:val="20"/>
            <w:lang w:val="en-US"/>
          </w:rPr>
          <w:t>30</w:t>
        </w:r>
      </w:fldSimple>
      <w:r w:rsidRPr="00AA65E8">
        <w:rPr>
          <w:rFonts w:ascii="Times New Roman" w:hAnsi="Times New Roman" w:cs="Times New Roman"/>
          <w:sz w:val="20"/>
          <w:szCs w:val="20"/>
          <w:lang w:val="en-US"/>
        </w:rPr>
        <w:t xml:space="preserve">]. Twenty-four pharmacokinetics-related molecular </w:t>
      </w:r>
      <w:r w:rsidR="009E3E56">
        <w:rPr>
          <w:rFonts w:ascii="Times New Roman" w:hAnsi="Times New Roman" w:cs="Times New Roman"/>
          <w:sz w:val="20"/>
          <w:szCs w:val="20"/>
          <w:lang w:val="en-US"/>
        </w:rPr>
        <w:t>descript-</w:t>
      </w:r>
      <w:r w:rsidR="003A1278">
        <w:rPr>
          <w:rFonts w:ascii="Times New Roman" w:hAnsi="Times New Roman" w:cs="Times New Roman"/>
          <w:sz w:val="20"/>
          <w:szCs w:val="20"/>
          <w:lang w:val="en-US"/>
        </w:rPr>
        <w:t>tors available in QikProp</w:t>
      </w:r>
      <w:fldSimple w:instr=" NOTEREF _Ref145001275 \h  \* MERGEFORMAT ">
        <w:r w:rsidRPr="003A1278">
          <w:rPr>
            <w:rFonts w:ascii="Times New Roman" w:hAnsi="Times New Roman" w:cs="Times New Roman"/>
            <w:b/>
            <w:color w:val="8DB3E2" w:themeColor="text2" w:themeTint="66"/>
            <w:sz w:val="20"/>
            <w:szCs w:val="20"/>
            <w:vertAlign w:val="superscript"/>
            <w:lang w:val="en-US"/>
          </w:rPr>
          <w:t>26</w:t>
        </w:r>
      </w:fldSimple>
      <w:r w:rsidRPr="00AA65E8">
        <w:rPr>
          <w:rFonts w:ascii="Times New Roman" w:hAnsi="Times New Roman" w:cs="Times New Roman"/>
          <w:sz w:val="20"/>
          <w:szCs w:val="20"/>
          <w:lang w:val="en-US"/>
        </w:rPr>
        <w:t>, which characterize a wide spectrum of molecular properties as described in the footnote of Table 12, were used. Optimum ranges of these 24 descriptors were defined in terms of upper and low</w:t>
      </w:r>
      <w:r w:rsidR="003A1278">
        <w:rPr>
          <w:rFonts w:ascii="Times New Roman" w:hAnsi="Times New Roman" w:cs="Times New Roman"/>
          <w:sz w:val="20"/>
          <w:szCs w:val="20"/>
          <w:lang w:val="en-US"/>
        </w:rPr>
        <w:t>er bounds according to QikProp</w:t>
      </w:r>
      <w:fldSimple w:instr=" NOTEREF _Ref145001275 \h  \* MERGEFORMAT ">
        <w:r w:rsidRPr="003A1278">
          <w:rPr>
            <w:rFonts w:ascii="Times New Roman" w:hAnsi="Times New Roman" w:cs="Times New Roman"/>
            <w:b/>
            <w:color w:val="8DB3E2" w:themeColor="text2" w:themeTint="66"/>
            <w:sz w:val="20"/>
            <w:szCs w:val="20"/>
            <w:vertAlign w:val="superscript"/>
            <w:lang w:val="en-US"/>
          </w:rPr>
          <w:t>26</w:t>
        </w:r>
      </w:fldSimple>
      <w:r w:rsidRPr="00AA65E8">
        <w:rPr>
          <w:rFonts w:ascii="Times New Roman" w:hAnsi="Times New Roman" w:cs="Times New Roman"/>
          <w:sz w:val="20"/>
          <w:szCs w:val="20"/>
          <w:lang w:val="en-US"/>
        </w:rPr>
        <w:t>. Among them predicted drug-likeness (#stars, footnote of Table 12) was used to retain drug-like CNP analogs in the focused VL.</w:t>
      </w:r>
    </w:p>
    <w:p w:rsidR="00C44EC5" w:rsidRDefault="00817656" w:rsidP="00504E67">
      <w:pPr>
        <w:pStyle w:val="Body"/>
        <w:spacing w:before="120" w:after="0"/>
        <w:jc w:val="left"/>
        <w:rPr>
          <w:rFonts w:ascii="Times New Roman" w:hAnsi="Times New Roman"/>
          <w:b/>
          <w:bCs/>
        </w:rPr>
      </w:pPr>
      <w:r w:rsidRPr="00AA65E8">
        <w:rPr>
          <w:rFonts w:ascii="Times New Roman" w:hAnsi="Times New Roman"/>
          <w:b/>
          <w:bCs/>
        </w:rPr>
        <w:t xml:space="preserve">Pharmacophore </w:t>
      </w:r>
      <w:r w:rsidRPr="00504E67">
        <w:rPr>
          <w:rFonts w:ascii="Times New Roman" w:hAnsi="Times New Roman"/>
          <w:b/>
        </w:rPr>
        <w:t>based</w:t>
      </w:r>
      <w:r w:rsidRPr="00AA65E8">
        <w:rPr>
          <w:rFonts w:ascii="Times New Roman" w:hAnsi="Times New Roman"/>
          <w:b/>
          <w:bCs/>
        </w:rPr>
        <w:t xml:space="preserve"> library searching</w:t>
      </w:r>
    </w:p>
    <w:p w:rsidR="00817656" w:rsidRPr="00AA65E8" w:rsidRDefault="00817656" w:rsidP="007F29AC">
      <w:pPr>
        <w:pStyle w:val="ListParagraph"/>
        <w:spacing w:after="0" w:line="240" w:lineRule="auto"/>
        <w:ind w:left="0"/>
        <w:jc w:val="both"/>
        <w:rPr>
          <w:rFonts w:ascii="Times New Roman" w:hAnsi="Times New Roman" w:cs="Times New Roman"/>
          <w:b/>
          <w:bCs/>
          <w:sz w:val="20"/>
          <w:szCs w:val="20"/>
          <w:lang w:val="en-US"/>
        </w:rPr>
      </w:pPr>
      <w:r w:rsidRPr="00AA65E8">
        <w:rPr>
          <w:rFonts w:ascii="Times New Roman" w:hAnsi="Times New Roman" w:cs="Times New Roman"/>
          <w:bCs/>
          <w:color w:val="000000"/>
          <w:sz w:val="20"/>
          <w:szCs w:val="20"/>
          <w:lang w:val="en-US"/>
        </w:rPr>
        <w:t>P</w:t>
      </w:r>
      <w:r w:rsidR="007B734A">
        <w:rPr>
          <w:rFonts w:ascii="Times New Roman" w:hAnsi="Times New Roman" w:cs="Times New Roman"/>
          <w:bCs/>
          <w:color w:val="000000"/>
          <w:sz w:val="20"/>
          <w:szCs w:val="20"/>
          <w:lang w:val="en-US"/>
        </w:rPr>
        <w:t>H4</w:t>
      </w:r>
      <w:r w:rsidRPr="00AA65E8">
        <w:rPr>
          <w:rFonts w:ascii="Times New Roman" w:hAnsi="Times New Roman" w:cs="Times New Roman"/>
          <w:bCs/>
          <w:color w:val="000000"/>
          <w:sz w:val="20"/>
          <w:szCs w:val="20"/>
          <w:lang w:val="en-US"/>
        </w:rPr>
        <w:t xml:space="preserve"> based library </w:t>
      </w:r>
      <w:r w:rsidR="007B734A">
        <w:rPr>
          <w:rFonts w:ascii="Times New Roman" w:hAnsi="Times New Roman" w:cs="Times New Roman"/>
          <w:bCs/>
          <w:color w:val="000000"/>
          <w:sz w:val="20"/>
          <w:szCs w:val="20"/>
          <w:lang w:val="en-US"/>
        </w:rPr>
        <w:t>screen</w:t>
      </w:r>
      <w:r w:rsidRPr="00AA65E8">
        <w:rPr>
          <w:rFonts w:ascii="Times New Roman" w:hAnsi="Times New Roman" w:cs="Times New Roman"/>
          <w:bCs/>
          <w:color w:val="000000"/>
          <w:sz w:val="20"/>
          <w:szCs w:val="20"/>
          <w:lang w:val="en-US"/>
        </w:rPr>
        <w:t xml:space="preserve"> process was </w:t>
      </w:r>
      <w:r w:rsidR="00C44EC5" w:rsidRPr="00AA65E8">
        <w:rPr>
          <w:rFonts w:ascii="Times New Roman" w:hAnsi="Times New Roman" w:cs="Times New Roman"/>
          <w:bCs/>
          <w:color w:val="000000"/>
          <w:sz w:val="20"/>
          <w:szCs w:val="20"/>
          <w:lang w:val="en-US"/>
        </w:rPr>
        <w:t>describe</w:t>
      </w:r>
      <w:r w:rsidR="00C44EC5">
        <w:rPr>
          <w:rFonts w:ascii="Times New Roman" w:hAnsi="Times New Roman" w:cs="Times New Roman"/>
          <w:bCs/>
          <w:color w:val="000000"/>
          <w:sz w:val="20"/>
          <w:szCs w:val="20"/>
          <w:lang w:val="en-US"/>
        </w:rPr>
        <w:t>d</w:t>
      </w:r>
      <w:r w:rsidR="003A1278">
        <w:rPr>
          <w:rFonts w:ascii="Times New Roman" w:hAnsi="Times New Roman" w:cs="Times New Roman"/>
          <w:bCs/>
          <w:color w:val="000000"/>
          <w:sz w:val="20"/>
          <w:szCs w:val="20"/>
          <w:lang w:val="en-US"/>
        </w:rPr>
        <w:t xml:space="preserve"> earlier</w:t>
      </w:r>
      <w:fldSimple w:instr=" NOTEREF _Ref144997725 \h  \* MERGEFORMAT ">
        <w:r w:rsidRPr="003A1278">
          <w:rPr>
            <w:rFonts w:ascii="Times New Roman" w:hAnsi="Times New Roman" w:cs="Times New Roman"/>
            <w:b/>
            <w:bCs/>
            <w:color w:val="8DB3E2" w:themeColor="text2" w:themeTint="66"/>
            <w:sz w:val="20"/>
            <w:szCs w:val="20"/>
            <w:vertAlign w:val="superscript"/>
            <w:lang w:val="en-US"/>
          </w:rPr>
          <w:t>25</w:t>
        </w:r>
      </w:fldSimple>
      <w:r w:rsidRPr="00AA65E8">
        <w:rPr>
          <w:rFonts w:ascii="Times New Roman" w:hAnsi="Times New Roman" w:cs="Times New Roman"/>
          <w:bCs/>
          <w:color w:val="000000"/>
          <w:sz w:val="20"/>
          <w:szCs w:val="20"/>
          <w:lang w:val="en-US"/>
        </w:rPr>
        <w:t>.</w:t>
      </w:r>
    </w:p>
    <w:p w:rsidR="00817656" w:rsidRPr="00AA65E8" w:rsidRDefault="00817656" w:rsidP="00C44EC5">
      <w:pPr>
        <w:pStyle w:val="ListParagraph"/>
        <w:spacing w:after="0" w:line="240" w:lineRule="auto"/>
        <w:ind w:left="0"/>
        <w:contextualSpacing w:val="0"/>
        <w:jc w:val="both"/>
        <w:rPr>
          <w:rFonts w:ascii="Times New Roman" w:hAnsi="Times New Roman" w:cs="Times New Roman"/>
          <w:bCs/>
          <w:color w:val="000000"/>
          <w:sz w:val="20"/>
          <w:szCs w:val="20"/>
          <w:lang w:val="en-US"/>
        </w:rPr>
      </w:pPr>
    </w:p>
    <w:p w:rsidR="00C44EC5" w:rsidRPr="005A4F30" w:rsidRDefault="00817656" w:rsidP="007F29AC">
      <w:pPr>
        <w:pStyle w:val="ListParagraph"/>
        <w:spacing w:after="0" w:line="240" w:lineRule="auto"/>
        <w:ind w:left="0"/>
        <w:jc w:val="both"/>
        <w:rPr>
          <w:rFonts w:ascii="Times New Roman" w:hAnsi="Times New Roman" w:cs="Times New Roman"/>
          <w:b/>
          <w:bCs/>
          <w:sz w:val="20"/>
          <w:szCs w:val="20"/>
          <w:lang w:val="en-US"/>
        </w:rPr>
      </w:pPr>
      <w:r w:rsidRPr="005A4F30">
        <w:rPr>
          <w:rFonts w:ascii="Times New Roman" w:hAnsi="Times New Roman" w:cs="Times New Roman"/>
          <w:b/>
          <w:bCs/>
          <w:i/>
          <w:sz w:val="20"/>
          <w:szCs w:val="20"/>
          <w:lang w:val="en-US"/>
        </w:rPr>
        <w:t>In silico</w:t>
      </w:r>
      <w:r w:rsidRPr="00AA65E8">
        <w:rPr>
          <w:rFonts w:ascii="Times New Roman" w:hAnsi="Times New Roman" w:cs="Times New Roman"/>
          <w:b/>
          <w:bCs/>
          <w:sz w:val="20"/>
          <w:szCs w:val="20"/>
          <w:lang w:val="en-US"/>
        </w:rPr>
        <w:t xml:space="preserve"> screening</w:t>
      </w:r>
    </w:p>
    <w:p w:rsidR="002B2426" w:rsidRDefault="00817656" w:rsidP="007F29AC">
      <w:pPr>
        <w:pStyle w:val="ListParagraph"/>
        <w:spacing w:after="0" w:line="240" w:lineRule="auto"/>
        <w:ind w:left="0"/>
        <w:jc w:val="both"/>
        <w:rPr>
          <w:rStyle w:val="A1"/>
          <w:rFonts w:ascii="Times New Roman" w:hAnsi="Times New Roman" w:cs="Times New Roman"/>
          <w:sz w:val="20"/>
          <w:szCs w:val="20"/>
          <w:lang w:val="en-US"/>
        </w:rPr>
      </w:pPr>
      <w:r w:rsidRPr="00AA65E8">
        <w:rPr>
          <w:rStyle w:val="A1"/>
          <w:rFonts w:ascii="Times New Roman" w:hAnsi="Times New Roman" w:cs="Times New Roman"/>
          <w:sz w:val="20"/>
          <w:szCs w:val="20"/>
          <w:lang w:val="en-US"/>
        </w:rPr>
        <w:t xml:space="preserve">The conformer with the best mapping on the PH4 in each cluster of the focused library subset was selected for </w:t>
      </w:r>
      <w:r w:rsidRPr="00AA65E8">
        <w:rPr>
          <w:rStyle w:val="A1"/>
          <w:rFonts w:ascii="Times New Roman" w:hAnsi="Times New Roman" w:cs="Times New Roman"/>
          <w:i/>
          <w:iCs/>
          <w:sz w:val="20"/>
          <w:szCs w:val="20"/>
          <w:lang w:val="en-US"/>
        </w:rPr>
        <w:t xml:space="preserve">in silico </w:t>
      </w:r>
      <w:r w:rsidRPr="00AA65E8">
        <w:rPr>
          <w:rStyle w:val="A1"/>
          <w:rFonts w:ascii="Times New Roman" w:hAnsi="Times New Roman" w:cs="Times New Roman"/>
          <w:sz w:val="20"/>
          <w:szCs w:val="20"/>
          <w:lang w:val="en-US"/>
        </w:rPr>
        <w:t xml:space="preserve">screening by the complexation QSAR model. The relative GFE of E:I complex formation in water </w:t>
      </w:r>
      <w:r w:rsidRPr="00AA65E8">
        <w:rPr>
          <w:rStyle w:val="A1"/>
          <w:rFonts w:ascii="Times New Roman" w:hAnsi="Times New Roman" w:cs="Times New Roman"/>
          <w:sz w:val="20"/>
          <w:szCs w:val="20"/>
        </w:rPr>
        <w:t>ΔΔ</w:t>
      </w:r>
      <w:r w:rsidRPr="00AA65E8">
        <w:rPr>
          <w:rStyle w:val="A1"/>
          <w:rFonts w:ascii="Times New Roman" w:hAnsi="Times New Roman" w:cs="Times New Roman"/>
          <w:i/>
          <w:iCs/>
          <w:sz w:val="20"/>
          <w:szCs w:val="20"/>
          <w:lang w:val="en-US"/>
        </w:rPr>
        <w:t>G</w:t>
      </w:r>
      <w:r w:rsidRPr="00C44EC5">
        <w:rPr>
          <w:rStyle w:val="A2"/>
          <w:rFonts w:ascii="Times New Roman" w:hAnsi="Times New Roman" w:cs="Times New Roman"/>
          <w:sz w:val="20"/>
          <w:szCs w:val="20"/>
          <w:vertAlign w:val="subscript"/>
          <w:lang w:val="en-US"/>
        </w:rPr>
        <w:t>com</w:t>
      </w:r>
      <w:r w:rsidRPr="00AA65E8">
        <w:rPr>
          <w:rStyle w:val="A1"/>
          <w:rFonts w:ascii="Times New Roman" w:hAnsi="Times New Roman" w:cs="Times New Roman"/>
          <w:sz w:val="20"/>
          <w:szCs w:val="20"/>
          <w:lang w:val="en-US"/>
        </w:rPr>
        <w:t>was computed for each selected new CNP analogue and then used for prediction of FP2 inhibitory potencies (</w:t>
      </w:r>
      <m:oMath>
        <m:sSubSup>
          <m:sSubSupPr>
            <m:ctrlPr>
              <w:rPr>
                <w:rFonts w:ascii="Cambria Math" w:hAnsi="Cambria Math" w:cs="Times New Roman"/>
                <w:sz w:val="20"/>
                <w:szCs w:val="20"/>
                <w:vertAlign w:val="superscript"/>
                <w:lang w:eastAsia="fr-FR"/>
              </w:rPr>
            </m:ctrlPr>
          </m:sSubSupPr>
          <m:e>
            <m:r>
              <m:rPr>
                <m:sty m:val="p"/>
              </m:rPr>
              <w:rPr>
                <w:rFonts w:ascii="Cambria Math" w:hAnsi="Cambria Math" w:cs="Times New Roman"/>
                <w:sz w:val="20"/>
                <w:szCs w:val="20"/>
                <w:vertAlign w:val="superscript"/>
                <w:lang w:val="en-US" w:eastAsia="fr-FR"/>
              </w:rPr>
              <m:t>IC</m:t>
            </m:r>
          </m:e>
          <m:sub>
            <m:r>
              <m:rPr>
                <m:sty m:val="p"/>
              </m:rPr>
              <w:rPr>
                <w:rFonts w:ascii="Cambria Math" w:hAnsi="Cambria Math" w:cs="Times New Roman"/>
                <w:sz w:val="20"/>
                <w:szCs w:val="20"/>
                <w:vertAlign w:val="superscript"/>
                <w:lang w:val="en-US" w:eastAsia="fr-FR"/>
              </w:rPr>
              <m:t>50</m:t>
            </m:r>
          </m:sub>
          <m:sup>
            <m:r>
              <m:rPr>
                <m:sty m:val="p"/>
              </m:rPr>
              <w:rPr>
                <w:rFonts w:ascii="Cambria Math" w:hAnsi="Cambria Math" w:cs="Times New Roman"/>
                <w:sz w:val="20"/>
                <w:szCs w:val="20"/>
                <w:vertAlign w:val="superscript"/>
                <w:lang w:val="en-US" w:eastAsia="fr-FR"/>
              </w:rPr>
              <m:t>pre</m:t>
            </m:r>
          </m:sup>
        </m:sSubSup>
      </m:oMath>
      <w:r w:rsidRPr="00AA65E8">
        <w:rPr>
          <w:rStyle w:val="A1"/>
          <w:rFonts w:ascii="Times New Roman" w:hAnsi="Times New Roman" w:cs="Times New Roman"/>
          <w:sz w:val="20"/>
          <w:szCs w:val="20"/>
          <w:lang w:val="en-US"/>
        </w:rPr>
        <w:t xml:space="preserve">) of the focused VL by inserting this parameter into the </w:t>
      </w:r>
      <w:r w:rsidRPr="00AA65E8">
        <w:rPr>
          <w:rStyle w:val="A1"/>
          <w:rFonts w:ascii="Times New Roman" w:hAnsi="Times New Roman" w:cs="Times New Roman"/>
          <w:i/>
          <w:iCs/>
          <w:sz w:val="20"/>
          <w:szCs w:val="20"/>
          <w:lang w:val="en-US"/>
        </w:rPr>
        <w:t>pf</w:t>
      </w:r>
      <w:r w:rsidRPr="00AA65E8">
        <w:rPr>
          <w:rStyle w:val="A1"/>
          <w:rFonts w:ascii="Times New Roman" w:hAnsi="Times New Roman" w:cs="Times New Roman"/>
          <w:sz w:val="20"/>
          <w:szCs w:val="20"/>
          <w:lang w:val="en-US"/>
        </w:rPr>
        <w:t>FP2 receptor target-specific scoring function:</w:t>
      </w:r>
    </w:p>
    <w:p w:rsidR="00817656" w:rsidRPr="00AA65E8" w:rsidRDefault="009A671C" w:rsidP="002B2426">
      <w:pPr>
        <w:pStyle w:val="ListParagraph"/>
        <w:spacing w:before="120" w:after="0" w:line="240" w:lineRule="auto"/>
        <w:ind w:left="0"/>
        <w:contextualSpacing w:val="0"/>
        <w:jc w:val="center"/>
        <w:rPr>
          <w:rStyle w:val="A1"/>
          <w:rFonts w:ascii="Times New Roman" w:hAnsi="Times New Roman" w:cs="Times New Roman"/>
          <w:bCs/>
          <w:sz w:val="20"/>
          <w:szCs w:val="20"/>
          <w:lang w:val="en-US"/>
        </w:rPr>
      </w:pPr>
      <m:oMath>
        <m:sSubSup>
          <m:sSubSupPr>
            <m:ctrlPr>
              <w:rPr>
                <w:rFonts w:ascii="Cambria Math" w:hAnsi="Cambria Math" w:cs="Times New Roman"/>
                <w:sz w:val="20"/>
                <w:szCs w:val="20"/>
                <w:vertAlign w:val="superscript"/>
                <w:lang w:eastAsia="fr-FR"/>
              </w:rPr>
            </m:ctrlPr>
          </m:sSubSupPr>
          <m:e>
            <m:r>
              <m:rPr>
                <m:sty m:val="p"/>
              </m:rPr>
              <w:rPr>
                <w:rFonts w:ascii="Cambria Math" w:hAnsi="Cambria Math" w:cs="Times New Roman"/>
                <w:sz w:val="20"/>
                <w:szCs w:val="20"/>
                <w:vertAlign w:val="superscript"/>
                <w:lang w:val="en-US" w:eastAsia="fr-FR"/>
              </w:rPr>
              <m:t>pIC</m:t>
            </m:r>
          </m:e>
          <m:sub>
            <m:r>
              <m:rPr>
                <m:sty m:val="p"/>
              </m:rPr>
              <w:rPr>
                <w:rFonts w:ascii="Cambria Math" w:hAnsi="Cambria Math" w:cs="Times New Roman"/>
                <w:sz w:val="20"/>
                <w:szCs w:val="20"/>
                <w:vertAlign w:val="superscript"/>
                <w:lang w:val="en-US" w:eastAsia="fr-FR"/>
              </w:rPr>
              <m:t>50</m:t>
            </m:r>
          </m:sub>
          <m:sup>
            <m:r>
              <m:rPr>
                <m:sty m:val="p"/>
              </m:rPr>
              <w:rPr>
                <w:rFonts w:ascii="Cambria Math" w:hAnsi="Cambria Math" w:cs="Times New Roman"/>
                <w:sz w:val="20"/>
                <w:szCs w:val="20"/>
                <w:vertAlign w:val="superscript"/>
                <w:lang w:val="en-US" w:eastAsia="fr-FR"/>
              </w:rPr>
              <m:t>pre</m:t>
            </m:r>
          </m:sup>
        </m:sSubSup>
      </m:oMath>
      <w:r w:rsidR="00817656" w:rsidRPr="00AA65E8">
        <w:rPr>
          <w:rStyle w:val="A1"/>
          <w:rFonts w:ascii="Times New Roman" w:hAnsi="Times New Roman" w:cs="Times New Roman"/>
          <w:sz w:val="20"/>
          <w:szCs w:val="20"/>
          <w:lang w:val="en-US"/>
        </w:rPr>
        <w:t xml:space="preserve">= </w:t>
      </w:r>
      <w:r w:rsidR="00817656" w:rsidRPr="00AA65E8">
        <w:rPr>
          <w:rStyle w:val="A1"/>
          <w:rFonts w:ascii="Times New Roman" w:hAnsi="Times New Roman" w:cs="Times New Roman"/>
          <w:i/>
          <w:iCs/>
          <w:sz w:val="20"/>
          <w:szCs w:val="20"/>
          <w:lang w:val="en-US"/>
        </w:rPr>
        <w:t>a</w:t>
      </w:r>
      <w:r w:rsidR="00817656" w:rsidRPr="00AA65E8">
        <w:rPr>
          <w:rStyle w:val="A1"/>
          <w:rFonts w:ascii="Times New Roman" w:hAnsi="Times New Roman" w:cs="Times New Roman"/>
          <w:sz w:val="20"/>
          <w:szCs w:val="20"/>
          <w:lang w:val="en-US"/>
        </w:rPr>
        <w:t>·</w:t>
      </w:r>
      <w:r w:rsidR="00817656" w:rsidRPr="00AA65E8">
        <w:rPr>
          <w:rStyle w:val="A1"/>
          <w:rFonts w:ascii="Times New Roman" w:hAnsi="Times New Roman" w:cs="Times New Roman"/>
          <w:sz w:val="20"/>
          <w:szCs w:val="20"/>
        </w:rPr>
        <w:t>ΔΔ</w:t>
      </w:r>
      <w:r w:rsidR="00817656" w:rsidRPr="00AA65E8">
        <w:rPr>
          <w:rStyle w:val="A1"/>
          <w:rFonts w:ascii="Times New Roman" w:hAnsi="Times New Roman" w:cs="Times New Roman"/>
          <w:i/>
          <w:iCs/>
          <w:sz w:val="20"/>
          <w:szCs w:val="20"/>
          <w:lang w:val="en-US"/>
        </w:rPr>
        <w:t>G</w:t>
      </w:r>
      <w:r w:rsidR="00817656" w:rsidRPr="00C44EC5">
        <w:rPr>
          <w:rStyle w:val="A2"/>
          <w:rFonts w:ascii="Times New Roman" w:hAnsi="Times New Roman" w:cs="Times New Roman"/>
          <w:sz w:val="20"/>
          <w:szCs w:val="20"/>
          <w:vertAlign w:val="subscript"/>
          <w:lang w:val="en-US"/>
        </w:rPr>
        <w:t>com</w:t>
      </w:r>
      <w:r w:rsidR="00817656" w:rsidRPr="00AA65E8">
        <w:rPr>
          <w:rStyle w:val="A1"/>
          <w:rFonts w:ascii="Times New Roman" w:hAnsi="Times New Roman" w:cs="Times New Roman"/>
          <w:sz w:val="20"/>
          <w:szCs w:val="20"/>
          <w:lang w:val="en-US"/>
        </w:rPr>
        <w:t>+</w:t>
      </w:r>
      <w:r w:rsidR="00817656" w:rsidRPr="00AA65E8">
        <w:rPr>
          <w:rStyle w:val="A1"/>
          <w:rFonts w:ascii="Times New Roman" w:hAnsi="Times New Roman" w:cs="Times New Roman"/>
          <w:i/>
          <w:iCs/>
          <w:sz w:val="20"/>
          <w:szCs w:val="20"/>
          <w:lang w:val="en-US"/>
        </w:rPr>
        <w:t xml:space="preserve">b </w:t>
      </w:r>
      <w:r w:rsidR="002B2426">
        <w:rPr>
          <w:rStyle w:val="A1"/>
          <w:rFonts w:ascii="Times New Roman" w:hAnsi="Times New Roman" w:cs="Times New Roman"/>
          <w:i/>
          <w:iCs/>
          <w:sz w:val="20"/>
          <w:szCs w:val="20"/>
          <w:lang w:val="en-US"/>
        </w:rPr>
        <w:tab/>
      </w:r>
      <w:r w:rsidR="002B2426">
        <w:rPr>
          <w:rStyle w:val="A1"/>
          <w:rFonts w:ascii="Times New Roman" w:hAnsi="Times New Roman" w:cs="Times New Roman"/>
          <w:i/>
          <w:iCs/>
          <w:sz w:val="20"/>
          <w:szCs w:val="20"/>
          <w:lang w:val="en-US"/>
        </w:rPr>
        <w:tab/>
      </w:r>
      <w:r w:rsidR="00817656" w:rsidRPr="00C44EC5">
        <w:rPr>
          <w:rStyle w:val="A1"/>
          <w:rFonts w:ascii="Times New Roman" w:hAnsi="Times New Roman" w:cs="Times New Roman"/>
          <w:bCs/>
          <w:iCs/>
          <w:sz w:val="20"/>
          <w:szCs w:val="20"/>
          <w:lang w:val="en-US"/>
        </w:rPr>
        <w:t>(2)</w:t>
      </w:r>
      <w:r w:rsidR="00817656" w:rsidRPr="00C44EC5">
        <w:rPr>
          <w:rStyle w:val="A1"/>
          <w:rFonts w:ascii="Times New Roman" w:hAnsi="Times New Roman" w:cs="Times New Roman"/>
          <w:sz w:val="20"/>
          <w:szCs w:val="20"/>
          <w:lang w:val="en-US"/>
        </w:rPr>
        <w:t>.</w:t>
      </w:r>
    </w:p>
    <w:p w:rsidR="00817656" w:rsidRPr="00AA65E8" w:rsidRDefault="00817656" w:rsidP="007F29AC">
      <w:pPr>
        <w:pStyle w:val="ListParagraph"/>
        <w:spacing w:after="0" w:line="240" w:lineRule="auto"/>
        <w:ind w:left="0"/>
        <w:rPr>
          <w:rFonts w:ascii="Times New Roman" w:hAnsi="Times New Roman" w:cs="Times New Roman"/>
          <w:b/>
          <w:bCs/>
          <w:sz w:val="20"/>
          <w:szCs w:val="20"/>
          <w:lang w:val="en-US"/>
        </w:rPr>
      </w:pPr>
    </w:p>
    <w:p w:rsidR="00817656" w:rsidRPr="00AA65E8" w:rsidRDefault="00817656" w:rsidP="00817656">
      <w:pPr>
        <w:pStyle w:val="Head1"/>
        <w:spacing w:after="0"/>
        <w:jc w:val="both"/>
        <w:rPr>
          <w:rFonts w:ascii="Times New Roman" w:hAnsi="Times New Roman"/>
          <w:sz w:val="20"/>
        </w:rPr>
      </w:pPr>
      <w:r w:rsidRPr="00AA65E8">
        <w:rPr>
          <w:rFonts w:ascii="Times New Roman" w:hAnsi="Times New Roman"/>
          <w:sz w:val="20"/>
        </w:rPr>
        <w:t>results</w:t>
      </w:r>
    </w:p>
    <w:p w:rsidR="00817656" w:rsidRPr="00AA65E8" w:rsidRDefault="00817656" w:rsidP="00504E67">
      <w:pPr>
        <w:pStyle w:val="Body"/>
        <w:spacing w:before="120" w:after="0"/>
        <w:jc w:val="left"/>
        <w:rPr>
          <w:rFonts w:ascii="Times New Roman" w:hAnsi="Times New Roman"/>
          <w:b/>
          <w:bCs/>
        </w:rPr>
      </w:pPr>
      <w:r w:rsidRPr="00AA65E8">
        <w:rPr>
          <w:rFonts w:ascii="Times New Roman" w:hAnsi="Times New Roman"/>
          <w:b/>
          <w:bCs/>
        </w:rPr>
        <w:t xml:space="preserve">Training and </w:t>
      </w:r>
      <w:r w:rsidRPr="00504E67">
        <w:rPr>
          <w:rFonts w:ascii="Times New Roman" w:hAnsi="Times New Roman"/>
          <w:b/>
        </w:rPr>
        <w:t>validation</w:t>
      </w:r>
      <w:r w:rsidRPr="00AA65E8">
        <w:rPr>
          <w:rFonts w:ascii="Times New Roman" w:hAnsi="Times New Roman"/>
          <w:b/>
          <w:bCs/>
        </w:rPr>
        <w:t xml:space="preserve"> set</w:t>
      </w:r>
    </w:p>
    <w:p w:rsidR="00817656" w:rsidRPr="00AA65E8" w:rsidRDefault="00817656" w:rsidP="007F29AC">
      <w:pPr>
        <w:pStyle w:val="ListParagraph"/>
        <w:spacing w:after="0" w:line="240" w:lineRule="auto"/>
        <w:ind w:left="0"/>
        <w:jc w:val="both"/>
        <w:rPr>
          <w:rFonts w:ascii="Times New Roman" w:hAnsi="Times New Roman" w:cs="Times New Roman"/>
          <w:bCs/>
          <w:sz w:val="20"/>
          <w:szCs w:val="20"/>
          <w:lang w:val="en-US"/>
        </w:rPr>
      </w:pPr>
      <w:r w:rsidRPr="00AA65E8">
        <w:rPr>
          <w:rFonts w:ascii="Times New Roman" w:hAnsi="Times New Roman" w:cs="Times New Roman"/>
          <w:bCs/>
          <w:sz w:val="20"/>
          <w:szCs w:val="20"/>
          <w:lang w:val="en-US"/>
        </w:rPr>
        <w:lastRenderedPageBreak/>
        <w:t>The training set of 12 CNPs and validation set of another 3 analogs (Table 1) were selected from a homogeneous series of Pf-FP2 inhibitors with known experimentally determined inhibitory activities origin</w:t>
      </w:r>
      <w:r w:rsidR="00DA3CA8">
        <w:rPr>
          <w:rFonts w:ascii="Times New Roman" w:hAnsi="Times New Roman" w:cs="Times New Roman"/>
          <w:bCs/>
          <w:sz w:val="20"/>
          <w:szCs w:val="20"/>
          <w:lang w:val="en-US"/>
        </w:rPr>
        <w:t>ating from a single laboratory</w:t>
      </w:r>
      <w:fldSimple w:instr=" NOTEREF _Ref144976154 \h  \* MERGEFORMAT ">
        <w:r w:rsidRPr="00DA3CA8">
          <w:rPr>
            <w:rFonts w:ascii="Times New Roman" w:hAnsi="Times New Roman" w:cs="Times New Roman"/>
            <w:b/>
            <w:bCs/>
            <w:color w:val="8DB3E2" w:themeColor="text2" w:themeTint="66"/>
            <w:sz w:val="20"/>
            <w:szCs w:val="20"/>
            <w:vertAlign w:val="superscript"/>
            <w:lang w:val="en-US"/>
          </w:rPr>
          <w:t>20</w:t>
        </w:r>
      </w:fldSimple>
      <w:r w:rsidRPr="00AA65E8">
        <w:rPr>
          <w:rFonts w:ascii="Times New Roman" w:hAnsi="Times New Roman" w:cs="Times New Roman"/>
          <w:bCs/>
          <w:sz w:val="20"/>
          <w:szCs w:val="20"/>
          <w:lang w:val="en-US"/>
        </w:rPr>
        <w:t>. The whole series was obtained by variations at two positions R</w:t>
      </w:r>
      <w:r w:rsidRPr="00907AB4">
        <w:rPr>
          <w:rFonts w:ascii="Times New Roman" w:hAnsi="Times New Roman" w:cs="Times New Roman"/>
          <w:bCs/>
          <w:sz w:val="20"/>
          <w:szCs w:val="20"/>
          <w:vertAlign w:val="subscript"/>
          <w:lang w:val="en-US"/>
        </w:rPr>
        <w:t>1</w:t>
      </w:r>
      <w:r w:rsidRPr="00AA65E8">
        <w:rPr>
          <w:rFonts w:ascii="Times New Roman" w:hAnsi="Times New Roman" w:cs="Times New Roman"/>
          <w:bCs/>
          <w:sz w:val="20"/>
          <w:szCs w:val="20"/>
          <w:lang w:val="en-US"/>
        </w:rPr>
        <w:t xml:space="preserve"> and R</w:t>
      </w:r>
      <w:r w:rsidRPr="00907AB4">
        <w:rPr>
          <w:rFonts w:ascii="Times New Roman" w:hAnsi="Times New Roman" w:cs="Times New Roman"/>
          <w:bCs/>
          <w:sz w:val="20"/>
          <w:szCs w:val="20"/>
          <w:vertAlign w:val="subscript"/>
          <w:lang w:val="en-US"/>
        </w:rPr>
        <w:t>2</w:t>
      </w:r>
      <w:r w:rsidRPr="00AA65E8">
        <w:rPr>
          <w:rFonts w:ascii="Times New Roman" w:hAnsi="Times New Roman" w:cs="Times New Roman"/>
          <w:bCs/>
          <w:sz w:val="20"/>
          <w:szCs w:val="20"/>
          <w:lang w:val="en-US"/>
        </w:rPr>
        <w:t xml:space="preserve"> on the backbone of carbonitriles pyrimidine as show in Table 1. The experimental biological activities (0.001 ≤ </w:t>
      </w:r>
      <m:oMath>
        <m:sSubSup>
          <m:sSubSupPr>
            <m:ctrlPr>
              <w:rPr>
                <w:rFonts w:ascii="Cambria Math" w:hAnsi="Cambria Math" w:cs="Times New Roman"/>
                <w:sz w:val="20"/>
                <w:szCs w:val="20"/>
                <w:lang w:eastAsia="fr-FR"/>
              </w:rPr>
            </m:ctrlPr>
          </m:sSubSupPr>
          <m:e>
            <m:r>
              <m:rPr>
                <m:sty m:val="p"/>
              </m:rPr>
              <w:rPr>
                <w:rFonts w:ascii="Cambria Math" w:hAnsi="Cambria Math" w:cs="Times New Roman"/>
                <w:sz w:val="20"/>
                <w:szCs w:val="20"/>
                <w:lang w:val="en-US" w:eastAsia="fr-FR"/>
              </w:rPr>
              <m:t>IC</m:t>
            </m:r>
          </m:e>
          <m:sub>
            <m:r>
              <m:rPr>
                <m:sty m:val="p"/>
              </m:rPr>
              <w:rPr>
                <w:rFonts w:ascii="Cambria Math" w:hAnsi="Cambria Math" w:cs="Times New Roman"/>
                <w:sz w:val="20"/>
                <w:szCs w:val="20"/>
                <w:lang w:val="en-US" w:eastAsia="fr-FR"/>
              </w:rPr>
              <m:t>50</m:t>
            </m:r>
          </m:sub>
          <m:sup>
            <m:r>
              <m:rPr>
                <m:sty m:val="p"/>
              </m:rPr>
              <w:rPr>
                <w:rFonts w:ascii="Cambria Math" w:hAnsi="Cambria Math" w:cs="Times New Roman"/>
                <w:sz w:val="20"/>
                <w:szCs w:val="20"/>
                <w:lang w:val="en-US" w:eastAsia="fr-FR"/>
              </w:rPr>
              <m:t>pre</m:t>
            </m:r>
          </m:sup>
        </m:sSubSup>
      </m:oMath>
      <w:r w:rsidR="000F2AA9">
        <w:rPr>
          <w:rFonts w:ascii="Times New Roman" w:hAnsi="Times New Roman" w:cs="Times New Roman"/>
          <w:bCs/>
          <w:sz w:val="20"/>
          <w:szCs w:val="20"/>
          <w:lang w:val="en-US"/>
        </w:rPr>
        <w:t>≤ 0.609 µM)</w:t>
      </w:r>
      <w:fldSimple w:instr=" NOTEREF _Ref144976154 \h  \* MERGEFORMAT ">
        <w:r w:rsidRPr="000F2AA9">
          <w:rPr>
            <w:rFonts w:ascii="Times New Roman" w:hAnsi="Times New Roman" w:cs="Times New Roman"/>
            <w:b/>
            <w:bCs/>
            <w:color w:val="8DB3E2" w:themeColor="text2" w:themeTint="66"/>
            <w:sz w:val="20"/>
            <w:szCs w:val="20"/>
            <w:vertAlign w:val="superscript"/>
            <w:lang w:val="en-US"/>
          </w:rPr>
          <w:t>20</w:t>
        </w:r>
      </w:fldSimple>
      <w:r w:rsidRPr="00AA65E8">
        <w:rPr>
          <w:rFonts w:ascii="Times New Roman" w:hAnsi="Times New Roman" w:cs="Times New Roman"/>
          <w:bCs/>
          <w:sz w:val="20"/>
          <w:szCs w:val="20"/>
          <w:lang w:val="en-US"/>
        </w:rPr>
        <w:t xml:space="preserve"> cover a sufficiently wide concentration range for building of a reliable QSAR model. The ratio between the sizes of training and validation sets remains a critical point of correct classification but is limited by the count of the set of homologous compounds available from the literature</w:t>
      </w:r>
      <w:r w:rsidRPr="00085505">
        <w:rPr>
          <w:rStyle w:val="EndnoteReference"/>
          <w:rFonts w:ascii="Times New Roman" w:hAnsi="Times New Roman" w:cs="Times New Roman"/>
          <w:b/>
          <w:bCs/>
          <w:color w:val="8DB3E2" w:themeColor="text2" w:themeTint="66"/>
          <w:sz w:val="20"/>
          <w:szCs w:val="20"/>
          <w:lang w:val="en-US"/>
        </w:rPr>
        <w:endnoteReference w:id="40"/>
      </w:r>
      <w:r w:rsidRPr="00AA65E8">
        <w:rPr>
          <w:rFonts w:ascii="Times New Roman" w:hAnsi="Times New Roman" w:cs="Times New Roman"/>
          <w:bCs/>
          <w:sz w:val="20"/>
          <w:szCs w:val="20"/>
          <w:lang w:val="en-US"/>
        </w:rPr>
        <w:t>.</w:t>
      </w:r>
    </w:p>
    <w:p w:rsidR="004B718C" w:rsidRPr="00953CD8" w:rsidRDefault="004B718C" w:rsidP="00504E67">
      <w:pPr>
        <w:pStyle w:val="Body"/>
        <w:spacing w:before="120" w:after="0"/>
        <w:jc w:val="left"/>
        <w:rPr>
          <w:rFonts w:ascii="Times New Roman" w:hAnsi="Times New Roman"/>
        </w:rPr>
      </w:pPr>
      <w:r w:rsidRPr="00953CD8">
        <w:rPr>
          <w:rFonts w:ascii="Times New Roman" w:hAnsi="Times New Roman"/>
          <w:b/>
        </w:rPr>
        <w:t>QSAR model</w:t>
      </w:r>
    </w:p>
    <w:p w:rsidR="00907AB4" w:rsidRDefault="004B718C" w:rsidP="004B718C">
      <w:pPr>
        <w:pStyle w:val="ListParagraph"/>
        <w:spacing w:after="0" w:line="240" w:lineRule="auto"/>
        <w:ind w:left="0"/>
        <w:jc w:val="both"/>
        <w:rPr>
          <w:rFonts w:ascii="Times New Roman" w:hAnsi="Times New Roman" w:cs="Times New Roman"/>
          <w:sz w:val="20"/>
          <w:szCs w:val="20"/>
          <w:lang w:val="en-US"/>
        </w:rPr>
      </w:pPr>
      <w:r w:rsidRPr="00953CD8">
        <w:rPr>
          <w:rFonts w:ascii="Times New Roman" w:hAnsi="Times New Roman" w:cs="Times New Roman"/>
          <w:sz w:val="20"/>
          <w:szCs w:val="20"/>
          <w:lang w:val="en-US"/>
        </w:rPr>
        <w:t xml:space="preserve">The relative GFE expressed during the formation of the (E:I) complex was calculated for the FP2-CNPx complexes as described in method a in section 2-2. Table 2 presents the GFE and its components. </w:t>
      </w:r>
      <w:r w:rsidRPr="00953CD8">
        <w:rPr>
          <w:rFonts w:ascii="Times New Roman" w:hAnsi="Times New Roman" w:cs="Times New Roman"/>
          <w:sz w:val="20"/>
          <w:szCs w:val="20"/>
        </w:rPr>
        <w:t>ΔΔ</w:t>
      </w:r>
      <w:r w:rsidRPr="00953CD8">
        <w:rPr>
          <w:rFonts w:ascii="Times New Roman" w:hAnsi="Times New Roman" w:cs="Times New Roman"/>
          <w:sz w:val="20"/>
          <w:szCs w:val="20"/>
          <w:lang w:val="en-US"/>
        </w:rPr>
        <w:t>G</w:t>
      </w:r>
      <w:r w:rsidRPr="00953CD8">
        <w:rPr>
          <w:rFonts w:ascii="Times New Roman" w:hAnsi="Times New Roman" w:cs="Times New Roman"/>
          <w:sz w:val="20"/>
          <w:szCs w:val="20"/>
          <w:vertAlign w:val="subscript"/>
          <w:lang w:val="en-US"/>
        </w:rPr>
        <w:t>com</w:t>
      </w:r>
      <w:r w:rsidRPr="00953CD8">
        <w:rPr>
          <w:rFonts w:ascii="Times New Roman" w:hAnsi="Times New Roman" w:cs="Times New Roman"/>
          <w:sz w:val="20"/>
          <w:szCs w:val="20"/>
          <w:lang w:val="en-US"/>
        </w:rPr>
        <w:t xml:space="preserve"> reflects the mutual affinity between the enzyme and the inhibitor. Since it is calculated with an approximate approach, the relevance of the binding model is evaluated by a linear regression, eq</w:t>
      </w:r>
      <w:r w:rsidR="006236D9">
        <w:rPr>
          <w:rFonts w:ascii="Times New Roman" w:hAnsi="Times New Roman" w:cs="Times New Roman"/>
          <w:sz w:val="20"/>
          <w:szCs w:val="20"/>
          <w:lang w:val="en-US"/>
        </w:rPr>
        <w:t xml:space="preserve">uation </w:t>
      </w:r>
      <w:r w:rsidRPr="00953CD8">
        <w:rPr>
          <w:rFonts w:ascii="Times New Roman" w:hAnsi="Times New Roman" w:cs="Times New Roman"/>
          <w:sz w:val="20"/>
          <w:szCs w:val="20"/>
          <w:lang w:val="en-US"/>
        </w:rPr>
        <w:t xml:space="preserve">(2) analysis which led to a linear correlation with the </w:t>
      </w:r>
      <w:r w:rsidR="00907C4D">
        <w:rPr>
          <w:rFonts w:ascii="Times New Roman" w:hAnsi="Times New Roman" w:cs="Times New Roman"/>
          <w:sz w:val="20"/>
          <w:szCs w:val="20"/>
          <w:lang w:val="en-US"/>
        </w:rPr>
        <w:t>experimen</w:t>
      </w:r>
      <w:r w:rsidRPr="00953CD8">
        <w:rPr>
          <w:rFonts w:ascii="Times New Roman" w:hAnsi="Times New Roman" w:cs="Times New Roman"/>
          <w:sz w:val="20"/>
          <w:szCs w:val="20"/>
          <w:lang w:val="en-US"/>
        </w:rPr>
        <w:t xml:space="preserve">tal activity data </w:t>
      </w:r>
      <m:oMath>
        <m:sSubSup>
          <m:sSubSupPr>
            <m:ctrlPr>
              <w:rPr>
                <w:rFonts w:ascii="Cambria Math" w:hAnsi="Cambria Math" w:cs="Times New Roman"/>
                <w:sz w:val="20"/>
                <w:szCs w:val="20"/>
                <w:vertAlign w:val="superscript"/>
                <w:lang w:eastAsia="fr-FR"/>
              </w:rPr>
            </m:ctrlPr>
          </m:sSubSupPr>
          <m:e>
            <m:r>
              <m:rPr>
                <m:sty m:val="p"/>
              </m:rPr>
              <w:rPr>
                <w:rFonts w:ascii="Cambria Math" w:hAnsi="Cambria Math" w:cs="Times New Roman"/>
                <w:sz w:val="20"/>
                <w:szCs w:val="20"/>
                <w:vertAlign w:val="superscript"/>
                <w:lang w:val="en-US" w:eastAsia="fr-FR"/>
              </w:rPr>
              <m:t>IC</m:t>
            </m:r>
          </m:e>
          <m:sub>
            <m:r>
              <m:rPr>
                <m:sty m:val="p"/>
              </m:rPr>
              <w:rPr>
                <w:rFonts w:ascii="Cambria Math" w:hAnsi="Cambria Math" w:cs="Times New Roman"/>
                <w:sz w:val="20"/>
                <w:szCs w:val="20"/>
                <w:vertAlign w:val="superscript"/>
                <w:lang w:val="en-US" w:eastAsia="fr-FR"/>
              </w:rPr>
              <m:t>50</m:t>
            </m:r>
          </m:sub>
          <m:sup>
            <m:r>
              <m:rPr>
                <m:sty m:val="p"/>
              </m:rPr>
              <w:rPr>
                <w:rFonts w:ascii="Cambria Math" w:hAnsi="Cambria Math" w:cs="Times New Roman"/>
                <w:sz w:val="20"/>
                <w:szCs w:val="20"/>
                <w:vertAlign w:val="superscript"/>
                <w:lang w:val="en-US" w:eastAsia="fr-FR"/>
              </w:rPr>
              <m:t>pre</m:t>
            </m:r>
          </m:sup>
        </m:sSubSup>
        <w:fldSimple w:instr=" NOTEREF _Ref144976154 \h  \* MERGEFORMAT "/>
      </m:oMath>
      <w:r w:rsidRPr="00085505">
        <w:rPr>
          <w:rFonts w:ascii="Times New Roman" w:hAnsi="Times New Roman" w:cs="Times New Roman"/>
          <w:b/>
          <w:color w:val="8DB3E2" w:themeColor="text2" w:themeTint="66"/>
          <w:sz w:val="20"/>
          <w:szCs w:val="20"/>
          <w:vertAlign w:val="superscript"/>
          <w:lang w:val="en-US"/>
        </w:rPr>
        <w:t>20</w:t>
      </w:r>
      <w:r w:rsidRPr="00953CD8">
        <w:rPr>
          <w:rFonts w:ascii="Times New Roman" w:hAnsi="Times New Roman" w:cs="Times New Roman"/>
          <w:sz w:val="20"/>
          <w:szCs w:val="20"/>
          <w:lang w:val="en-US"/>
        </w:rPr>
        <w:t xml:space="preserve">. A correlation equation obtained for the GFE </w:t>
      </w:r>
      <w:r w:rsidRPr="00953CD8">
        <w:rPr>
          <w:rFonts w:ascii="Times New Roman" w:hAnsi="Times New Roman" w:cs="Times New Roman"/>
          <w:sz w:val="20"/>
          <w:szCs w:val="20"/>
        </w:rPr>
        <w:t>ΔΔ</w:t>
      </w:r>
      <w:r w:rsidRPr="00953CD8">
        <w:rPr>
          <w:rFonts w:ascii="Times New Roman" w:hAnsi="Times New Roman" w:cs="Times New Roman"/>
          <w:sz w:val="20"/>
          <w:szCs w:val="20"/>
          <w:lang w:val="en-US"/>
        </w:rPr>
        <w:t>G</w:t>
      </w:r>
      <w:r w:rsidRPr="00953CD8">
        <w:rPr>
          <w:rFonts w:ascii="Times New Roman" w:hAnsi="Times New Roman" w:cs="Times New Roman"/>
          <w:sz w:val="20"/>
          <w:szCs w:val="20"/>
          <w:vertAlign w:val="subscript"/>
          <w:lang w:val="en-US"/>
        </w:rPr>
        <w:t>com</w:t>
      </w:r>
      <w:r w:rsidRPr="00953CD8">
        <w:rPr>
          <w:rFonts w:ascii="Times New Roman" w:hAnsi="Times New Roman" w:cs="Times New Roman"/>
          <w:sz w:val="20"/>
          <w:szCs w:val="20"/>
          <w:lang w:val="en-US"/>
        </w:rPr>
        <w:t>, eq</w:t>
      </w:r>
      <w:r w:rsidR="006236D9">
        <w:rPr>
          <w:rFonts w:ascii="Times New Roman" w:hAnsi="Times New Roman" w:cs="Times New Roman"/>
          <w:sz w:val="20"/>
          <w:szCs w:val="20"/>
          <w:lang w:val="en-US"/>
        </w:rPr>
        <w:t xml:space="preserve">uation </w:t>
      </w:r>
      <w:r w:rsidRPr="00953CD8">
        <w:rPr>
          <w:rFonts w:ascii="Times New Roman" w:hAnsi="Times New Roman" w:cs="Times New Roman"/>
          <w:sz w:val="20"/>
          <w:szCs w:val="20"/>
          <w:lang w:val="en-US"/>
        </w:rPr>
        <w:t>(3) is presented in Table 3 with the relevant statistical data. The relatively high values of the regression coefficient R</w:t>
      </w:r>
      <w:r w:rsidRPr="00953CD8">
        <w:rPr>
          <w:rFonts w:ascii="Times New Roman" w:hAnsi="Times New Roman" w:cs="Times New Roman"/>
          <w:sz w:val="20"/>
          <w:szCs w:val="20"/>
          <w:vertAlign w:val="superscript"/>
          <w:lang w:val="en-US"/>
        </w:rPr>
        <w:t>2</w:t>
      </w:r>
      <w:r w:rsidRPr="00953CD8">
        <w:rPr>
          <w:rFonts w:ascii="Times New Roman" w:hAnsi="Times New Roman" w:cs="Times New Roman"/>
          <w:sz w:val="20"/>
          <w:szCs w:val="20"/>
          <w:lang w:val="en-US"/>
        </w:rPr>
        <w:t xml:space="preserve"> = 97% and the Fischer F-test of the correlation involving </w:t>
      </w:r>
      <w:r w:rsidRPr="00953CD8">
        <w:rPr>
          <w:rFonts w:ascii="Times New Roman" w:hAnsi="Times New Roman" w:cs="Times New Roman"/>
          <w:sz w:val="20"/>
          <w:szCs w:val="20"/>
        </w:rPr>
        <w:t>ΔΔ</w:t>
      </w:r>
      <w:r w:rsidRPr="00953CD8">
        <w:rPr>
          <w:rFonts w:ascii="Times New Roman" w:hAnsi="Times New Roman" w:cs="Times New Roman"/>
          <w:sz w:val="20"/>
          <w:szCs w:val="20"/>
          <w:lang w:val="en-US"/>
        </w:rPr>
        <w:t>G</w:t>
      </w:r>
      <w:r w:rsidRPr="00953CD8">
        <w:rPr>
          <w:rFonts w:ascii="Times New Roman" w:hAnsi="Times New Roman" w:cs="Times New Roman"/>
          <w:sz w:val="20"/>
          <w:szCs w:val="20"/>
          <w:vertAlign w:val="subscript"/>
          <w:lang w:val="en-US"/>
        </w:rPr>
        <w:t>com</w:t>
      </w:r>
      <w:r w:rsidRPr="00953CD8">
        <w:rPr>
          <w:rFonts w:ascii="Times New Roman" w:hAnsi="Times New Roman" w:cs="Times New Roman"/>
          <w:sz w:val="20"/>
          <w:szCs w:val="20"/>
          <w:lang w:val="en-US"/>
        </w:rPr>
        <w:t xml:space="preserve">, indicate a strong relationship between the binding model and the </w:t>
      </w:r>
      <w:r w:rsidR="00890CC9">
        <w:rPr>
          <w:rFonts w:ascii="Times New Roman" w:hAnsi="Times New Roman" w:cs="Times New Roman"/>
          <w:sz w:val="20"/>
          <w:szCs w:val="20"/>
          <w:lang w:val="en-US"/>
        </w:rPr>
        <w:t>experimen</w:t>
      </w:r>
      <w:r w:rsidRPr="00953CD8">
        <w:rPr>
          <w:rFonts w:ascii="Times New Roman" w:hAnsi="Times New Roman" w:cs="Times New Roman"/>
          <w:sz w:val="20"/>
          <w:szCs w:val="20"/>
          <w:lang w:val="en-US"/>
        </w:rPr>
        <w:t xml:space="preserve">tal inhibitory power </w:t>
      </w:r>
      <m:oMath>
        <m:sSubSup>
          <m:sSubSupPr>
            <m:ctrlPr>
              <w:rPr>
                <w:rFonts w:ascii="Cambria Math" w:hAnsi="Cambria Math" w:cs="Times New Roman"/>
                <w:sz w:val="20"/>
                <w:szCs w:val="20"/>
                <w:vertAlign w:val="superscript"/>
                <w:lang w:eastAsia="fr-FR"/>
              </w:rPr>
            </m:ctrlPr>
          </m:sSubSupPr>
          <m:e>
            <m:r>
              <m:rPr>
                <m:sty m:val="p"/>
              </m:rPr>
              <w:rPr>
                <w:rFonts w:ascii="Cambria Math" w:hAnsi="Cambria Math" w:cs="Times New Roman"/>
                <w:sz w:val="20"/>
                <w:szCs w:val="20"/>
                <w:vertAlign w:val="superscript"/>
                <w:lang w:val="en-US" w:eastAsia="fr-FR"/>
              </w:rPr>
              <m:t>IC</m:t>
            </m:r>
          </m:e>
          <m:sub>
            <m:r>
              <m:rPr>
                <m:sty m:val="p"/>
              </m:rPr>
              <w:rPr>
                <w:rFonts w:ascii="Cambria Math" w:hAnsi="Cambria Math" w:cs="Times New Roman"/>
                <w:sz w:val="20"/>
                <w:szCs w:val="20"/>
                <w:vertAlign w:val="superscript"/>
                <w:lang w:val="en-US" w:eastAsia="fr-FR"/>
              </w:rPr>
              <m:t>50</m:t>
            </m:r>
          </m:sub>
          <m:sup>
            <m:r>
              <m:rPr>
                <m:sty m:val="p"/>
              </m:rPr>
              <w:rPr>
                <w:rFonts w:ascii="Cambria Math" w:hAnsi="Cambria Math" w:cs="Times New Roman"/>
                <w:sz w:val="20"/>
                <w:szCs w:val="20"/>
                <w:vertAlign w:val="superscript"/>
                <w:lang w:val="en-US" w:eastAsia="fr-FR"/>
              </w:rPr>
              <m:t>pre</m:t>
            </m:r>
          </m:sup>
        </m:sSubSup>
      </m:oMath>
      <w:r w:rsidRPr="00953CD8">
        <w:rPr>
          <w:rFonts w:ascii="Times New Roman" w:hAnsi="Times New Roman" w:cs="Times New Roman"/>
          <w:sz w:val="20"/>
          <w:szCs w:val="20"/>
          <w:lang w:val="en-US"/>
        </w:rPr>
        <w:t xml:space="preserve"> of the CN</w:t>
      </w:r>
      <w:r w:rsidR="00907AB4">
        <w:rPr>
          <w:rFonts w:ascii="Times New Roman" w:hAnsi="Times New Roman" w:cs="Times New Roman"/>
          <w:sz w:val="20"/>
          <w:szCs w:val="20"/>
          <w:lang w:val="en-US"/>
        </w:rPr>
        <w:t>P series as indicated in Figure</w:t>
      </w:r>
      <w:r w:rsidRPr="00953CD8">
        <w:rPr>
          <w:rFonts w:ascii="Times New Roman" w:hAnsi="Times New Roman" w:cs="Times New Roman"/>
          <w:sz w:val="20"/>
          <w:szCs w:val="20"/>
          <w:lang w:val="en-US"/>
        </w:rPr>
        <w:t xml:space="preserve"> 2. </w:t>
      </w:r>
    </w:p>
    <w:p w:rsidR="00907AB4" w:rsidRDefault="00907AB4" w:rsidP="004B718C">
      <w:pPr>
        <w:pStyle w:val="ListParagraph"/>
        <w:spacing w:after="0" w:line="240" w:lineRule="auto"/>
        <w:ind w:left="0"/>
        <w:jc w:val="both"/>
        <w:rPr>
          <w:rFonts w:ascii="Times New Roman" w:hAnsi="Times New Roman" w:cs="Times New Roman"/>
          <w:sz w:val="20"/>
          <w:szCs w:val="20"/>
          <w:lang w:val="en-US"/>
        </w:rPr>
      </w:pPr>
    </w:p>
    <w:p w:rsidR="00817656" w:rsidRPr="009E3E56" w:rsidRDefault="00817656" w:rsidP="004B718C">
      <w:pPr>
        <w:pStyle w:val="ListParagraph"/>
        <w:spacing w:after="0" w:line="240" w:lineRule="auto"/>
        <w:ind w:left="0"/>
        <w:jc w:val="both"/>
        <w:rPr>
          <w:rFonts w:ascii="Times New Roman" w:hAnsi="Times New Roman" w:cs="Times New Roman"/>
          <w:sz w:val="20"/>
          <w:szCs w:val="20"/>
          <w:lang w:val="en-US"/>
        </w:rPr>
      </w:pPr>
      <w:r w:rsidRPr="00C44EC5">
        <w:rPr>
          <w:rFonts w:ascii="Times New Roman" w:hAnsi="Times New Roman" w:cs="Times New Roman"/>
          <w:bCs/>
          <w:sz w:val="18"/>
          <w:szCs w:val="18"/>
          <w:lang w:val="en-US"/>
        </w:rPr>
        <w:t xml:space="preserve">Table 1: Training set (CNP1-12) and validation set (CNPV 1-3) of </w:t>
      </w:r>
      <w:r w:rsidRPr="00C44EC5">
        <w:rPr>
          <w:rFonts w:ascii="Times New Roman" w:hAnsi="Times New Roman" w:cs="Times New Roman"/>
          <w:bCs/>
          <w:i/>
          <w:iCs/>
          <w:sz w:val="18"/>
          <w:szCs w:val="18"/>
          <w:lang w:val="en-US"/>
        </w:rPr>
        <w:t>Pf</w:t>
      </w:r>
      <w:r w:rsidRPr="00C44EC5">
        <w:rPr>
          <w:rFonts w:ascii="Times New Roman" w:hAnsi="Times New Roman" w:cs="Times New Roman"/>
          <w:bCs/>
          <w:iCs/>
          <w:sz w:val="18"/>
          <w:szCs w:val="18"/>
          <w:lang w:val="en-US"/>
        </w:rPr>
        <w:t>FP2</w:t>
      </w:r>
      <w:r w:rsidR="00DA3CA8">
        <w:rPr>
          <w:rFonts w:ascii="Times New Roman" w:hAnsi="Times New Roman" w:cs="Times New Roman"/>
          <w:bCs/>
          <w:sz w:val="18"/>
          <w:szCs w:val="18"/>
          <w:lang w:val="en-US"/>
        </w:rPr>
        <w:t xml:space="preserve"> inhibitors</w:t>
      </w:r>
      <w:fldSimple w:instr=" NOTEREF _Ref144976154 \h  \* MERGEFORMAT ">
        <w:r w:rsidRPr="00DA3CA8">
          <w:rPr>
            <w:rFonts w:ascii="Times New Roman" w:hAnsi="Times New Roman" w:cs="Times New Roman"/>
            <w:b/>
            <w:bCs/>
            <w:color w:val="8DB3E2" w:themeColor="text2" w:themeTint="66"/>
            <w:sz w:val="18"/>
            <w:szCs w:val="18"/>
            <w:vertAlign w:val="superscript"/>
            <w:lang w:val="en-US"/>
          </w:rPr>
          <w:t>20</w:t>
        </w:r>
      </w:fldSimple>
      <w:r w:rsidRPr="00C44EC5">
        <w:rPr>
          <w:rFonts w:ascii="Times New Roman" w:hAnsi="Times New Roman" w:cs="Times New Roman"/>
          <w:bCs/>
          <w:sz w:val="18"/>
          <w:szCs w:val="18"/>
          <w:lang w:val="en-US"/>
        </w:rPr>
        <w:t xml:space="preserve"> used in the preparation of QSAR models of inhibitor binding. The R</w:t>
      </w:r>
      <w:r w:rsidRPr="00C44EC5">
        <w:rPr>
          <w:rFonts w:ascii="Times New Roman" w:hAnsi="Times New Roman" w:cs="Times New Roman"/>
          <w:bCs/>
          <w:sz w:val="18"/>
          <w:szCs w:val="18"/>
          <w:vertAlign w:val="subscript"/>
          <w:lang w:val="en-US"/>
        </w:rPr>
        <w:t>1</w:t>
      </w:r>
      <w:r w:rsidR="00256B82">
        <w:rPr>
          <w:rFonts w:ascii="Times New Roman" w:hAnsi="Times New Roman" w:cs="Times New Roman"/>
          <w:bCs/>
          <w:sz w:val="18"/>
          <w:szCs w:val="18"/>
          <w:lang w:val="en-US"/>
        </w:rPr>
        <w:t xml:space="preserve">(Bottom) </w:t>
      </w:r>
      <w:r w:rsidRPr="00C44EC5">
        <w:rPr>
          <w:rFonts w:ascii="Times New Roman" w:hAnsi="Times New Roman" w:cs="Times New Roman"/>
          <w:bCs/>
          <w:sz w:val="18"/>
          <w:szCs w:val="18"/>
          <w:lang w:val="en-US"/>
        </w:rPr>
        <w:t>and R</w:t>
      </w:r>
      <w:r w:rsidRPr="00C44EC5">
        <w:rPr>
          <w:rFonts w:ascii="Times New Roman" w:hAnsi="Times New Roman" w:cs="Times New Roman"/>
          <w:bCs/>
          <w:sz w:val="18"/>
          <w:szCs w:val="18"/>
          <w:vertAlign w:val="subscript"/>
          <w:lang w:val="en-US"/>
        </w:rPr>
        <w:t>2</w:t>
      </w:r>
      <w:r w:rsidR="00256B82">
        <w:rPr>
          <w:rFonts w:ascii="Times New Roman" w:hAnsi="Times New Roman" w:cs="Times New Roman"/>
          <w:bCs/>
          <w:sz w:val="18"/>
          <w:szCs w:val="18"/>
          <w:lang w:val="en-US"/>
        </w:rPr>
        <w:t xml:space="preserve">(Top) </w:t>
      </w:r>
      <w:r w:rsidRPr="00C44EC5">
        <w:rPr>
          <w:rFonts w:ascii="Times New Roman" w:hAnsi="Times New Roman" w:cs="Times New Roman"/>
          <w:bCs/>
          <w:sz w:val="18"/>
          <w:szCs w:val="18"/>
          <w:lang w:val="en-US"/>
        </w:rPr>
        <w:t>groups are numbered in the first part of the Table as #R ≡ group index</w:t>
      </w:r>
    </w:p>
    <w:p w:rsidR="00AA65E8" w:rsidRDefault="00AA65E8" w:rsidP="00AA65E8">
      <w:pPr>
        <w:rPr>
          <w:rFonts w:eastAsia="TimesNewRoman"/>
          <w:lang w:eastAsia="en-GB"/>
        </w:rPr>
      </w:pPr>
    </w:p>
    <w:tbl>
      <w:tblPr>
        <w:tblStyle w:val="TableGrid"/>
        <w:tblW w:w="0" w:type="auto"/>
        <w:jc w:val="center"/>
        <w:tblLook w:val="04A0"/>
      </w:tblPr>
      <w:tblGrid>
        <w:gridCol w:w="4694"/>
      </w:tblGrid>
      <w:tr w:rsidR="00256B82" w:rsidTr="00256B82">
        <w:trPr>
          <w:jc w:val="center"/>
        </w:trPr>
        <w:tc>
          <w:tcPr>
            <w:tcW w:w="4694" w:type="dxa"/>
            <w:tcMar>
              <w:left w:w="28" w:type="dxa"/>
              <w:right w:w="28" w:type="dxa"/>
            </w:tcMar>
            <w:vAlign w:val="center"/>
          </w:tcPr>
          <w:p w:rsidR="00256B82" w:rsidRDefault="00256B82" w:rsidP="00256B82">
            <w:pPr>
              <w:pStyle w:val="NoSpacing"/>
              <w:jc w:val="both"/>
              <w:rPr>
                <w:rFonts w:ascii="Arial" w:hAnsi="Arial" w:cs="Arial"/>
              </w:rPr>
            </w:pPr>
            <w:r w:rsidRPr="00256B82">
              <w:rPr>
                <w:rFonts w:ascii="Arial" w:hAnsi="Arial" w:cs="Arial"/>
                <w:noProof/>
                <w:lang w:val="en-GB" w:eastAsia="en-GB"/>
              </w:rPr>
              <w:drawing>
                <wp:inline distT="0" distB="0" distL="0" distR="0">
                  <wp:extent cx="2844000" cy="19221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000" cy="1922189"/>
                          </a:xfrm>
                          <a:prstGeom prst="rect">
                            <a:avLst/>
                          </a:prstGeom>
                          <a:noFill/>
                          <a:ln>
                            <a:noFill/>
                          </a:ln>
                        </pic:spPr>
                      </pic:pic>
                    </a:graphicData>
                  </a:graphic>
                </wp:inline>
              </w:drawing>
            </w:r>
          </w:p>
        </w:tc>
      </w:tr>
    </w:tbl>
    <w:p w:rsidR="00256B82" w:rsidRPr="00890CC9" w:rsidRDefault="00256B82" w:rsidP="00AA65E8">
      <w:pPr>
        <w:rPr>
          <w:rFonts w:eastAsia="TimesNewRoman"/>
          <w:sz w:val="16"/>
          <w:szCs w:val="16"/>
          <w:lang w:eastAsia="en-GB"/>
        </w:rPr>
      </w:pPr>
    </w:p>
    <w:tbl>
      <w:tblPr>
        <w:tblStyle w:val="TableGrid"/>
        <w:tblW w:w="0" w:type="auto"/>
        <w:jc w:val="center"/>
        <w:tblLook w:val="04A0"/>
      </w:tblPr>
      <w:tblGrid>
        <w:gridCol w:w="1039"/>
        <w:gridCol w:w="502"/>
        <w:gridCol w:w="564"/>
        <w:gridCol w:w="564"/>
        <w:gridCol w:w="657"/>
        <w:gridCol w:w="657"/>
        <w:gridCol w:w="657"/>
      </w:tblGrid>
      <w:tr w:rsidR="002F3E37" w:rsidRPr="00C3289D" w:rsidTr="002B3821">
        <w:trPr>
          <w:jc w:val="center"/>
        </w:trPr>
        <w:tc>
          <w:tcPr>
            <w:tcW w:w="1039" w:type="dxa"/>
            <w:tcMar>
              <w:left w:w="28" w:type="dxa"/>
              <w:right w:w="28" w:type="dxa"/>
            </w:tcMar>
            <w:vAlign w:val="center"/>
          </w:tcPr>
          <w:p w:rsidR="002F3E37" w:rsidRPr="00C3289D" w:rsidRDefault="002F3E37" w:rsidP="002F3E37">
            <w:pPr>
              <w:rPr>
                <w:rFonts w:ascii="Times New Roman" w:eastAsia="TimesNewRoman" w:hAnsi="Times New Roman"/>
                <w:sz w:val="18"/>
                <w:szCs w:val="18"/>
                <w:lang w:eastAsia="en-GB"/>
              </w:rPr>
            </w:pPr>
            <w:r w:rsidRPr="00C3289D">
              <w:rPr>
                <w:rFonts w:ascii="Times New Roman" w:hAnsi="Times New Roman"/>
                <w:sz w:val="18"/>
                <w:szCs w:val="18"/>
              </w:rPr>
              <w:t>Training set</w:t>
            </w:r>
          </w:p>
        </w:tc>
        <w:tc>
          <w:tcPr>
            <w:tcW w:w="502"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CNP1</w:t>
            </w:r>
          </w:p>
        </w:tc>
        <w:tc>
          <w:tcPr>
            <w:tcW w:w="564"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CNP2</w:t>
            </w:r>
          </w:p>
        </w:tc>
        <w:tc>
          <w:tcPr>
            <w:tcW w:w="564"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CNP3</w:t>
            </w:r>
          </w:p>
        </w:tc>
        <w:tc>
          <w:tcPr>
            <w:tcW w:w="657" w:type="dxa"/>
          </w:tcPr>
          <w:p w:rsidR="002F3E37" w:rsidRDefault="002F3E37" w:rsidP="002B3821">
            <w:pPr>
              <w:jc w:val="center"/>
            </w:pPr>
            <w:r w:rsidRPr="009A5662">
              <w:rPr>
                <w:rFonts w:ascii="Times New Roman" w:hAnsi="Times New Roman"/>
                <w:sz w:val="18"/>
                <w:szCs w:val="18"/>
                <w:lang w:val="fr-CI"/>
              </w:rPr>
              <w:t>CNP</w:t>
            </w:r>
            <w:r>
              <w:rPr>
                <w:rFonts w:ascii="Times New Roman" w:hAnsi="Times New Roman"/>
                <w:sz w:val="18"/>
                <w:szCs w:val="18"/>
                <w:lang w:val="fr-CI"/>
              </w:rPr>
              <w:t>4</w:t>
            </w:r>
          </w:p>
        </w:tc>
        <w:tc>
          <w:tcPr>
            <w:tcW w:w="657" w:type="dxa"/>
          </w:tcPr>
          <w:p w:rsidR="002F3E37" w:rsidRDefault="002F3E37" w:rsidP="002B3821">
            <w:pPr>
              <w:jc w:val="center"/>
            </w:pPr>
            <w:r w:rsidRPr="009A5662">
              <w:rPr>
                <w:rFonts w:ascii="Times New Roman" w:hAnsi="Times New Roman"/>
                <w:sz w:val="18"/>
                <w:szCs w:val="18"/>
                <w:lang w:val="fr-CI"/>
              </w:rPr>
              <w:t>CNP</w:t>
            </w:r>
            <w:r>
              <w:rPr>
                <w:rFonts w:ascii="Times New Roman" w:hAnsi="Times New Roman"/>
                <w:sz w:val="18"/>
                <w:szCs w:val="18"/>
                <w:lang w:val="fr-CI"/>
              </w:rPr>
              <w:t>5</w:t>
            </w:r>
          </w:p>
        </w:tc>
        <w:tc>
          <w:tcPr>
            <w:tcW w:w="657" w:type="dxa"/>
          </w:tcPr>
          <w:p w:rsidR="002F3E37" w:rsidRDefault="002F3E37" w:rsidP="002B3821">
            <w:pPr>
              <w:jc w:val="center"/>
            </w:pPr>
            <w:r w:rsidRPr="009A5662">
              <w:rPr>
                <w:rFonts w:ascii="Times New Roman" w:hAnsi="Times New Roman"/>
                <w:sz w:val="18"/>
                <w:szCs w:val="18"/>
                <w:lang w:val="fr-CI"/>
              </w:rPr>
              <w:t>CNP</w:t>
            </w:r>
            <w:r>
              <w:rPr>
                <w:rFonts w:ascii="Times New Roman" w:hAnsi="Times New Roman"/>
                <w:sz w:val="18"/>
                <w:szCs w:val="18"/>
                <w:lang w:val="fr-CI"/>
              </w:rPr>
              <w:t>6</w:t>
            </w:r>
          </w:p>
        </w:tc>
      </w:tr>
      <w:tr w:rsidR="002F3E37" w:rsidRPr="00C3289D" w:rsidTr="002B3821">
        <w:trPr>
          <w:jc w:val="center"/>
        </w:trPr>
        <w:tc>
          <w:tcPr>
            <w:tcW w:w="1039" w:type="dxa"/>
            <w:tcMar>
              <w:left w:w="28" w:type="dxa"/>
              <w:right w:w="28" w:type="dxa"/>
            </w:tcMar>
            <w:vAlign w:val="center"/>
          </w:tcPr>
          <w:p w:rsidR="002F3E37" w:rsidRPr="00C3289D" w:rsidRDefault="002F3E37" w:rsidP="00AA65E8">
            <w:pPr>
              <w:rPr>
                <w:rFonts w:ascii="Times New Roman" w:eastAsia="TimesNewRoman" w:hAnsi="Times New Roman"/>
                <w:sz w:val="18"/>
                <w:szCs w:val="18"/>
                <w:lang w:eastAsia="en-GB"/>
              </w:rPr>
            </w:pPr>
            <w:r w:rsidRPr="00C3289D">
              <w:rPr>
                <w:rFonts w:ascii="Times New Roman" w:hAnsi="Times New Roman"/>
                <w:sz w:val="18"/>
                <w:szCs w:val="18"/>
              </w:rPr>
              <w:t>#R</w:t>
            </w:r>
            <w:r w:rsidRPr="00C3289D">
              <w:rPr>
                <w:rFonts w:ascii="Times New Roman" w:hAnsi="Times New Roman"/>
                <w:sz w:val="18"/>
                <w:szCs w:val="18"/>
                <w:vertAlign w:val="subscript"/>
              </w:rPr>
              <w:t>1</w:t>
            </w:r>
            <w:r w:rsidRPr="00C3289D">
              <w:rPr>
                <w:rFonts w:ascii="Times New Roman" w:hAnsi="Times New Roman"/>
                <w:sz w:val="18"/>
                <w:szCs w:val="18"/>
              </w:rPr>
              <w:t>−#R</w:t>
            </w:r>
            <w:r w:rsidRPr="00C3289D">
              <w:rPr>
                <w:rFonts w:ascii="Times New Roman" w:hAnsi="Times New Roman"/>
                <w:sz w:val="18"/>
                <w:szCs w:val="18"/>
                <w:vertAlign w:val="subscript"/>
              </w:rPr>
              <w:t>2</w:t>
            </w:r>
          </w:p>
        </w:tc>
        <w:tc>
          <w:tcPr>
            <w:tcW w:w="502"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1-9</w:t>
            </w:r>
          </w:p>
        </w:tc>
        <w:tc>
          <w:tcPr>
            <w:tcW w:w="564"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4-10</w:t>
            </w:r>
          </w:p>
        </w:tc>
        <w:tc>
          <w:tcPr>
            <w:tcW w:w="564"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5-9</w:t>
            </w:r>
          </w:p>
        </w:tc>
        <w:tc>
          <w:tcPr>
            <w:tcW w:w="657" w:type="dxa"/>
          </w:tcPr>
          <w:p w:rsidR="002F3E37" w:rsidRPr="00C3289D" w:rsidRDefault="00313430" w:rsidP="002B3821">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6-9</w:t>
            </w:r>
          </w:p>
        </w:tc>
        <w:tc>
          <w:tcPr>
            <w:tcW w:w="657" w:type="dxa"/>
          </w:tcPr>
          <w:p w:rsidR="002F3E37" w:rsidRPr="00C3289D" w:rsidRDefault="00313430" w:rsidP="002B3821">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4-11</w:t>
            </w:r>
          </w:p>
        </w:tc>
        <w:tc>
          <w:tcPr>
            <w:tcW w:w="657" w:type="dxa"/>
          </w:tcPr>
          <w:p w:rsidR="002F3E37" w:rsidRPr="00C3289D" w:rsidRDefault="00313430" w:rsidP="002B3821">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4-12</w:t>
            </w:r>
          </w:p>
        </w:tc>
      </w:tr>
      <w:tr w:rsidR="002F3E37" w:rsidRPr="00C3289D" w:rsidTr="002B3821">
        <w:trPr>
          <w:jc w:val="center"/>
        </w:trPr>
        <w:tc>
          <w:tcPr>
            <w:tcW w:w="1039" w:type="dxa"/>
            <w:tcMar>
              <w:left w:w="28" w:type="dxa"/>
              <w:right w:w="28" w:type="dxa"/>
            </w:tcMar>
            <w:vAlign w:val="center"/>
          </w:tcPr>
          <w:p w:rsidR="002F3E37" w:rsidRPr="00C3289D" w:rsidRDefault="009A671C" w:rsidP="00AA65E8">
            <w:pPr>
              <w:rPr>
                <w:rFonts w:ascii="Times New Roman" w:eastAsia="TimesNewRoman" w:hAnsi="Times New Roman"/>
                <w:sz w:val="18"/>
                <w:szCs w:val="18"/>
                <w:lang w:eastAsia="en-GB"/>
              </w:rPr>
            </w:pPr>
            <m:oMath>
              <m:sSubSup>
                <m:sSubSupPr>
                  <m:ctrlPr>
                    <w:rPr>
                      <w:rFonts w:ascii="Cambria Math" w:hAnsi="Cambria Math"/>
                      <w:sz w:val="18"/>
                      <w:szCs w:val="18"/>
                      <w:vertAlign w:val="superscript"/>
                      <w:lang w:eastAsia="fr-FR"/>
                    </w:rPr>
                  </m:ctrlPr>
                </m:sSubSupPr>
                <m:e>
                  <m:r>
                    <m:rPr>
                      <m:sty m:val="p"/>
                    </m:rPr>
                    <w:rPr>
                      <w:rFonts w:ascii="Cambria Math" w:hAnsi="Cambria Math"/>
                      <w:sz w:val="18"/>
                      <w:szCs w:val="18"/>
                      <w:vertAlign w:val="superscript"/>
                      <w:lang w:eastAsia="fr-FR"/>
                    </w:rPr>
                    <m:t>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m:oMath>
            <w:r w:rsidR="002F3E37" w:rsidRPr="00C3289D">
              <w:rPr>
                <w:rFonts w:ascii="Times New Roman" w:hAnsi="Times New Roman"/>
                <w:sz w:val="18"/>
                <w:szCs w:val="18"/>
              </w:rPr>
              <w:t xml:space="preserve"> (nM)</w:t>
            </w:r>
          </w:p>
        </w:tc>
        <w:tc>
          <w:tcPr>
            <w:tcW w:w="502"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60</w:t>
            </w:r>
          </w:p>
        </w:tc>
        <w:tc>
          <w:tcPr>
            <w:tcW w:w="564"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9</w:t>
            </w:r>
          </w:p>
        </w:tc>
        <w:tc>
          <w:tcPr>
            <w:tcW w:w="564" w:type="dxa"/>
            <w:tcMar>
              <w:left w:w="28" w:type="dxa"/>
              <w:right w:w="28" w:type="dxa"/>
            </w:tcMar>
            <w:vAlign w:val="center"/>
          </w:tcPr>
          <w:p w:rsidR="002F3E37" w:rsidRPr="00C3289D" w:rsidRDefault="002F3E37" w:rsidP="002B3821">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40</w:t>
            </w:r>
          </w:p>
        </w:tc>
        <w:tc>
          <w:tcPr>
            <w:tcW w:w="657" w:type="dxa"/>
          </w:tcPr>
          <w:p w:rsidR="002F3E37" w:rsidRPr="00C3289D" w:rsidRDefault="00313430" w:rsidP="002B3821">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79</w:t>
            </w:r>
          </w:p>
        </w:tc>
        <w:tc>
          <w:tcPr>
            <w:tcW w:w="657" w:type="dxa"/>
          </w:tcPr>
          <w:p w:rsidR="002F3E37" w:rsidRPr="00C3289D" w:rsidRDefault="00313430" w:rsidP="002B3821">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24</w:t>
            </w:r>
          </w:p>
        </w:tc>
        <w:tc>
          <w:tcPr>
            <w:tcW w:w="657" w:type="dxa"/>
          </w:tcPr>
          <w:p w:rsidR="002F3E37" w:rsidRPr="00C3289D" w:rsidRDefault="00313430" w:rsidP="002B3821">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2</w:t>
            </w:r>
          </w:p>
        </w:tc>
      </w:tr>
    </w:tbl>
    <w:p w:rsidR="00C44EC5" w:rsidRPr="00890CC9" w:rsidRDefault="00C44EC5" w:rsidP="00AA65E8">
      <w:pPr>
        <w:rPr>
          <w:rFonts w:eastAsia="TimesNewRoman"/>
          <w:sz w:val="16"/>
          <w:szCs w:val="16"/>
          <w:lang w:eastAsia="en-GB"/>
        </w:rPr>
      </w:pPr>
    </w:p>
    <w:tbl>
      <w:tblPr>
        <w:tblStyle w:val="TableGrid"/>
        <w:tblW w:w="4850" w:type="pct"/>
        <w:jc w:val="center"/>
        <w:tblLook w:val="04A0"/>
      </w:tblPr>
      <w:tblGrid>
        <w:gridCol w:w="2206"/>
        <w:gridCol w:w="1177"/>
        <w:gridCol w:w="1175"/>
        <w:gridCol w:w="1175"/>
        <w:gridCol w:w="1391"/>
        <w:gridCol w:w="1391"/>
        <w:gridCol w:w="1212"/>
      </w:tblGrid>
      <w:tr w:rsidR="001E1EFE" w:rsidRPr="00C3289D" w:rsidTr="00CB2C16">
        <w:trPr>
          <w:jc w:val="center"/>
        </w:trPr>
        <w:tc>
          <w:tcPr>
            <w:tcW w:w="1134" w:type="pct"/>
            <w:tcMar>
              <w:left w:w="28" w:type="dxa"/>
              <w:right w:w="28" w:type="dxa"/>
            </w:tcMar>
            <w:vAlign w:val="center"/>
          </w:tcPr>
          <w:p w:rsidR="002B3821" w:rsidRPr="00C3289D" w:rsidRDefault="002B3821" w:rsidP="005A4F30">
            <w:pPr>
              <w:rPr>
                <w:rFonts w:ascii="Times New Roman" w:eastAsia="TimesNewRoman" w:hAnsi="Times New Roman"/>
                <w:sz w:val="18"/>
                <w:szCs w:val="18"/>
                <w:lang w:eastAsia="en-GB"/>
              </w:rPr>
            </w:pPr>
            <w:r w:rsidRPr="00C3289D">
              <w:rPr>
                <w:rFonts w:ascii="Times New Roman" w:hAnsi="Times New Roman"/>
                <w:sz w:val="18"/>
                <w:szCs w:val="18"/>
              </w:rPr>
              <w:t>Training set</w:t>
            </w:r>
          </w:p>
        </w:tc>
        <w:tc>
          <w:tcPr>
            <w:tcW w:w="605" w:type="pct"/>
            <w:tcMar>
              <w:left w:w="28" w:type="dxa"/>
              <w:right w:w="28" w:type="dxa"/>
            </w:tcMar>
            <w:vAlign w:val="center"/>
          </w:tcPr>
          <w:p w:rsidR="002B3821" w:rsidRPr="00C3289D" w:rsidRDefault="002B3821" w:rsidP="002B3821">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w:t>
            </w:r>
            <w:r>
              <w:rPr>
                <w:rFonts w:ascii="Times New Roman" w:hAnsi="Times New Roman"/>
                <w:sz w:val="18"/>
                <w:szCs w:val="18"/>
                <w:lang w:val="fr-CI"/>
              </w:rPr>
              <w:t>7</w:t>
            </w:r>
          </w:p>
        </w:tc>
        <w:tc>
          <w:tcPr>
            <w:tcW w:w="604" w:type="pct"/>
            <w:tcMar>
              <w:left w:w="28" w:type="dxa"/>
              <w:right w:w="28" w:type="dxa"/>
            </w:tcMar>
            <w:vAlign w:val="center"/>
          </w:tcPr>
          <w:p w:rsidR="002B3821" w:rsidRPr="00C3289D" w:rsidRDefault="002B3821" w:rsidP="002B3821">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w:t>
            </w:r>
            <w:r>
              <w:rPr>
                <w:rFonts w:ascii="Times New Roman" w:hAnsi="Times New Roman"/>
                <w:sz w:val="18"/>
                <w:szCs w:val="18"/>
                <w:lang w:val="fr-CI"/>
              </w:rPr>
              <w:t>8</w:t>
            </w:r>
          </w:p>
        </w:tc>
        <w:tc>
          <w:tcPr>
            <w:tcW w:w="604" w:type="pct"/>
            <w:tcMar>
              <w:left w:w="28" w:type="dxa"/>
              <w:right w:w="28" w:type="dxa"/>
            </w:tcMar>
            <w:vAlign w:val="center"/>
          </w:tcPr>
          <w:p w:rsidR="002B3821" w:rsidRPr="00C3289D" w:rsidRDefault="002B3821" w:rsidP="002B3821">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w:t>
            </w:r>
            <w:r>
              <w:rPr>
                <w:rFonts w:ascii="Times New Roman" w:hAnsi="Times New Roman"/>
                <w:sz w:val="18"/>
                <w:szCs w:val="18"/>
                <w:lang w:val="fr-CI"/>
              </w:rPr>
              <w:t>9</w:t>
            </w:r>
          </w:p>
        </w:tc>
        <w:tc>
          <w:tcPr>
            <w:tcW w:w="715" w:type="pct"/>
            <w:tcMar>
              <w:left w:w="28" w:type="dxa"/>
              <w:right w:w="28" w:type="dxa"/>
            </w:tcMar>
            <w:vAlign w:val="center"/>
          </w:tcPr>
          <w:p w:rsidR="002B3821" w:rsidRDefault="002B3821" w:rsidP="002B3821">
            <w:pPr>
              <w:jc w:val="center"/>
            </w:pPr>
            <w:r w:rsidRPr="009A5662">
              <w:rPr>
                <w:rFonts w:ascii="Times New Roman" w:hAnsi="Times New Roman"/>
                <w:sz w:val="18"/>
                <w:szCs w:val="18"/>
                <w:lang w:val="fr-CI"/>
              </w:rPr>
              <w:t>CNP</w:t>
            </w:r>
            <w:r>
              <w:rPr>
                <w:rFonts w:ascii="Times New Roman" w:hAnsi="Times New Roman"/>
                <w:sz w:val="18"/>
                <w:szCs w:val="18"/>
                <w:lang w:val="fr-CI"/>
              </w:rPr>
              <w:t>10</w:t>
            </w:r>
          </w:p>
        </w:tc>
        <w:tc>
          <w:tcPr>
            <w:tcW w:w="715" w:type="pct"/>
            <w:tcMar>
              <w:left w:w="28" w:type="dxa"/>
              <w:right w:w="28" w:type="dxa"/>
            </w:tcMar>
            <w:vAlign w:val="center"/>
          </w:tcPr>
          <w:p w:rsidR="002B3821" w:rsidRDefault="002B3821" w:rsidP="002B3821">
            <w:pPr>
              <w:jc w:val="center"/>
            </w:pPr>
            <w:r w:rsidRPr="009A5662">
              <w:rPr>
                <w:rFonts w:ascii="Times New Roman" w:hAnsi="Times New Roman"/>
                <w:sz w:val="18"/>
                <w:szCs w:val="18"/>
                <w:lang w:val="fr-CI"/>
              </w:rPr>
              <w:t>CNP</w:t>
            </w:r>
            <w:r>
              <w:rPr>
                <w:rFonts w:ascii="Times New Roman" w:hAnsi="Times New Roman"/>
                <w:sz w:val="18"/>
                <w:szCs w:val="18"/>
                <w:lang w:val="fr-CI"/>
              </w:rPr>
              <w:t>11</w:t>
            </w:r>
          </w:p>
        </w:tc>
        <w:tc>
          <w:tcPr>
            <w:tcW w:w="624" w:type="pct"/>
            <w:tcMar>
              <w:left w:w="28" w:type="dxa"/>
              <w:right w:w="28" w:type="dxa"/>
            </w:tcMar>
            <w:vAlign w:val="center"/>
          </w:tcPr>
          <w:p w:rsidR="002B3821" w:rsidRDefault="002B3821" w:rsidP="002B3821">
            <w:pPr>
              <w:jc w:val="center"/>
            </w:pPr>
            <w:r w:rsidRPr="009A5662">
              <w:rPr>
                <w:rFonts w:ascii="Times New Roman" w:hAnsi="Times New Roman"/>
                <w:sz w:val="18"/>
                <w:szCs w:val="18"/>
                <w:lang w:val="fr-CI"/>
              </w:rPr>
              <w:t>CNP</w:t>
            </w:r>
            <w:r>
              <w:rPr>
                <w:rFonts w:ascii="Times New Roman" w:hAnsi="Times New Roman"/>
                <w:sz w:val="18"/>
                <w:szCs w:val="18"/>
                <w:lang w:val="fr-CI"/>
              </w:rPr>
              <w:t>12</w:t>
            </w:r>
          </w:p>
        </w:tc>
      </w:tr>
      <w:tr w:rsidR="001E1EFE" w:rsidRPr="00C3289D" w:rsidTr="00CB2C16">
        <w:trPr>
          <w:jc w:val="center"/>
        </w:trPr>
        <w:tc>
          <w:tcPr>
            <w:tcW w:w="1134" w:type="pct"/>
            <w:tcMar>
              <w:left w:w="28" w:type="dxa"/>
              <w:right w:w="28" w:type="dxa"/>
            </w:tcMar>
            <w:vAlign w:val="center"/>
          </w:tcPr>
          <w:p w:rsidR="002B3821" w:rsidRPr="00C3289D" w:rsidRDefault="002B3821" w:rsidP="005A4F30">
            <w:pPr>
              <w:rPr>
                <w:rFonts w:ascii="Times New Roman" w:eastAsia="TimesNewRoman" w:hAnsi="Times New Roman"/>
                <w:sz w:val="18"/>
                <w:szCs w:val="18"/>
                <w:lang w:eastAsia="en-GB"/>
              </w:rPr>
            </w:pPr>
            <w:r w:rsidRPr="00C3289D">
              <w:rPr>
                <w:rFonts w:ascii="Times New Roman" w:hAnsi="Times New Roman"/>
                <w:sz w:val="18"/>
                <w:szCs w:val="18"/>
              </w:rPr>
              <w:t>#R</w:t>
            </w:r>
            <w:r w:rsidRPr="00C3289D">
              <w:rPr>
                <w:rFonts w:ascii="Times New Roman" w:hAnsi="Times New Roman"/>
                <w:sz w:val="18"/>
                <w:szCs w:val="18"/>
                <w:vertAlign w:val="subscript"/>
              </w:rPr>
              <w:t>1</w:t>
            </w:r>
            <w:r w:rsidRPr="00C3289D">
              <w:rPr>
                <w:rFonts w:ascii="Times New Roman" w:hAnsi="Times New Roman"/>
                <w:sz w:val="18"/>
                <w:szCs w:val="18"/>
              </w:rPr>
              <w:t>−#R</w:t>
            </w:r>
            <w:r w:rsidRPr="00C3289D">
              <w:rPr>
                <w:rFonts w:ascii="Times New Roman" w:hAnsi="Times New Roman"/>
                <w:sz w:val="18"/>
                <w:szCs w:val="18"/>
                <w:vertAlign w:val="subscript"/>
              </w:rPr>
              <w:t>2</w:t>
            </w:r>
          </w:p>
        </w:tc>
        <w:tc>
          <w:tcPr>
            <w:tcW w:w="605"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4-13</w:t>
            </w:r>
          </w:p>
        </w:tc>
        <w:tc>
          <w:tcPr>
            <w:tcW w:w="604"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3-9</w:t>
            </w:r>
          </w:p>
        </w:tc>
        <w:tc>
          <w:tcPr>
            <w:tcW w:w="604"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4-14</w:t>
            </w:r>
          </w:p>
        </w:tc>
        <w:tc>
          <w:tcPr>
            <w:tcW w:w="715"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4-15</w:t>
            </w:r>
          </w:p>
        </w:tc>
        <w:tc>
          <w:tcPr>
            <w:tcW w:w="715"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7-9</w:t>
            </w:r>
          </w:p>
        </w:tc>
        <w:tc>
          <w:tcPr>
            <w:tcW w:w="624"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8-9</w:t>
            </w:r>
          </w:p>
        </w:tc>
      </w:tr>
      <w:tr w:rsidR="001E1EFE" w:rsidRPr="00C3289D" w:rsidTr="00CB2C16">
        <w:trPr>
          <w:jc w:val="center"/>
        </w:trPr>
        <w:tc>
          <w:tcPr>
            <w:tcW w:w="1134" w:type="pct"/>
            <w:tcMar>
              <w:left w:w="28" w:type="dxa"/>
              <w:right w:w="28" w:type="dxa"/>
            </w:tcMar>
            <w:vAlign w:val="center"/>
          </w:tcPr>
          <w:p w:rsidR="002B3821" w:rsidRPr="00C3289D" w:rsidRDefault="009A671C" w:rsidP="005A4F30">
            <w:pPr>
              <w:rPr>
                <w:rFonts w:ascii="Times New Roman" w:eastAsia="TimesNewRoman" w:hAnsi="Times New Roman"/>
                <w:sz w:val="18"/>
                <w:szCs w:val="18"/>
                <w:lang w:eastAsia="en-GB"/>
              </w:rPr>
            </w:pPr>
            <m:oMath>
              <m:sSubSup>
                <m:sSubSupPr>
                  <m:ctrlPr>
                    <w:rPr>
                      <w:rFonts w:ascii="Cambria Math" w:hAnsi="Cambria Math"/>
                      <w:sz w:val="18"/>
                      <w:szCs w:val="18"/>
                      <w:vertAlign w:val="superscript"/>
                      <w:lang w:eastAsia="fr-FR"/>
                    </w:rPr>
                  </m:ctrlPr>
                </m:sSubSupPr>
                <m:e>
                  <m:r>
                    <m:rPr>
                      <m:sty m:val="p"/>
                    </m:rPr>
                    <w:rPr>
                      <w:rFonts w:ascii="Cambria Math" w:hAnsi="Cambria Math"/>
                      <w:sz w:val="18"/>
                      <w:szCs w:val="18"/>
                      <w:vertAlign w:val="superscript"/>
                      <w:lang w:eastAsia="fr-FR"/>
                    </w:rPr>
                    <m:t>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m:oMath>
            <w:r w:rsidR="002B3821" w:rsidRPr="00C3289D">
              <w:rPr>
                <w:rFonts w:ascii="Times New Roman" w:hAnsi="Times New Roman"/>
                <w:sz w:val="18"/>
                <w:szCs w:val="18"/>
              </w:rPr>
              <w:t xml:space="preserve"> (nM)</w:t>
            </w:r>
          </w:p>
        </w:tc>
        <w:tc>
          <w:tcPr>
            <w:tcW w:w="605"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12</w:t>
            </w:r>
          </w:p>
        </w:tc>
        <w:tc>
          <w:tcPr>
            <w:tcW w:w="604"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9</w:t>
            </w:r>
          </w:p>
        </w:tc>
        <w:tc>
          <w:tcPr>
            <w:tcW w:w="604"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1</w:t>
            </w:r>
          </w:p>
        </w:tc>
        <w:tc>
          <w:tcPr>
            <w:tcW w:w="715" w:type="pct"/>
            <w:tcMar>
              <w:left w:w="28" w:type="dxa"/>
              <w:right w:w="28" w:type="dxa"/>
            </w:tcMar>
            <w:vAlign w:val="center"/>
          </w:tcPr>
          <w:p w:rsidR="002B3821" w:rsidRPr="00C3289D" w:rsidRDefault="00E91975"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3</w:t>
            </w:r>
          </w:p>
        </w:tc>
        <w:tc>
          <w:tcPr>
            <w:tcW w:w="715" w:type="pct"/>
            <w:tcMar>
              <w:left w:w="28" w:type="dxa"/>
              <w:right w:w="28" w:type="dxa"/>
            </w:tcMar>
            <w:vAlign w:val="center"/>
          </w:tcPr>
          <w:p w:rsidR="002B3821" w:rsidRPr="00C3289D" w:rsidRDefault="00795778"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609</w:t>
            </w:r>
          </w:p>
        </w:tc>
        <w:tc>
          <w:tcPr>
            <w:tcW w:w="624" w:type="pct"/>
            <w:tcMar>
              <w:left w:w="28" w:type="dxa"/>
              <w:right w:w="28" w:type="dxa"/>
            </w:tcMar>
            <w:vAlign w:val="center"/>
          </w:tcPr>
          <w:p w:rsidR="002B3821" w:rsidRPr="00C3289D" w:rsidRDefault="00795778"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196</w:t>
            </w:r>
          </w:p>
        </w:tc>
      </w:tr>
    </w:tbl>
    <w:p w:rsidR="00AA65E8" w:rsidRPr="00890CC9" w:rsidRDefault="00AA65E8" w:rsidP="00AA65E8">
      <w:pPr>
        <w:rPr>
          <w:rFonts w:eastAsia="TimesNewRoman"/>
          <w:sz w:val="16"/>
          <w:szCs w:val="16"/>
          <w:lang w:eastAsia="en-GB"/>
        </w:rPr>
      </w:pPr>
    </w:p>
    <w:tbl>
      <w:tblPr>
        <w:tblStyle w:val="TableGrid"/>
        <w:tblW w:w="0" w:type="auto"/>
        <w:jc w:val="center"/>
        <w:tblLook w:val="04A0"/>
      </w:tblPr>
      <w:tblGrid>
        <w:gridCol w:w="1328"/>
        <w:gridCol w:w="627"/>
        <w:gridCol w:w="627"/>
        <w:gridCol w:w="627"/>
      </w:tblGrid>
      <w:tr w:rsidR="006E5008" w:rsidRPr="00C3289D" w:rsidTr="006E5008">
        <w:trPr>
          <w:jc w:val="center"/>
        </w:trPr>
        <w:tc>
          <w:tcPr>
            <w:tcW w:w="1328" w:type="dxa"/>
            <w:tcMar>
              <w:left w:w="28" w:type="dxa"/>
              <w:right w:w="28" w:type="dxa"/>
            </w:tcMar>
            <w:vAlign w:val="center"/>
          </w:tcPr>
          <w:p w:rsidR="006E5008" w:rsidRPr="00C3289D" w:rsidRDefault="006E5008" w:rsidP="005A4F30">
            <w:pPr>
              <w:rPr>
                <w:rFonts w:ascii="Times New Roman" w:eastAsia="TimesNewRoman" w:hAnsi="Times New Roman"/>
                <w:sz w:val="18"/>
                <w:szCs w:val="18"/>
                <w:lang w:eastAsia="en-GB"/>
              </w:rPr>
            </w:pPr>
            <w:r>
              <w:rPr>
                <w:rFonts w:ascii="Times New Roman" w:hAnsi="Times New Roman"/>
                <w:sz w:val="18"/>
                <w:szCs w:val="18"/>
              </w:rPr>
              <w:t>Validation</w:t>
            </w:r>
            <w:r w:rsidRPr="00C3289D">
              <w:rPr>
                <w:rFonts w:ascii="Times New Roman" w:hAnsi="Times New Roman"/>
                <w:sz w:val="18"/>
                <w:szCs w:val="18"/>
              </w:rPr>
              <w:t xml:space="preserve"> set</w:t>
            </w:r>
          </w:p>
        </w:tc>
        <w:tc>
          <w:tcPr>
            <w:tcW w:w="502"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w:t>
            </w:r>
            <w:r>
              <w:rPr>
                <w:rFonts w:ascii="Times New Roman" w:hAnsi="Times New Roman"/>
                <w:sz w:val="18"/>
                <w:szCs w:val="18"/>
                <w:lang w:val="fr-CI"/>
              </w:rPr>
              <w:t>V</w:t>
            </w:r>
            <w:r w:rsidRPr="00C3289D">
              <w:rPr>
                <w:rFonts w:ascii="Times New Roman" w:hAnsi="Times New Roman"/>
                <w:sz w:val="18"/>
                <w:szCs w:val="18"/>
                <w:lang w:val="fr-CI"/>
              </w:rPr>
              <w:t>1</w:t>
            </w:r>
          </w:p>
        </w:tc>
        <w:tc>
          <w:tcPr>
            <w:tcW w:w="564"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w:t>
            </w:r>
            <w:r>
              <w:rPr>
                <w:rFonts w:ascii="Times New Roman" w:hAnsi="Times New Roman"/>
                <w:sz w:val="18"/>
                <w:szCs w:val="18"/>
                <w:lang w:val="fr-CI"/>
              </w:rPr>
              <w:t>V</w:t>
            </w:r>
            <w:r w:rsidRPr="00C3289D">
              <w:rPr>
                <w:rFonts w:ascii="Times New Roman" w:hAnsi="Times New Roman"/>
                <w:sz w:val="18"/>
                <w:szCs w:val="18"/>
                <w:lang w:val="fr-CI"/>
              </w:rPr>
              <w:t>2</w:t>
            </w:r>
          </w:p>
        </w:tc>
        <w:tc>
          <w:tcPr>
            <w:tcW w:w="564"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sidRPr="00C3289D">
              <w:rPr>
                <w:rFonts w:ascii="Times New Roman" w:hAnsi="Times New Roman"/>
                <w:sz w:val="18"/>
                <w:szCs w:val="18"/>
                <w:lang w:val="fr-CI"/>
              </w:rPr>
              <w:t>CNP</w:t>
            </w:r>
            <w:r>
              <w:rPr>
                <w:rFonts w:ascii="Times New Roman" w:hAnsi="Times New Roman"/>
                <w:sz w:val="18"/>
                <w:szCs w:val="18"/>
                <w:lang w:val="fr-CI"/>
              </w:rPr>
              <w:t>V</w:t>
            </w:r>
            <w:r w:rsidRPr="00C3289D">
              <w:rPr>
                <w:rFonts w:ascii="Times New Roman" w:hAnsi="Times New Roman"/>
                <w:sz w:val="18"/>
                <w:szCs w:val="18"/>
                <w:lang w:val="fr-CI"/>
              </w:rPr>
              <w:t>3</w:t>
            </w:r>
          </w:p>
        </w:tc>
      </w:tr>
      <w:tr w:rsidR="006E5008" w:rsidRPr="00C3289D" w:rsidTr="006E5008">
        <w:trPr>
          <w:jc w:val="center"/>
        </w:trPr>
        <w:tc>
          <w:tcPr>
            <w:tcW w:w="1328" w:type="dxa"/>
            <w:tcMar>
              <w:left w:w="28" w:type="dxa"/>
              <w:right w:w="28" w:type="dxa"/>
            </w:tcMar>
            <w:vAlign w:val="center"/>
          </w:tcPr>
          <w:p w:rsidR="006E5008" w:rsidRPr="00C3289D" w:rsidRDefault="006E5008" w:rsidP="005A4F30">
            <w:pPr>
              <w:rPr>
                <w:rFonts w:ascii="Times New Roman" w:eastAsia="TimesNewRoman" w:hAnsi="Times New Roman"/>
                <w:sz w:val="18"/>
                <w:szCs w:val="18"/>
                <w:lang w:eastAsia="en-GB"/>
              </w:rPr>
            </w:pPr>
            <w:r w:rsidRPr="00C3289D">
              <w:rPr>
                <w:rFonts w:ascii="Times New Roman" w:hAnsi="Times New Roman"/>
                <w:sz w:val="18"/>
                <w:szCs w:val="18"/>
              </w:rPr>
              <w:t>#R</w:t>
            </w:r>
            <w:r w:rsidRPr="00C3289D">
              <w:rPr>
                <w:rFonts w:ascii="Times New Roman" w:hAnsi="Times New Roman"/>
                <w:sz w:val="18"/>
                <w:szCs w:val="18"/>
                <w:vertAlign w:val="subscript"/>
              </w:rPr>
              <w:t>1</w:t>
            </w:r>
            <w:r w:rsidRPr="00C3289D">
              <w:rPr>
                <w:rFonts w:ascii="Times New Roman" w:hAnsi="Times New Roman"/>
                <w:sz w:val="18"/>
                <w:szCs w:val="18"/>
              </w:rPr>
              <w:t>−#R</w:t>
            </w:r>
            <w:r w:rsidRPr="00C3289D">
              <w:rPr>
                <w:rFonts w:ascii="Times New Roman" w:hAnsi="Times New Roman"/>
                <w:sz w:val="18"/>
                <w:szCs w:val="18"/>
                <w:vertAlign w:val="subscript"/>
              </w:rPr>
              <w:t>2</w:t>
            </w:r>
          </w:p>
        </w:tc>
        <w:tc>
          <w:tcPr>
            <w:tcW w:w="502"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2</w:t>
            </w:r>
            <w:r w:rsidRPr="00C3289D">
              <w:rPr>
                <w:rFonts w:ascii="Times New Roman" w:eastAsia="TimesNewRoman" w:hAnsi="Times New Roman"/>
                <w:sz w:val="18"/>
                <w:szCs w:val="18"/>
                <w:lang w:eastAsia="en-GB"/>
              </w:rPr>
              <w:t>-9</w:t>
            </w:r>
          </w:p>
        </w:tc>
        <w:tc>
          <w:tcPr>
            <w:tcW w:w="564" w:type="dxa"/>
            <w:tcMar>
              <w:left w:w="28" w:type="dxa"/>
              <w:right w:w="28" w:type="dxa"/>
            </w:tcMar>
            <w:vAlign w:val="center"/>
          </w:tcPr>
          <w:p w:rsidR="006E5008" w:rsidRPr="00C3289D" w:rsidRDefault="006E5008" w:rsidP="006E5008">
            <w:pPr>
              <w:jc w:val="center"/>
              <w:rPr>
                <w:rFonts w:ascii="Times New Roman" w:eastAsia="TimesNewRoman" w:hAnsi="Times New Roman"/>
                <w:sz w:val="18"/>
                <w:szCs w:val="18"/>
                <w:lang w:eastAsia="en-GB"/>
              </w:rPr>
            </w:pPr>
            <w:r w:rsidRPr="00C3289D">
              <w:rPr>
                <w:rFonts w:ascii="Times New Roman" w:eastAsia="TimesNewRoman" w:hAnsi="Times New Roman"/>
                <w:sz w:val="18"/>
                <w:szCs w:val="18"/>
                <w:lang w:eastAsia="en-GB"/>
              </w:rPr>
              <w:t>4-</w:t>
            </w:r>
            <w:r>
              <w:rPr>
                <w:rFonts w:ascii="Times New Roman" w:eastAsia="TimesNewRoman" w:hAnsi="Times New Roman"/>
                <w:sz w:val="18"/>
                <w:szCs w:val="18"/>
                <w:lang w:eastAsia="en-GB"/>
              </w:rPr>
              <w:t>9</w:t>
            </w:r>
          </w:p>
        </w:tc>
        <w:tc>
          <w:tcPr>
            <w:tcW w:w="564" w:type="dxa"/>
            <w:tcMar>
              <w:left w:w="28" w:type="dxa"/>
              <w:right w:w="28" w:type="dxa"/>
            </w:tcMar>
            <w:vAlign w:val="center"/>
          </w:tcPr>
          <w:p w:rsidR="006E5008" w:rsidRPr="00C3289D" w:rsidRDefault="006E5008" w:rsidP="006E5008">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4</w:t>
            </w:r>
            <w:r w:rsidRPr="00C3289D">
              <w:rPr>
                <w:rFonts w:ascii="Times New Roman" w:eastAsia="TimesNewRoman" w:hAnsi="Times New Roman"/>
                <w:sz w:val="18"/>
                <w:szCs w:val="18"/>
                <w:lang w:eastAsia="en-GB"/>
              </w:rPr>
              <w:t>-</w:t>
            </w:r>
            <w:r>
              <w:rPr>
                <w:rFonts w:ascii="Times New Roman" w:eastAsia="TimesNewRoman" w:hAnsi="Times New Roman"/>
                <w:sz w:val="18"/>
                <w:szCs w:val="18"/>
                <w:lang w:eastAsia="en-GB"/>
              </w:rPr>
              <w:t>16</w:t>
            </w:r>
          </w:p>
        </w:tc>
      </w:tr>
      <w:tr w:rsidR="006E5008" w:rsidRPr="00C3289D" w:rsidTr="006E5008">
        <w:trPr>
          <w:jc w:val="center"/>
        </w:trPr>
        <w:tc>
          <w:tcPr>
            <w:tcW w:w="1328" w:type="dxa"/>
            <w:tcMar>
              <w:left w:w="28" w:type="dxa"/>
              <w:right w:w="28" w:type="dxa"/>
            </w:tcMar>
            <w:vAlign w:val="center"/>
          </w:tcPr>
          <w:p w:rsidR="006E5008" w:rsidRPr="00C3289D" w:rsidRDefault="009A671C" w:rsidP="005A4F30">
            <w:pPr>
              <w:rPr>
                <w:rFonts w:ascii="Times New Roman" w:eastAsia="TimesNewRoman" w:hAnsi="Times New Roman"/>
                <w:sz w:val="18"/>
                <w:szCs w:val="18"/>
                <w:lang w:eastAsia="en-GB"/>
              </w:rPr>
            </w:pPr>
            <m:oMath>
              <m:sSubSup>
                <m:sSubSupPr>
                  <m:ctrlPr>
                    <w:rPr>
                      <w:rFonts w:ascii="Cambria Math" w:hAnsi="Cambria Math"/>
                      <w:sz w:val="18"/>
                      <w:szCs w:val="18"/>
                      <w:vertAlign w:val="superscript"/>
                      <w:lang w:eastAsia="fr-FR"/>
                    </w:rPr>
                  </m:ctrlPr>
                </m:sSubSupPr>
                <m:e>
                  <m:r>
                    <m:rPr>
                      <m:sty m:val="p"/>
                    </m:rPr>
                    <w:rPr>
                      <w:rFonts w:ascii="Cambria Math" w:hAnsi="Cambria Math"/>
                      <w:sz w:val="18"/>
                      <w:szCs w:val="18"/>
                      <w:vertAlign w:val="superscript"/>
                      <w:lang w:eastAsia="fr-FR"/>
                    </w:rPr>
                    <m:t>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m:oMath>
            <w:r w:rsidR="006E5008" w:rsidRPr="00C3289D">
              <w:rPr>
                <w:rFonts w:ascii="Times New Roman" w:hAnsi="Times New Roman"/>
                <w:sz w:val="18"/>
                <w:szCs w:val="18"/>
              </w:rPr>
              <w:t xml:space="preserve"> (nM)</w:t>
            </w:r>
          </w:p>
        </w:tc>
        <w:tc>
          <w:tcPr>
            <w:tcW w:w="502"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24</w:t>
            </w:r>
          </w:p>
        </w:tc>
        <w:tc>
          <w:tcPr>
            <w:tcW w:w="564"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3</w:t>
            </w:r>
          </w:p>
        </w:tc>
        <w:tc>
          <w:tcPr>
            <w:tcW w:w="564" w:type="dxa"/>
            <w:tcMar>
              <w:left w:w="28" w:type="dxa"/>
              <w:right w:w="28" w:type="dxa"/>
            </w:tcMar>
            <w:vAlign w:val="center"/>
          </w:tcPr>
          <w:p w:rsidR="006E5008" w:rsidRPr="00C3289D" w:rsidRDefault="006E5008" w:rsidP="005A4F30">
            <w:pPr>
              <w:jc w:val="center"/>
              <w:rPr>
                <w:rFonts w:ascii="Times New Roman" w:eastAsia="TimesNewRoman" w:hAnsi="Times New Roman"/>
                <w:sz w:val="18"/>
                <w:szCs w:val="18"/>
                <w:lang w:eastAsia="en-GB"/>
              </w:rPr>
            </w:pPr>
            <w:r>
              <w:rPr>
                <w:rFonts w:ascii="Times New Roman" w:eastAsia="TimesNewRoman" w:hAnsi="Times New Roman"/>
                <w:sz w:val="18"/>
                <w:szCs w:val="18"/>
                <w:lang w:eastAsia="en-GB"/>
              </w:rPr>
              <w:t>7</w:t>
            </w:r>
          </w:p>
        </w:tc>
      </w:tr>
    </w:tbl>
    <w:p w:rsidR="002B3821" w:rsidRDefault="002B3821" w:rsidP="00AA65E8">
      <w:pPr>
        <w:rPr>
          <w:rFonts w:eastAsia="TimesNewRoman"/>
          <w:lang w:eastAsia="en-GB"/>
        </w:rPr>
      </w:pPr>
    </w:p>
    <w:p w:rsidR="00953CD8" w:rsidRPr="004B718C" w:rsidRDefault="004B718C" w:rsidP="00504E67">
      <w:pPr>
        <w:pStyle w:val="ListParagraph"/>
        <w:spacing w:after="120" w:line="240" w:lineRule="auto"/>
        <w:ind w:left="0"/>
        <w:contextualSpacing w:val="0"/>
        <w:jc w:val="both"/>
        <w:rPr>
          <w:rFonts w:ascii="Times New Roman" w:hAnsi="Times New Roman" w:cs="Times New Roman"/>
          <w:sz w:val="20"/>
          <w:szCs w:val="20"/>
          <w:lang w:val="en-US"/>
        </w:rPr>
      </w:pPr>
      <w:r w:rsidRPr="004B718C">
        <w:rPr>
          <w:rStyle w:val="A5"/>
          <w:rFonts w:ascii="Times New Roman" w:hAnsi="Times New Roman" w:cs="Times New Roman"/>
          <w:bCs/>
          <w:sz w:val="18"/>
          <w:szCs w:val="18"/>
          <w:lang w:val="en-US"/>
        </w:rPr>
        <w:t xml:space="preserve">Table 2: </w:t>
      </w:r>
      <w:r w:rsidRPr="004B718C">
        <w:rPr>
          <w:rStyle w:val="A5"/>
          <w:rFonts w:ascii="Times New Roman" w:hAnsi="Times New Roman" w:cs="Times New Roman"/>
          <w:sz w:val="18"/>
          <w:szCs w:val="18"/>
          <w:lang w:val="en-US"/>
        </w:rPr>
        <w:t>Complexation Gibbs free energy (binding affinity) and its components for the training set of FP2 inhibitors CNP 1-12 and validation set CNPV 1-3</w:t>
      </w:r>
    </w:p>
    <w:tbl>
      <w:tblPr>
        <w:tblW w:w="0" w:type="auto"/>
        <w:jc w:val="center"/>
        <w:tblBorders>
          <w:bottom w:val="single" w:sz="8" w:space="0" w:color="auto"/>
        </w:tblBorders>
        <w:tblLook w:val="01E0"/>
      </w:tblPr>
      <w:tblGrid>
        <w:gridCol w:w="851"/>
        <w:gridCol w:w="425"/>
        <w:gridCol w:w="709"/>
        <w:gridCol w:w="567"/>
        <w:gridCol w:w="708"/>
        <w:gridCol w:w="625"/>
        <w:gridCol w:w="633"/>
      </w:tblGrid>
      <w:tr w:rsidR="004B718C" w:rsidRPr="004B718C" w:rsidTr="00890CC9">
        <w:trPr>
          <w:trHeight w:val="355"/>
          <w:jc w:val="center"/>
        </w:trPr>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napToGrid w:val="0"/>
                <w:sz w:val="18"/>
                <w:szCs w:val="18"/>
              </w:rPr>
            </w:pPr>
            <w:r w:rsidRPr="004B718C">
              <w:rPr>
                <w:rFonts w:ascii="Times New Roman" w:hAnsi="Times New Roman"/>
                <w:snapToGrid w:val="0"/>
                <w:sz w:val="18"/>
                <w:szCs w:val="18"/>
              </w:rPr>
              <w:t xml:space="preserve">Training set </w:t>
            </w:r>
            <w:r w:rsidRPr="004B718C">
              <w:rPr>
                <w:rFonts w:ascii="Times New Roman" w:hAnsi="Times New Roman"/>
                <w:snapToGrid w:val="0"/>
                <w:sz w:val="18"/>
                <w:szCs w:val="18"/>
                <w:vertAlign w:val="superscript"/>
              </w:rPr>
              <w:t>a</w:t>
            </w:r>
          </w:p>
        </w:tc>
        <w:tc>
          <w:tcPr>
            <w:tcW w:w="425" w:type="dxa"/>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napToGrid w:val="0"/>
                <w:sz w:val="18"/>
                <w:szCs w:val="18"/>
                <w:vertAlign w:val="superscript"/>
              </w:rPr>
            </w:pPr>
            <w:r w:rsidRPr="004B718C">
              <w:rPr>
                <w:rFonts w:ascii="Times New Roman" w:hAnsi="Times New Roman"/>
                <w:i/>
                <w:snapToGrid w:val="0"/>
                <w:sz w:val="18"/>
                <w:szCs w:val="18"/>
              </w:rPr>
              <w:t>M</w:t>
            </w:r>
            <w:r w:rsidRPr="004B718C">
              <w:rPr>
                <w:rFonts w:ascii="Times New Roman" w:hAnsi="Times New Roman"/>
                <w:snapToGrid w:val="0"/>
                <w:sz w:val="18"/>
                <w:szCs w:val="18"/>
                <w:vertAlign w:val="subscript"/>
              </w:rPr>
              <w:t xml:space="preserve">W </w:t>
            </w:r>
            <w:r w:rsidRPr="004B718C">
              <w:rPr>
                <w:rFonts w:ascii="Times New Roman" w:hAnsi="Times New Roman"/>
                <w:snapToGrid w:val="0"/>
                <w:sz w:val="18"/>
                <w:szCs w:val="18"/>
                <w:vertAlign w:val="superscript"/>
              </w:rPr>
              <w:t>b</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napToGrid w:val="0"/>
                <w:sz w:val="18"/>
                <w:szCs w:val="18"/>
                <w:vertAlign w:val="superscript"/>
              </w:rPr>
            </w:pPr>
            <w:r w:rsidRPr="004B718C">
              <w:rPr>
                <w:rFonts w:ascii="Times New Roman" w:hAnsi="Times New Roman"/>
                <w:snapToGrid w:val="0"/>
                <w:sz w:val="18"/>
                <w:szCs w:val="18"/>
              </w:rPr>
              <w:t>ΔΔ</w:t>
            </w:r>
            <w:r w:rsidRPr="004B718C">
              <w:rPr>
                <w:rFonts w:ascii="Times New Roman" w:hAnsi="Times New Roman"/>
                <w:i/>
                <w:snapToGrid w:val="0"/>
                <w:sz w:val="18"/>
                <w:szCs w:val="18"/>
              </w:rPr>
              <w:t>H</w:t>
            </w:r>
            <w:r w:rsidRPr="004B718C">
              <w:rPr>
                <w:rFonts w:ascii="Times New Roman" w:hAnsi="Times New Roman"/>
                <w:snapToGrid w:val="0"/>
                <w:sz w:val="18"/>
                <w:szCs w:val="18"/>
                <w:vertAlign w:val="subscript"/>
              </w:rPr>
              <w:t xml:space="preserve">MM </w:t>
            </w:r>
            <w:r w:rsidRPr="004B718C">
              <w:rPr>
                <w:rFonts w:ascii="Times New Roman" w:hAnsi="Times New Roman"/>
                <w:snapToGrid w:val="0"/>
                <w:sz w:val="18"/>
                <w:szCs w:val="18"/>
                <w:vertAlign w:val="superscript"/>
              </w:rPr>
              <w:t>c</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napToGrid w:val="0"/>
                <w:sz w:val="18"/>
                <w:szCs w:val="18"/>
              </w:rPr>
            </w:pPr>
            <w:r w:rsidRPr="004B718C">
              <w:rPr>
                <w:rFonts w:ascii="Times New Roman" w:hAnsi="Times New Roman"/>
                <w:snapToGrid w:val="0"/>
                <w:sz w:val="18"/>
                <w:szCs w:val="18"/>
              </w:rPr>
              <w:t>ΔΔ</w:t>
            </w:r>
            <w:r w:rsidRPr="004B718C">
              <w:rPr>
                <w:rFonts w:ascii="Times New Roman" w:hAnsi="Times New Roman"/>
                <w:i/>
                <w:snapToGrid w:val="0"/>
                <w:sz w:val="18"/>
                <w:szCs w:val="18"/>
              </w:rPr>
              <w:t>G</w:t>
            </w:r>
            <w:r w:rsidRPr="004B718C">
              <w:rPr>
                <w:rFonts w:ascii="Times New Roman" w:hAnsi="Times New Roman"/>
                <w:snapToGrid w:val="0"/>
                <w:sz w:val="18"/>
                <w:szCs w:val="18"/>
                <w:vertAlign w:val="subscript"/>
              </w:rPr>
              <w:t xml:space="preserve">sol </w:t>
            </w:r>
            <w:r w:rsidRPr="004B718C">
              <w:rPr>
                <w:rFonts w:ascii="Times New Roman" w:hAnsi="Times New Roman"/>
                <w:snapToGrid w:val="0"/>
                <w:sz w:val="18"/>
                <w:szCs w:val="18"/>
                <w:vertAlign w:val="superscript"/>
              </w:rPr>
              <w:t>d</w:t>
            </w:r>
          </w:p>
        </w:tc>
        <w:tc>
          <w:tcPr>
            <w:tcW w:w="708" w:type="dxa"/>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napToGrid w:val="0"/>
                <w:sz w:val="18"/>
                <w:szCs w:val="18"/>
              </w:rPr>
            </w:pPr>
            <w:r w:rsidRPr="004B718C">
              <w:rPr>
                <w:rFonts w:ascii="Times New Roman" w:hAnsi="Times New Roman"/>
                <w:snapToGrid w:val="0"/>
                <w:sz w:val="18"/>
                <w:szCs w:val="18"/>
              </w:rPr>
              <w:t>ΔΔ</w:t>
            </w:r>
            <w:r w:rsidRPr="004B718C">
              <w:rPr>
                <w:rFonts w:ascii="Times New Roman" w:hAnsi="Times New Roman"/>
                <w:i/>
                <w:snapToGrid w:val="0"/>
                <w:sz w:val="18"/>
                <w:szCs w:val="18"/>
              </w:rPr>
              <w:t>TS</w:t>
            </w:r>
            <w:r w:rsidRPr="004B718C">
              <w:rPr>
                <w:rFonts w:ascii="Times New Roman" w:hAnsi="Times New Roman"/>
                <w:snapToGrid w:val="0"/>
                <w:sz w:val="18"/>
                <w:szCs w:val="18"/>
                <w:vertAlign w:val="subscript"/>
              </w:rPr>
              <w:t xml:space="preserve">vib </w:t>
            </w:r>
            <w:r w:rsidRPr="004B718C">
              <w:rPr>
                <w:rFonts w:ascii="Times New Roman" w:hAnsi="Times New Roman"/>
                <w:snapToGrid w:val="0"/>
                <w:sz w:val="18"/>
                <w:szCs w:val="18"/>
                <w:vertAlign w:val="superscript"/>
              </w:rPr>
              <w:t>e</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napToGrid w:val="0"/>
                <w:sz w:val="18"/>
                <w:szCs w:val="18"/>
              </w:rPr>
            </w:pPr>
            <w:r w:rsidRPr="004B718C">
              <w:rPr>
                <w:rFonts w:ascii="Times New Roman" w:hAnsi="Times New Roman"/>
                <w:snapToGrid w:val="0"/>
                <w:sz w:val="18"/>
                <w:szCs w:val="18"/>
              </w:rPr>
              <w:t>ΔΔ</w:t>
            </w:r>
            <w:r w:rsidRPr="004B718C">
              <w:rPr>
                <w:rFonts w:ascii="Times New Roman" w:hAnsi="Times New Roman"/>
                <w:i/>
                <w:snapToGrid w:val="0"/>
                <w:sz w:val="18"/>
                <w:szCs w:val="18"/>
              </w:rPr>
              <w:t>G</w:t>
            </w:r>
            <w:r w:rsidRPr="004B718C">
              <w:rPr>
                <w:rFonts w:ascii="Times New Roman" w:hAnsi="Times New Roman"/>
                <w:snapToGrid w:val="0"/>
                <w:sz w:val="18"/>
                <w:szCs w:val="18"/>
                <w:vertAlign w:val="subscript"/>
              </w:rPr>
              <w:t xml:space="preserve">com </w:t>
            </w:r>
            <w:r w:rsidRPr="004B718C">
              <w:rPr>
                <w:rFonts w:ascii="Times New Roman" w:hAnsi="Times New Roman"/>
                <w:snapToGrid w:val="0"/>
                <w:sz w:val="18"/>
                <w:szCs w:val="18"/>
                <w:vertAlign w:val="superscript"/>
              </w:rPr>
              <w:t>f</w:t>
            </w:r>
          </w:p>
        </w:tc>
        <w:tc>
          <w:tcPr>
            <w:tcW w:w="633" w:type="dxa"/>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4B718C" w:rsidRPr="004B718C" w:rsidRDefault="009A671C" w:rsidP="005A4F30">
            <w:pPr>
              <w:widowControl w:val="0"/>
              <w:adjustRightInd w:val="0"/>
              <w:snapToGrid w:val="0"/>
              <w:jc w:val="center"/>
              <w:rPr>
                <w:rFonts w:ascii="Times New Roman" w:hAnsi="Times New Roman"/>
                <w:snapToGrid w:val="0"/>
                <w:sz w:val="18"/>
                <w:szCs w:val="18"/>
              </w:rPr>
            </w:pPr>
            <m:oMath>
              <m:sSubSup>
                <m:sSubSupPr>
                  <m:ctrlPr>
                    <w:rPr>
                      <w:rFonts w:ascii="Cambria Math" w:hAnsi="Cambria Math"/>
                      <w:bCs/>
                      <w:color w:val="000000"/>
                      <w:sz w:val="18"/>
                      <w:szCs w:val="18"/>
                      <w:vertAlign w:val="superscript"/>
                      <w:lang w:eastAsia="fr-FR"/>
                    </w:rPr>
                  </m:ctrlPr>
                </m:sSubSupPr>
                <m:e>
                  <m:r>
                    <m:rPr>
                      <m:sty m:val="p"/>
                    </m:rPr>
                    <w:rPr>
                      <w:rFonts w:ascii="Cambria Math" w:hAnsi="Cambria Math"/>
                      <w:color w:val="000000"/>
                      <w:sz w:val="18"/>
                      <w:szCs w:val="18"/>
                      <w:vertAlign w:val="superscript"/>
                      <w:lang w:eastAsia="fr-FR"/>
                    </w:rPr>
                    <m:t>pIC</m:t>
                  </m:r>
                </m:e>
                <m:sub>
                  <m:r>
                    <m:rPr>
                      <m:sty m:val="p"/>
                    </m:rPr>
                    <w:rPr>
                      <w:rFonts w:ascii="Cambria Math" w:hAnsi="Cambria Math"/>
                      <w:color w:val="000000"/>
                      <w:sz w:val="18"/>
                      <w:szCs w:val="18"/>
                      <w:vertAlign w:val="superscript"/>
                      <w:lang w:eastAsia="fr-FR"/>
                    </w:rPr>
                    <m:t>50</m:t>
                  </m:r>
                </m:sub>
                <m:sup>
                  <m:r>
                    <m:rPr>
                      <m:sty m:val="p"/>
                    </m:rPr>
                    <w:rPr>
                      <w:rFonts w:ascii="Cambria Math" w:hAnsi="Cambria Math"/>
                      <w:color w:val="000000"/>
                      <w:sz w:val="18"/>
                      <w:szCs w:val="18"/>
                      <w:vertAlign w:val="superscript"/>
                      <w:lang w:eastAsia="fr-FR"/>
                    </w:rPr>
                    <m:t>exp</m:t>
                  </m:r>
                </m:sup>
              </m:sSubSup>
            </m:oMath>
            <w:r w:rsidR="004B718C" w:rsidRPr="004B718C">
              <w:rPr>
                <w:rFonts w:ascii="Times New Roman" w:hAnsi="Times New Roman"/>
                <w:bCs/>
                <w:color w:val="000000"/>
                <w:sz w:val="18"/>
                <w:szCs w:val="18"/>
                <w:vertAlign w:val="superscript"/>
                <w:lang w:eastAsia="fr-FR"/>
              </w:rPr>
              <w:t xml:space="preserve"> g</w:t>
            </w:r>
          </w:p>
        </w:tc>
      </w:tr>
      <w:tr w:rsidR="004B718C" w:rsidRPr="00882845" w:rsidTr="005A4F30">
        <w:trPr>
          <w:jc w:val="center"/>
        </w:trPr>
        <w:tc>
          <w:tcPr>
            <w:tcW w:w="851"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CNP1*</w:t>
            </w:r>
          </w:p>
        </w:tc>
        <w:tc>
          <w:tcPr>
            <w:tcW w:w="425"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286</w:t>
            </w:r>
          </w:p>
        </w:tc>
        <w:tc>
          <w:tcPr>
            <w:tcW w:w="709"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w:t>
            </w:r>
          </w:p>
        </w:tc>
        <w:tc>
          <w:tcPr>
            <w:tcW w:w="56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w:t>
            </w:r>
          </w:p>
        </w:tc>
        <w:tc>
          <w:tcPr>
            <w:tcW w:w="708"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w:t>
            </w:r>
          </w:p>
        </w:tc>
        <w:tc>
          <w:tcPr>
            <w:tcW w:w="625"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w:t>
            </w:r>
          </w:p>
        </w:tc>
        <w:tc>
          <w:tcPr>
            <w:tcW w:w="633" w:type="dxa"/>
            <w:tcBorders>
              <w:top w:val="single" w:sz="4" w:space="0" w:color="auto"/>
              <w:left w:val="single" w:sz="4" w:space="0" w:color="auto"/>
              <w:bottom w:val="nil"/>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7.22</w:t>
            </w:r>
          </w:p>
        </w:tc>
      </w:tr>
      <w:tr w:rsidR="004B718C" w:rsidRPr="00882845" w:rsidTr="005A4F30">
        <w:trPr>
          <w:jc w:val="center"/>
        </w:trPr>
        <w:tc>
          <w:tcPr>
            <w:tcW w:w="851" w:type="dxa"/>
            <w:tcBorders>
              <w:top w:val="nil"/>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CNP2</w:t>
            </w:r>
          </w:p>
        </w:tc>
        <w:tc>
          <w:tcPr>
            <w:tcW w:w="425" w:type="dxa"/>
            <w:tcBorders>
              <w:top w:val="nil"/>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365</w:t>
            </w:r>
          </w:p>
        </w:tc>
        <w:tc>
          <w:tcPr>
            <w:tcW w:w="709" w:type="dxa"/>
            <w:tcBorders>
              <w:top w:val="nil"/>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-1.15</w:t>
            </w:r>
          </w:p>
        </w:tc>
        <w:tc>
          <w:tcPr>
            <w:tcW w:w="567" w:type="dxa"/>
            <w:tcBorders>
              <w:top w:val="nil"/>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-6.62</w:t>
            </w:r>
          </w:p>
        </w:tc>
        <w:tc>
          <w:tcPr>
            <w:tcW w:w="708" w:type="dxa"/>
            <w:tcBorders>
              <w:top w:val="nil"/>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-1.37</w:t>
            </w:r>
          </w:p>
        </w:tc>
        <w:tc>
          <w:tcPr>
            <w:tcW w:w="625" w:type="dxa"/>
            <w:tcBorders>
              <w:top w:val="nil"/>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-6.40</w:t>
            </w:r>
          </w:p>
        </w:tc>
        <w:tc>
          <w:tcPr>
            <w:tcW w:w="633" w:type="dxa"/>
            <w:tcBorders>
              <w:top w:val="nil"/>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8.04</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CNP3</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365</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-0.15</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-2.08</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-0.79</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-1.44</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7.39</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CNP4</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320</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-1.48</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-2.99</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-0.18</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1.69</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7.10</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CNP5</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328</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-1.57</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1.90</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1.33</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-1.00</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7.61</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CNP6</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331</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-9.13</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-4.54</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0.23</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-13.90</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8.69</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CNP7</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365</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-7.71</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3.55</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-0.04</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-4.12</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7.92</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CNP8</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355</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-15.36</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7.94</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-1.18</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-6.24</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8.04</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CNP9</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355</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-11.49</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-6.58</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-0.11</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-17.96</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9.00</w:t>
            </w:r>
          </w:p>
        </w:tc>
      </w:tr>
      <w:tr w:rsidR="004B718C" w:rsidRPr="00882845" w:rsidTr="005A4F30">
        <w:trPr>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CNP10</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355</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-14.35</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-0.73</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-1.71</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-13.37</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8.52</w:t>
            </w:r>
          </w:p>
        </w:tc>
      </w:tr>
      <w:tr w:rsidR="004B718C" w:rsidRPr="00882845" w:rsidTr="005A4F30">
        <w:trPr>
          <w:jc w:val="center"/>
        </w:trPr>
        <w:tc>
          <w:tcPr>
            <w:tcW w:w="851" w:type="dxa"/>
            <w:tcBorders>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CNP11</w:t>
            </w:r>
          </w:p>
        </w:tc>
        <w:tc>
          <w:tcPr>
            <w:tcW w:w="425" w:type="dxa"/>
            <w:tcBorders>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335</w:t>
            </w:r>
          </w:p>
        </w:tc>
        <w:tc>
          <w:tcPr>
            <w:tcW w:w="709" w:type="dxa"/>
            <w:tcBorders>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-1.12</w:t>
            </w:r>
          </w:p>
        </w:tc>
        <w:tc>
          <w:tcPr>
            <w:tcW w:w="567" w:type="dxa"/>
            <w:tcBorders>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11.97</w:t>
            </w:r>
          </w:p>
        </w:tc>
        <w:tc>
          <w:tcPr>
            <w:tcW w:w="708" w:type="dxa"/>
            <w:tcBorders>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1.66</w:t>
            </w:r>
          </w:p>
        </w:tc>
        <w:tc>
          <w:tcPr>
            <w:tcW w:w="625" w:type="dxa"/>
            <w:tcBorders>
              <w:left w:val="single" w:sz="4" w:space="0" w:color="auto"/>
              <w:bottom w:val="nil"/>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9.19</w:t>
            </w:r>
          </w:p>
        </w:tc>
        <w:tc>
          <w:tcPr>
            <w:tcW w:w="633" w:type="dxa"/>
            <w:tcBorders>
              <w:left w:val="single" w:sz="4" w:space="0" w:color="auto"/>
              <w:bottom w:val="nil"/>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6.21</w:t>
            </w:r>
          </w:p>
        </w:tc>
      </w:tr>
      <w:tr w:rsidR="004B718C" w:rsidRPr="00882845" w:rsidTr="005A4F30">
        <w:trPr>
          <w:jc w:val="center"/>
        </w:trPr>
        <w:tc>
          <w:tcPr>
            <w:tcW w:w="851"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CNP12</w:t>
            </w:r>
          </w:p>
        </w:tc>
        <w:tc>
          <w:tcPr>
            <w:tcW w:w="4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339</w:t>
            </w: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-0.50</w:t>
            </w:r>
          </w:p>
        </w:tc>
        <w:tc>
          <w:tcPr>
            <w:tcW w:w="567"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4.93</w:t>
            </w:r>
          </w:p>
        </w:tc>
        <w:tc>
          <w:tcPr>
            <w:tcW w:w="708"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0.22</w:t>
            </w:r>
          </w:p>
        </w:tc>
        <w:tc>
          <w:tcPr>
            <w:tcW w:w="6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4.21</w:t>
            </w:r>
          </w:p>
        </w:tc>
        <w:tc>
          <w:tcPr>
            <w:tcW w:w="633" w:type="dxa"/>
            <w:tcBorders>
              <w:left w:val="single" w:sz="4" w:space="0" w:color="auto"/>
              <w:bottom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6.70</w:t>
            </w:r>
          </w:p>
        </w:tc>
      </w:tr>
      <w:tr w:rsidR="004B718C" w:rsidRPr="004B718C" w:rsidTr="005A4F30">
        <w:trPr>
          <w:trHeight w:val="40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z w:val="18"/>
                <w:szCs w:val="18"/>
              </w:rPr>
            </w:pPr>
            <w:r w:rsidRPr="004B718C">
              <w:rPr>
                <w:rFonts w:ascii="Times New Roman" w:hAnsi="Times New Roman"/>
                <w:sz w:val="18"/>
                <w:szCs w:val="18"/>
              </w:rPr>
              <w:lastRenderedPageBreak/>
              <w:t>Validation set</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z w:val="18"/>
                <w:szCs w:val="18"/>
                <w:vertAlign w:val="superscript"/>
              </w:rPr>
            </w:pPr>
            <w:r w:rsidRPr="004B718C">
              <w:rPr>
                <w:rFonts w:ascii="Times New Roman" w:hAnsi="Times New Roman"/>
                <w:i/>
                <w:sz w:val="18"/>
                <w:szCs w:val="18"/>
              </w:rPr>
              <w:t>M</w:t>
            </w:r>
            <w:r w:rsidRPr="004B718C">
              <w:rPr>
                <w:rFonts w:ascii="Times New Roman" w:hAnsi="Times New Roman"/>
                <w:sz w:val="18"/>
                <w:szCs w:val="18"/>
                <w:vertAlign w:val="subscript"/>
              </w:rPr>
              <w:t>W</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z w:val="18"/>
                <w:szCs w:val="18"/>
                <w:vertAlign w:val="superscript"/>
              </w:rPr>
            </w:pPr>
            <w:r w:rsidRPr="004B718C">
              <w:rPr>
                <w:rFonts w:ascii="Times New Roman" w:hAnsi="Times New Roman"/>
                <w:sz w:val="18"/>
                <w:szCs w:val="18"/>
              </w:rPr>
              <w:t>ΔΔ</w:t>
            </w:r>
            <w:r w:rsidRPr="004B718C">
              <w:rPr>
                <w:rFonts w:ascii="Times New Roman" w:hAnsi="Times New Roman"/>
                <w:i/>
                <w:sz w:val="18"/>
                <w:szCs w:val="18"/>
              </w:rPr>
              <w:t>H</w:t>
            </w:r>
            <w:r w:rsidRPr="004B718C">
              <w:rPr>
                <w:rFonts w:ascii="Times New Roman" w:hAnsi="Times New Roman"/>
                <w:sz w:val="18"/>
                <w:szCs w:val="18"/>
                <w:vertAlign w:val="subscript"/>
              </w:rPr>
              <w:t>MM</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z w:val="18"/>
                <w:szCs w:val="18"/>
              </w:rPr>
            </w:pPr>
            <w:r w:rsidRPr="004B718C">
              <w:rPr>
                <w:rFonts w:ascii="Times New Roman" w:hAnsi="Times New Roman"/>
                <w:sz w:val="18"/>
                <w:szCs w:val="18"/>
              </w:rPr>
              <w:t>ΔΔ</w:t>
            </w:r>
            <w:r w:rsidRPr="004B718C">
              <w:rPr>
                <w:rFonts w:ascii="Times New Roman" w:hAnsi="Times New Roman"/>
                <w:i/>
                <w:sz w:val="18"/>
                <w:szCs w:val="18"/>
              </w:rPr>
              <w:t>G</w:t>
            </w:r>
            <w:r w:rsidRPr="004B718C">
              <w:rPr>
                <w:rFonts w:ascii="Times New Roman" w:hAnsi="Times New Roman"/>
                <w:sz w:val="18"/>
                <w:szCs w:val="18"/>
                <w:vertAlign w:val="subscript"/>
              </w:rPr>
              <w:t>sol</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z w:val="18"/>
                <w:szCs w:val="18"/>
              </w:rPr>
            </w:pPr>
            <w:r w:rsidRPr="004B718C">
              <w:rPr>
                <w:rFonts w:ascii="Times New Roman" w:hAnsi="Times New Roman"/>
                <w:sz w:val="18"/>
                <w:szCs w:val="18"/>
              </w:rPr>
              <w:t>ΔΔ</w:t>
            </w:r>
            <w:r w:rsidRPr="004B718C">
              <w:rPr>
                <w:rFonts w:ascii="Times New Roman" w:hAnsi="Times New Roman"/>
                <w:i/>
                <w:sz w:val="18"/>
                <w:szCs w:val="18"/>
              </w:rPr>
              <w:t>TS</w:t>
            </w:r>
            <w:r w:rsidRPr="004B718C">
              <w:rPr>
                <w:rFonts w:ascii="Times New Roman" w:hAnsi="Times New Roman"/>
                <w:sz w:val="18"/>
                <w:szCs w:val="18"/>
                <w:vertAlign w:val="subscript"/>
              </w:rPr>
              <w:t>vib</w:t>
            </w:r>
          </w:p>
        </w:tc>
        <w:tc>
          <w:tcPr>
            <w:tcW w:w="6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4B718C" w:rsidRDefault="004B718C" w:rsidP="005A4F30">
            <w:pPr>
              <w:widowControl w:val="0"/>
              <w:adjustRightInd w:val="0"/>
              <w:snapToGrid w:val="0"/>
              <w:jc w:val="center"/>
              <w:rPr>
                <w:rFonts w:ascii="Times New Roman" w:hAnsi="Times New Roman"/>
                <w:sz w:val="18"/>
                <w:szCs w:val="18"/>
              </w:rPr>
            </w:pPr>
            <w:r w:rsidRPr="004B718C">
              <w:rPr>
                <w:rFonts w:ascii="Times New Roman" w:hAnsi="Times New Roman"/>
                <w:sz w:val="18"/>
                <w:szCs w:val="18"/>
              </w:rPr>
              <w:t>ΔΔ</w:t>
            </w:r>
            <w:r w:rsidRPr="004B718C">
              <w:rPr>
                <w:rFonts w:ascii="Times New Roman" w:hAnsi="Times New Roman"/>
                <w:i/>
                <w:sz w:val="18"/>
                <w:szCs w:val="18"/>
              </w:rPr>
              <w:t>G</w:t>
            </w:r>
            <w:r w:rsidRPr="004B718C">
              <w:rPr>
                <w:rFonts w:ascii="Times New Roman" w:hAnsi="Times New Roman"/>
                <w:sz w:val="18"/>
                <w:szCs w:val="18"/>
                <w:vertAlign w:val="subscript"/>
              </w:rPr>
              <w:t>com</w:t>
            </w:r>
          </w:p>
        </w:tc>
        <w:tc>
          <w:tcPr>
            <w:tcW w:w="6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B718C" w:rsidRPr="004B718C" w:rsidRDefault="009A671C" w:rsidP="005A4F30">
            <w:pPr>
              <w:widowControl w:val="0"/>
              <w:adjustRightInd w:val="0"/>
              <w:snapToGrid w:val="0"/>
              <w:jc w:val="center"/>
              <w:rPr>
                <w:rFonts w:ascii="Times New Roman" w:hAnsi="Times New Roman"/>
                <w:sz w:val="18"/>
                <w:szCs w:val="18"/>
              </w:rPr>
            </w:pPr>
            <m:oMath>
              <m:sSubSup>
                <m:sSubSupPr>
                  <m:ctrlPr>
                    <w:rPr>
                      <w:rFonts w:ascii="Cambria Math" w:hAnsi="Cambria Math"/>
                      <w:bCs/>
                      <w:color w:val="000000"/>
                      <w:sz w:val="18"/>
                      <w:szCs w:val="18"/>
                      <w:vertAlign w:val="superscript"/>
                      <w:lang w:eastAsia="fr-FR"/>
                    </w:rPr>
                  </m:ctrlPr>
                </m:sSubSupPr>
                <m:e>
                  <m:r>
                    <m:rPr>
                      <m:sty m:val="p"/>
                    </m:rPr>
                    <w:rPr>
                      <w:rFonts w:ascii="Cambria Math" w:hAnsi="Cambria Math"/>
                      <w:color w:val="000000"/>
                      <w:sz w:val="18"/>
                      <w:szCs w:val="18"/>
                      <w:vertAlign w:val="superscript"/>
                      <w:lang w:eastAsia="fr-FR"/>
                    </w:rPr>
                    <m:t>pIC</m:t>
                  </m:r>
                </m:e>
                <m:sub>
                  <m:r>
                    <m:rPr>
                      <m:sty m:val="p"/>
                    </m:rPr>
                    <w:rPr>
                      <w:rFonts w:ascii="Cambria Math" w:hAnsi="Cambria Math"/>
                      <w:color w:val="000000"/>
                      <w:sz w:val="18"/>
                      <w:szCs w:val="18"/>
                      <w:vertAlign w:val="superscript"/>
                      <w:lang w:eastAsia="fr-FR"/>
                    </w:rPr>
                    <m:t>50</m:t>
                  </m:r>
                </m:sub>
                <m:sup>
                  <m:r>
                    <m:rPr>
                      <m:sty m:val="p"/>
                    </m:rPr>
                    <w:rPr>
                      <w:rFonts w:ascii="Cambria Math" w:hAnsi="Cambria Math"/>
                      <w:color w:val="000000"/>
                      <w:sz w:val="18"/>
                      <w:szCs w:val="18"/>
                      <w:vertAlign w:val="superscript"/>
                      <w:lang w:eastAsia="fr-FR"/>
                    </w:rPr>
                    <m:t>pre</m:t>
                  </m:r>
                </m:sup>
              </m:sSubSup>
            </m:oMath>
            <w:r w:rsidR="004B718C" w:rsidRPr="004B718C">
              <w:rPr>
                <w:rFonts w:ascii="Times New Roman" w:hAnsi="Times New Roman"/>
                <w:sz w:val="18"/>
                <w:szCs w:val="18"/>
              </w:rPr>
              <w:t>/</w:t>
            </w:r>
            <w:r w:rsidR="004B718C" w:rsidRPr="004B718C">
              <w:rPr>
                <w:rFonts w:ascii="Times New Roman" w:hAnsi="Times New Roman"/>
                <w:sz w:val="18"/>
                <w:szCs w:val="18"/>
              </w:rPr>
              <w:br/>
            </w:r>
            <m:oMathPara>
              <m:oMath>
                <m:sSubSup>
                  <m:sSubSupPr>
                    <m:ctrlPr>
                      <w:rPr>
                        <w:rFonts w:ascii="Cambria Math" w:hAnsi="Cambria Math"/>
                        <w:bCs/>
                        <w:color w:val="000000"/>
                        <w:sz w:val="18"/>
                        <w:szCs w:val="18"/>
                        <w:vertAlign w:val="superscript"/>
                        <w:lang w:eastAsia="fr-FR"/>
                      </w:rPr>
                    </m:ctrlPr>
                  </m:sSubSupPr>
                  <m:e>
                    <m:r>
                      <m:rPr>
                        <m:sty m:val="p"/>
                      </m:rPr>
                      <w:rPr>
                        <w:rFonts w:ascii="Cambria Math" w:hAnsi="Cambria Math"/>
                        <w:color w:val="000000"/>
                        <w:sz w:val="18"/>
                        <w:szCs w:val="18"/>
                        <w:vertAlign w:val="superscript"/>
                        <w:lang w:eastAsia="fr-FR"/>
                      </w:rPr>
                      <m:t>pIC</m:t>
                    </m:r>
                  </m:e>
                  <m:sub>
                    <m:r>
                      <m:rPr>
                        <m:sty m:val="p"/>
                      </m:rPr>
                      <w:rPr>
                        <w:rFonts w:ascii="Cambria Math" w:hAnsi="Cambria Math"/>
                        <w:color w:val="000000"/>
                        <w:sz w:val="18"/>
                        <w:szCs w:val="18"/>
                        <w:vertAlign w:val="superscript"/>
                        <w:lang w:eastAsia="fr-FR"/>
                      </w:rPr>
                      <m:t>50</m:t>
                    </m:r>
                  </m:sub>
                  <m:sup>
                    <m:r>
                      <m:rPr>
                        <m:sty m:val="p"/>
                      </m:rPr>
                      <w:rPr>
                        <w:rFonts w:ascii="Cambria Math" w:hAnsi="Cambria Math"/>
                        <w:color w:val="000000"/>
                        <w:sz w:val="18"/>
                        <w:szCs w:val="18"/>
                        <w:vertAlign w:val="superscript"/>
                        <w:lang w:eastAsia="fr-FR"/>
                      </w:rPr>
                      <m:t>exp</m:t>
                    </m:r>
                  </m:sup>
                </m:sSubSup>
              </m:oMath>
            </m:oMathPara>
          </w:p>
        </w:tc>
      </w:tr>
      <w:tr w:rsidR="004B718C" w:rsidRPr="00882845" w:rsidTr="005A4F30">
        <w:trPr>
          <w:jc w:val="center"/>
        </w:trPr>
        <w:tc>
          <w:tcPr>
            <w:tcW w:w="85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CNPV1</w:t>
            </w:r>
          </w:p>
        </w:tc>
        <w:tc>
          <w:tcPr>
            <w:tcW w:w="425"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315</w:t>
            </w:r>
          </w:p>
        </w:tc>
        <w:tc>
          <w:tcPr>
            <w:tcW w:w="70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-4.47</w:t>
            </w:r>
          </w:p>
        </w:tc>
        <w:tc>
          <w:tcPr>
            <w:tcW w:w="567"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4.61</w:t>
            </w:r>
          </w:p>
        </w:tc>
        <w:tc>
          <w:tcPr>
            <w:tcW w:w="708"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-0.68</w:t>
            </w:r>
          </w:p>
        </w:tc>
        <w:tc>
          <w:tcPr>
            <w:tcW w:w="625"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0.82</w:t>
            </w:r>
          </w:p>
        </w:tc>
        <w:tc>
          <w:tcPr>
            <w:tcW w:w="633" w:type="dxa"/>
            <w:tcBorders>
              <w:top w:val="single" w:sz="4" w:space="0" w:color="auto"/>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0.945</w:t>
            </w:r>
          </w:p>
        </w:tc>
      </w:tr>
      <w:tr w:rsidR="004B718C" w:rsidRPr="00882845" w:rsidTr="005A4F30">
        <w:trPr>
          <w:trHeight w:val="70"/>
          <w:jc w:val="center"/>
        </w:trPr>
        <w:tc>
          <w:tcPr>
            <w:tcW w:w="851"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CNPV2</w:t>
            </w:r>
          </w:p>
        </w:tc>
        <w:tc>
          <w:tcPr>
            <w:tcW w:w="4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320</w:t>
            </w:r>
          </w:p>
        </w:tc>
        <w:tc>
          <w:tcPr>
            <w:tcW w:w="709"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-3.05</w:t>
            </w:r>
          </w:p>
        </w:tc>
        <w:tc>
          <w:tcPr>
            <w:tcW w:w="567"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-4.74</w:t>
            </w:r>
          </w:p>
        </w:tc>
        <w:tc>
          <w:tcPr>
            <w:tcW w:w="708"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-1.72</w:t>
            </w:r>
          </w:p>
        </w:tc>
        <w:tc>
          <w:tcPr>
            <w:tcW w:w="625" w:type="dxa"/>
            <w:tcBorders>
              <w:left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-6.07</w:t>
            </w:r>
          </w:p>
        </w:tc>
        <w:tc>
          <w:tcPr>
            <w:tcW w:w="633" w:type="dxa"/>
            <w:tcBorders>
              <w:left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0.928</w:t>
            </w:r>
          </w:p>
        </w:tc>
      </w:tr>
      <w:tr w:rsidR="004B718C" w:rsidRPr="00882845" w:rsidTr="005A4F30">
        <w:trPr>
          <w:trHeight w:val="212"/>
          <w:jc w:val="center"/>
        </w:trPr>
        <w:tc>
          <w:tcPr>
            <w:tcW w:w="851"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CNPV3</w:t>
            </w:r>
          </w:p>
        </w:tc>
        <w:tc>
          <w:tcPr>
            <w:tcW w:w="4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354</w:t>
            </w: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-5.22</w:t>
            </w:r>
          </w:p>
        </w:tc>
        <w:tc>
          <w:tcPr>
            <w:tcW w:w="567"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-4.15</w:t>
            </w:r>
          </w:p>
        </w:tc>
        <w:tc>
          <w:tcPr>
            <w:tcW w:w="708"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-5.08</w:t>
            </w:r>
          </w:p>
        </w:tc>
        <w:tc>
          <w:tcPr>
            <w:tcW w:w="6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-4.29</w:t>
            </w:r>
          </w:p>
        </w:tc>
        <w:tc>
          <w:tcPr>
            <w:tcW w:w="633" w:type="dxa"/>
            <w:tcBorders>
              <w:left w:val="single" w:sz="4" w:space="0" w:color="auto"/>
              <w:bottom w:val="single" w:sz="4" w:space="0" w:color="auto"/>
              <w:right w:val="single" w:sz="4" w:space="0" w:color="auto"/>
            </w:tcBorders>
            <w:tcMar>
              <w:left w:w="28" w:type="dxa"/>
              <w:right w:w="28" w:type="dxa"/>
            </w:tcMar>
            <w:vAlign w:val="center"/>
          </w:tcPr>
          <w:p w:rsidR="004B718C" w:rsidRPr="00882845" w:rsidRDefault="004B718C" w:rsidP="005A4F30">
            <w:pPr>
              <w:pStyle w:val="MDPI42tablebody"/>
              <w:widowControl w:val="0"/>
              <w:jc w:val="center"/>
              <w:rPr>
                <w:rFonts w:ascii="Times New Roman" w:hAnsi="Times New Roman"/>
                <w:color w:val="auto"/>
                <w:sz w:val="18"/>
                <w:szCs w:val="18"/>
              </w:rPr>
            </w:pPr>
            <w:r w:rsidRPr="00882845">
              <w:rPr>
                <w:rFonts w:ascii="Times New Roman" w:hAnsi="Times New Roman"/>
                <w:color w:val="auto"/>
                <w:sz w:val="18"/>
                <w:szCs w:val="18"/>
              </w:rPr>
              <w:t>0.947</w:t>
            </w:r>
          </w:p>
        </w:tc>
      </w:tr>
    </w:tbl>
    <w:p w:rsidR="006E5008" w:rsidRDefault="00046579" w:rsidP="00046579">
      <w:pPr>
        <w:jc w:val="both"/>
        <w:rPr>
          <w:rStyle w:val="A12"/>
          <w:rFonts w:ascii="Times New Roman" w:eastAsia="Calibri" w:hAnsi="Times New Roman" w:cs="Times New Roman"/>
          <w:sz w:val="14"/>
          <w:szCs w:val="14"/>
        </w:rPr>
      </w:pPr>
      <w:r w:rsidRPr="00046579">
        <w:rPr>
          <w:rStyle w:val="A12"/>
          <w:rFonts w:ascii="Times New Roman" w:eastAsia="Calibri" w:hAnsi="Times New Roman" w:cs="Times New Roman"/>
          <w:sz w:val="14"/>
          <w:szCs w:val="14"/>
          <w:vertAlign w:val="superscript"/>
        </w:rPr>
        <w:t>a</w:t>
      </w:r>
      <w:r w:rsidRPr="00046579">
        <w:rPr>
          <w:rStyle w:val="A5"/>
          <w:rFonts w:ascii="Times New Roman" w:hAnsi="Times New Roman" w:cs="Times New Roman"/>
          <w:sz w:val="14"/>
          <w:szCs w:val="14"/>
        </w:rPr>
        <w:t xml:space="preserve">For the chemical structures of the training set of inhibitors see Table 1; </w:t>
      </w:r>
      <w:r w:rsidRPr="00046579">
        <w:rPr>
          <w:rStyle w:val="A12"/>
          <w:rFonts w:ascii="Times New Roman" w:eastAsia="Calibri" w:hAnsi="Times New Roman" w:cs="Times New Roman"/>
          <w:sz w:val="14"/>
          <w:szCs w:val="14"/>
          <w:vertAlign w:val="superscript"/>
        </w:rPr>
        <w:t>b</w:t>
      </w:r>
      <w:r w:rsidRPr="00046579">
        <w:rPr>
          <w:rStyle w:val="A5"/>
          <w:rFonts w:ascii="Cambria Math" w:hAnsi="Cambria Math" w:cs="Cambria Math"/>
          <w:sz w:val="14"/>
          <w:szCs w:val="14"/>
        </w:rPr>
        <w:t>𝑀𝑤</w:t>
      </w:r>
      <w:r w:rsidRPr="00046579">
        <w:rPr>
          <w:rStyle w:val="A5"/>
          <w:rFonts w:ascii="Times New Roman" w:hAnsi="Times New Roman" w:cs="Times New Roman"/>
          <w:sz w:val="14"/>
          <w:szCs w:val="14"/>
        </w:rPr>
        <w:t xml:space="preserve"> is the molecular mass of the inhibitor; </w:t>
      </w:r>
      <w:r w:rsidRPr="00046579">
        <w:rPr>
          <w:rStyle w:val="A12"/>
          <w:rFonts w:ascii="Times New Roman" w:eastAsia="Calibri" w:hAnsi="Times New Roman" w:cs="Times New Roman"/>
          <w:sz w:val="14"/>
          <w:szCs w:val="14"/>
          <w:vertAlign w:val="superscript"/>
        </w:rPr>
        <w:t>c</w:t>
      </w:r>
      <w:r w:rsidRPr="00046579">
        <w:rPr>
          <w:rStyle w:val="A5"/>
          <w:rFonts w:ascii="Times New Roman" w:hAnsi="Times New Roman" w:cs="Times New Roman"/>
          <w:sz w:val="14"/>
          <w:szCs w:val="14"/>
        </w:rPr>
        <w:t>ΔΔ</w:t>
      </w:r>
      <w:r w:rsidRPr="00046579">
        <w:rPr>
          <w:rStyle w:val="A5"/>
          <w:rFonts w:ascii="Cambria Math" w:hAnsi="Cambria Math" w:cs="Cambria Math"/>
          <w:sz w:val="14"/>
          <w:szCs w:val="14"/>
        </w:rPr>
        <w:t>𝐻</w:t>
      </w:r>
      <w:r w:rsidRPr="00046579">
        <w:rPr>
          <w:rStyle w:val="A11"/>
          <w:rFonts w:ascii="Times New Roman" w:hAnsi="Times New Roman" w:cs="Times New Roman"/>
          <w:sz w:val="14"/>
          <w:szCs w:val="14"/>
          <w:vertAlign w:val="subscript"/>
        </w:rPr>
        <w:t>MM</w:t>
      </w:r>
      <w:r w:rsidRPr="00046579">
        <w:rPr>
          <w:rStyle w:val="A5"/>
          <w:rFonts w:ascii="Times New Roman" w:hAnsi="Times New Roman" w:cs="Times New Roman"/>
          <w:sz w:val="14"/>
          <w:szCs w:val="14"/>
        </w:rPr>
        <w:t>is the relative enthalpic contribution to the Gibbs free energy change  related to the protease-inhibitor complex formation derived by molecular mechanics (MM): ΔΔ</w:t>
      </w:r>
      <w:r w:rsidRPr="00046579">
        <w:rPr>
          <w:rStyle w:val="A5"/>
          <w:rFonts w:ascii="Cambria Math" w:hAnsi="Cambria Math" w:cs="Cambria Math"/>
          <w:sz w:val="14"/>
          <w:szCs w:val="14"/>
        </w:rPr>
        <w:t>𝐻</w:t>
      </w:r>
      <w:r w:rsidRPr="00046579">
        <w:rPr>
          <w:rStyle w:val="A11"/>
          <w:rFonts w:ascii="Times New Roman" w:hAnsi="Times New Roman" w:cs="Times New Roman"/>
          <w:sz w:val="14"/>
          <w:szCs w:val="14"/>
          <w:vertAlign w:val="subscript"/>
        </w:rPr>
        <w:t>MM</w:t>
      </w:r>
      <w:r w:rsidRPr="00046579">
        <w:rPr>
          <w:rStyle w:val="A5"/>
          <w:rFonts w:ascii="Cambria Math" w:hAnsi="Cambria Math" w:cs="Cambria Math"/>
          <w:sz w:val="14"/>
          <w:szCs w:val="14"/>
        </w:rPr>
        <w:t>≅</w:t>
      </w:r>
      <w:r w:rsidRPr="00046579">
        <w:rPr>
          <w:rStyle w:val="A5"/>
          <w:rFonts w:ascii="Times New Roman" w:hAnsi="Times New Roman" w:cs="Times New Roman"/>
          <w:sz w:val="14"/>
          <w:szCs w:val="14"/>
        </w:rPr>
        <w:t xml:space="preserve"> [</w:t>
      </w:r>
      <w:r w:rsidRPr="00046579">
        <w:rPr>
          <w:rStyle w:val="A5"/>
          <w:rFonts w:ascii="Cambria Math" w:hAnsi="Cambria Math" w:cs="Cambria Math"/>
          <w:sz w:val="14"/>
          <w:szCs w:val="14"/>
        </w:rPr>
        <w:t>𝐸</w:t>
      </w:r>
      <w:r w:rsidRPr="00046579">
        <w:rPr>
          <w:rStyle w:val="A11"/>
          <w:rFonts w:ascii="Times New Roman" w:hAnsi="Times New Roman" w:cs="Times New Roman"/>
          <w:sz w:val="14"/>
          <w:szCs w:val="14"/>
          <w:vertAlign w:val="subscript"/>
        </w:rPr>
        <w:t>MM</w:t>
      </w:r>
      <w:r w:rsidRPr="00046579">
        <w:rPr>
          <w:rStyle w:val="A5"/>
          <w:rFonts w:ascii="Times New Roman" w:hAnsi="Times New Roman" w:cs="Times New Roman"/>
          <w:sz w:val="14"/>
          <w:szCs w:val="14"/>
        </w:rPr>
        <w:t>{PR:CNPx}−</w:t>
      </w:r>
      <w:r w:rsidRPr="00046579">
        <w:rPr>
          <w:rStyle w:val="A5"/>
          <w:rFonts w:ascii="Cambria Math" w:hAnsi="Cambria Math" w:cs="Cambria Math"/>
          <w:sz w:val="14"/>
          <w:szCs w:val="14"/>
        </w:rPr>
        <w:t>𝐸</w:t>
      </w:r>
      <w:r w:rsidRPr="00046579">
        <w:rPr>
          <w:rStyle w:val="A11"/>
          <w:rFonts w:ascii="Times New Roman" w:hAnsi="Times New Roman" w:cs="Times New Roman"/>
          <w:sz w:val="14"/>
          <w:szCs w:val="14"/>
          <w:vertAlign w:val="subscript"/>
        </w:rPr>
        <w:t>MM</w:t>
      </w:r>
      <w:r w:rsidRPr="00046579">
        <w:rPr>
          <w:rStyle w:val="A5"/>
          <w:rFonts w:ascii="Times New Roman" w:hAnsi="Times New Roman" w:cs="Times New Roman"/>
          <w:sz w:val="14"/>
          <w:szCs w:val="14"/>
        </w:rPr>
        <w:t>{CNPx}]−[</w:t>
      </w:r>
      <w:r w:rsidRPr="00046579">
        <w:rPr>
          <w:rStyle w:val="A5"/>
          <w:rFonts w:ascii="Cambria Math" w:hAnsi="Cambria Math" w:cs="Cambria Math"/>
          <w:sz w:val="14"/>
          <w:szCs w:val="14"/>
        </w:rPr>
        <w:t>𝐸</w:t>
      </w:r>
      <w:r w:rsidRPr="00046579">
        <w:rPr>
          <w:rStyle w:val="A11"/>
          <w:rFonts w:ascii="Times New Roman" w:hAnsi="Times New Roman" w:cs="Times New Roman"/>
          <w:sz w:val="14"/>
          <w:szCs w:val="14"/>
          <w:vertAlign w:val="subscript"/>
        </w:rPr>
        <w:t>MM</w:t>
      </w:r>
      <w:r w:rsidRPr="00046579">
        <w:rPr>
          <w:rStyle w:val="A5"/>
          <w:rFonts w:ascii="Times New Roman" w:hAnsi="Times New Roman" w:cs="Times New Roman"/>
          <w:sz w:val="14"/>
          <w:szCs w:val="14"/>
        </w:rPr>
        <w:t>{PR:CNP1}−</w:t>
      </w:r>
      <w:r w:rsidRPr="00046579">
        <w:rPr>
          <w:rStyle w:val="A5"/>
          <w:rFonts w:ascii="Cambria Math" w:hAnsi="Cambria Math" w:cs="Cambria Math"/>
          <w:sz w:val="14"/>
          <w:szCs w:val="14"/>
        </w:rPr>
        <w:t>𝐸</w:t>
      </w:r>
      <w:r w:rsidRPr="00046579">
        <w:rPr>
          <w:rStyle w:val="A11"/>
          <w:rFonts w:ascii="Times New Roman" w:hAnsi="Times New Roman" w:cs="Times New Roman"/>
          <w:sz w:val="14"/>
          <w:szCs w:val="14"/>
          <w:vertAlign w:val="subscript"/>
        </w:rPr>
        <w:t>MM</w:t>
      </w:r>
      <w:r w:rsidRPr="00046579">
        <w:rPr>
          <w:rStyle w:val="A5"/>
          <w:rFonts w:ascii="Times New Roman" w:hAnsi="Times New Roman" w:cs="Times New Roman"/>
          <w:sz w:val="14"/>
          <w:szCs w:val="14"/>
        </w:rPr>
        <w:t xml:space="preserve">{CNP1}], CNP1 is the reference inhibitor; </w:t>
      </w:r>
      <w:r w:rsidRPr="00046579">
        <w:rPr>
          <w:rStyle w:val="A12"/>
          <w:rFonts w:ascii="Times New Roman" w:eastAsia="Calibri" w:hAnsi="Times New Roman" w:cs="Times New Roman"/>
          <w:sz w:val="14"/>
          <w:szCs w:val="14"/>
          <w:vertAlign w:val="superscript"/>
        </w:rPr>
        <w:t>d</w:t>
      </w:r>
      <w:r w:rsidRPr="00046579">
        <w:rPr>
          <w:rStyle w:val="A5"/>
          <w:rFonts w:ascii="Times New Roman" w:hAnsi="Times New Roman" w:cs="Times New Roman"/>
          <w:sz w:val="14"/>
          <w:szCs w:val="14"/>
        </w:rPr>
        <w:t>ΔΔ</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 xml:space="preserve">solv </w:t>
      </w:r>
      <w:r w:rsidRPr="00046579">
        <w:rPr>
          <w:rStyle w:val="A5"/>
          <w:rFonts w:ascii="Times New Roman" w:hAnsi="Times New Roman" w:cs="Times New Roman"/>
          <w:sz w:val="14"/>
          <w:szCs w:val="14"/>
        </w:rPr>
        <w:t>is the relative solvation Gibbs free energy contribution to the Gibbs free energy change related to protease-inhibitor complex formation: ΔΔ</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solv</w:t>
      </w:r>
      <w:r w:rsidRPr="00046579">
        <w:rPr>
          <w:rStyle w:val="A5"/>
          <w:rFonts w:ascii="Times New Roman" w:hAnsi="Times New Roman" w:cs="Times New Roman"/>
          <w:sz w:val="14"/>
          <w:szCs w:val="14"/>
        </w:rPr>
        <w:t>=[</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solv</w:t>
      </w:r>
      <w:r w:rsidRPr="00046579">
        <w:rPr>
          <w:rStyle w:val="A5"/>
          <w:rFonts w:ascii="Times New Roman" w:hAnsi="Times New Roman" w:cs="Times New Roman"/>
          <w:sz w:val="14"/>
          <w:szCs w:val="14"/>
        </w:rPr>
        <w:t>{PR:CNPx}−</w:t>
      </w:r>
      <w:r w:rsidRPr="00046579">
        <w:rPr>
          <w:rStyle w:val="A5"/>
          <w:rFonts w:ascii="Cambria Math" w:hAnsi="Cambria Math" w:cs="Cambria Math"/>
          <w:sz w:val="14"/>
          <w:szCs w:val="14"/>
        </w:rPr>
        <w:t>𝐺</w:t>
      </w:r>
      <w:r w:rsidR="00890CC9">
        <w:rPr>
          <w:rStyle w:val="A5"/>
          <w:rFonts w:ascii="Times New Roman" w:hAnsi="Times New Roman" w:cs="Times New Roman"/>
          <w:sz w:val="14"/>
          <w:szCs w:val="14"/>
        </w:rPr>
        <w:t>solv{CNPx}]−</w:t>
      </w:r>
      <w:r w:rsidRPr="00046579">
        <w:rPr>
          <w:rStyle w:val="A5"/>
          <w:rFonts w:ascii="Times New Roman" w:hAnsi="Times New Roman" w:cs="Times New Roman"/>
          <w:sz w:val="14"/>
          <w:szCs w:val="14"/>
        </w:rPr>
        <w:t>[</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sol</w:t>
      </w:r>
      <w:r w:rsidRPr="00046579">
        <w:rPr>
          <w:rStyle w:val="A5"/>
          <w:rFonts w:ascii="Times New Roman" w:hAnsi="Times New Roman" w:cs="Times New Roman"/>
          <w:sz w:val="14"/>
          <w:szCs w:val="14"/>
        </w:rPr>
        <w:t>{PR:CNP1}−</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sol</w:t>
      </w:r>
      <w:r w:rsidRPr="00046579">
        <w:rPr>
          <w:rStyle w:val="A5"/>
          <w:rFonts w:ascii="Times New Roman" w:hAnsi="Times New Roman" w:cs="Times New Roman"/>
          <w:sz w:val="14"/>
          <w:szCs w:val="14"/>
        </w:rPr>
        <w:t xml:space="preserve">{CNP1}]; </w:t>
      </w:r>
      <w:r w:rsidRPr="00046579">
        <w:rPr>
          <w:rStyle w:val="A12"/>
          <w:rFonts w:ascii="Times New Roman" w:eastAsia="Calibri" w:hAnsi="Times New Roman" w:cs="Times New Roman"/>
          <w:sz w:val="14"/>
          <w:szCs w:val="14"/>
          <w:vertAlign w:val="superscript"/>
        </w:rPr>
        <w:t>e</w:t>
      </w:r>
      <w:r w:rsidRPr="00046579">
        <w:rPr>
          <w:rStyle w:val="A5"/>
          <w:rFonts w:ascii="Times New Roman" w:hAnsi="Times New Roman" w:cs="Times New Roman"/>
          <w:sz w:val="14"/>
          <w:szCs w:val="14"/>
        </w:rPr>
        <w:t>−ΔΔ</w:t>
      </w:r>
      <w:r w:rsidRPr="00046579">
        <w:rPr>
          <w:rStyle w:val="A5"/>
          <w:rFonts w:ascii="Cambria Math" w:hAnsi="Cambria Math" w:cs="Cambria Math"/>
          <w:sz w:val="14"/>
          <w:szCs w:val="14"/>
        </w:rPr>
        <w:t>𝑇𝑆</w:t>
      </w:r>
      <w:r w:rsidRPr="00046579">
        <w:rPr>
          <w:rStyle w:val="A5"/>
          <w:rFonts w:ascii="Times New Roman" w:hAnsi="Times New Roman" w:cs="Times New Roman"/>
          <w:sz w:val="14"/>
          <w:szCs w:val="14"/>
        </w:rPr>
        <w:t>vib is the relative entro</w:t>
      </w:r>
      <w:r w:rsidR="00890CC9">
        <w:rPr>
          <w:rStyle w:val="A5"/>
          <w:rFonts w:ascii="Times New Roman" w:hAnsi="Times New Roman" w:cs="Times New Roman"/>
          <w:sz w:val="14"/>
          <w:szCs w:val="14"/>
        </w:rPr>
        <w:t>-</w:t>
      </w:r>
      <w:r w:rsidRPr="00046579">
        <w:rPr>
          <w:rStyle w:val="A5"/>
          <w:rFonts w:ascii="Times New Roman" w:hAnsi="Times New Roman" w:cs="Times New Roman"/>
          <w:sz w:val="14"/>
          <w:szCs w:val="14"/>
        </w:rPr>
        <w:t>pic contribution of the inhibitor to the Gibbs free energy related to protease-inhibitor complex formation:   ΔΔ</w:t>
      </w:r>
      <w:r w:rsidRPr="00046579">
        <w:rPr>
          <w:rStyle w:val="A5"/>
          <w:rFonts w:ascii="Cambria Math" w:hAnsi="Cambria Math" w:cs="Cambria Math"/>
          <w:sz w:val="14"/>
          <w:szCs w:val="14"/>
        </w:rPr>
        <w:t>𝑇𝑆</w:t>
      </w:r>
      <w:r w:rsidRPr="00046579">
        <w:rPr>
          <w:rStyle w:val="A5"/>
          <w:rFonts w:ascii="Times New Roman" w:hAnsi="Times New Roman" w:cs="Times New Roman"/>
          <w:sz w:val="14"/>
          <w:szCs w:val="14"/>
        </w:rPr>
        <w:t>vib=[</w:t>
      </w:r>
      <w:r w:rsidRPr="00046579">
        <w:rPr>
          <w:rStyle w:val="A5"/>
          <w:rFonts w:ascii="Cambria Math" w:hAnsi="Cambria Math" w:cs="Cambria Math"/>
          <w:sz w:val="14"/>
          <w:szCs w:val="14"/>
        </w:rPr>
        <w:t>𝑇𝑆</w:t>
      </w:r>
      <w:r w:rsidRPr="00046579">
        <w:rPr>
          <w:rStyle w:val="A11"/>
          <w:rFonts w:ascii="Times New Roman" w:hAnsi="Times New Roman" w:cs="Times New Roman"/>
          <w:sz w:val="14"/>
          <w:szCs w:val="14"/>
        </w:rPr>
        <w:t>vib</w:t>
      </w:r>
      <w:r w:rsidRPr="00046579">
        <w:rPr>
          <w:rStyle w:val="A5"/>
          <w:rFonts w:ascii="Times New Roman" w:hAnsi="Times New Roman" w:cs="Times New Roman"/>
          <w:sz w:val="14"/>
          <w:szCs w:val="14"/>
        </w:rPr>
        <w:t>{CNPx}PR−</w:t>
      </w:r>
      <w:r w:rsidRPr="00046579">
        <w:rPr>
          <w:rStyle w:val="A5"/>
          <w:rFonts w:ascii="Cambria Math" w:hAnsi="Cambria Math" w:cs="Cambria Math"/>
          <w:sz w:val="14"/>
          <w:szCs w:val="14"/>
        </w:rPr>
        <w:t>𝑇𝑆</w:t>
      </w:r>
      <w:r w:rsidRPr="00046579">
        <w:rPr>
          <w:rStyle w:val="A11"/>
          <w:rFonts w:ascii="Times New Roman" w:hAnsi="Times New Roman" w:cs="Times New Roman"/>
          <w:sz w:val="14"/>
          <w:szCs w:val="14"/>
        </w:rPr>
        <w:t>vib</w:t>
      </w:r>
      <w:r w:rsidRPr="00046579">
        <w:rPr>
          <w:rStyle w:val="A5"/>
          <w:rFonts w:ascii="Times New Roman" w:hAnsi="Times New Roman" w:cs="Times New Roman"/>
          <w:sz w:val="14"/>
          <w:szCs w:val="14"/>
        </w:rPr>
        <w:t>{CNPx}]−[</w:t>
      </w:r>
      <w:r w:rsidRPr="00046579">
        <w:rPr>
          <w:rStyle w:val="A5"/>
          <w:rFonts w:ascii="Cambria Math" w:hAnsi="Cambria Math" w:cs="Cambria Math"/>
          <w:sz w:val="14"/>
          <w:szCs w:val="14"/>
        </w:rPr>
        <w:t>𝑇𝑆</w:t>
      </w:r>
      <w:r w:rsidRPr="00046579">
        <w:rPr>
          <w:rStyle w:val="A11"/>
          <w:rFonts w:ascii="Times New Roman" w:hAnsi="Times New Roman" w:cs="Times New Roman"/>
          <w:sz w:val="14"/>
          <w:szCs w:val="14"/>
        </w:rPr>
        <w:t>vib</w:t>
      </w:r>
      <w:r w:rsidRPr="00046579">
        <w:rPr>
          <w:rStyle w:val="A5"/>
          <w:rFonts w:ascii="Times New Roman" w:hAnsi="Times New Roman" w:cs="Times New Roman"/>
          <w:sz w:val="14"/>
          <w:szCs w:val="14"/>
        </w:rPr>
        <w:t xml:space="preserve">{CNP1}PR− </w:t>
      </w:r>
      <w:r w:rsidRPr="00046579">
        <w:rPr>
          <w:rStyle w:val="A5"/>
          <w:rFonts w:ascii="Cambria Math" w:hAnsi="Cambria Math" w:cs="Cambria Math"/>
          <w:sz w:val="14"/>
          <w:szCs w:val="14"/>
        </w:rPr>
        <w:t>𝑇𝑆</w:t>
      </w:r>
      <w:r w:rsidRPr="00046579">
        <w:rPr>
          <w:rStyle w:val="A11"/>
          <w:rFonts w:ascii="Times New Roman" w:hAnsi="Times New Roman" w:cs="Times New Roman"/>
          <w:sz w:val="14"/>
          <w:szCs w:val="14"/>
        </w:rPr>
        <w:t>vib</w:t>
      </w:r>
      <w:r w:rsidRPr="00046579">
        <w:rPr>
          <w:rStyle w:val="A5"/>
          <w:rFonts w:ascii="Times New Roman" w:hAnsi="Times New Roman" w:cs="Times New Roman"/>
          <w:sz w:val="14"/>
          <w:szCs w:val="14"/>
        </w:rPr>
        <w:t xml:space="preserve">{CNP1}]; </w:t>
      </w:r>
      <w:r w:rsidRPr="00046579">
        <w:rPr>
          <w:rStyle w:val="A12"/>
          <w:rFonts w:ascii="Times New Roman" w:eastAsia="Calibri" w:hAnsi="Times New Roman" w:cs="Times New Roman"/>
          <w:sz w:val="14"/>
          <w:szCs w:val="14"/>
          <w:vertAlign w:val="superscript"/>
        </w:rPr>
        <w:t>f</w:t>
      </w:r>
      <w:r w:rsidRPr="00046579">
        <w:rPr>
          <w:rStyle w:val="A5"/>
          <w:rFonts w:ascii="Times New Roman" w:hAnsi="Times New Roman" w:cs="Times New Roman"/>
          <w:sz w:val="14"/>
          <w:szCs w:val="14"/>
        </w:rPr>
        <w:t>ΔΔ</w:t>
      </w:r>
      <w:r w:rsidRPr="00046579">
        <w:rPr>
          <w:rStyle w:val="A5"/>
          <w:rFonts w:ascii="Cambria Math" w:hAnsi="Cambria Math" w:cs="Cambria Math"/>
          <w:sz w:val="14"/>
          <w:szCs w:val="14"/>
        </w:rPr>
        <w:t>𝐺</w:t>
      </w:r>
      <w:r w:rsidRPr="00046579">
        <w:rPr>
          <w:rStyle w:val="A5"/>
          <w:rFonts w:ascii="Times New Roman" w:hAnsi="Times New Roman" w:cs="Times New Roman"/>
          <w:sz w:val="14"/>
          <w:szCs w:val="14"/>
        </w:rPr>
        <w:t>comp is the relative Gibbs free energy change related to the enzyme-inhibitor complex formation: ΔΔ</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 xml:space="preserve">comp </w:t>
      </w:r>
      <w:r w:rsidRPr="00046579">
        <w:rPr>
          <w:rStyle w:val="A5"/>
          <w:rFonts w:ascii="Cambria Math" w:hAnsi="Cambria Math" w:cs="Cambria Math"/>
          <w:sz w:val="14"/>
          <w:szCs w:val="14"/>
        </w:rPr>
        <w:t>≅</w:t>
      </w:r>
      <w:r w:rsidRPr="00046579">
        <w:rPr>
          <w:rStyle w:val="A5"/>
          <w:rFonts w:ascii="Times New Roman" w:hAnsi="Times New Roman" w:cs="Times New Roman"/>
          <w:sz w:val="14"/>
          <w:szCs w:val="14"/>
        </w:rPr>
        <w:t xml:space="preserve"> ΔΔ</w:t>
      </w:r>
      <w:r w:rsidRPr="00046579">
        <w:rPr>
          <w:rStyle w:val="A5"/>
          <w:rFonts w:ascii="Cambria Math" w:hAnsi="Cambria Math" w:cs="Cambria Math"/>
          <w:sz w:val="14"/>
          <w:szCs w:val="14"/>
        </w:rPr>
        <w:t>𝐻</w:t>
      </w:r>
      <w:r w:rsidRPr="00046579">
        <w:rPr>
          <w:rStyle w:val="A11"/>
          <w:rFonts w:ascii="Times New Roman" w:hAnsi="Times New Roman" w:cs="Times New Roman"/>
          <w:sz w:val="14"/>
          <w:szCs w:val="14"/>
          <w:vertAlign w:val="subscript"/>
        </w:rPr>
        <w:t>MM</w:t>
      </w:r>
      <w:r w:rsidRPr="00046579">
        <w:rPr>
          <w:rStyle w:val="A5"/>
          <w:rFonts w:ascii="Times New Roman" w:hAnsi="Times New Roman" w:cs="Times New Roman"/>
          <w:sz w:val="14"/>
          <w:szCs w:val="14"/>
        </w:rPr>
        <w:t>+ΔΔ</w:t>
      </w:r>
      <w:r w:rsidRPr="00046579">
        <w:rPr>
          <w:rStyle w:val="A5"/>
          <w:rFonts w:ascii="Cambria Math" w:hAnsi="Cambria Math" w:cs="Cambria Math"/>
          <w:sz w:val="14"/>
          <w:szCs w:val="14"/>
        </w:rPr>
        <w:t>𝐺</w:t>
      </w:r>
      <w:r w:rsidRPr="00046579">
        <w:rPr>
          <w:rStyle w:val="A11"/>
          <w:rFonts w:ascii="Times New Roman" w:hAnsi="Times New Roman" w:cs="Times New Roman"/>
          <w:sz w:val="14"/>
          <w:szCs w:val="14"/>
        </w:rPr>
        <w:t>solv</w:t>
      </w:r>
      <w:r w:rsidRPr="00046579">
        <w:rPr>
          <w:rStyle w:val="A5"/>
          <w:rFonts w:ascii="Times New Roman" w:hAnsi="Times New Roman" w:cs="Times New Roman"/>
          <w:sz w:val="14"/>
          <w:szCs w:val="14"/>
        </w:rPr>
        <w:t>−ΔΔ</w:t>
      </w:r>
      <w:r w:rsidRPr="00046579">
        <w:rPr>
          <w:rStyle w:val="A5"/>
          <w:rFonts w:ascii="Cambria Math" w:hAnsi="Cambria Math" w:cs="Cambria Math"/>
          <w:sz w:val="14"/>
          <w:szCs w:val="14"/>
        </w:rPr>
        <w:t>𝑇𝑆</w:t>
      </w:r>
      <w:r w:rsidRPr="00046579">
        <w:rPr>
          <w:rStyle w:val="A11"/>
          <w:rFonts w:ascii="Times New Roman" w:hAnsi="Times New Roman" w:cs="Times New Roman"/>
          <w:sz w:val="14"/>
          <w:szCs w:val="14"/>
        </w:rPr>
        <w:t>vib</w:t>
      </w:r>
      <w:r w:rsidRPr="00046579">
        <w:rPr>
          <w:rStyle w:val="A5"/>
          <w:rFonts w:ascii="Times New Roman" w:hAnsi="Times New Roman" w:cs="Times New Roman"/>
          <w:sz w:val="14"/>
          <w:szCs w:val="14"/>
        </w:rPr>
        <w:t xml:space="preserve">. </w:t>
      </w:r>
      <w:r w:rsidRPr="00046579">
        <w:rPr>
          <w:rStyle w:val="A12"/>
          <w:rFonts w:ascii="Times New Roman" w:eastAsia="Calibri" w:hAnsi="Times New Roman" w:cs="Times New Roman"/>
          <w:sz w:val="14"/>
          <w:szCs w:val="14"/>
          <w:vertAlign w:val="superscript"/>
        </w:rPr>
        <w:t>G</w:t>
      </w:r>
      <w:r w:rsidRPr="00046579">
        <w:rPr>
          <w:rStyle w:val="A5"/>
          <w:rFonts w:ascii="Times New Roman" w:hAnsi="Times New Roman" w:cs="Times New Roman"/>
          <w:sz w:val="14"/>
          <w:szCs w:val="14"/>
        </w:rPr>
        <w:t>IC</w:t>
      </w:r>
      <w:r w:rsidRPr="00046579">
        <w:rPr>
          <w:rStyle w:val="A11"/>
          <w:rFonts w:ascii="Times New Roman" w:hAnsi="Times New Roman" w:cs="Times New Roman"/>
          <w:sz w:val="14"/>
          <w:szCs w:val="14"/>
          <w:vertAlign w:val="subscript"/>
        </w:rPr>
        <w:t>50</w:t>
      </w:r>
      <w:r w:rsidRPr="00046579">
        <w:rPr>
          <w:rStyle w:val="A12"/>
          <w:rFonts w:ascii="Times New Roman" w:eastAsia="Calibri" w:hAnsi="Times New Roman" w:cs="Times New Roman"/>
          <w:sz w:val="14"/>
          <w:szCs w:val="14"/>
          <w:vertAlign w:val="superscript"/>
        </w:rPr>
        <w:t>exp</w:t>
      </w:r>
      <w:r w:rsidRPr="00046579">
        <w:rPr>
          <w:rStyle w:val="A5"/>
          <w:rFonts w:ascii="Times New Roman" w:hAnsi="Times New Roman" w:cs="Times New Roman"/>
          <w:sz w:val="14"/>
          <w:szCs w:val="14"/>
        </w:rPr>
        <w:t>is the experimental inhibition constant obtained from</w:t>
      </w:r>
      <w:r>
        <w:rPr>
          <w:rStyle w:val="A5"/>
          <w:rFonts w:ascii="Times New Roman" w:hAnsi="Times New Roman" w:cs="Times New Roman"/>
          <w:sz w:val="14"/>
          <w:szCs w:val="14"/>
        </w:rPr>
        <w:t xml:space="preserve"> [</w:t>
      </w:r>
      <w:r w:rsidRPr="00046579">
        <w:rPr>
          <w:rStyle w:val="A12"/>
          <w:rFonts w:ascii="Times New Roman" w:eastAsia="Calibri" w:hAnsi="Times New Roman" w:cs="Times New Roman"/>
          <w:sz w:val="14"/>
          <w:szCs w:val="14"/>
        </w:rPr>
        <w:t>20</w:t>
      </w:r>
      <w:r>
        <w:rPr>
          <w:rStyle w:val="A12"/>
          <w:rFonts w:ascii="Times New Roman" w:eastAsia="Calibri" w:hAnsi="Times New Roman" w:cs="Times New Roman"/>
          <w:sz w:val="14"/>
          <w:szCs w:val="14"/>
        </w:rPr>
        <w:t>].</w:t>
      </w:r>
    </w:p>
    <w:p w:rsidR="00046579" w:rsidRDefault="00046579" w:rsidP="00046579">
      <w:pPr>
        <w:jc w:val="both"/>
        <w:rPr>
          <w:rStyle w:val="A12"/>
          <w:rFonts w:ascii="Times New Roman" w:eastAsia="Calibri" w:hAnsi="Times New Roman" w:cs="Times New Roman"/>
          <w:sz w:val="20"/>
          <w:szCs w:val="20"/>
        </w:rPr>
      </w:pPr>
    </w:p>
    <w:tbl>
      <w:tblPr>
        <w:tblStyle w:val="TableGrid"/>
        <w:tblW w:w="0" w:type="auto"/>
        <w:tblLook w:val="04A0"/>
      </w:tblPr>
      <w:tblGrid>
        <w:gridCol w:w="4904"/>
      </w:tblGrid>
      <w:tr w:rsidR="00046579" w:rsidTr="00046579">
        <w:tc>
          <w:tcPr>
            <w:tcW w:w="4777" w:type="dxa"/>
          </w:tcPr>
          <w:p w:rsidR="00046579" w:rsidRDefault="006736FB" w:rsidP="00046579">
            <w:pPr>
              <w:jc w:val="both"/>
              <w:rPr>
                <w:rStyle w:val="A12"/>
                <w:rFonts w:ascii="Times New Roman" w:eastAsia="Calibri" w:hAnsi="Times New Roman" w:cs="Times New Roman"/>
                <w:sz w:val="20"/>
                <w:szCs w:val="20"/>
              </w:rPr>
            </w:pPr>
            <w:r>
              <w:rPr>
                <w:noProof/>
                <w:lang w:val="en-GB" w:eastAsia="en-GB"/>
              </w:rPr>
              <w:drawing>
                <wp:inline distT="0" distB="0" distL="0" distR="0">
                  <wp:extent cx="2976880" cy="1573480"/>
                  <wp:effectExtent l="0" t="0" r="0" b="825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46579" w:rsidTr="00046579">
        <w:tc>
          <w:tcPr>
            <w:tcW w:w="4777" w:type="dxa"/>
          </w:tcPr>
          <w:p w:rsidR="00046579" w:rsidRPr="006736FB" w:rsidRDefault="006736FB" w:rsidP="00046579">
            <w:pPr>
              <w:jc w:val="both"/>
              <w:rPr>
                <w:rStyle w:val="A12"/>
                <w:rFonts w:ascii="Times New Roman" w:eastAsia="Calibri" w:hAnsi="Times New Roman" w:cs="Times New Roman"/>
                <w:sz w:val="18"/>
                <w:szCs w:val="18"/>
              </w:rPr>
            </w:pPr>
            <w:r w:rsidRPr="006736FB">
              <w:rPr>
                <w:rFonts w:ascii="Times New Roman" w:hAnsi="Times New Roman"/>
                <w:bCs/>
                <w:sz w:val="18"/>
                <w:szCs w:val="18"/>
              </w:rPr>
              <w:t xml:space="preserve">Figure 1: </w:t>
            </w:r>
            <w:r w:rsidRPr="006736FB">
              <w:rPr>
                <w:rFonts w:ascii="Times New Roman" w:hAnsi="Times New Roman"/>
                <w:sz w:val="18"/>
                <w:szCs w:val="18"/>
              </w:rPr>
              <w:t xml:space="preserve">Plot of correlation equation between </w:t>
            </w:r>
            <m:oMath>
              <m:sSubSup>
                <m:sSubSupPr>
                  <m:ctrlPr>
                    <w:rPr>
                      <w:rFonts w:ascii="Cambria Math" w:eastAsia="Calibri" w:hAnsi="Cambria Math"/>
                      <w:bCs/>
                      <w:sz w:val="18"/>
                      <w:szCs w:val="18"/>
                      <w:vertAlign w:val="superscript"/>
                      <w:lang w:eastAsia="fr-FR"/>
                    </w:rPr>
                  </m:ctrlPr>
                </m:sSubSupPr>
                <m:e>
                  <m:r>
                    <m:rPr>
                      <m:sty m:val="p"/>
                    </m:rPr>
                    <w:rPr>
                      <w:rFonts w:ascii="Cambria Math" w:hAnsi="Cambria Math"/>
                      <w:sz w:val="18"/>
                      <w:szCs w:val="18"/>
                      <w:vertAlign w:val="superscript"/>
                      <w:lang w:eastAsia="fr-FR"/>
                    </w:rPr>
                    <m:t>pIC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m:oMath>
            <w:r w:rsidRPr="006736FB">
              <w:rPr>
                <w:rFonts w:ascii="Times New Roman" w:hAnsi="Times New Roman"/>
                <w:sz w:val="18"/>
                <w:szCs w:val="18"/>
              </w:rPr>
              <w:t xml:space="preserve"> and relative complexation GFE ΔΔGcom of the training set, all in kcal.mol</w:t>
            </w:r>
            <w:r w:rsidRPr="006736FB">
              <w:rPr>
                <w:rFonts w:ascii="Times New Roman" w:hAnsi="Times New Roman"/>
                <w:sz w:val="18"/>
                <w:szCs w:val="18"/>
                <w:vertAlign w:val="superscript"/>
              </w:rPr>
              <w:t>−1</w:t>
            </w:r>
            <w:r w:rsidRPr="006736FB">
              <w:rPr>
                <w:rFonts w:ascii="Times New Roman" w:hAnsi="Times New Roman"/>
                <w:sz w:val="18"/>
                <w:szCs w:val="18"/>
              </w:rPr>
              <w:t xml:space="preserve">. </w:t>
            </w:r>
            <w:r w:rsidRPr="006736FB">
              <w:rPr>
                <w:rFonts w:ascii="Times New Roman" w:hAnsi="Times New Roman"/>
                <w:bCs/>
                <w:sz w:val="18"/>
                <w:szCs w:val="18"/>
              </w:rPr>
              <w:t>The validation set data points are shown in red color</w:t>
            </w:r>
          </w:p>
        </w:tc>
      </w:tr>
    </w:tbl>
    <w:p w:rsidR="00046579" w:rsidRDefault="00046579" w:rsidP="00046579">
      <w:pPr>
        <w:jc w:val="both"/>
        <w:rPr>
          <w:rStyle w:val="A12"/>
          <w:rFonts w:ascii="Times New Roman" w:eastAsia="Calibri" w:hAnsi="Times New Roman" w:cs="Times New Roman"/>
          <w:sz w:val="20"/>
          <w:szCs w:val="20"/>
        </w:rPr>
      </w:pPr>
    </w:p>
    <w:p w:rsidR="006736FB" w:rsidRPr="006736FB" w:rsidRDefault="006736FB" w:rsidP="00046579">
      <w:pPr>
        <w:jc w:val="both"/>
        <w:rPr>
          <w:rStyle w:val="A12"/>
          <w:rFonts w:ascii="Times New Roman" w:eastAsia="Calibri" w:hAnsi="Times New Roman" w:cs="Times New Roman"/>
          <w:sz w:val="20"/>
          <w:szCs w:val="20"/>
        </w:rPr>
      </w:pPr>
      <w:r w:rsidRPr="006736FB">
        <w:rPr>
          <w:rStyle w:val="A5"/>
          <w:rFonts w:ascii="Times New Roman" w:hAnsi="Times New Roman" w:cs="Times New Roman"/>
          <w:bCs/>
          <w:sz w:val="18"/>
          <w:szCs w:val="18"/>
        </w:rPr>
        <w:t xml:space="preserve">Table 3: </w:t>
      </w:r>
      <w:r w:rsidRPr="006736FB">
        <w:rPr>
          <w:rStyle w:val="A5"/>
          <w:rFonts w:ascii="Times New Roman" w:hAnsi="Times New Roman" w:cs="Times New Roman"/>
          <w:sz w:val="18"/>
          <w:szCs w:val="18"/>
        </w:rPr>
        <w:t>Regression analysis of computed binding affinities ∆∆G</w:t>
      </w:r>
      <w:r w:rsidRPr="006736FB">
        <w:rPr>
          <w:rStyle w:val="A11"/>
          <w:rFonts w:ascii="Times New Roman" w:hAnsi="Times New Roman" w:cs="Times New Roman"/>
          <w:sz w:val="18"/>
          <w:szCs w:val="18"/>
          <w:vertAlign w:val="subscript"/>
        </w:rPr>
        <w:t>com</w:t>
      </w:r>
      <w:r w:rsidRPr="006736FB">
        <w:rPr>
          <w:rStyle w:val="A5"/>
          <w:rFonts w:ascii="Times New Roman" w:hAnsi="Times New Roman" w:cs="Times New Roman"/>
          <w:sz w:val="18"/>
          <w:szCs w:val="18"/>
        </w:rPr>
        <w:t>, its enthalpic component ∆∆H</w:t>
      </w:r>
      <w:r w:rsidRPr="006736FB">
        <w:rPr>
          <w:rStyle w:val="A11"/>
          <w:rFonts w:ascii="Times New Roman" w:hAnsi="Times New Roman" w:cs="Times New Roman"/>
          <w:sz w:val="18"/>
          <w:szCs w:val="18"/>
          <w:vertAlign w:val="subscript"/>
        </w:rPr>
        <w:t>MM</w:t>
      </w:r>
      <w:r w:rsidRPr="006736FB">
        <w:rPr>
          <w:rStyle w:val="A5"/>
          <w:rFonts w:ascii="Times New Roman" w:hAnsi="Times New Roman" w:cs="Times New Roman"/>
          <w:sz w:val="18"/>
          <w:szCs w:val="18"/>
        </w:rPr>
        <w:t xml:space="preserve">, and their observed activities </w:t>
      </w:r>
      <m:oMath>
        <m:sSubSup>
          <m:sSubSupPr>
            <m:ctrlPr>
              <w:rPr>
                <w:rFonts w:ascii="Cambria Math" w:eastAsia="Calibri" w:hAnsi="Cambria Math"/>
                <w:bCs/>
                <w:sz w:val="18"/>
                <w:szCs w:val="18"/>
                <w:vertAlign w:val="superscript"/>
                <w:lang w:eastAsia="fr-FR"/>
              </w:rPr>
            </m:ctrlPr>
          </m:sSubSupPr>
          <m:e>
            <m:r>
              <m:rPr>
                <m:sty m:val="p"/>
              </m:rPr>
              <w:rPr>
                <w:rFonts w:ascii="Cambria Math" w:hAnsi="Cambria Math"/>
                <w:sz w:val="18"/>
                <w:szCs w:val="18"/>
                <w:vertAlign w:val="superscript"/>
                <w:lang w:eastAsia="fr-FR"/>
              </w:rPr>
              <m:t>pIC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m:oMath>
      <w:r w:rsidRPr="006736FB">
        <w:rPr>
          <w:rStyle w:val="A5"/>
          <w:rFonts w:ascii="Times New Roman" w:hAnsi="Times New Roman" w:cs="Times New Roman"/>
          <w:sz w:val="18"/>
          <w:szCs w:val="18"/>
        </w:rPr>
        <w:t>= -log</w:t>
      </w:r>
      <w:r w:rsidRPr="00A41299">
        <w:rPr>
          <w:rStyle w:val="A5"/>
          <w:rFonts w:ascii="Times New Roman" w:hAnsi="Times New Roman" w:cs="Times New Roman"/>
          <w:sz w:val="18"/>
          <w:szCs w:val="18"/>
          <w:vertAlign w:val="subscript"/>
        </w:rPr>
        <w:t>10</w:t>
      </w:r>
      <w:r w:rsidR="00A41299">
        <w:rPr>
          <w:rStyle w:val="A5"/>
          <w:rFonts w:ascii="Times New Roman" w:hAnsi="Times New Roman" w:cs="Times New Roman"/>
          <w:sz w:val="18"/>
          <w:szCs w:val="18"/>
        </w:rPr>
        <w:t>.</w:t>
      </w:r>
      <m:oMath>
        <m:sSubSup>
          <m:sSubSupPr>
            <m:ctrlPr>
              <w:rPr>
                <w:rFonts w:ascii="Cambria Math" w:eastAsia="Calibri" w:hAnsi="Cambria Math"/>
                <w:bCs/>
                <w:sz w:val="18"/>
                <w:szCs w:val="18"/>
                <w:vertAlign w:val="superscript"/>
                <w:lang w:eastAsia="fr-FR"/>
              </w:rPr>
            </m:ctrlPr>
          </m:sSubSupPr>
          <m:e>
            <m:r>
              <m:rPr>
                <m:sty m:val="p"/>
              </m:rPr>
              <w:rPr>
                <w:rFonts w:ascii="Cambria Math" w:hAnsi="Cambria Math"/>
                <w:sz w:val="18"/>
                <w:szCs w:val="18"/>
                <w:vertAlign w:val="superscript"/>
                <w:lang w:eastAsia="fr-FR"/>
              </w:rPr>
              <m:t>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w:fldSimple w:instr=" NOTEREF _Ref144976154 \h  \* MERGEFORMAT "/>
      </m:oMath>
      <w:r w:rsidRPr="00907AB4">
        <w:rPr>
          <w:rStyle w:val="A12"/>
          <w:rFonts w:ascii="Times New Roman" w:hAnsi="Times New Roman" w:cs="Times New Roman"/>
          <w:b/>
          <w:color w:val="8DB3E2" w:themeColor="text2" w:themeTint="66"/>
          <w:sz w:val="18"/>
          <w:szCs w:val="18"/>
          <w:vertAlign w:val="superscript"/>
        </w:rPr>
        <w:t>20</w:t>
      </w:r>
      <w:r w:rsidRPr="006736FB">
        <w:rPr>
          <w:rStyle w:val="A5"/>
          <w:rFonts w:ascii="Times New Roman" w:hAnsi="Times New Roman" w:cs="Times New Roman"/>
          <w:sz w:val="18"/>
          <w:szCs w:val="18"/>
        </w:rPr>
        <w:t>of (CNPs)</w:t>
      </w:r>
    </w:p>
    <w:tbl>
      <w:tblPr>
        <w:tblStyle w:val="TableGrid"/>
        <w:tblW w:w="0" w:type="auto"/>
        <w:tblLook w:val="04A0"/>
      </w:tblPr>
      <w:tblGrid>
        <w:gridCol w:w="3974"/>
        <w:gridCol w:w="803"/>
      </w:tblGrid>
      <w:tr w:rsidR="002B22AF" w:rsidTr="002B22AF">
        <w:trPr>
          <w:trHeight w:val="354"/>
        </w:trPr>
        <w:tc>
          <w:tcPr>
            <w:tcW w:w="4777" w:type="dxa"/>
            <w:gridSpan w:val="2"/>
            <w:tcMar>
              <w:left w:w="85" w:type="dxa"/>
              <w:right w:w="28" w:type="dxa"/>
            </w:tcMar>
            <w:vAlign w:val="center"/>
          </w:tcPr>
          <w:p w:rsidR="002B22AF" w:rsidRPr="002B22AF" w:rsidRDefault="002B22AF" w:rsidP="002B22AF">
            <w:pPr>
              <w:jc w:val="center"/>
              <w:rPr>
                <w:rStyle w:val="A12"/>
                <w:rFonts w:ascii="Times New Roman" w:eastAsia="Calibri" w:hAnsi="Times New Roman" w:cs="Times New Roman"/>
                <w:b/>
                <w:sz w:val="18"/>
                <w:szCs w:val="18"/>
              </w:rPr>
            </w:pPr>
            <w:r w:rsidRPr="002B22AF">
              <w:rPr>
                <w:rStyle w:val="A5"/>
                <w:rFonts w:ascii="Times New Roman" w:hAnsi="Times New Roman" w:cs="Times New Roman"/>
                <w:b/>
                <w:sz w:val="18"/>
                <w:szCs w:val="18"/>
              </w:rPr>
              <w:t>Statistical Data of Linear Regression</w:t>
            </w:r>
          </w:p>
        </w:tc>
      </w:tr>
      <w:tr w:rsidR="00E94888" w:rsidRPr="008312A6" w:rsidTr="00890CC9">
        <w:tc>
          <w:tcPr>
            <w:tcW w:w="3974" w:type="dxa"/>
            <w:tcBorders>
              <w:bottom w:val="single" w:sz="4" w:space="0" w:color="auto"/>
            </w:tcBorders>
            <w:tcMar>
              <w:left w:w="85" w:type="dxa"/>
              <w:right w:w="28" w:type="dxa"/>
            </w:tcMar>
            <w:vAlign w:val="center"/>
          </w:tcPr>
          <w:p w:rsidR="00E94888" w:rsidRPr="008312A6" w:rsidRDefault="009A671C" w:rsidP="002B22AF">
            <w:pPr>
              <w:jc w:val="both"/>
              <w:rPr>
                <w:rStyle w:val="A12"/>
                <w:rFonts w:ascii="Times New Roman" w:eastAsia="Calibri" w:hAnsi="Times New Roman" w:cs="Times New Roman"/>
                <w:sz w:val="18"/>
                <w:szCs w:val="18"/>
              </w:rPr>
            </w:pPr>
            <m:oMath>
              <m:sSubSup>
                <m:sSubSupPr>
                  <m:ctrlPr>
                    <w:rPr>
                      <w:rFonts w:ascii="Cambria Math" w:eastAsia="Calibri" w:hAnsi="Cambria Math"/>
                      <w:bCs/>
                      <w:sz w:val="18"/>
                      <w:szCs w:val="18"/>
                      <w:vertAlign w:val="superscript"/>
                      <w:lang w:val="fr-FR" w:eastAsia="fr-FR"/>
                    </w:rPr>
                  </m:ctrlPr>
                </m:sSubSupPr>
                <m:e>
                  <m:r>
                    <m:rPr>
                      <m:sty m:val="p"/>
                    </m:rPr>
                    <w:rPr>
                      <w:rFonts w:ascii="Cambria Math" w:hAnsi="Cambria Math"/>
                      <w:sz w:val="18"/>
                      <w:szCs w:val="18"/>
                      <w:vertAlign w:val="superscript"/>
                      <w:lang w:val="fr-FR" w:eastAsia="fr-FR"/>
                    </w:rPr>
                    <m:t>pIC</m:t>
                  </m:r>
                </m:e>
                <m:sub>
                  <m:r>
                    <m:rPr>
                      <m:sty m:val="p"/>
                    </m:rPr>
                    <w:rPr>
                      <w:rFonts w:ascii="Cambria Math" w:hAnsi="Cambria Math"/>
                      <w:sz w:val="18"/>
                      <w:szCs w:val="18"/>
                      <w:vertAlign w:val="superscript"/>
                      <w:lang w:val="fr-FR" w:eastAsia="fr-FR"/>
                    </w:rPr>
                    <m:t>50</m:t>
                  </m:r>
                </m:sub>
                <m:sup>
                  <m:r>
                    <m:rPr>
                      <m:sty m:val="p"/>
                    </m:rPr>
                    <w:rPr>
                      <w:rFonts w:ascii="Cambria Math" w:hAnsi="Cambria Math"/>
                      <w:sz w:val="18"/>
                      <w:szCs w:val="18"/>
                      <w:vertAlign w:val="superscript"/>
                      <w:lang w:val="fr-FR" w:eastAsia="fr-FR"/>
                    </w:rPr>
                    <m:t>exp</m:t>
                  </m:r>
                </m:sup>
              </m:sSubSup>
            </m:oMath>
            <w:r w:rsidR="00E94888" w:rsidRPr="008312A6">
              <w:rPr>
                <w:rFonts w:ascii="Times New Roman" w:hAnsi="Times New Roman"/>
                <w:sz w:val="18"/>
                <w:szCs w:val="18"/>
              </w:rPr>
              <w:t xml:space="preserve"> = -0.1025 </w:t>
            </w:r>
            <w:r w:rsidR="002B22AF">
              <w:rPr>
                <w:rFonts w:ascii="Times New Roman" w:hAnsi="Times New Roman"/>
                <w:sz w:val="18"/>
                <w:szCs w:val="18"/>
              </w:rPr>
              <w:sym w:font="Symbol" w:char="F0B4"/>
            </w:r>
            <w:r w:rsidR="00E94888" w:rsidRPr="008312A6">
              <w:rPr>
                <w:rFonts w:ascii="Times New Roman" w:hAnsi="Times New Roman"/>
                <w:sz w:val="18"/>
                <w:szCs w:val="18"/>
              </w:rPr>
              <w:t xml:space="preserve"> ∆∆G</w:t>
            </w:r>
            <w:r w:rsidR="00E94888" w:rsidRPr="008312A6">
              <w:rPr>
                <w:rFonts w:ascii="Times New Roman" w:hAnsi="Times New Roman"/>
                <w:sz w:val="18"/>
                <w:szCs w:val="18"/>
                <w:vertAlign w:val="subscript"/>
              </w:rPr>
              <w:t>com</w:t>
            </w:r>
            <w:r w:rsidR="00E94888" w:rsidRPr="008312A6">
              <w:rPr>
                <w:rFonts w:ascii="Times New Roman" w:hAnsi="Times New Roman"/>
                <w:sz w:val="18"/>
                <w:szCs w:val="18"/>
              </w:rPr>
              <w:t> + 7.2867     (3)</w:t>
            </w:r>
          </w:p>
        </w:tc>
        <w:tc>
          <w:tcPr>
            <w:tcW w:w="803" w:type="dxa"/>
            <w:tcBorders>
              <w:bottom w:val="single" w:sz="4" w:space="0" w:color="auto"/>
            </w:tcBorders>
            <w:tcMar>
              <w:left w:w="28" w:type="dxa"/>
              <w:right w:w="28" w:type="dxa"/>
            </w:tcMar>
            <w:vAlign w:val="center"/>
          </w:tcPr>
          <w:p w:rsidR="00E94888" w:rsidRPr="002B22AF" w:rsidRDefault="008312A6"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rPr>
              <w:t>∆∆G</w:t>
            </w:r>
            <w:r w:rsidRPr="002B22AF">
              <w:rPr>
                <w:rFonts w:ascii="Times New Roman" w:hAnsi="Times New Roman"/>
                <w:sz w:val="18"/>
                <w:szCs w:val="18"/>
                <w:vertAlign w:val="subscript"/>
              </w:rPr>
              <w:t>com</w:t>
            </w:r>
          </w:p>
        </w:tc>
      </w:tr>
      <w:tr w:rsidR="002B22AF" w:rsidTr="00890CC9">
        <w:trPr>
          <w:trHeight w:hRule="exact" w:val="227"/>
        </w:trPr>
        <w:tc>
          <w:tcPr>
            <w:tcW w:w="3974" w:type="dxa"/>
            <w:tcBorders>
              <w:bottom w:val="nil"/>
            </w:tcBorders>
            <w:tcMar>
              <w:left w:w="85" w:type="dxa"/>
              <w:right w:w="28" w:type="dxa"/>
            </w:tcMar>
            <w:vAlign w:val="center"/>
          </w:tcPr>
          <w:p w:rsidR="002B22AF" w:rsidRPr="002B22AF" w:rsidRDefault="002B22AF" w:rsidP="002B22AF">
            <w:pPr>
              <w:pStyle w:val="Pa19"/>
              <w:spacing w:line="276" w:lineRule="auto"/>
              <w:rPr>
                <w:rFonts w:ascii="Times New Roman" w:hAnsi="Times New Roman" w:cs="Times New Roman"/>
                <w:color w:val="000000"/>
                <w:sz w:val="18"/>
                <w:szCs w:val="18"/>
              </w:rPr>
            </w:pPr>
            <w:r w:rsidRPr="002B22AF">
              <w:rPr>
                <w:rStyle w:val="A5"/>
                <w:rFonts w:ascii="Times New Roman" w:hAnsi="Times New Roman" w:cs="Times New Roman"/>
                <w:sz w:val="18"/>
                <w:szCs w:val="18"/>
              </w:rPr>
              <w:t xml:space="preserve">Number of compound n </w:t>
            </w:r>
          </w:p>
        </w:tc>
        <w:tc>
          <w:tcPr>
            <w:tcW w:w="803" w:type="dxa"/>
            <w:tcBorders>
              <w:bottom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lang w:val="fr-FR"/>
              </w:rPr>
              <w:t>12</w:t>
            </w:r>
          </w:p>
        </w:tc>
      </w:tr>
      <w:tr w:rsidR="002B22AF" w:rsidTr="00890CC9">
        <w:trPr>
          <w:trHeight w:hRule="exact" w:val="227"/>
        </w:trPr>
        <w:tc>
          <w:tcPr>
            <w:tcW w:w="3974" w:type="dxa"/>
            <w:tcBorders>
              <w:top w:val="nil"/>
              <w:bottom w:val="nil"/>
            </w:tcBorders>
            <w:tcMar>
              <w:left w:w="85" w:type="dxa"/>
              <w:right w:w="28" w:type="dxa"/>
            </w:tcMar>
            <w:vAlign w:val="center"/>
          </w:tcPr>
          <w:p w:rsidR="002B22AF" w:rsidRPr="002B22AF" w:rsidRDefault="002B22AF" w:rsidP="002B22AF">
            <w:pPr>
              <w:pStyle w:val="Pa19"/>
              <w:spacing w:line="276" w:lineRule="auto"/>
              <w:rPr>
                <w:rFonts w:ascii="Times New Roman" w:hAnsi="Times New Roman" w:cs="Times New Roman"/>
                <w:color w:val="000000"/>
                <w:sz w:val="18"/>
                <w:szCs w:val="18"/>
              </w:rPr>
            </w:pPr>
            <w:r w:rsidRPr="002B22AF">
              <w:rPr>
                <w:rStyle w:val="A5"/>
                <w:rFonts w:ascii="Times New Roman" w:hAnsi="Times New Roman" w:cs="Times New Roman"/>
                <w:sz w:val="18"/>
                <w:szCs w:val="18"/>
              </w:rPr>
              <w:t>Square correlation coefficient regression R</w:t>
            </w:r>
            <w:r w:rsidRPr="002B22AF">
              <w:rPr>
                <w:rStyle w:val="A12"/>
                <w:rFonts w:ascii="Times New Roman" w:hAnsi="Times New Roman" w:cs="Times New Roman"/>
                <w:sz w:val="18"/>
                <w:szCs w:val="18"/>
                <w:vertAlign w:val="superscript"/>
              </w:rPr>
              <w:t>2</w:t>
            </w:r>
          </w:p>
        </w:tc>
        <w:tc>
          <w:tcPr>
            <w:tcW w:w="803" w:type="dxa"/>
            <w:tcBorders>
              <w:top w:val="nil"/>
              <w:bottom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lang w:val="fr-FR"/>
              </w:rPr>
              <w:t>0.97</w:t>
            </w:r>
          </w:p>
        </w:tc>
      </w:tr>
      <w:tr w:rsidR="002B22AF" w:rsidTr="00890CC9">
        <w:trPr>
          <w:trHeight w:hRule="exact" w:val="227"/>
        </w:trPr>
        <w:tc>
          <w:tcPr>
            <w:tcW w:w="3974" w:type="dxa"/>
            <w:tcBorders>
              <w:top w:val="nil"/>
              <w:bottom w:val="nil"/>
            </w:tcBorders>
            <w:tcMar>
              <w:left w:w="85" w:type="dxa"/>
              <w:right w:w="28" w:type="dxa"/>
            </w:tcMar>
            <w:vAlign w:val="center"/>
          </w:tcPr>
          <w:p w:rsidR="002B22AF" w:rsidRPr="002B22AF" w:rsidRDefault="002B22AF" w:rsidP="002B22AF">
            <w:pPr>
              <w:pStyle w:val="Pa19"/>
              <w:spacing w:line="276" w:lineRule="auto"/>
              <w:rPr>
                <w:rFonts w:ascii="Times New Roman" w:eastAsia="Times New Roman" w:hAnsi="Times New Roman" w:cs="Times New Roman"/>
                <w:color w:val="000000"/>
                <w:sz w:val="18"/>
                <w:szCs w:val="18"/>
                <w:lang w:val="en-US" w:eastAsia="de-DE" w:bidi="en-US"/>
              </w:rPr>
            </w:pPr>
            <w:r w:rsidRPr="002B22AF">
              <w:rPr>
                <w:rStyle w:val="A5"/>
                <w:rFonts w:ascii="Times New Roman" w:hAnsi="Times New Roman" w:cs="Times New Roman"/>
                <w:sz w:val="18"/>
                <w:szCs w:val="18"/>
                <w:lang w:val="en-US"/>
              </w:rPr>
              <w:t>LOO cross-validated Square correlation R</w:t>
            </w:r>
            <w:r w:rsidRPr="002B22AF">
              <w:rPr>
                <w:rStyle w:val="A12"/>
                <w:rFonts w:ascii="Times New Roman" w:hAnsi="Times New Roman" w:cs="Times New Roman"/>
                <w:sz w:val="18"/>
                <w:szCs w:val="18"/>
                <w:vertAlign w:val="superscript"/>
                <w:lang w:val="en-US"/>
              </w:rPr>
              <w:t>2</w:t>
            </w:r>
            <w:r w:rsidRPr="002B22AF">
              <w:rPr>
                <w:rStyle w:val="A11"/>
                <w:rFonts w:ascii="Times New Roman" w:hAnsi="Times New Roman" w:cs="Times New Roman"/>
                <w:sz w:val="18"/>
                <w:szCs w:val="18"/>
                <w:vertAlign w:val="subscript"/>
                <w:lang w:val="en-US"/>
              </w:rPr>
              <w:t>xv</w:t>
            </w:r>
          </w:p>
        </w:tc>
        <w:tc>
          <w:tcPr>
            <w:tcW w:w="803" w:type="dxa"/>
            <w:tcBorders>
              <w:top w:val="nil"/>
              <w:bottom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lang w:val="en-GB"/>
              </w:rPr>
              <w:t>0.97</w:t>
            </w:r>
          </w:p>
        </w:tc>
      </w:tr>
      <w:tr w:rsidR="002B22AF" w:rsidTr="00890CC9">
        <w:trPr>
          <w:trHeight w:hRule="exact" w:val="227"/>
        </w:trPr>
        <w:tc>
          <w:tcPr>
            <w:tcW w:w="3974" w:type="dxa"/>
            <w:tcBorders>
              <w:top w:val="nil"/>
              <w:bottom w:val="nil"/>
            </w:tcBorders>
            <w:tcMar>
              <w:left w:w="85" w:type="dxa"/>
              <w:right w:w="28" w:type="dxa"/>
            </w:tcMar>
            <w:vAlign w:val="center"/>
          </w:tcPr>
          <w:p w:rsidR="002B22AF" w:rsidRPr="002B22AF" w:rsidRDefault="002B22AF" w:rsidP="002B22AF">
            <w:pPr>
              <w:pStyle w:val="Pa19"/>
              <w:spacing w:line="276" w:lineRule="auto"/>
              <w:rPr>
                <w:rFonts w:ascii="Times New Roman" w:hAnsi="Times New Roman" w:cs="Times New Roman"/>
                <w:color w:val="000000"/>
                <w:sz w:val="18"/>
                <w:szCs w:val="18"/>
                <w:lang w:val="en-US"/>
              </w:rPr>
            </w:pPr>
            <w:r w:rsidRPr="002B22AF">
              <w:rPr>
                <w:rStyle w:val="A5"/>
                <w:rFonts w:ascii="Times New Roman" w:hAnsi="Times New Roman" w:cs="Times New Roman"/>
                <w:sz w:val="18"/>
                <w:szCs w:val="18"/>
                <w:lang w:val="en-US"/>
              </w:rPr>
              <w:t xml:space="preserve">Standard error of regression </w:t>
            </w:r>
            <w:r w:rsidRPr="002B22AF">
              <w:rPr>
                <w:rStyle w:val="A5"/>
                <w:rFonts w:ascii="Times New Roman" w:hAnsi="Times New Roman" w:cs="Times New Roman"/>
                <w:sz w:val="18"/>
                <w:szCs w:val="18"/>
              </w:rPr>
              <w:t>σ</w:t>
            </w:r>
          </w:p>
        </w:tc>
        <w:tc>
          <w:tcPr>
            <w:tcW w:w="803" w:type="dxa"/>
            <w:tcBorders>
              <w:top w:val="nil"/>
              <w:bottom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lang w:val="en-GB"/>
              </w:rPr>
              <w:t>0.141</w:t>
            </w:r>
          </w:p>
        </w:tc>
      </w:tr>
      <w:tr w:rsidR="002B22AF" w:rsidTr="00890CC9">
        <w:trPr>
          <w:trHeight w:hRule="exact" w:val="227"/>
        </w:trPr>
        <w:tc>
          <w:tcPr>
            <w:tcW w:w="3974" w:type="dxa"/>
            <w:tcBorders>
              <w:top w:val="nil"/>
              <w:bottom w:val="nil"/>
            </w:tcBorders>
            <w:tcMar>
              <w:left w:w="85" w:type="dxa"/>
              <w:right w:w="28" w:type="dxa"/>
            </w:tcMar>
            <w:vAlign w:val="center"/>
          </w:tcPr>
          <w:p w:rsidR="002B22AF" w:rsidRPr="002B22AF" w:rsidRDefault="002B22AF" w:rsidP="002B22AF">
            <w:pPr>
              <w:pStyle w:val="Pa19"/>
              <w:spacing w:line="276" w:lineRule="auto"/>
              <w:rPr>
                <w:rFonts w:ascii="Times New Roman" w:hAnsi="Times New Roman" w:cs="Times New Roman"/>
                <w:color w:val="000000"/>
                <w:sz w:val="18"/>
                <w:szCs w:val="18"/>
                <w:lang w:val="en-US"/>
              </w:rPr>
            </w:pPr>
            <w:r w:rsidRPr="002B22AF">
              <w:rPr>
                <w:rStyle w:val="A5"/>
                <w:rFonts w:ascii="Times New Roman" w:hAnsi="Times New Roman" w:cs="Times New Roman"/>
                <w:sz w:val="18"/>
                <w:szCs w:val="18"/>
                <w:lang w:val="en-US"/>
              </w:rPr>
              <w:t xml:space="preserve">Statistical significance of regression, Fisher F-test </w:t>
            </w:r>
          </w:p>
        </w:tc>
        <w:tc>
          <w:tcPr>
            <w:tcW w:w="803" w:type="dxa"/>
            <w:tcBorders>
              <w:top w:val="nil"/>
              <w:bottom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lang w:val="en-GB"/>
              </w:rPr>
              <w:t>363.4</w:t>
            </w:r>
          </w:p>
        </w:tc>
      </w:tr>
      <w:tr w:rsidR="002B22AF" w:rsidTr="00890CC9">
        <w:trPr>
          <w:trHeight w:hRule="exact" w:val="227"/>
        </w:trPr>
        <w:tc>
          <w:tcPr>
            <w:tcW w:w="3974" w:type="dxa"/>
            <w:tcBorders>
              <w:top w:val="nil"/>
              <w:bottom w:val="nil"/>
            </w:tcBorders>
            <w:tcMar>
              <w:left w:w="85" w:type="dxa"/>
              <w:right w:w="28" w:type="dxa"/>
            </w:tcMar>
            <w:vAlign w:val="center"/>
          </w:tcPr>
          <w:p w:rsidR="002B22AF" w:rsidRPr="002B22AF" w:rsidRDefault="002B22AF" w:rsidP="002B22AF">
            <w:pPr>
              <w:pStyle w:val="Pa19"/>
              <w:spacing w:line="276" w:lineRule="auto"/>
              <w:rPr>
                <w:rFonts w:ascii="Times New Roman" w:hAnsi="Times New Roman" w:cs="Times New Roman"/>
                <w:color w:val="000000"/>
                <w:sz w:val="18"/>
                <w:szCs w:val="18"/>
                <w:lang w:val="en-US"/>
              </w:rPr>
            </w:pPr>
            <w:r w:rsidRPr="002B22AF">
              <w:rPr>
                <w:rStyle w:val="A5"/>
                <w:rFonts w:ascii="Times New Roman" w:hAnsi="Times New Roman" w:cs="Times New Roman"/>
                <w:sz w:val="18"/>
                <w:szCs w:val="18"/>
                <w:lang w:val="en-US"/>
              </w:rPr>
              <w:t xml:space="preserve">Level of statistical significance </w:t>
            </w:r>
            <w:r w:rsidRPr="002B22AF">
              <w:rPr>
                <w:rStyle w:val="A5"/>
                <w:rFonts w:ascii="Times New Roman" w:hAnsi="Times New Roman" w:cs="Times New Roman"/>
                <w:sz w:val="18"/>
                <w:szCs w:val="18"/>
              </w:rPr>
              <w:t>α</w:t>
            </w:r>
          </w:p>
        </w:tc>
        <w:tc>
          <w:tcPr>
            <w:tcW w:w="803" w:type="dxa"/>
            <w:tcBorders>
              <w:top w:val="nil"/>
              <w:bottom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Fonts w:ascii="Times New Roman" w:hAnsi="Times New Roman"/>
                <w:sz w:val="18"/>
                <w:szCs w:val="18"/>
                <w:lang w:val="en-GB"/>
              </w:rPr>
              <w:t>&gt; 95 %</w:t>
            </w:r>
          </w:p>
        </w:tc>
      </w:tr>
      <w:tr w:rsidR="002B22AF" w:rsidTr="00890CC9">
        <w:trPr>
          <w:trHeight w:hRule="exact" w:val="227"/>
        </w:trPr>
        <w:tc>
          <w:tcPr>
            <w:tcW w:w="3974" w:type="dxa"/>
            <w:tcBorders>
              <w:top w:val="nil"/>
            </w:tcBorders>
            <w:tcMar>
              <w:left w:w="85" w:type="dxa"/>
              <w:right w:w="28" w:type="dxa"/>
            </w:tcMar>
            <w:vAlign w:val="center"/>
          </w:tcPr>
          <w:p w:rsidR="002B22AF" w:rsidRPr="002B22AF" w:rsidRDefault="002B22AF" w:rsidP="002B22AF">
            <w:pPr>
              <w:pStyle w:val="Pa19"/>
              <w:spacing w:line="276" w:lineRule="auto"/>
              <w:rPr>
                <w:rStyle w:val="A5"/>
                <w:rFonts w:cs="Times New Roman"/>
                <w:sz w:val="18"/>
                <w:szCs w:val="18"/>
                <w:lang w:val="en-US"/>
              </w:rPr>
            </w:pPr>
            <w:r w:rsidRPr="002B22AF">
              <w:rPr>
                <w:rStyle w:val="A5"/>
                <w:rFonts w:ascii="Times New Roman" w:hAnsi="Times New Roman" w:cs="Times New Roman"/>
                <w:sz w:val="18"/>
                <w:szCs w:val="18"/>
                <w:lang w:val="en-US"/>
              </w:rPr>
              <w:t xml:space="preserve">Range of activities </w:t>
            </w:r>
            <m:oMath>
              <m:sSubSup>
                <m:sSubSupPr>
                  <m:ctrlPr>
                    <w:rPr>
                      <w:rStyle w:val="A5"/>
                      <w:rFonts w:ascii="Cambria Math" w:hAnsi="Cambria Math" w:cs="Times New Roman"/>
                      <w:sz w:val="18"/>
                      <w:szCs w:val="18"/>
                      <w:lang w:val="en-US"/>
                    </w:rPr>
                  </m:ctrlPr>
                </m:sSubSupPr>
                <m:e>
                  <m:r>
                    <m:rPr>
                      <m:sty m:val="p"/>
                    </m:rPr>
                    <w:rPr>
                      <w:rStyle w:val="A5"/>
                      <w:rFonts w:ascii="Cambria Math" w:hAnsi="Cambria Math" w:cs="Times New Roman"/>
                      <w:sz w:val="18"/>
                      <w:szCs w:val="18"/>
                      <w:lang w:val="en-US"/>
                    </w:rPr>
                    <m:t>IC</m:t>
                  </m:r>
                </m:e>
                <m:sub>
                  <m:r>
                    <m:rPr>
                      <m:sty m:val="p"/>
                    </m:rPr>
                    <w:rPr>
                      <w:rStyle w:val="A5"/>
                      <w:rFonts w:ascii="Cambria Math" w:hAnsi="Cambria Math" w:cs="Times New Roman"/>
                      <w:sz w:val="18"/>
                      <w:szCs w:val="18"/>
                      <w:lang w:val="en-US"/>
                    </w:rPr>
                    <m:t>50</m:t>
                  </m:r>
                </m:sub>
                <m:sup>
                  <m:r>
                    <m:rPr>
                      <m:sty m:val="p"/>
                    </m:rPr>
                    <w:rPr>
                      <w:rStyle w:val="A5"/>
                      <w:rFonts w:ascii="Cambria Math" w:hAnsi="Cambria Math" w:cs="Times New Roman"/>
                      <w:sz w:val="18"/>
                      <w:szCs w:val="18"/>
                      <w:lang w:val="en-US"/>
                    </w:rPr>
                    <m:t>exp</m:t>
                  </m:r>
                </m:sup>
              </m:sSubSup>
            </m:oMath>
            <w:r w:rsidRPr="002B22AF">
              <w:rPr>
                <w:rStyle w:val="A5"/>
                <w:rFonts w:ascii="Times New Roman" w:hAnsi="Times New Roman" w:cs="Times New Roman"/>
                <w:sz w:val="18"/>
                <w:szCs w:val="18"/>
                <w:lang w:val="en-US"/>
              </w:rPr>
              <w:t>[nM]</w:t>
            </w:r>
          </w:p>
        </w:tc>
        <w:tc>
          <w:tcPr>
            <w:tcW w:w="803" w:type="dxa"/>
            <w:tcBorders>
              <w:top w:val="nil"/>
            </w:tcBorders>
            <w:tcMar>
              <w:left w:w="28" w:type="dxa"/>
              <w:right w:w="28" w:type="dxa"/>
            </w:tcMar>
            <w:vAlign w:val="center"/>
          </w:tcPr>
          <w:p w:rsidR="002B22AF" w:rsidRPr="002B22AF" w:rsidRDefault="002B22AF" w:rsidP="002B22AF">
            <w:pPr>
              <w:jc w:val="center"/>
              <w:rPr>
                <w:rStyle w:val="A12"/>
                <w:rFonts w:ascii="Times New Roman" w:eastAsia="Calibri" w:hAnsi="Times New Roman" w:cs="Times New Roman"/>
                <w:sz w:val="18"/>
                <w:szCs w:val="18"/>
              </w:rPr>
            </w:pPr>
            <w:r w:rsidRPr="002B22AF">
              <w:rPr>
                <w:rStyle w:val="A12"/>
                <w:rFonts w:ascii="Times New Roman" w:eastAsia="Calibri" w:hAnsi="Times New Roman" w:cs="Times New Roman"/>
                <w:sz w:val="18"/>
                <w:szCs w:val="18"/>
              </w:rPr>
              <w:t>1 – 609</w:t>
            </w:r>
          </w:p>
        </w:tc>
      </w:tr>
    </w:tbl>
    <w:p w:rsidR="00046579" w:rsidRDefault="00046579" w:rsidP="00046579">
      <w:pPr>
        <w:jc w:val="both"/>
        <w:rPr>
          <w:rStyle w:val="A12"/>
          <w:rFonts w:ascii="Times New Roman" w:eastAsia="Calibri" w:hAnsi="Times New Roman" w:cs="Times New Roman"/>
          <w:sz w:val="20"/>
          <w:szCs w:val="20"/>
        </w:rPr>
      </w:pPr>
    </w:p>
    <w:p w:rsidR="00E715FA" w:rsidRPr="00E715FA" w:rsidRDefault="00E715FA" w:rsidP="00EA69CB">
      <w:pPr>
        <w:rPr>
          <w:rFonts w:ascii="Times New Roman" w:hAnsi="Times New Roman"/>
          <w:b/>
          <w:bCs/>
          <w:sz w:val="22"/>
          <w:szCs w:val="22"/>
        </w:rPr>
      </w:pPr>
      <w:r w:rsidRPr="00E715FA">
        <w:rPr>
          <w:rFonts w:ascii="Times New Roman" w:hAnsi="Times New Roman"/>
          <w:b/>
          <w:bCs/>
          <w:sz w:val="22"/>
          <w:szCs w:val="22"/>
        </w:rPr>
        <w:t xml:space="preserve">Binding mode and interaction energy </w:t>
      </w:r>
    </w:p>
    <w:p w:rsidR="00E715FA" w:rsidRPr="00E715FA" w:rsidRDefault="00E715FA" w:rsidP="00504E67">
      <w:pPr>
        <w:pStyle w:val="Body"/>
        <w:spacing w:before="120" w:after="0"/>
        <w:jc w:val="left"/>
        <w:rPr>
          <w:rFonts w:ascii="Times New Roman" w:hAnsi="Times New Roman"/>
          <w:b/>
          <w:bCs/>
        </w:rPr>
      </w:pPr>
      <w:r w:rsidRPr="00E715FA">
        <w:rPr>
          <w:rFonts w:ascii="Times New Roman" w:hAnsi="Times New Roman"/>
          <w:b/>
          <w:bCs/>
        </w:rPr>
        <w:t xml:space="preserve">Binding </w:t>
      </w:r>
      <w:r w:rsidRPr="00504E67">
        <w:rPr>
          <w:rFonts w:ascii="Times New Roman" w:hAnsi="Times New Roman"/>
          <w:b/>
        </w:rPr>
        <w:t>mode</w:t>
      </w:r>
    </w:p>
    <w:p w:rsidR="00E715FA" w:rsidRDefault="00E715FA" w:rsidP="00E715FA">
      <w:pPr>
        <w:jc w:val="both"/>
        <w:rPr>
          <w:rFonts w:ascii="Times New Roman" w:hAnsi="Times New Roman"/>
          <w:bCs/>
        </w:rPr>
      </w:pPr>
      <w:r w:rsidRPr="00E715FA">
        <w:rPr>
          <w:rFonts w:ascii="Times New Roman" w:hAnsi="Times New Roman"/>
          <w:bCs/>
        </w:rPr>
        <w:t>The active conformation of the most active of the pyrimidine carbonitriles CNP9 from this QSAR is revealed in Figure 2. However, the side chain P1 of the carbonitriles pyrimidine family comprising the 2-cyanopyrimidine core offers a great possibility of substitution in the pocket S1. The grafting of the halogens, in particular the Br in position 5 of the nucleus, promotes an improvement in the interactions with the residues Trp43, Asn173 and His174. Also, an intensity of hydrophobic interactions is noticed in the S2 pocket, particularly with the residues Ser149, Leu172, Ala175 and Asp-234. Figure 3 presents in 2D and 3D the mode of binding to the active site of the best CNP9 supported by a hydrogen bond with Gly83.</w:t>
      </w:r>
    </w:p>
    <w:p w:rsidR="005A4F30" w:rsidRPr="005A4F30" w:rsidRDefault="005A4F30" w:rsidP="00504E67">
      <w:pPr>
        <w:pStyle w:val="Body"/>
        <w:spacing w:before="120" w:after="0"/>
        <w:jc w:val="left"/>
        <w:rPr>
          <w:rFonts w:ascii="Times New Roman" w:hAnsi="Times New Roman"/>
          <w:b/>
          <w:bCs/>
        </w:rPr>
      </w:pPr>
      <w:r w:rsidRPr="00504E67">
        <w:rPr>
          <w:rFonts w:ascii="Times New Roman" w:hAnsi="Times New Roman"/>
          <w:b/>
        </w:rPr>
        <w:t>Interaction</w:t>
      </w:r>
      <w:r w:rsidRPr="005A4F30">
        <w:rPr>
          <w:rFonts w:ascii="Times New Roman" w:hAnsi="Times New Roman"/>
          <w:b/>
          <w:bCs/>
        </w:rPr>
        <w:t xml:space="preserve"> Energy </w:t>
      </w:r>
    </w:p>
    <w:p w:rsidR="005A4F30" w:rsidRPr="005A4F30" w:rsidRDefault="005A4F30" w:rsidP="005A4F30">
      <w:pPr>
        <w:jc w:val="both"/>
        <w:rPr>
          <w:rFonts w:ascii="Times New Roman" w:hAnsi="Times New Roman"/>
          <w:bCs/>
        </w:rPr>
      </w:pPr>
      <w:r w:rsidRPr="005A4F30">
        <w:rPr>
          <w:rFonts w:ascii="Times New Roman" w:hAnsi="Times New Roman"/>
          <w:bCs/>
        </w:rPr>
        <w:t>Subsequently, the distribution of the energy of inhibitory enzymatic intermolecular interaction to the key residues of the various pockets of the active site is listed in Table 4 with their correlation as a function of the experimental activity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Pr="005A4F30">
        <w:rPr>
          <w:rFonts w:ascii="Times New Roman" w:hAnsi="Times New Roman"/>
          <w:bCs/>
        </w:rPr>
        <w:t>) plotted in figure 3. A comparative indivi</w:t>
      </w:r>
      <w:r w:rsidR="00890CC9">
        <w:rPr>
          <w:rFonts w:ascii="Times New Roman" w:hAnsi="Times New Roman"/>
          <w:bCs/>
        </w:rPr>
        <w:t>-</w:t>
      </w:r>
      <w:r w:rsidRPr="005A4F30">
        <w:rPr>
          <w:rFonts w:ascii="Times New Roman" w:hAnsi="Times New Roman"/>
          <w:bCs/>
        </w:rPr>
        <w:t>dual contribution between the most active CNP9 and the least active CNP11 confirming the observed trend of experimental activities by pockets is presented in Table 5.</w:t>
      </w:r>
    </w:p>
    <w:p w:rsidR="00E715FA" w:rsidRDefault="00E715FA" w:rsidP="00E715FA">
      <w:pPr>
        <w:jc w:val="both"/>
        <w:rPr>
          <w:rFonts w:ascii="Times New Roman" w:hAnsi="Times New Roman"/>
          <w:bCs/>
        </w:rPr>
      </w:pPr>
    </w:p>
    <w:tbl>
      <w:tblPr>
        <w:tblStyle w:val="TableGrid"/>
        <w:tblW w:w="0" w:type="auto"/>
        <w:tblLook w:val="04A0"/>
      </w:tblPr>
      <w:tblGrid>
        <w:gridCol w:w="4837"/>
      </w:tblGrid>
      <w:tr w:rsidR="00E715FA" w:rsidTr="00E715FA">
        <w:tc>
          <w:tcPr>
            <w:tcW w:w="4777" w:type="dxa"/>
          </w:tcPr>
          <w:p w:rsidR="00E715FA" w:rsidRDefault="00E715FA" w:rsidP="00E715FA">
            <w:pPr>
              <w:jc w:val="center"/>
              <w:rPr>
                <w:rFonts w:ascii="Times New Roman" w:hAnsi="Times New Roman"/>
                <w:bCs/>
              </w:rPr>
            </w:pPr>
            <w:r>
              <w:rPr>
                <w:noProof/>
                <w:lang w:val="en-GB" w:eastAsia="en-GB"/>
              </w:rPr>
              <w:lastRenderedPageBreak/>
              <w:drawing>
                <wp:inline distT="0" distB="0" distL="0" distR="0">
                  <wp:extent cx="2927268" cy="1899972"/>
                  <wp:effectExtent l="0" t="0" r="6985" b="508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9144" cy="1901190"/>
                          </a:xfrm>
                          <a:prstGeom prst="rect">
                            <a:avLst/>
                          </a:prstGeom>
                          <a:noFill/>
                          <a:ln w="38100">
                            <a:noFill/>
                          </a:ln>
                        </pic:spPr>
                      </pic:pic>
                    </a:graphicData>
                  </a:graphic>
                </wp:inline>
              </w:drawing>
            </w:r>
          </w:p>
        </w:tc>
      </w:tr>
      <w:tr w:rsidR="00E715FA" w:rsidTr="00E715FA">
        <w:tc>
          <w:tcPr>
            <w:tcW w:w="4777" w:type="dxa"/>
          </w:tcPr>
          <w:p w:rsidR="00E715FA" w:rsidRDefault="00E715FA" w:rsidP="00E715FA">
            <w:pPr>
              <w:jc w:val="center"/>
              <w:rPr>
                <w:rFonts w:ascii="Times New Roman" w:hAnsi="Times New Roman"/>
                <w:bCs/>
              </w:rPr>
            </w:pPr>
            <w:r>
              <w:rPr>
                <w:noProof/>
                <w:lang w:val="en-GB" w:eastAsia="en-GB"/>
              </w:rPr>
              <w:drawing>
                <wp:inline distT="0" distB="0" distL="0" distR="0">
                  <wp:extent cx="2819309" cy="1828321"/>
                  <wp:effectExtent l="0" t="0" r="635" b="635"/>
                  <wp:docPr id="36" name="Image 14"/>
                  <wp:cNvGraphicFramePr/>
                  <a:graphic xmlns:a="http://schemas.openxmlformats.org/drawingml/2006/main">
                    <a:graphicData uri="http://schemas.openxmlformats.org/drawingml/2006/picture">
                      <pic:pic xmlns:pic="http://schemas.openxmlformats.org/drawingml/2006/picture">
                        <pic:nvPicPr>
                          <pic:cNvPr id="36" name="Image 14"/>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63" r="8544" b="2176"/>
                          <a:stretch/>
                        </pic:blipFill>
                        <pic:spPr bwMode="auto">
                          <a:xfrm>
                            <a:off x="0" y="0"/>
                            <a:ext cx="2822078" cy="183011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E715FA" w:rsidTr="00E715FA">
        <w:tc>
          <w:tcPr>
            <w:tcW w:w="4777" w:type="dxa"/>
          </w:tcPr>
          <w:p w:rsidR="00E715FA" w:rsidRPr="00E715FA" w:rsidRDefault="00E715FA" w:rsidP="00E715FA">
            <w:pPr>
              <w:jc w:val="both"/>
              <w:rPr>
                <w:rFonts w:ascii="Times New Roman" w:hAnsi="Times New Roman"/>
                <w:bCs/>
              </w:rPr>
            </w:pPr>
            <w:r w:rsidRPr="00E715FA">
              <w:rPr>
                <w:rStyle w:val="A5"/>
                <w:rFonts w:ascii="Times New Roman" w:hAnsi="Times New Roman" w:cs="Times New Roman"/>
                <w:bCs/>
                <w:sz w:val="18"/>
                <w:szCs w:val="18"/>
              </w:rPr>
              <w:t xml:space="preserve">Figure 2: </w:t>
            </w:r>
            <w:r w:rsidR="00907AB4">
              <w:rPr>
                <w:rStyle w:val="A5"/>
                <w:rFonts w:ascii="Times New Roman" w:hAnsi="Times New Roman" w:cs="Times New Roman"/>
                <w:sz w:val="18"/>
                <w:szCs w:val="18"/>
              </w:rPr>
              <w:t>(top</w:t>
            </w:r>
            <w:r w:rsidRPr="00E715FA">
              <w:rPr>
                <w:rStyle w:val="A5"/>
                <w:rFonts w:ascii="Times New Roman" w:hAnsi="Times New Roman" w:cs="Times New Roman"/>
                <w:sz w:val="18"/>
                <w:szCs w:val="18"/>
              </w:rPr>
              <w:t>) 2D schematic interaction diagram of the most potent inhibitor CNP9 (Table</w:t>
            </w:r>
            <w:r w:rsidR="00907AB4">
              <w:rPr>
                <w:rStyle w:val="A5"/>
                <w:rFonts w:ascii="Times New Roman" w:hAnsi="Times New Roman" w:cs="Times New Roman"/>
                <w:sz w:val="18"/>
                <w:szCs w:val="18"/>
              </w:rPr>
              <w:t xml:space="preserve"> 1) at pfFP2 active-site; (bottom</w:t>
            </w:r>
            <w:r w:rsidRPr="00E715FA">
              <w:rPr>
                <w:rStyle w:val="A5"/>
                <w:rFonts w:ascii="Times New Roman" w:hAnsi="Times New Roman" w:cs="Times New Roman"/>
                <w:sz w:val="18"/>
                <w:szCs w:val="18"/>
              </w:rPr>
              <w:t>) 3D structure of the active-site with bound inhibitor CNP9.</w:t>
            </w:r>
          </w:p>
        </w:tc>
      </w:tr>
    </w:tbl>
    <w:p w:rsidR="00E715FA" w:rsidRDefault="00E715FA" w:rsidP="00E715FA">
      <w:pPr>
        <w:jc w:val="both"/>
        <w:rPr>
          <w:rFonts w:ascii="Times New Roman" w:hAnsi="Times New Roman"/>
          <w:bCs/>
        </w:rPr>
      </w:pPr>
    </w:p>
    <w:tbl>
      <w:tblPr>
        <w:tblStyle w:val="TableGrid"/>
        <w:tblW w:w="0" w:type="auto"/>
        <w:tblLook w:val="04A0"/>
      </w:tblPr>
      <w:tblGrid>
        <w:gridCol w:w="4777"/>
      </w:tblGrid>
      <w:tr w:rsidR="005A4F30" w:rsidTr="005A4F30">
        <w:tc>
          <w:tcPr>
            <w:tcW w:w="4777" w:type="dxa"/>
          </w:tcPr>
          <w:p w:rsidR="005A4F30" w:rsidRPr="005A4F30" w:rsidRDefault="005A4F30" w:rsidP="00BB0DDD">
            <w:pPr>
              <w:spacing w:after="120"/>
              <w:jc w:val="center"/>
              <w:rPr>
                <w:rStyle w:val="A12"/>
                <w:rFonts w:ascii="Times New Roman" w:eastAsia="Calibri" w:hAnsi="Times New Roman" w:cs="Times New Roman"/>
                <w:sz w:val="20"/>
                <w:szCs w:val="20"/>
              </w:rPr>
            </w:pPr>
            <w:r w:rsidRPr="005A4F30">
              <w:rPr>
                <w:rFonts w:ascii="Times New Roman" w:hAnsi="Times New Roman"/>
                <w:noProof/>
                <w:lang w:val="en-GB" w:eastAsia="en-GB"/>
              </w:rPr>
              <w:drawing>
                <wp:inline distT="0" distB="0" distL="0" distR="0">
                  <wp:extent cx="2843530" cy="1543792"/>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5A4F30" w:rsidTr="00BB0DDD">
        <w:trPr>
          <w:trHeight w:val="2682"/>
        </w:trPr>
        <w:tc>
          <w:tcPr>
            <w:tcW w:w="4777" w:type="dxa"/>
          </w:tcPr>
          <w:p w:rsidR="005A4F30" w:rsidRDefault="005A4F30" w:rsidP="00BB0DDD">
            <w:pPr>
              <w:jc w:val="center"/>
              <w:rPr>
                <w:rStyle w:val="A12"/>
                <w:rFonts w:ascii="Times New Roman" w:eastAsia="Calibri" w:hAnsi="Times New Roman" w:cs="Times New Roman"/>
                <w:sz w:val="20"/>
                <w:szCs w:val="20"/>
              </w:rPr>
            </w:pPr>
            <w:r>
              <w:rPr>
                <w:noProof/>
                <w:lang w:val="en-GB" w:eastAsia="en-GB"/>
              </w:rPr>
              <w:drawing>
                <wp:inline distT="0" distB="0" distL="0" distR="0">
                  <wp:extent cx="2843530" cy="1555667"/>
                  <wp:effectExtent l="0" t="0" r="0" b="698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A4F30" w:rsidTr="005A4F30">
        <w:tc>
          <w:tcPr>
            <w:tcW w:w="4777" w:type="dxa"/>
          </w:tcPr>
          <w:p w:rsidR="005A4F30" w:rsidRPr="000C6192" w:rsidRDefault="000C6192" w:rsidP="00E715FA">
            <w:pPr>
              <w:jc w:val="both"/>
              <w:rPr>
                <w:rStyle w:val="A12"/>
                <w:rFonts w:ascii="Times New Roman" w:eastAsia="Calibri" w:hAnsi="Times New Roman" w:cs="Times New Roman"/>
                <w:sz w:val="20"/>
                <w:szCs w:val="20"/>
              </w:rPr>
            </w:pPr>
            <w:r w:rsidRPr="000C6192">
              <w:rPr>
                <w:rFonts w:ascii="Times New Roman" w:hAnsi="Times New Roman"/>
                <w:sz w:val="18"/>
                <w:szCs w:val="18"/>
              </w:rPr>
              <w:t>Figure 3: Plot of the correlation between the residue of the active site Leu</w:t>
            </w:r>
            <w:r w:rsidR="00FE56D6">
              <w:rPr>
                <w:rFonts w:ascii="Times New Roman" w:hAnsi="Times New Roman"/>
                <w:sz w:val="18"/>
                <w:szCs w:val="18"/>
              </w:rPr>
              <w:t>1</w:t>
            </w:r>
            <w:r w:rsidRPr="000C6192">
              <w:rPr>
                <w:rFonts w:ascii="Times New Roman" w:hAnsi="Times New Roman"/>
                <w:sz w:val="18"/>
                <w:szCs w:val="18"/>
              </w:rPr>
              <w:t xml:space="preserve">72 and the contribution of S2 to the intermolecular interaction energy of </w:t>
            </w:r>
            <w:r w:rsidRPr="000C6192">
              <w:rPr>
                <w:rFonts w:ascii="Times New Roman" w:hAnsi="Times New Roman"/>
                <w:i/>
                <w:sz w:val="18"/>
                <w:szCs w:val="18"/>
              </w:rPr>
              <w:t>pf</w:t>
            </w:r>
            <w:r w:rsidRPr="000C6192">
              <w:rPr>
                <w:rFonts w:ascii="Times New Roman" w:hAnsi="Times New Roman"/>
                <w:sz w:val="18"/>
                <w:szCs w:val="18"/>
              </w:rPr>
              <w:t>FP2-CNPx</w:t>
            </w:r>
          </w:p>
        </w:tc>
      </w:tr>
    </w:tbl>
    <w:p w:rsidR="00E715FA" w:rsidRDefault="00E715FA" w:rsidP="00E715FA">
      <w:pPr>
        <w:jc w:val="both"/>
        <w:rPr>
          <w:rStyle w:val="A12"/>
          <w:rFonts w:ascii="Times New Roman" w:eastAsia="Calibri" w:hAnsi="Times New Roman" w:cs="Times New Roman"/>
          <w:sz w:val="20"/>
          <w:szCs w:val="20"/>
        </w:rPr>
      </w:pPr>
    </w:p>
    <w:tbl>
      <w:tblPr>
        <w:tblStyle w:val="TableGrid"/>
        <w:tblW w:w="0" w:type="auto"/>
        <w:tblLook w:val="04A0"/>
      </w:tblPr>
      <w:tblGrid>
        <w:gridCol w:w="4777"/>
      </w:tblGrid>
      <w:tr w:rsidR="00FC2190" w:rsidTr="00BB0DDD">
        <w:trPr>
          <w:trHeight w:val="2400"/>
        </w:trPr>
        <w:tc>
          <w:tcPr>
            <w:tcW w:w="4777" w:type="dxa"/>
          </w:tcPr>
          <w:p w:rsidR="00FC2190" w:rsidRDefault="00FB3F19" w:rsidP="00BB0DDD">
            <w:pPr>
              <w:jc w:val="center"/>
              <w:rPr>
                <w:rStyle w:val="A12"/>
                <w:rFonts w:ascii="Times New Roman" w:eastAsia="Calibri" w:hAnsi="Times New Roman" w:cs="Times New Roman"/>
                <w:sz w:val="20"/>
                <w:szCs w:val="20"/>
              </w:rPr>
            </w:pPr>
            <w:r>
              <w:rPr>
                <w:noProof/>
                <w:lang w:val="en-GB" w:eastAsia="en-GB"/>
              </w:rPr>
              <w:lastRenderedPageBreak/>
              <w:drawing>
                <wp:inline distT="0" distB="0" distL="0" distR="0">
                  <wp:extent cx="2700000" cy="1471563"/>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00" cy="1471563"/>
                          </a:xfrm>
                          <a:prstGeom prst="rect">
                            <a:avLst/>
                          </a:prstGeom>
                          <a:noFill/>
                          <a:ln w="12700">
                            <a:noFill/>
                          </a:ln>
                        </pic:spPr>
                      </pic:pic>
                    </a:graphicData>
                  </a:graphic>
                </wp:inline>
              </w:drawing>
            </w:r>
          </w:p>
        </w:tc>
      </w:tr>
      <w:tr w:rsidR="00FC2190" w:rsidTr="00FC2190">
        <w:tc>
          <w:tcPr>
            <w:tcW w:w="4777" w:type="dxa"/>
          </w:tcPr>
          <w:p w:rsidR="00FC2190" w:rsidRPr="00FB3F19" w:rsidRDefault="00FB3F19" w:rsidP="00E715FA">
            <w:pPr>
              <w:jc w:val="both"/>
              <w:rPr>
                <w:rStyle w:val="A12"/>
                <w:rFonts w:ascii="Times New Roman" w:eastAsia="Calibri" w:hAnsi="Times New Roman" w:cs="Times New Roman"/>
                <w:sz w:val="20"/>
                <w:szCs w:val="20"/>
              </w:rPr>
            </w:pPr>
            <w:r w:rsidRPr="00FB3F19">
              <w:rPr>
                <w:rStyle w:val="A5"/>
                <w:rFonts w:ascii="Times New Roman" w:hAnsi="Times New Roman" w:cs="Times New Roman"/>
                <w:bCs/>
                <w:sz w:val="18"/>
                <w:szCs w:val="18"/>
              </w:rPr>
              <w:t xml:space="preserve">Figure 4: </w:t>
            </w:r>
            <w:r w:rsidRPr="00FB3F19">
              <w:rPr>
                <w:rStyle w:val="A5"/>
                <w:rFonts w:ascii="Times New Roman" w:hAnsi="Times New Roman" w:cs="Times New Roman"/>
                <w:sz w:val="18"/>
                <w:szCs w:val="18"/>
              </w:rPr>
              <w:t>Molecular mechanics intermolecular interaction energy E</w:t>
            </w:r>
            <w:r w:rsidRPr="00FB3F19">
              <w:rPr>
                <w:rStyle w:val="A5"/>
                <w:rFonts w:ascii="Times New Roman" w:hAnsi="Times New Roman" w:cs="Times New Roman"/>
                <w:sz w:val="18"/>
                <w:szCs w:val="18"/>
                <w:vertAlign w:val="subscript"/>
              </w:rPr>
              <w:t>int</w:t>
            </w:r>
            <w:r w:rsidRPr="00FB3F19">
              <w:rPr>
                <w:rStyle w:val="A5"/>
                <w:rFonts w:ascii="Times New Roman" w:hAnsi="Times New Roman" w:cs="Times New Roman"/>
                <w:sz w:val="18"/>
                <w:szCs w:val="18"/>
              </w:rPr>
              <w:t xml:space="preserve"> breakdown (in kcal.mol</w:t>
            </w:r>
            <w:r w:rsidRPr="00FB3F19">
              <w:rPr>
                <w:rStyle w:val="A5"/>
                <w:rFonts w:ascii="Times New Roman" w:hAnsi="Times New Roman" w:cs="Times New Roman"/>
                <w:sz w:val="18"/>
                <w:szCs w:val="18"/>
                <w:vertAlign w:val="superscript"/>
              </w:rPr>
              <w:t>-1</w:t>
            </w:r>
            <w:r w:rsidRPr="00FB3F19">
              <w:rPr>
                <w:rStyle w:val="A5"/>
                <w:rFonts w:ascii="Times New Roman" w:hAnsi="Times New Roman" w:cs="Times New Roman"/>
                <w:sz w:val="18"/>
                <w:szCs w:val="18"/>
              </w:rPr>
              <w:t>) to residue contributions for CNP9 and CNP11, Table 2.</w:t>
            </w:r>
            <w:r w:rsidRPr="00FB3F19">
              <w:rPr>
                <w:rStyle w:val="A12"/>
                <w:rFonts w:ascii="Times New Roman" w:eastAsia="Calibri" w:hAnsi="Times New Roman" w:cs="Times New Roman"/>
                <w:sz w:val="18"/>
                <w:szCs w:val="18"/>
              </w:rPr>
              <w:t>2</w:t>
            </w:r>
          </w:p>
        </w:tc>
      </w:tr>
    </w:tbl>
    <w:p w:rsidR="005A4F30" w:rsidRDefault="005A4F30" w:rsidP="00E715FA">
      <w:pPr>
        <w:jc w:val="both"/>
        <w:rPr>
          <w:rStyle w:val="A12"/>
          <w:rFonts w:ascii="Times New Roman" w:eastAsia="Calibri" w:hAnsi="Times New Roman" w:cs="Times New Roman"/>
          <w:sz w:val="20"/>
          <w:szCs w:val="20"/>
        </w:rPr>
      </w:pPr>
    </w:p>
    <w:p w:rsidR="00FC2190" w:rsidRPr="00744BCE" w:rsidRDefault="00744BCE" w:rsidP="00C840D5">
      <w:pPr>
        <w:spacing w:after="120"/>
        <w:jc w:val="both"/>
        <w:rPr>
          <w:rStyle w:val="A12"/>
          <w:rFonts w:ascii="Times New Roman" w:eastAsia="Calibri" w:hAnsi="Times New Roman" w:cs="Times New Roman"/>
          <w:sz w:val="20"/>
          <w:szCs w:val="20"/>
        </w:rPr>
      </w:pPr>
      <w:r w:rsidRPr="00744BCE">
        <w:rPr>
          <w:rStyle w:val="A5"/>
          <w:rFonts w:ascii="Times New Roman" w:hAnsi="Times New Roman" w:cs="Times New Roman"/>
          <w:bCs/>
          <w:sz w:val="18"/>
          <w:szCs w:val="18"/>
        </w:rPr>
        <w:t xml:space="preserve">Table 4: </w:t>
      </w:r>
      <w:r w:rsidRPr="00744BCE">
        <w:rPr>
          <w:rStyle w:val="A5"/>
          <w:rFonts w:ascii="Times New Roman" w:hAnsi="Times New Roman" w:cs="Times New Roman"/>
          <w:sz w:val="18"/>
          <w:szCs w:val="18"/>
        </w:rPr>
        <w:t>Active site residue contribution to E</w:t>
      </w:r>
      <w:r w:rsidRPr="00744BCE">
        <w:rPr>
          <w:rStyle w:val="A11"/>
          <w:rFonts w:ascii="Times New Roman" w:hAnsi="Times New Roman" w:cs="Times New Roman"/>
          <w:sz w:val="18"/>
          <w:szCs w:val="18"/>
          <w:vertAlign w:val="subscript"/>
        </w:rPr>
        <w:t>int</w:t>
      </w:r>
      <w:r w:rsidRPr="00744BCE">
        <w:rPr>
          <w:rStyle w:val="A5"/>
          <w:rFonts w:ascii="Times New Roman" w:hAnsi="Times New Roman" w:cs="Times New Roman"/>
          <w:sz w:val="18"/>
          <w:szCs w:val="18"/>
        </w:rPr>
        <w:t>(in kcal/mol)</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
        <w:gridCol w:w="615"/>
        <w:gridCol w:w="289"/>
        <w:gridCol w:w="289"/>
        <w:gridCol w:w="289"/>
        <w:gridCol w:w="289"/>
        <w:gridCol w:w="289"/>
        <w:gridCol w:w="289"/>
        <w:gridCol w:w="289"/>
        <w:gridCol w:w="289"/>
        <w:gridCol w:w="377"/>
        <w:gridCol w:w="377"/>
        <w:gridCol w:w="289"/>
        <w:gridCol w:w="289"/>
      </w:tblGrid>
      <w:tr w:rsidR="00744BCE" w:rsidRPr="004265B8" w:rsidTr="004E4520">
        <w:trPr>
          <w:trHeight w:val="256"/>
          <w:jc w:val="center"/>
        </w:trPr>
        <w:tc>
          <w:tcPr>
            <w:tcW w:w="276" w:type="dxa"/>
            <w:vMerge w:val="restart"/>
            <w:shd w:val="clear" w:color="auto" w:fill="auto"/>
            <w:tcMar>
              <w:left w:w="0" w:type="dxa"/>
              <w:right w:w="0" w:type="dxa"/>
            </w:tcMar>
            <w:textDirection w:val="btLr"/>
            <w:vAlign w:val="center"/>
          </w:tcPr>
          <w:p w:rsidR="00744BCE" w:rsidRPr="004265B8" w:rsidRDefault="00744BCE" w:rsidP="004E4520">
            <w:pPr>
              <w:pStyle w:val="EndnoteText"/>
              <w:spacing w:after="0" w:line="240" w:lineRule="auto"/>
              <w:ind w:left="113" w:right="113"/>
              <w:jc w:val="center"/>
              <w:rPr>
                <w:rFonts w:ascii="Times New Roman" w:hAnsi="Times New Roman"/>
                <w:sz w:val="16"/>
                <w:szCs w:val="16"/>
              </w:rPr>
            </w:pPr>
            <w:r w:rsidRPr="004265B8">
              <w:rPr>
                <w:rFonts w:ascii="Times New Roman" w:hAnsi="Times New Roman"/>
                <w:b/>
                <w:sz w:val="16"/>
                <w:szCs w:val="16"/>
                <w:lang w:val="en-US"/>
              </w:rPr>
              <w:t>Pockets</w:t>
            </w:r>
          </w:p>
        </w:tc>
        <w:tc>
          <w:tcPr>
            <w:tcW w:w="0" w:type="auto"/>
            <w:gridSpan w:val="13"/>
            <w:shd w:val="clear" w:color="auto" w:fill="auto"/>
            <w:tcMar>
              <w:left w:w="0" w:type="dxa"/>
              <w:right w:w="0" w:type="dxa"/>
            </w:tcMar>
            <w:vAlign w:val="center"/>
          </w:tcPr>
          <w:p w:rsidR="00744BCE" w:rsidRPr="004265B8" w:rsidRDefault="00744BCE" w:rsidP="004E4520">
            <w:pPr>
              <w:pStyle w:val="EndnoteText"/>
              <w:tabs>
                <w:tab w:val="left" w:pos="3343"/>
                <w:tab w:val="center" w:pos="3610"/>
              </w:tabs>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CNP</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1</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2</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3</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4</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5</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6</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7</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8</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9</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10</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11</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12</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p>
        </w:tc>
        <w:tc>
          <w:tcPr>
            <w:tcW w:w="0" w:type="auto"/>
            <w:shd w:val="clear" w:color="auto" w:fill="auto"/>
            <w:tcMar>
              <w:left w:w="0" w:type="dxa"/>
              <w:right w:w="0" w:type="dxa"/>
            </w:tcMar>
            <w:vAlign w:val="center"/>
          </w:tcPr>
          <w:p w:rsidR="00744BCE" w:rsidRPr="004265B8" w:rsidRDefault="009A671C" w:rsidP="004E4520">
            <w:pPr>
              <w:pStyle w:val="EndnoteText"/>
              <w:spacing w:after="0" w:line="240" w:lineRule="auto"/>
              <w:jc w:val="center"/>
              <w:rPr>
                <w:rFonts w:ascii="Times New Roman" w:hAnsi="Times New Roman"/>
                <w:b/>
                <w:sz w:val="16"/>
                <w:szCs w:val="16"/>
                <w:lang w:val="en-US"/>
              </w:rPr>
            </w:pPr>
            <m:oMathPara>
              <m:oMath>
                <m:sSubSup>
                  <m:sSubSupPr>
                    <m:ctrlPr>
                      <w:rPr>
                        <w:rFonts w:ascii="Cambria Math" w:hAnsi="Cambria Math"/>
                        <w:b/>
                        <w:bCs/>
                        <w:sz w:val="16"/>
                        <w:szCs w:val="16"/>
                        <w:vertAlign w:val="superscript"/>
                        <w:lang w:eastAsia="fr-FR"/>
                      </w:rPr>
                    </m:ctrlPr>
                  </m:sSubSupPr>
                  <m:e>
                    <m:r>
                      <m:rPr>
                        <m:sty m:val="b"/>
                      </m:rPr>
                      <w:rPr>
                        <w:rFonts w:ascii="Cambria Math" w:hAnsi="Cambria Math"/>
                        <w:sz w:val="16"/>
                        <w:szCs w:val="16"/>
                        <w:vertAlign w:val="superscript"/>
                        <w:lang w:eastAsia="fr-FR"/>
                      </w:rPr>
                      <m:t>pIC</m:t>
                    </m:r>
                  </m:e>
                  <m:sub>
                    <m:r>
                      <m:rPr>
                        <m:sty m:val="b"/>
                      </m:rPr>
                      <w:rPr>
                        <w:rFonts w:ascii="Cambria Math" w:hAnsi="Cambria Math"/>
                        <w:sz w:val="16"/>
                        <w:szCs w:val="16"/>
                        <w:vertAlign w:val="superscript"/>
                        <w:lang w:eastAsia="fr-FR"/>
                      </w:rPr>
                      <m:t>50</m:t>
                    </m:r>
                  </m:sub>
                  <m:sup>
                    <m:r>
                      <m:rPr>
                        <m:sty m:val="b"/>
                      </m:rPr>
                      <w:rPr>
                        <w:rFonts w:ascii="Cambria Math" w:hAnsi="Cambria Math"/>
                        <w:sz w:val="16"/>
                        <w:szCs w:val="16"/>
                        <w:vertAlign w:val="superscript"/>
                        <w:lang w:eastAsia="fr-FR"/>
                      </w:rPr>
                      <m:t>exp</m:t>
                    </m:r>
                  </m:sup>
                </m:sSubSup>
              </m:oMath>
            </m:oMathPara>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7.2</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8.</w:t>
            </w:r>
            <w:r>
              <w:rPr>
                <w:rFonts w:ascii="Times New Roman" w:hAnsi="Times New Roman"/>
                <w:sz w:val="16"/>
                <w:szCs w:val="16"/>
                <w:lang w:val="en-US"/>
              </w:rPr>
              <w:t>1</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7.</w:t>
            </w:r>
            <w:r>
              <w:rPr>
                <w:rFonts w:ascii="Times New Roman" w:hAnsi="Times New Roman"/>
                <w:sz w:val="16"/>
                <w:szCs w:val="16"/>
                <w:lang w:val="en-US"/>
              </w:rPr>
              <w:t>4</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7.1</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7.6</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8.</w:t>
            </w:r>
            <w:r>
              <w:rPr>
                <w:rFonts w:ascii="Times New Roman" w:hAnsi="Times New Roman"/>
                <w:sz w:val="16"/>
                <w:szCs w:val="16"/>
                <w:lang w:val="en-US"/>
              </w:rPr>
              <w:t>7</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7.9</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8.</w:t>
            </w:r>
            <w:r>
              <w:rPr>
                <w:rFonts w:ascii="Times New Roman" w:hAnsi="Times New Roman"/>
                <w:sz w:val="16"/>
                <w:szCs w:val="16"/>
                <w:lang w:val="en-US"/>
              </w:rPr>
              <w:t>1</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9</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8.5</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6.2</w:t>
            </w:r>
          </w:p>
        </w:tc>
        <w:tc>
          <w:tcPr>
            <w:tcW w:w="0" w:type="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6.7</w:t>
            </w:r>
          </w:p>
        </w:tc>
      </w:tr>
      <w:tr w:rsidR="00744BCE" w:rsidRPr="004265B8" w:rsidTr="004E4520">
        <w:trPr>
          <w:trHeight w:val="283"/>
          <w:jc w:val="center"/>
        </w:trPr>
        <w:tc>
          <w:tcPr>
            <w:tcW w:w="276" w:type="dxa"/>
            <w:vMerge w:val="restart"/>
            <w:shd w:val="clear" w:color="auto" w:fill="auto"/>
            <w:tcMar>
              <w:left w:w="0" w:type="dxa"/>
              <w:right w:w="0" w:type="dxa"/>
            </w:tcMar>
            <w:textDirection w:val="btLr"/>
            <w:vAlign w:val="center"/>
          </w:tcPr>
          <w:p w:rsidR="00744BCE" w:rsidRPr="004265B8" w:rsidRDefault="00744BCE" w:rsidP="004E4520">
            <w:pPr>
              <w:ind w:left="113" w:right="113"/>
              <w:jc w:val="center"/>
              <w:rPr>
                <w:rFonts w:ascii="Times New Roman" w:hAnsi="Times New Roman"/>
                <w:b/>
                <w:sz w:val="16"/>
                <w:szCs w:val="16"/>
                <w:lang/>
              </w:rPr>
            </w:pPr>
            <w:r w:rsidRPr="004265B8">
              <w:rPr>
                <w:rFonts w:ascii="Times New Roman" w:hAnsi="Times New Roman"/>
                <w:b/>
                <w:sz w:val="16"/>
                <w:szCs w:val="16"/>
                <w:lang/>
              </w:rPr>
              <w:t>S1</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Gnl36</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lang w:val="fr-FR"/>
              </w:rPr>
            </w:pPr>
            <w:r w:rsidRPr="008855FC">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0.0</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-0.2</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-0.1</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-0.1</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-0.1</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Gly40</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-0.8</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-1.2</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-1.7</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-0.8</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-0.3</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-0.2</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-0.7</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Ser41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-0.4</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-0.2</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-0.2</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-0.2</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Cys42</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-0.5</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3.8</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-0.6</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-1.0</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-0.6</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-1.3</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-0.7</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-0.7</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Trp43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-1.5</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-1.8</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-2.2</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-1.5</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-1.5</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Cys80</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-0.4</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-0.1</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-0.1</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-0.2</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-0.3</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Asn81</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-1.2</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-1.3</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-1.3</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-1.3</w:t>
            </w:r>
          </w:p>
        </w:tc>
        <w:tc>
          <w:tcPr>
            <w:tcW w:w="0" w:type="auto"/>
            <w:tcMar>
              <w:left w:w="0" w:type="dxa"/>
              <w:right w:w="0" w:type="dxa"/>
            </w:tcMar>
            <w:vAlign w:val="center"/>
          </w:tcPr>
          <w:p w:rsidR="00744BCE" w:rsidRPr="008855FC" w:rsidRDefault="00744BCE" w:rsidP="004E4520">
            <w:pPr>
              <w:jc w:val="center"/>
              <w:rPr>
                <w:rFonts w:ascii="Times New Roman" w:hAnsi="Times New Roman"/>
                <w:b/>
                <w:bCs/>
                <w:color w:val="000000"/>
                <w:sz w:val="16"/>
                <w:szCs w:val="16"/>
              </w:rPr>
            </w:pPr>
            <w:r w:rsidRPr="008855FC">
              <w:rPr>
                <w:rFonts w:ascii="Times New Roman" w:hAnsi="Times New Roman"/>
                <w:b/>
                <w:bCs/>
                <w:color w:val="000000"/>
                <w:sz w:val="16"/>
                <w:szCs w:val="16"/>
              </w:rPr>
              <w:t>-0.7</w:t>
            </w:r>
          </w:p>
        </w:tc>
        <w:tc>
          <w:tcPr>
            <w:tcW w:w="0" w:type="auto"/>
            <w:tcMar>
              <w:left w:w="0" w:type="dxa"/>
              <w:right w:w="0" w:type="dxa"/>
            </w:tcMar>
            <w:vAlign w:val="center"/>
          </w:tcPr>
          <w:p w:rsidR="00744BCE" w:rsidRPr="008855FC" w:rsidRDefault="00744BCE" w:rsidP="004E4520">
            <w:pPr>
              <w:jc w:val="center"/>
              <w:rPr>
                <w:rFonts w:ascii="Times New Roman" w:hAnsi="Times New Roman"/>
                <w:color w:val="000000"/>
                <w:sz w:val="16"/>
                <w:szCs w:val="16"/>
              </w:rPr>
            </w:pPr>
            <w:r w:rsidRPr="008855FC">
              <w:rPr>
                <w:rFonts w:ascii="Times New Roman" w:hAnsi="Times New Roman"/>
                <w:color w:val="000000"/>
                <w:sz w:val="16"/>
                <w:szCs w:val="16"/>
              </w:rPr>
              <w:t>-0.7</w:t>
            </w:r>
          </w:p>
        </w:tc>
        <w:tc>
          <w:tcPr>
            <w:tcW w:w="0" w:type="auto"/>
            <w:tcMar>
              <w:left w:w="0" w:type="dxa"/>
              <w:right w:w="0" w:type="dxa"/>
            </w:tcMar>
            <w:vAlign w:val="center"/>
          </w:tcPr>
          <w:p w:rsidR="00744BCE" w:rsidRPr="008855FC" w:rsidRDefault="00744BCE" w:rsidP="004E4520">
            <w:pPr>
              <w:rPr>
                <w:rFonts w:ascii="Times New Roman" w:hAnsi="Times New Roman"/>
                <w:b/>
                <w:bCs/>
                <w:color w:val="000000"/>
                <w:sz w:val="16"/>
                <w:szCs w:val="16"/>
              </w:rPr>
            </w:pPr>
            <w:r w:rsidRPr="008855FC">
              <w:rPr>
                <w:rFonts w:ascii="Times New Roman" w:hAnsi="Times New Roman"/>
                <w:b/>
                <w:bCs/>
                <w:color w:val="000000"/>
                <w:sz w:val="16"/>
                <w:szCs w:val="16"/>
              </w:rPr>
              <w:t>-1.2</w:t>
            </w:r>
          </w:p>
        </w:tc>
        <w:tc>
          <w:tcPr>
            <w:tcW w:w="0" w:type="auto"/>
            <w:tcMar>
              <w:left w:w="0" w:type="dxa"/>
              <w:right w:w="0" w:type="dxa"/>
            </w:tcMar>
            <w:vAlign w:val="center"/>
          </w:tcPr>
          <w:p w:rsidR="00744BCE" w:rsidRPr="008855FC" w:rsidRDefault="00744BCE" w:rsidP="004E4520">
            <w:pPr>
              <w:rPr>
                <w:rFonts w:ascii="Times New Roman" w:hAnsi="Times New Roman"/>
                <w:color w:val="000000"/>
                <w:sz w:val="16"/>
                <w:szCs w:val="16"/>
              </w:rPr>
            </w:pPr>
            <w:r w:rsidRPr="008855FC">
              <w:rPr>
                <w:rFonts w:ascii="Times New Roman" w:hAnsi="Times New Roman"/>
                <w:color w:val="000000"/>
                <w:sz w:val="16"/>
                <w:szCs w:val="16"/>
              </w:rPr>
              <w:t>-1.3</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D9D9D9" w:themeFill="background1" w:themeFillShade="D9"/>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Total</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lang w:val="fr-FR"/>
              </w:rPr>
            </w:pPr>
            <w:r w:rsidRPr="008855FC">
              <w:rPr>
                <w:rFonts w:ascii="Times New Roman" w:hAnsi="Times New Roman"/>
                <w:b/>
                <w:color w:val="000000"/>
                <w:sz w:val="16"/>
                <w:szCs w:val="16"/>
              </w:rPr>
              <w:t>-4.6</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-5.1</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-4.7</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-4.8</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-0.9</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-5.1</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-6.4</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-4.8</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-3.8</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-4.7</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-4.5</w:t>
            </w:r>
          </w:p>
        </w:tc>
        <w:tc>
          <w:tcPr>
            <w:tcW w:w="0" w:type="auto"/>
            <w:shd w:val="clear" w:color="auto" w:fill="D9D9D9" w:themeFill="background1" w:themeFillShade="D9"/>
            <w:tcMar>
              <w:left w:w="0" w:type="dxa"/>
              <w:right w:w="0" w:type="dxa"/>
            </w:tcMar>
            <w:vAlign w:val="center"/>
          </w:tcPr>
          <w:p w:rsidR="00744BCE" w:rsidRPr="008855FC" w:rsidRDefault="00744BCE" w:rsidP="004E4520">
            <w:pPr>
              <w:jc w:val="center"/>
              <w:rPr>
                <w:rFonts w:ascii="Times New Roman" w:hAnsi="Times New Roman"/>
                <w:b/>
                <w:color w:val="000000"/>
                <w:sz w:val="16"/>
                <w:szCs w:val="16"/>
              </w:rPr>
            </w:pPr>
            <w:r w:rsidRPr="008855FC">
              <w:rPr>
                <w:rFonts w:ascii="Times New Roman" w:hAnsi="Times New Roman"/>
                <w:b/>
                <w:color w:val="000000"/>
                <w:sz w:val="16"/>
                <w:szCs w:val="16"/>
              </w:rPr>
              <w:t>-4.7</w:t>
            </w:r>
          </w:p>
        </w:tc>
      </w:tr>
      <w:tr w:rsidR="00744BCE" w:rsidRPr="004265B8" w:rsidTr="004E4520">
        <w:trPr>
          <w:trHeight w:val="283"/>
          <w:jc w:val="center"/>
        </w:trPr>
        <w:tc>
          <w:tcPr>
            <w:tcW w:w="276" w:type="dxa"/>
            <w:vMerge w:val="restart"/>
            <w:shd w:val="clear" w:color="auto" w:fill="auto"/>
            <w:tcMar>
              <w:left w:w="0" w:type="dxa"/>
              <w:right w:w="0" w:type="dxa"/>
            </w:tcMar>
            <w:textDirection w:val="btLr"/>
            <w:vAlign w:val="center"/>
          </w:tcPr>
          <w:p w:rsidR="00744BCE" w:rsidRPr="004265B8" w:rsidRDefault="00744BCE" w:rsidP="004E4520">
            <w:pPr>
              <w:ind w:left="113" w:right="113"/>
              <w:jc w:val="center"/>
              <w:rPr>
                <w:rFonts w:ascii="Times New Roman" w:hAnsi="Times New Roman"/>
                <w:b/>
                <w:sz w:val="16"/>
                <w:szCs w:val="16"/>
                <w:lang/>
              </w:rPr>
            </w:pPr>
            <w:r w:rsidRPr="004265B8">
              <w:rPr>
                <w:rFonts w:ascii="Times New Roman" w:hAnsi="Times New Roman"/>
                <w:b/>
                <w:sz w:val="16"/>
                <w:szCs w:val="16"/>
                <w:lang/>
              </w:rPr>
              <w:t>S2</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Leu84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lang w:val="fr-FR"/>
              </w:rPr>
            </w:pPr>
            <w:r w:rsidRPr="00641513">
              <w:rPr>
                <w:rFonts w:ascii="Times New Roman" w:hAnsi="Times New Roman"/>
                <w:color w:val="000000"/>
                <w:sz w:val="16"/>
                <w:szCs w:val="16"/>
              </w:rPr>
              <w:t>-2.6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-2.9</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-3.0</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-3.0</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-3.2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-2.8</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-3.0</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-2.7</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Ile85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-0.4</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Ser149</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-0.5</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-0.7</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Leu172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-3.8</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-4.8</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-4.4</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-4.3</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-5.3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-4.2</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-3.1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-3.2</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Ala175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-0.3</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-0.9</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-0.8</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Asp-234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-0.9</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-1.0</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-1.3</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-0.7</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D9D9D9" w:themeFill="background1" w:themeFillShade="D9"/>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Total</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lang w:val="fr-FR"/>
              </w:rPr>
            </w:pPr>
            <w:r w:rsidRPr="00641513">
              <w:rPr>
                <w:rFonts w:ascii="Times New Roman" w:hAnsi="Times New Roman"/>
                <w:b/>
                <w:color w:val="000000"/>
                <w:sz w:val="16"/>
                <w:szCs w:val="16"/>
              </w:rPr>
              <w:t>-8.1</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-9.3</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-9.4</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-9.5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-8.9</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-9.5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-9.2</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-9.1</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-11.6</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-10.2</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-7.7</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-7.1</w:t>
            </w:r>
          </w:p>
        </w:tc>
      </w:tr>
      <w:tr w:rsidR="00744BCE" w:rsidRPr="004265B8" w:rsidTr="004E4520">
        <w:trPr>
          <w:trHeight w:val="283"/>
          <w:jc w:val="center"/>
        </w:trPr>
        <w:tc>
          <w:tcPr>
            <w:tcW w:w="276" w:type="dxa"/>
            <w:vMerge w:val="restart"/>
            <w:shd w:val="clear" w:color="auto" w:fill="auto"/>
            <w:tcMar>
              <w:left w:w="0" w:type="dxa"/>
              <w:right w:w="0" w:type="dxa"/>
            </w:tcMar>
            <w:textDirection w:val="btLr"/>
            <w:vAlign w:val="center"/>
          </w:tcPr>
          <w:p w:rsidR="00744BCE" w:rsidRPr="004265B8" w:rsidRDefault="00744BCE" w:rsidP="004E4520">
            <w:pPr>
              <w:ind w:left="113" w:right="113"/>
              <w:jc w:val="center"/>
              <w:rPr>
                <w:rFonts w:ascii="Times New Roman" w:hAnsi="Times New Roman"/>
                <w:b/>
                <w:sz w:val="16"/>
                <w:szCs w:val="16"/>
                <w:lang/>
              </w:rPr>
            </w:pPr>
            <w:r>
              <w:rPr>
                <w:rFonts w:ascii="Times New Roman" w:hAnsi="Times New Roman"/>
                <w:b/>
                <w:sz w:val="16"/>
                <w:szCs w:val="16"/>
                <w:lang/>
              </w:rPr>
              <w:t>S’</w:t>
            </w:r>
            <w:r w:rsidRPr="004265B8">
              <w:rPr>
                <w:rFonts w:ascii="Times New Roman" w:hAnsi="Times New Roman"/>
                <w:b/>
                <w:sz w:val="16"/>
                <w:szCs w:val="16"/>
                <w:lang/>
              </w:rPr>
              <w:t>1</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Val150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lang w:val="fr-FR"/>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Val152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Asn173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-3.9</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-4.5</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-3.4</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-3.3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-3.0</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-3.1</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Hisd174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-1.7</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-1.0</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-1.0</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Trp206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0.0</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r>
      <w:tr w:rsidR="00744BCE" w:rsidRPr="004265B8" w:rsidTr="004E4520">
        <w:trPr>
          <w:trHeight w:val="278"/>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D9D9D9" w:themeFill="background1" w:themeFillShade="D9"/>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Total</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lang w:val="fr-FR"/>
              </w:rPr>
            </w:pPr>
            <w:r w:rsidRPr="00641513">
              <w:rPr>
                <w:rFonts w:ascii="Times New Roman" w:hAnsi="Times New Roman"/>
                <w:b/>
                <w:color w:val="000000"/>
                <w:sz w:val="16"/>
                <w:szCs w:val="16"/>
              </w:rPr>
              <w:t>-4.5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-5.8</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-4.8</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-4.9</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-5.0</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-5.6</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-6.2</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-4.9</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-5.5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-5.6</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-4.2</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-4.3</w:t>
            </w:r>
          </w:p>
        </w:tc>
      </w:tr>
      <w:tr w:rsidR="00744BCE" w:rsidRPr="004265B8" w:rsidTr="004E4520">
        <w:trPr>
          <w:trHeight w:val="283"/>
          <w:jc w:val="center"/>
        </w:trPr>
        <w:tc>
          <w:tcPr>
            <w:tcW w:w="276" w:type="dxa"/>
            <w:vMerge w:val="restart"/>
            <w:shd w:val="clear" w:color="auto" w:fill="auto"/>
            <w:tcMar>
              <w:left w:w="0" w:type="dxa"/>
              <w:right w:w="0" w:type="dxa"/>
            </w:tcMar>
            <w:textDirection w:val="btLr"/>
            <w:vAlign w:val="center"/>
          </w:tcPr>
          <w:p w:rsidR="00744BCE" w:rsidRPr="004265B8" w:rsidRDefault="00744BCE" w:rsidP="004E4520">
            <w:pPr>
              <w:ind w:left="113" w:right="113"/>
              <w:jc w:val="center"/>
              <w:rPr>
                <w:rFonts w:ascii="Times New Roman" w:hAnsi="Times New Roman"/>
                <w:b/>
                <w:sz w:val="16"/>
                <w:szCs w:val="16"/>
                <w:lang/>
              </w:rPr>
            </w:pPr>
            <w:r w:rsidRPr="004265B8">
              <w:rPr>
                <w:rFonts w:ascii="Times New Roman" w:hAnsi="Times New Roman"/>
                <w:b/>
                <w:sz w:val="16"/>
                <w:szCs w:val="16"/>
                <w:lang/>
              </w:rPr>
              <w:t>S3</w:t>
            </w: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Lys+76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lang w:val="fr-FR"/>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0.2</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0.0</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Asn77</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-0.4</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-0.7</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-0.6</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Tyr78</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-1.6</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-1.8</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-1.5</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-1.5</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Gly82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-2.4</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-2.6</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-2.5</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-2.9</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-2.5</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-1.9</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-2.7</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-2.6</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-2.7</w:t>
            </w:r>
          </w:p>
        </w:tc>
      </w:tr>
      <w:tr w:rsidR="00744BCE" w:rsidRPr="004265B8" w:rsidTr="004E4520">
        <w:trPr>
          <w:trHeight w:val="60"/>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r w:rsidRPr="004265B8">
              <w:rPr>
                <w:rFonts w:ascii="Times New Roman" w:hAnsi="Times New Roman"/>
                <w:sz w:val="16"/>
                <w:szCs w:val="16"/>
                <w:lang w:val="en-US"/>
              </w:rPr>
              <w:t>Gly83</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-4.0</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-4.1</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-4.2</w:t>
            </w:r>
          </w:p>
        </w:tc>
        <w:tc>
          <w:tcPr>
            <w:tcW w:w="0" w:type="auto"/>
            <w:shd w:val="clear" w:color="auto" w:fill="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-4.1</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-4.3</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-4.1</w:t>
            </w:r>
          </w:p>
        </w:tc>
        <w:tc>
          <w:tcPr>
            <w:tcW w:w="0" w:type="auto"/>
            <w:tcMar>
              <w:left w:w="0" w:type="dxa"/>
              <w:right w:w="0" w:type="dxa"/>
            </w:tcMar>
            <w:vAlign w:val="center"/>
          </w:tcPr>
          <w:p w:rsidR="00744BCE" w:rsidRPr="00641513" w:rsidRDefault="00744BCE" w:rsidP="004E4520">
            <w:pPr>
              <w:jc w:val="center"/>
              <w:rPr>
                <w:rFonts w:ascii="Times New Roman" w:hAnsi="Times New Roman"/>
                <w:b/>
                <w:bCs/>
                <w:color w:val="000000"/>
                <w:sz w:val="16"/>
                <w:szCs w:val="16"/>
              </w:rPr>
            </w:pPr>
            <w:r w:rsidRPr="00641513">
              <w:rPr>
                <w:rFonts w:ascii="Times New Roman" w:hAnsi="Times New Roman"/>
                <w:b/>
                <w:bCs/>
                <w:color w:val="000000"/>
                <w:sz w:val="16"/>
                <w:szCs w:val="16"/>
              </w:rPr>
              <w:t>-3.9</w:t>
            </w:r>
          </w:p>
        </w:tc>
        <w:tc>
          <w:tcPr>
            <w:tcW w:w="0" w:type="auto"/>
            <w:tcMar>
              <w:left w:w="0" w:type="dxa"/>
              <w:right w:w="0" w:type="dxa"/>
            </w:tcMar>
            <w:vAlign w:val="center"/>
          </w:tcPr>
          <w:p w:rsidR="00744BCE" w:rsidRPr="00641513" w:rsidRDefault="00744BCE" w:rsidP="004E4520">
            <w:pPr>
              <w:jc w:val="center"/>
              <w:rPr>
                <w:rFonts w:ascii="Times New Roman" w:hAnsi="Times New Roman"/>
                <w:color w:val="000000"/>
                <w:sz w:val="16"/>
                <w:szCs w:val="16"/>
              </w:rPr>
            </w:pPr>
            <w:r w:rsidRPr="00641513">
              <w:rPr>
                <w:rFonts w:ascii="Times New Roman" w:hAnsi="Times New Roman"/>
                <w:color w:val="000000"/>
                <w:sz w:val="16"/>
                <w:szCs w:val="16"/>
              </w:rPr>
              <w:t>-3.9</w:t>
            </w:r>
          </w:p>
        </w:tc>
      </w:tr>
      <w:tr w:rsidR="00744BCE" w:rsidRPr="004265B8" w:rsidTr="004E4520">
        <w:trPr>
          <w:trHeight w:val="283"/>
          <w:jc w:val="center"/>
        </w:trPr>
        <w:tc>
          <w:tcPr>
            <w:tcW w:w="276" w:type="dxa"/>
            <w:vMerge/>
            <w:shd w:val="clear" w:color="auto" w:fill="auto"/>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sz w:val="16"/>
                <w:szCs w:val="16"/>
                <w:lang w:val="en-US"/>
              </w:rPr>
            </w:pPr>
          </w:p>
        </w:tc>
        <w:tc>
          <w:tcPr>
            <w:tcW w:w="0" w:type="auto"/>
            <w:shd w:val="clear" w:color="auto" w:fill="D9D9D9" w:themeFill="background1" w:themeFillShade="D9"/>
            <w:tcMar>
              <w:left w:w="0" w:type="dxa"/>
              <w:right w:w="0" w:type="dxa"/>
            </w:tcMar>
            <w:vAlign w:val="center"/>
          </w:tcPr>
          <w:p w:rsidR="00744BCE" w:rsidRPr="004265B8" w:rsidRDefault="00744BCE" w:rsidP="004E4520">
            <w:pPr>
              <w:pStyle w:val="EndnoteText"/>
              <w:spacing w:after="0" w:line="240" w:lineRule="auto"/>
              <w:jc w:val="center"/>
              <w:rPr>
                <w:rFonts w:ascii="Times New Roman" w:hAnsi="Times New Roman"/>
                <w:b/>
                <w:sz w:val="16"/>
                <w:szCs w:val="16"/>
                <w:lang w:val="en-US"/>
              </w:rPr>
            </w:pPr>
            <w:r w:rsidRPr="004265B8">
              <w:rPr>
                <w:rFonts w:ascii="Times New Roman" w:hAnsi="Times New Roman"/>
                <w:b/>
                <w:sz w:val="16"/>
                <w:szCs w:val="16"/>
                <w:lang w:val="en-US"/>
              </w:rPr>
              <w:t>Total</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lang w:val="fr-FR"/>
              </w:rPr>
            </w:pPr>
            <w:r w:rsidRPr="00641513">
              <w:rPr>
                <w:rFonts w:ascii="Times New Roman" w:hAnsi="Times New Roman"/>
                <w:b/>
                <w:color w:val="000000"/>
                <w:sz w:val="16"/>
                <w:szCs w:val="16"/>
              </w:rPr>
              <w:t>-8.3</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-8.1</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-8.7</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-8.8</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-8.5</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-8.0</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-8.9</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-8.6</w:t>
            </w:r>
          </w:p>
        </w:tc>
        <w:tc>
          <w:tcPr>
            <w:tcW w:w="0" w:type="auto"/>
            <w:shd w:val="clear" w:color="auto" w:fill="D9D9D9" w:themeFill="background1" w:themeFillShade="D9"/>
            <w:tcMar>
              <w:left w:w="0" w:type="dxa"/>
              <w:right w:w="0" w:type="dxa"/>
            </w:tcMar>
            <w:vAlign w:val="center"/>
          </w:tcPr>
          <w:p w:rsidR="00744BCE" w:rsidRPr="00641513" w:rsidRDefault="00744BCE" w:rsidP="004E4520">
            <w:pPr>
              <w:jc w:val="center"/>
              <w:rPr>
                <w:rFonts w:ascii="Times New Roman" w:hAnsi="Times New Roman"/>
                <w:b/>
                <w:color w:val="000000"/>
                <w:sz w:val="16"/>
                <w:szCs w:val="16"/>
              </w:rPr>
            </w:pPr>
            <w:r w:rsidRPr="00641513">
              <w:rPr>
                <w:rFonts w:ascii="Times New Roman" w:hAnsi="Times New Roman"/>
                <w:b/>
                <w:color w:val="000000"/>
                <w:sz w:val="16"/>
                <w:szCs w:val="16"/>
              </w:rPr>
              <w:t>-8.6</w:t>
            </w:r>
          </w:p>
        </w:tc>
      </w:tr>
    </w:tbl>
    <w:p w:rsidR="004265B8" w:rsidRDefault="004265B8" w:rsidP="00E715FA">
      <w:pPr>
        <w:jc w:val="both"/>
        <w:rPr>
          <w:rStyle w:val="A12"/>
          <w:rFonts w:ascii="Times New Roman" w:eastAsia="Calibri" w:hAnsi="Times New Roman" w:cs="Times New Roman"/>
          <w:sz w:val="20"/>
          <w:szCs w:val="20"/>
        </w:rPr>
      </w:pPr>
    </w:p>
    <w:p w:rsidR="00744BCE" w:rsidRPr="00744BCE" w:rsidRDefault="008F18B6" w:rsidP="00E715FA">
      <w:pPr>
        <w:jc w:val="both"/>
        <w:rPr>
          <w:rFonts w:ascii="Times New Roman" w:hAnsi="Times New Roman"/>
        </w:rPr>
      </w:pPr>
      <w:r>
        <w:rPr>
          <w:rFonts w:ascii="Times New Roman" w:hAnsi="Times New Roman"/>
        </w:rPr>
        <w:t>From the analysis of Table 4, a</w:t>
      </w:r>
      <w:r w:rsidR="00744BCE" w:rsidRPr="00744BCE">
        <w:rPr>
          <w:rFonts w:ascii="Times New Roman" w:hAnsi="Times New Roman"/>
        </w:rPr>
        <w:t xml:space="preserve">s </w:t>
      </w:r>
      <w:r>
        <w:rPr>
          <w:rFonts w:ascii="Times New Roman" w:hAnsi="Times New Roman"/>
        </w:rPr>
        <w:t xml:space="preserve">it </w:t>
      </w:r>
      <w:r w:rsidR="00744BCE" w:rsidRPr="00744BCE">
        <w:rPr>
          <w:rFonts w:ascii="Times New Roman" w:hAnsi="Times New Roman"/>
        </w:rPr>
        <w:t>has been noted for the azadipeptides ni</w:t>
      </w:r>
      <w:r w:rsidR="00907AB4">
        <w:rPr>
          <w:rFonts w:ascii="Times New Roman" w:hAnsi="Times New Roman"/>
        </w:rPr>
        <w:t>trile (ADPN) in previous study</w:t>
      </w:r>
      <w:fldSimple w:instr=" NOTEREF _Ref144997725 \h  \* MERGEFORMAT ">
        <w:r w:rsidR="00744BCE" w:rsidRPr="00907AB4">
          <w:rPr>
            <w:rFonts w:ascii="Times New Roman" w:hAnsi="Times New Roman"/>
            <w:b/>
            <w:color w:val="8DB3E2" w:themeColor="text2" w:themeTint="66"/>
            <w:vertAlign w:val="superscript"/>
          </w:rPr>
          <w:t>25</w:t>
        </w:r>
      </w:fldSimple>
      <w:r w:rsidR="00744BCE" w:rsidRPr="00744BCE">
        <w:rPr>
          <w:rFonts w:ascii="Times New Roman" w:hAnsi="Times New Roman"/>
        </w:rPr>
        <w:t xml:space="preserve">, </w:t>
      </w:r>
      <w:r>
        <w:rPr>
          <w:rFonts w:ascii="Times New Roman" w:hAnsi="Times New Roman"/>
        </w:rPr>
        <w:t xml:space="preserve">here in the case of </w:t>
      </w:r>
      <w:r w:rsidR="00744BCE" w:rsidRPr="00744BCE">
        <w:rPr>
          <w:rFonts w:ascii="Times New Roman" w:hAnsi="Times New Roman"/>
        </w:rPr>
        <w:t xml:space="preserve">pyrimidine carbonitriles (CNP) a </w:t>
      </w:r>
      <w:r w:rsidR="008C3E96">
        <w:rPr>
          <w:rFonts w:ascii="Times New Roman" w:hAnsi="Times New Roman"/>
        </w:rPr>
        <w:t xml:space="preserve">relevant stabilizing drop of S2 pocket residues contributions </w:t>
      </w:r>
      <w:r>
        <w:rPr>
          <w:rFonts w:ascii="Times New Roman" w:hAnsi="Times New Roman"/>
        </w:rPr>
        <w:t>to Enzyme – Inhibitor interaction energy (</w:t>
      </w:r>
      <w:r w:rsidR="008C3E96">
        <w:rPr>
          <w:rFonts w:ascii="Times New Roman" w:hAnsi="Times New Roman"/>
        </w:rPr>
        <w:t>E</w:t>
      </w:r>
      <w:r w:rsidR="008C3E96" w:rsidRPr="008C3E96">
        <w:rPr>
          <w:rFonts w:ascii="Times New Roman" w:hAnsi="Times New Roman"/>
          <w:vertAlign w:val="subscript"/>
        </w:rPr>
        <w:t>int</w:t>
      </w:r>
      <w:r>
        <w:rPr>
          <w:rFonts w:ascii="Times New Roman" w:hAnsi="Times New Roman"/>
        </w:rPr>
        <w:t xml:space="preserve">) </w:t>
      </w:r>
      <w:r w:rsidR="008C3E96">
        <w:rPr>
          <w:rFonts w:ascii="Times New Roman" w:hAnsi="Times New Roman"/>
        </w:rPr>
        <w:t>from the least active TS CNP11 to the best active one CNP9 by almost 4 kcal.mol</w:t>
      </w:r>
      <w:r w:rsidR="008C3E96" w:rsidRPr="008F18B6">
        <w:rPr>
          <w:rFonts w:ascii="Times New Roman" w:hAnsi="Times New Roman"/>
          <w:vertAlign w:val="superscript"/>
        </w:rPr>
        <w:t>-1</w:t>
      </w:r>
      <w:r>
        <w:rPr>
          <w:rFonts w:ascii="Times New Roman" w:hAnsi="Times New Roman"/>
        </w:rPr>
        <w:t>i.e.</w:t>
      </w:r>
      <w:r w:rsidR="008C3E96">
        <w:rPr>
          <w:rFonts w:ascii="Times New Roman" w:hAnsi="Times New Roman"/>
        </w:rPr>
        <w:t xml:space="preserve"> 50%</w:t>
      </w:r>
      <w:r>
        <w:rPr>
          <w:rFonts w:ascii="Times New Roman" w:hAnsi="Times New Roman"/>
        </w:rPr>
        <w:t>,</w:t>
      </w:r>
      <w:r w:rsidR="008C3E96">
        <w:rPr>
          <w:rFonts w:ascii="Times New Roman" w:hAnsi="Times New Roman"/>
        </w:rPr>
        <w:t xml:space="preserve"> close to the 45% increase </w:t>
      </w:r>
      <w:r>
        <w:rPr>
          <w:rFonts w:ascii="Times New Roman" w:hAnsi="Times New Roman"/>
        </w:rPr>
        <w:t xml:space="preserve">of their observed inhibitory potency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pIC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008C3E96" w:rsidRPr="008C3E96">
        <w:rPr>
          <w:rFonts w:ascii="Times New Roman" w:hAnsi="Times New Roman"/>
          <w:bCs/>
          <w:lang w:eastAsia="fr-FR"/>
        </w:rPr>
        <w:t>from 6.</w:t>
      </w:r>
      <w:r w:rsidR="008C3E96">
        <w:rPr>
          <w:rFonts w:ascii="Times New Roman" w:hAnsi="Times New Roman"/>
          <w:bCs/>
          <w:lang w:eastAsia="fr-FR"/>
        </w:rPr>
        <w:t>2</w:t>
      </w:r>
      <w:r w:rsidR="008C3E96" w:rsidRPr="008C3E96">
        <w:rPr>
          <w:rFonts w:ascii="Times New Roman" w:hAnsi="Times New Roman"/>
          <w:bCs/>
          <w:lang w:eastAsia="fr-FR"/>
        </w:rPr>
        <w:t>1 to 9 respectively</w:t>
      </w:r>
      <w:r w:rsidR="008C3E96">
        <w:rPr>
          <w:rFonts w:ascii="Times New Roman" w:hAnsi="Times New Roman"/>
          <w:bCs/>
          <w:lang w:eastAsia="fr-FR"/>
        </w:rPr>
        <w:t xml:space="preserve"> (see </w:t>
      </w:r>
      <w:r w:rsidR="00FE56D6">
        <w:rPr>
          <w:rFonts w:ascii="Times New Roman" w:hAnsi="Times New Roman"/>
          <w:bCs/>
          <w:lang w:eastAsia="fr-FR"/>
        </w:rPr>
        <w:t>T</w:t>
      </w:r>
      <w:r w:rsidR="008C3E96">
        <w:rPr>
          <w:rFonts w:ascii="Times New Roman" w:hAnsi="Times New Roman"/>
          <w:bCs/>
          <w:lang w:eastAsia="fr-FR"/>
        </w:rPr>
        <w:t>able 5</w:t>
      </w:r>
      <w:r w:rsidR="00FE56D6">
        <w:rPr>
          <w:rFonts w:ascii="Times New Roman" w:hAnsi="Times New Roman"/>
          <w:bCs/>
          <w:lang w:eastAsia="fr-FR"/>
        </w:rPr>
        <w:t xml:space="preserve"> and Figure 3</w:t>
      </w:r>
      <w:r>
        <w:rPr>
          <w:rFonts w:ascii="Times New Roman" w:hAnsi="Times New Roman"/>
          <w:bCs/>
          <w:lang w:eastAsia="fr-FR"/>
        </w:rPr>
        <w:t xml:space="preserve"> Top</w:t>
      </w:r>
      <w:r w:rsidR="008C3E96">
        <w:rPr>
          <w:rFonts w:ascii="Times New Roman" w:hAnsi="Times New Roman"/>
          <w:bCs/>
          <w:lang w:eastAsia="fr-FR"/>
        </w:rPr>
        <w:t>)</w:t>
      </w:r>
      <w:r w:rsidR="008C3E96" w:rsidRPr="008C3E96">
        <w:rPr>
          <w:rFonts w:ascii="Times New Roman" w:hAnsi="Times New Roman"/>
          <w:bCs/>
          <w:lang w:eastAsia="fr-FR"/>
        </w:rPr>
        <w:t>.</w:t>
      </w:r>
      <w:r w:rsidR="008C3E96">
        <w:rPr>
          <w:rFonts w:ascii="Times New Roman" w:hAnsi="Times New Roman"/>
        </w:rPr>
        <w:t xml:space="preserve"> Therefore the </w:t>
      </w:r>
      <w:r>
        <w:rPr>
          <w:rFonts w:ascii="Times New Roman" w:hAnsi="Times New Roman"/>
        </w:rPr>
        <w:t>preeminent</w:t>
      </w:r>
      <w:r w:rsidR="008C3E96">
        <w:rPr>
          <w:rFonts w:ascii="Times New Roman" w:hAnsi="Times New Roman"/>
        </w:rPr>
        <w:t xml:space="preserve"> role of the hydrophobic S2 pocket of </w:t>
      </w:r>
      <w:r w:rsidR="008C3E96" w:rsidRPr="008C3E96">
        <w:rPr>
          <w:rFonts w:ascii="Times New Roman" w:hAnsi="Times New Roman"/>
          <w:i/>
        </w:rPr>
        <w:t>Pf</w:t>
      </w:r>
      <w:r w:rsidR="008C3E96">
        <w:rPr>
          <w:rFonts w:ascii="Times New Roman" w:hAnsi="Times New Roman"/>
        </w:rPr>
        <w:t xml:space="preserve">FP2 active site </w:t>
      </w:r>
      <w:r>
        <w:rPr>
          <w:rFonts w:ascii="Times New Roman" w:hAnsi="Times New Roman"/>
        </w:rPr>
        <w:t xml:space="preserve">in the design of potent molecules against </w:t>
      </w:r>
      <w:r w:rsidRPr="008F18B6">
        <w:rPr>
          <w:rFonts w:ascii="Times New Roman" w:hAnsi="Times New Roman"/>
          <w:i/>
        </w:rPr>
        <w:t>Pf</w:t>
      </w:r>
      <w:r>
        <w:rPr>
          <w:rFonts w:ascii="Times New Roman" w:hAnsi="Times New Roman"/>
        </w:rPr>
        <w:t xml:space="preserve">FP2 </w:t>
      </w:r>
      <w:r w:rsidR="008C3E96">
        <w:rPr>
          <w:rFonts w:ascii="Times New Roman" w:hAnsi="Times New Roman"/>
        </w:rPr>
        <w:t xml:space="preserve">is confirmed </w:t>
      </w:r>
      <w:r w:rsidR="00FE56D6">
        <w:rPr>
          <w:rFonts w:ascii="Times New Roman" w:hAnsi="Times New Roman"/>
        </w:rPr>
        <w:t xml:space="preserve">again </w:t>
      </w:r>
      <w:r w:rsidR="00907AB4">
        <w:rPr>
          <w:rFonts w:ascii="Times New Roman" w:hAnsi="Times New Roman"/>
        </w:rPr>
        <w:t>as previously reported</w:t>
      </w:r>
      <w:r w:rsidR="00D1244F" w:rsidRPr="00907AB4">
        <w:rPr>
          <w:rStyle w:val="EndnoteReference"/>
          <w:rFonts w:ascii="Times New Roman" w:hAnsi="Times New Roman"/>
          <w:b/>
          <w:color w:val="8DB3E2" w:themeColor="text2" w:themeTint="66"/>
        </w:rPr>
        <w:endnoteReference w:id="41"/>
      </w:r>
      <w:r>
        <w:rPr>
          <w:rFonts w:ascii="Times New Roman" w:hAnsi="Times New Roman"/>
        </w:rPr>
        <w:t xml:space="preserve"> devoting a centralrole of Leu172 in </w:t>
      </w:r>
      <w:r w:rsidR="00FE56D6">
        <w:rPr>
          <w:rFonts w:ascii="Times New Roman" w:hAnsi="Times New Roman"/>
        </w:rPr>
        <w:t>th</w:t>
      </w:r>
      <w:r>
        <w:rPr>
          <w:rFonts w:ascii="Times New Roman" w:hAnsi="Times New Roman"/>
        </w:rPr>
        <w:t>at</w:t>
      </w:r>
      <w:r w:rsidR="00FE56D6">
        <w:rPr>
          <w:rFonts w:ascii="Times New Roman" w:hAnsi="Times New Roman"/>
        </w:rPr>
        <w:t xml:space="preserve"> S2 pocket (Figure</w:t>
      </w:r>
      <w:r w:rsidR="00971F08">
        <w:rPr>
          <w:rFonts w:ascii="Times New Roman" w:hAnsi="Times New Roman"/>
        </w:rPr>
        <w:t>s</w:t>
      </w:r>
      <w:r w:rsidR="00FE56D6">
        <w:rPr>
          <w:rFonts w:ascii="Times New Roman" w:hAnsi="Times New Roman"/>
        </w:rPr>
        <w:t xml:space="preserve"> 3</w:t>
      </w:r>
      <w:r>
        <w:rPr>
          <w:rFonts w:ascii="Times New Roman" w:hAnsi="Times New Roman"/>
        </w:rPr>
        <w:t xml:space="preserve"> Bottom</w:t>
      </w:r>
      <w:r w:rsidR="00971F08">
        <w:rPr>
          <w:rFonts w:ascii="Times New Roman" w:hAnsi="Times New Roman"/>
        </w:rPr>
        <w:t xml:space="preserve"> and 4</w:t>
      </w:r>
      <w:r>
        <w:rPr>
          <w:rFonts w:ascii="Times New Roman" w:hAnsi="Times New Roman"/>
        </w:rPr>
        <w:t>).</w:t>
      </w:r>
    </w:p>
    <w:p w:rsidR="00744BCE" w:rsidRDefault="00744BCE" w:rsidP="00E715FA">
      <w:pPr>
        <w:jc w:val="both"/>
        <w:rPr>
          <w:rStyle w:val="A12"/>
          <w:rFonts w:ascii="Times New Roman" w:eastAsia="Calibri" w:hAnsi="Times New Roman" w:cs="Times New Roman"/>
          <w:sz w:val="20"/>
          <w:szCs w:val="20"/>
        </w:rPr>
      </w:pPr>
    </w:p>
    <w:p w:rsidR="00744BCE" w:rsidRPr="00744BCE" w:rsidRDefault="00744BCE" w:rsidP="00E715FA">
      <w:pPr>
        <w:jc w:val="both"/>
        <w:rPr>
          <w:rStyle w:val="A5"/>
          <w:rFonts w:cs="Times New Roman"/>
          <w:bCs/>
          <w:sz w:val="18"/>
          <w:szCs w:val="18"/>
        </w:rPr>
      </w:pPr>
      <w:r w:rsidRPr="00744BCE">
        <w:rPr>
          <w:rStyle w:val="A5"/>
          <w:rFonts w:ascii="Times New Roman" w:hAnsi="Times New Roman" w:cs="Times New Roman"/>
          <w:bCs/>
          <w:sz w:val="18"/>
          <w:szCs w:val="18"/>
        </w:rPr>
        <w:t>Table 5: Variation of the overall interaction energy per pocket of the active site between the most active and the least active of the inhibitors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412"/>
        <w:gridCol w:w="1281"/>
        <w:gridCol w:w="851"/>
      </w:tblGrid>
      <w:tr w:rsidR="000A49CB" w:rsidRPr="00744BCE" w:rsidTr="00A41299">
        <w:trPr>
          <w:trHeight w:val="367"/>
          <w:jc w:val="center"/>
        </w:trPr>
        <w:tc>
          <w:tcPr>
            <w:tcW w:w="704" w:type="dxa"/>
            <w:vMerge w:val="restart"/>
            <w:shd w:val="clear" w:color="auto" w:fill="auto"/>
            <w:tcMar>
              <w:left w:w="28" w:type="dxa"/>
              <w:right w:w="28" w:type="dxa"/>
            </w:tcMar>
            <w:vAlign w:val="center"/>
          </w:tcPr>
          <w:p w:rsidR="000A49CB" w:rsidRPr="000A49CB" w:rsidRDefault="000A49CB" w:rsidP="000A49CB">
            <w:pPr>
              <w:tabs>
                <w:tab w:val="num" w:pos="0"/>
                <w:tab w:val="num" w:pos="360"/>
              </w:tabs>
              <w:autoSpaceDE w:val="0"/>
              <w:autoSpaceDN w:val="0"/>
              <w:adjustRightInd w:val="0"/>
              <w:jc w:val="center"/>
              <w:rPr>
                <w:rFonts w:ascii="Times New Roman" w:hAnsi="Times New Roman"/>
                <w:sz w:val="18"/>
                <w:szCs w:val="18"/>
                <w:lang w:val="fr-CI"/>
              </w:rPr>
            </w:pPr>
            <w:r w:rsidRPr="000A49CB">
              <w:rPr>
                <w:rFonts w:ascii="Times New Roman" w:hAnsi="Times New Roman"/>
                <w:sz w:val="18"/>
                <w:szCs w:val="18"/>
                <w:lang w:val="fr-CI"/>
              </w:rPr>
              <w:t xml:space="preserve">Pockets </w:t>
            </w:r>
          </w:p>
        </w:tc>
        <w:tc>
          <w:tcPr>
            <w:tcW w:w="2693" w:type="dxa"/>
            <w:gridSpan w:val="2"/>
            <w:shd w:val="clear" w:color="auto" w:fill="auto"/>
            <w:tcMar>
              <w:left w:w="28" w:type="dxa"/>
              <w:right w:w="28" w:type="dxa"/>
            </w:tcMar>
            <w:vAlign w:val="center"/>
          </w:tcPr>
          <w:p w:rsidR="000A49CB" w:rsidRPr="000A49CB" w:rsidRDefault="000A49CB" w:rsidP="000A49CB">
            <w:pPr>
              <w:tabs>
                <w:tab w:val="num" w:pos="0"/>
                <w:tab w:val="num" w:pos="360"/>
              </w:tabs>
              <w:autoSpaceDE w:val="0"/>
              <w:autoSpaceDN w:val="0"/>
              <w:adjustRightInd w:val="0"/>
              <w:jc w:val="center"/>
              <w:rPr>
                <w:rFonts w:ascii="Times New Roman" w:hAnsi="Times New Roman"/>
                <w:sz w:val="18"/>
                <w:szCs w:val="18"/>
                <w:lang w:val="fr-CI"/>
              </w:rPr>
            </w:pPr>
            <w:r w:rsidRPr="000A49CB">
              <w:rPr>
                <w:rFonts w:ascii="Times New Roman" w:hAnsi="Times New Roman"/>
                <w:sz w:val="18"/>
                <w:szCs w:val="18"/>
                <w:lang w:val="fr-CI"/>
              </w:rPr>
              <w:t>E</w:t>
            </w:r>
            <w:r w:rsidRPr="000A49CB">
              <w:rPr>
                <w:rFonts w:ascii="Times New Roman" w:hAnsi="Times New Roman"/>
                <w:sz w:val="18"/>
                <w:szCs w:val="18"/>
                <w:vertAlign w:val="subscript"/>
                <w:lang w:val="fr-CI"/>
              </w:rPr>
              <w:t>int</w:t>
            </w:r>
            <w:r w:rsidRPr="000A49CB">
              <w:rPr>
                <w:rFonts w:ascii="Times New Roman" w:hAnsi="Times New Roman"/>
                <w:sz w:val="18"/>
                <w:szCs w:val="18"/>
                <w:lang w:val="fr-CI"/>
              </w:rPr>
              <w:t>(kcal/mol)</w:t>
            </w:r>
          </w:p>
        </w:tc>
        <w:tc>
          <w:tcPr>
            <w:tcW w:w="851" w:type="dxa"/>
            <w:vMerge w:val="restart"/>
            <w:shd w:val="clear" w:color="auto" w:fill="auto"/>
            <w:tcMar>
              <w:left w:w="28" w:type="dxa"/>
              <w:right w:w="28" w:type="dxa"/>
            </w:tcMar>
            <w:vAlign w:val="center"/>
          </w:tcPr>
          <w:p w:rsidR="000A49CB" w:rsidRPr="000A49CB" w:rsidRDefault="000A49CB" w:rsidP="000A49CB">
            <w:pPr>
              <w:tabs>
                <w:tab w:val="num" w:pos="0"/>
                <w:tab w:val="num" w:pos="360"/>
              </w:tabs>
              <w:autoSpaceDE w:val="0"/>
              <w:autoSpaceDN w:val="0"/>
              <w:adjustRightInd w:val="0"/>
              <w:jc w:val="center"/>
              <w:rPr>
                <w:rFonts w:ascii="Times New Roman" w:hAnsi="Times New Roman"/>
                <w:sz w:val="18"/>
                <w:szCs w:val="18"/>
                <w:lang w:val="fr-CI"/>
              </w:rPr>
            </w:pPr>
            <w:r w:rsidRPr="000A49CB">
              <w:rPr>
                <w:rFonts w:ascii="Times New Roman" w:hAnsi="Times New Roman"/>
                <w:sz w:val="18"/>
                <w:szCs w:val="18"/>
                <w:lang w:val="fr-CI"/>
              </w:rPr>
              <w:t>ΔE</w:t>
            </w:r>
            <w:r w:rsidRPr="000A49CB">
              <w:rPr>
                <w:rFonts w:ascii="Times New Roman" w:hAnsi="Times New Roman"/>
                <w:sz w:val="18"/>
                <w:szCs w:val="18"/>
                <w:vertAlign w:val="subscript"/>
                <w:lang w:val="fr-CI"/>
              </w:rPr>
              <w:t>int</w:t>
            </w:r>
            <w:r w:rsidRPr="000A49CB">
              <w:rPr>
                <w:rFonts w:ascii="Times New Roman" w:hAnsi="Times New Roman"/>
                <w:sz w:val="18"/>
                <w:szCs w:val="18"/>
                <w:lang w:val="fr-CI"/>
              </w:rPr>
              <w:t xml:space="preserve"> (kcal/mol)</w:t>
            </w:r>
          </w:p>
        </w:tc>
      </w:tr>
      <w:tr w:rsidR="000A49CB" w:rsidRPr="00744BCE" w:rsidTr="00A41299">
        <w:trPr>
          <w:trHeight w:val="625"/>
          <w:jc w:val="center"/>
        </w:trPr>
        <w:tc>
          <w:tcPr>
            <w:tcW w:w="704" w:type="dxa"/>
            <w:vMerge/>
            <w:shd w:val="clear" w:color="auto" w:fill="auto"/>
            <w:tcMar>
              <w:left w:w="28" w:type="dxa"/>
              <w:right w:w="28" w:type="dxa"/>
            </w:tcMar>
            <w:vAlign w:val="center"/>
          </w:tcPr>
          <w:p w:rsidR="000A49CB" w:rsidRPr="000A49CB" w:rsidRDefault="000A49CB" w:rsidP="000A49CB">
            <w:pPr>
              <w:tabs>
                <w:tab w:val="num" w:pos="0"/>
                <w:tab w:val="num" w:pos="360"/>
              </w:tabs>
              <w:autoSpaceDE w:val="0"/>
              <w:autoSpaceDN w:val="0"/>
              <w:adjustRightInd w:val="0"/>
              <w:jc w:val="center"/>
              <w:rPr>
                <w:rFonts w:ascii="Times New Roman" w:hAnsi="Times New Roman"/>
                <w:sz w:val="18"/>
                <w:szCs w:val="18"/>
                <w:lang w:val="fr-CI"/>
              </w:rPr>
            </w:pPr>
          </w:p>
        </w:tc>
        <w:tc>
          <w:tcPr>
            <w:tcW w:w="1412" w:type="dxa"/>
            <w:shd w:val="clear" w:color="auto" w:fill="auto"/>
            <w:tcMar>
              <w:left w:w="28" w:type="dxa"/>
              <w:right w:w="28" w:type="dxa"/>
            </w:tcMar>
            <w:vAlign w:val="center"/>
          </w:tcPr>
          <w:p w:rsidR="000A49CB" w:rsidRPr="00A41299" w:rsidRDefault="000A49CB" w:rsidP="008C3E96">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CNP9</w:t>
            </w:r>
            <w:r w:rsidR="00A41299" w:rsidRPr="00A41299">
              <w:rPr>
                <w:rFonts w:ascii="Times New Roman" w:hAnsi="Times New Roman"/>
                <w:sz w:val="18"/>
                <w:szCs w:val="18"/>
              </w:rPr>
              <w:br/>
            </w:r>
            <w:r w:rsidR="00A41299" w:rsidRPr="008C3E96">
              <w:rPr>
                <w:rFonts w:ascii="Times New Roman" w:hAnsi="Times New Roman"/>
                <w:sz w:val="16"/>
                <w:szCs w:val="16"/>
              </w:rPr>
              <w:t>(</w:t>
            </w:r>
            <m:oMath>
              <m:sSubSup>
                <m:sSubSupPr>
                  <m:ctrlPr>
                    <w:rPr>
                      <w:rFonts w:ascii="Cambria Math" w:eastAsia="Calibri" w:hAnsi="Cambria Math"/>
                      <w:bCs/>
                      <w:i/>
                      <w:sz w:val="16"/>
                      <w:szCs w:val="16"/>
                      <w:vertAlign w:val="superscript"/>
                      <w:lang w:eastAsia="fr-FR"/>
                    </w:rPr>
                  </m:ctrlPr>
                </m:sSubSupPr>
                <m:e>
                  <m:r>
                    <w:rPr>
                      <w:rFonts w:ascii="Cambria Math" w:hAnsi="Cambria Math"/>
                      <w:sz w:val="16"/>
                      <w:szCs w:val="16"/>
                      <w:vertAlign w:val="superscript"/>
                      <w:lang w:eastAsia="fr-FR"/>
                    </w:rPr>
                    <m:t>IC</m:t>
                  </m:r>
                </m:e>
                <m:sub>
                  <m:r>
                    <w:rPr>
                      <w:rFonts w:ascii="Cambria Math" w:hAnsi="Cambria Math"/>
                      <w:sz w:val="16"/>
                      <w:szCs w:val="16"/>
                      <w:vertAlign w:val="superscript"/>
                      <w:lang w:eastAsia="fr-FR"/>
                    </w:rPr>
                    <m:t>50</m:t>
                  </m:r>
                </m:sub>
                <m:sup>
                  <m:r>
                    <w:rPr>
                      <w:rFonts w:ascii="Cambria Math" w:hAnsi="Cambria Math"/>
                      <w:sz w:val="16"/>
                      <w:szCs w:val="16"/>
                      <w:vertAlign w:val="superscript"/>
                      <w:lang w:eastAsia="fr-FR"/>
                    </w:rPr>
                    <m:t>exp</m:t>
                  </m:r>
                </m:sup>
              </m:sSubSup>
              <m:r>
                <w:rPr>
                  <w:rFonts w:ascii="Cambria Math" w:eastAsia="Calibri" w:hAnsi="Cambria Math"/>
                  <w:sz w:val="16"/>
                  <w:szCs w:val="16"/>
                  <w:vertAlign w:val="superscript"/>
                  <w:lang w:eastAsia="fr-FR"/>
                </w:rPr>
                <m:t>=1nM)</m:t>
              </m:r>
              <m:r>
                <m:rPr>
                  <m:sty m:val="p"/>
                </m:rPr>
                <w:rPr>
                  <w:rFonts w:ascii="Cambria Math" w:eastAsia="Calibri" w:hAnsi="Cambria Math"/>
                  <w:sz w:val="16"/>
                  <w:szCs w:val="16"/>
                  <w:vertAlign w:val="superscript"/>
                  <w:lang w:eastAsia="fr-FR"/>
                </w:rPr>
                <w:br/>
              </m:r>
            </m:oMath>
            <m:oMathPara>
              <m:oMath>
                <m:sSubSup>
                  <m:sSubSupPr>
                    <m:ctrlPr>
                      <w:rPr>
                        <w:rFonts w:ascii="Cambria Math" w:eastAsia="Calibri" w:hAnsi="Cambria Math"/>
                        <w:b/>
                        <w:bCs/>
                        <w:i/>
                        <w:sz w:val="16"/>
                        <w:szCs w:val="16"/>
                        <w:vertAlign w:val="superscript"/>
                        <w:lang w:eastAsia="fr-FR"/>
                      </w:rPr>
                    </m:ctrlPr>
                  </m:sSubSupPr>
                  <m:e>
                    <m:r>
                      <m:rPr>
                        <m:sty m:val="bi"/>
                      </m:rPr>
                      <w:rPr>
                        <w:rFonts w:ascii="Cambria Math" w:hAnsi="Cambria Math"/>
                        <w:sz w:val="16"/>
                        <w:szCs w:val="16"/>
                        <w:vertAlign w:val="superscript"/>
                        <w:lang w:eastAsia="fr-FR"/>
                      </w:rPr>
                      <m:t>pIC</m:t>
                    </m:r>
                  </m:e>
                  <m:sub>
                    <m:r>
                      <m:rPr>
                        <m:sty m:val="bi"/>
                      </m:rPr>
                      <w:rPr>
                        <w:rFonts w:ascii="Cambria Math" w:hAnsi="Cambria Math"/>
                        <w:sz w:val="16"/>
                        <w:szCs w:val="16"/>
                        <w:vertAlign w:val="superscript"/>
                        <w:lang w:eastAsia="fr-FR"/>
                      </w:rPr>
                      <m:t>50</m:t>
                    </m:r>
                  </m:sub>
                  <m:sup>
                    <m:r>
                      <m:rPr>
                        <m:sty m:val="bi"/>
                      </m:rPr>
                      <w:rPr>
                        <w:rFonts w:ascii="Cambria Math" w:hAnsi="Cambria Math"/>
                        <w:sz w:val="16"/>
                        <w:szCs w:val="16"/>
                        <w:vertAlign w:val="superscript"/>
                        <w:lang w:eastAsia="fr-FR"/>
                      </w:rPr>
                      <m:t>exp</m:t>
                    </m:r>
                  </m:sup>
                </m:sSubSup>
                <m:r>
                  <m:rPr>
                    <m:sty m:val="bi"/>
                  </m:rPr>
                  <w:rPr>
                    <w:rFonts w:ascii="Cambria Math" w:eastAsia="Calibri" w:hAnsi="Cambria Math"/>
                    <w:sz w:val="16"/>
                    <w:szCs w:val="16"/>
                    <w:vertAlign w:val="superscript"/>
                    <w:lang w:eastAsia="fr-FR"/>
                  </w:rPr>
                  <m:t>=9</m:t>
                </m:r>
              </m:oMath>
            </m:oMathPara>
          </w:p>
        </w:tc>
        <w:tc>
          <w:tcPr>
            <w:tcW w:w="1281" w:type="dxa"/>
            <w:shd w:val="clear" w:color="auto" w:fill="auto"/>
            <w:tcMar>
              <w:left w:w="28" w:type="dxa"/>
              <w:right w:w="28" w:type="dxa"/>
            </w:tcMar>
            <w:vAlign w:val="center"/>
          </w:tcPr>
          <w:p w:rsidR="000A49CB" w:rsidRPr="00A41299" w:rsidRDefault="000A49CB" w:rsidP="008C3E96">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CNP11</w:t>
            </w:r>
            <w:r w:rsidR="00A41299">
              <w:rPr>
                <w:rFonts w:ascii="Times New Roman" w:hAnsi="Times New Roman"/>
                <w:sz w:val="18"/>
                <w:szCs w:val="18"/>
              </w:rPr>
              <w:br/>
            </w:r>
            <w:r w:rsidR="00A41299" w:rsidRPr="008C3E96">
              <w:rPr>
                <w:rFonts w:ascii="Times New Roman" w:hAnsi="Times New Roman"/>
                <w:sz w:val="18"/>
                <w:szCs w:val="18"/>
              </w:rPr>
              <w:t>(</w:t>
            </w:r>
            <m:oMath>
              <m:sSubSup>
                <m:sSubSupPr>
                  <m:ctrlPr>
                    <w:rPr>
                      <w:rFonts w:ascii="Cambria Math" w:eastAsia="Calibri" w:hAnsi="Cambria Math"/>
                      <w:bCs/>
                      <w:sz w:val="16"/>
                      <w:szCs w:val="16"/>
                      <w:vertAlign w:val="superscript"/>
                      <w:lang w:eastAsia="fr-FR"/>
                    </w:rPr>
                  </m:ctrlPr>
                </m:sSubSupPr>
                <m:e>
                  <m:r>
                    <m:rPr>
                      <m:sty m:val="p"/>
                    </m:rPr>
                    <w:rPr>
                      <w:rFonts w:ascii="Cambria Math" w:hAnsi="Cambria Math"/>
                      <w:sz w:val="16"/>
                      <w:szCs w:val="16"/>
                      <w:vertAlign w:val="superscript"/>
                      <w:lang w:eastAsia="fr-FR"/>
                    </w:rPr>
                    <m:t>IC</m:t>
                  </m:r>
                </m:e>
                <m:sub>
                  <m:r>
                    <m:rPr>
                      <m:sty m:val="p"/>
                    </m:rPr>
                    <w:rPr>
                      <w:rFonts w:ascii="Cambria Math" w:hAnsi="Cambria Math"/>
                      <w:sz w:val="16"/>
                      <w:szCs w:val="16"/>
                      <w:vertAlign w:val="superscript"/>
                      <w:lang w:eastAsia="fr-FR"/>
                    </w:rPr>
                    <m:t>50</m:t>
                  </m:r>
                </m:sub>
                <m:sup>
                  <m:r>
                    <m:rPr>
                      <m:sty m:val="p"/>
                    </m:rPr>
                    <w:rPr>
                      <w:rFonts w:ascii="Cambria Math" w:hAnsi="Cambria Math"/>
                      <w:sz w:val="16"/>
                      <w:szCs w:val="16"/>
                      <w:vertAlign w:val="superscript"/>
                      <w:lang w:eastAsia="fr-FR"/>
                    </w:rPr>
                    <m:t>exp</m:t>
                  </m:r>
                </m:sup>
              </m:sSubSup>
              <m:r>
                <w:rPr>
                  <w:rFonts w:ascii="Cambria Math" w:eastAsia="Calibri" w:hAnsi="Cambria Math"/>
                  <w:sz w:val="16"/>
                  <w:szCs w:val="16"/>
                  <w:vertAlign w:val="superscript"/>
                  <w:lang w:eastAsia="fr-FR"/>
                </w:rPr>
                <m:t>=609nM)</m:t>
              </m:r>
              <m:r>
                <m:rPr>
                  <m:sty m:val="p"/>
                </m:rPr>
                <w:rPr>
                  <w:rFonts w:ascii="Cambria Math" w:eastAsia="Calibri" w:hAnsi="Cambria Math"/>
                  <w:sz w:val="16"/>
                  <w:szCs w:val="16"/>
                  <w:vertAlign w:val="superscript"/>
                  <w:lang w:eastAsia="fr-FR"/>
                </w:rPr>
                <w:br/>
              </m:r>
            </m:oMath>
            <m:oMathPara>
              <m:oMath>
                <m:sSubSup>
                  <m:sSubSupPr>
                    <m:ctrlPr>
                      <w:rPr>
                        <w:rFonts w:ascii="Cambria Math" w:eastAsia="Calibri" w:hAnsi="Cambria Math"/>
                        <w:b/>
                        <w:bCs/>
                        <w:i/>
                        <w:sz w:val="16"/>
                        <w:szCs w:val="16"/>
                        <w:vertAlign w:val="superscript"/>
                        <w:lang w:eastAsia="fr-FR"/>
                      </w:rPr>
                    </m:ctrlPr>
                  </m:sSubSupPr>
                  <m:e>
                    <m:r>
                      <m:rPr>
                        <m:sty m:val="bi"/>
                      </m:rPr>
                      <w:rPr>
                        <w:rFonts w:ascii="Cambria Math" w:hAnsi="Cambria Math"/>
                        <w:sz w:val="16"/>
                        <w:szCs w:val="16"/>
                        <w:vertAlign w:val="superscript"/>
                        <w:lang w:eastAsia="fr-FR"/>
                      </w:rPr>
                      <m:t>pIC</m:t>
                    </m:r>
                  </m:e>
                  <m:sub>
                    <m:r>
                      <m:rPr>
                        <m:sty m:val="bi"/>
                      </m:rPr>
                      <w:rPr>
                        <w:rFonts w:ascii="Cambria Math" w:hAnsi="Cambria Math"/>
                        <w:sz w:val="16"/>
                        <w:szCs w:val="16"/>
                        <w:vertAlign w:val="superscript"/>
                        <w:lang w:eastAsia="fr-FR"/>
                      </w:rPr>
                      <m:t>50</m:t>
                    </m:r>
                  </m:sub>
                  <m:sup>
                    <m:r>
                      <m:rPr>
                        <m:sty m:val="bi"/>
                      </m:rPr>
                      <w:rPr>
                        <w:rFonts w:ascii="Cambria Math" w:hAnsi="Cambria Math"/>
                        <w:sz w:val="16"/>
                        <w:szCs w:val="16"/>
                        <w:vertAlign w:val="superscript"/>
                        <w:lang w:eastAsia="fr-FR"/>
                      </w:rPr>
                      <m:t>exp</m:t>
                    </m:r>
                  </m:sup>
                </m:sSubSup>
                <m:r>
                  <m:rPr>
                    <m:sty m:val="bi"/>
                  </m:rPr>
                  <w:rPr>
                    <w:rFonts w:ascii="Cambria Math" w:eastAsia="Calibri" w:hAnsi="Cambria Math"/>
                    <w:sz w:val="16"/>
                    <w:szCs w:val="16"/>
                    <w:vertAlign w:val="superscript"/>
                    <w:lang w:eastAsia="fr-FR"/>
                  </w:rPr>
                  <m:t>=6.21</m:t>
                </m:r>
              </m:oMath>
            </m:oMathPara>
          </w:p>
        </w:tc>
        <w:tc>
          <w:tcPr>
            <w:tcW w:w="851" w:type="dxa"/>
            <w:vMerge/>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p>
        </w:tc>
      </w:tr>
      <w:tr w:rsidR="000A49CB" w:rsidRPr="00744BCE" w:rsidTr="00A41299">
        <w:trPr>
          <w:trHeight w:val="291"/>
          <w:jc w:val="center"/>
        </w:trPr>
        <w:tc>
          <w:tcPr>
            <w:tcW w:w="704"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S1</w:t>
            </w:r>
          </w:p>
        </w:tc>
        <w:tc>
          <w:tcPr>
            <w:tcW w:w="1412" w:type="dxa"/>
            <w:shd w:val="clear" w:color="auto" w:fill="auto"/>
            <w:tcMar>
              <w:left w:w="28" w:type="dxa"/>
              <w:right w:w="85" w:type="dxa"/>
            </w:tcMar>
            <w:vAlign w:val="center"/>
          </w:tcPr>
          <w:p w:rsidR="000A49CB" w:rsidRPr="00A41299" w:rsidRDefault="000A49CB" w:rsidP="00A41299">
            <w:pPr>
              <w:tabs>
                <w:tab w:val="num" w:pos="0"/>
                <w:tab w:val="num" w:pos="360"/>
              </w:tabs>
              <w:autoSpaceDE w:val="0"/>
              <w:autoSpaceDN w:val="0"/>
              <w:adjustRightInd w:val="0"/>
              <w:ind w:right="335"/>
              <w:jc w:val="right"/>
              <w:rPr>
                <w:rFonts w:ascii="Times New Roman" w:hAnsi="Times New Roman"/>
                <w:sz w:val="18"/>
                <w:szCs w:val="18"/>
              </w:rPr>
            </w:pPr>
            <w:r w:rsidRPr="00A41299">
              <w:rPr>
                <w:rFonts w:ascii="Times New Roman" w:hAnsi="Times New Roman"/>
                <w:sz w:val="18"/>
                <w:szCs w:val="18"/>
              </w:rPr>
              <w:t>-3.83</w:t>
            </w:r>
          </w:p>
        </w:tc>
        <w:tc>
          <w:tcPr>
            <w:tcW w:w="1281" w:type="dxa"/>
            <w:shd w:val="clear" w:color="auto" w:fill="auto"/>
            <w:tcMar>
              <w:left w:w="28" w:type="dxa"/>
              <w:right w:w="28" w:type="dxa"/>
            </w:tcMar>
            <w:vAlign w:val="center"/>
          </w:tcPr>
          <w:p w:rsidR="000A49CB" w:rsidRPr="00A41299" w:rsidRDefault="000A49CB" w:rsidP="00A41299">
            <w:pPr>
              <w:tabs>
                <w:tab w:val="num" w:pos="0"/>
                <w:tab w:val="num" w:pos="360"/>
              </w:tabs>
              <w:autoSpaceDE w:val="0"/>
              <w:autoSpaceDN w:val="0"/>
              <w:adjustRightInd w:val="0"/>
              <w:ind w:right="340"/>
              <w:jc w:val="right"/>
              <w:rPr>
                <w:rFonts w:ascii="Times New Roman" w:hAnsi="Times New Roman"/>
                <w:sz w:val="18"/>
                <w:szCs w:val="18"/>
              </w:rPr>
            </w:pPr>
            <w:r w:rsidRPr="00A41299">
              <w:rPr>
                <w:rFonts w:ascii="Times New Roman" w:hAnsi="Times New Roman"/>
                <w:sz w:val="18"/>
                <w:szCs w:val="18"/>
              </w:rPr>
              <w:t>-4.50</w:t>
            </w:r>
          </w:p>
        </w:tc>
        <w:tc>
          <w:tcPr>
            <w:tcW w:w="851"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0.67</w:t>
            </w:r>
          </w:p>
        </w:tc>
      </w:tr>
      <w:tr w:rsidR="000A49CB" w:rsidRPr="00744BCE" w:rsidTr="00A41299">
        <w:trPr>
          <w:trHeight w:val="271"/>
          <w:jc w:val="center"/>
        </w:trPr>
        <w:tc>
          <w:tcPr>
            <w:tcW w:w="704"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b/>
                <w:sz w:val="18"/>
                <w:szCs w:val="18"/>
              </w:rPr>
            </w:pPr>
            <w:r w:rsidRPr="00A41299">
              <w:rPr>
                <w:rFonts w:ascii="Times New Roman" w:hAnsi="Times New Roman"/>
                <w:b/>
                <w:sz w:val="18"/>
                <w:szCs w:val="18"/>
              </w:rPr>
              <w:t>S2</w:t>
            </w:r>
          </w:p>
        </w:tc>
        <w:tc>
          <w:tcPr>
            <w:tcW w:w="1412" w:type="dxa"/>
            <w:shd w:val="clear" w:color="auto" w:fill="auto"/>
            <w:tcMar>
              <w:left w:w="28" w:type="dxa"/>
              <w:right w:w="85" w:type="dxa"/>
            </w:tcMar>
            <w:vAlign w:val="center"/>
          </w:tcPr>
          <w:p w:rsidR="000A49CB" w:rsidRPr="00A41299" w:rsidRDefault="000A49CB" w:rsidP="00A41299">
            <w:pPr>
              <w:tabs>
                <w:tab w:val="num" w:pos="0"/>
                <w:tab w:val="num" w:pos="360"/>
              </w:tabs>
              <w:autoSpaceDE w:val="0"/>
              <w:autoSpaceDN w:val="0"/>
              <w:adjustRightInd w:val="0"/>
              <w:ind w:right="335"/>
              <w:jc w:val="right"/>
              <w:rPr>
                <w:rFonts w:ascii="Times New Roman" w:hAnsi="Times New Roman"/>
                <w:b/>
                <w:sz w:val="18"/>
                <w:szCs w:val="18"/>
              </w:rPr>
            </w:pPr>
            <w:r w:rsidRPr="00A41299">
              <w:rPr>
                <w:rFonts w:ascii="Times New Roman" w:hAnsi="Times New Roman"/>
                <w:b/>
                <w:sz w:val="18"/>
                <w:szCs w:val="18"/>
              </w:rPr>
              <w:t>-11.50</w:t>
            </w:r>
          </w:p>
        </w:tc>
        <w:tc>
          <w:tcPr>
            <w:tcW w:w="1281" w:type="dxa"/>
            <w:shd w:val="clear" w:color="auto" w:fill="auto"/>
            <w:tcMar>
              <w:left w:w="28" w:type="dxa"/>
              <w:right w:w="28" w:type="dxa"/>
            </w:tcMar>
            <w:vAlign w:val="center"/>
          </w:tcPr>
          <w:p w:rsidR="000A49CB" w:rsidRPr="00A41299" w:rsidRDefault="000A49CB" w:rsidP="00A41299">
            <w:pPr>
              <w:tabs>
                <w:tab w:val="num" w:pos="0"/>
                <w:tab w:val="num" w:pos="360"/>
              </w:tabs>
              <w:autoSpaceDE w:val="0"/>
              <w:autoSpaceDN w:val="0"/>
              <w:adjustRightInd w:val="0"/>
              <w:ind w:right="340"/>
              <w:jc w:val="right"/>
              <w:rPr>
                <w:rFonts w:ascii="Times New Roman" w:hAnsi="Times New Roman"/>
                <w:b/>
                <w:sz w:val="18"/>
                <w:szCs w:val="18"/>
              </w:rPr>
            </w:pPr>
            <w:r w:rsidRPr="00A41299">
              <w:rPr>
                <w:rFonts w:ascii="Times New Roman" w:hAnsi="Times New Roman"/>
                <w:b/>
                <w:sz w:val="18"/>
                <w:szCs w:val="18"/>
              </w:rPr>
              <w:t>-7.68</w:t>
            </w:r>
          </w:p>
        </w:tc>
        <w:tc>
          <w:tcPr>
            <w:tcW w:w="851"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b/>
                <w:sz w:val="18"/>
                <w:szCs w:val="18"/>
              </w:rPr>
            </w:pPr>
            <w:r w:rsidRPr="00A41299">
              <w:rPr>
                <w:rFonts w:ascii="Times New Roman" w:hAnsi="Times New Roman"/>
                <w:b/>
                <w:sz w:val="18"/>
                <w:szCs w:val="18"/>
              </w:rPr>
              <w:t>-3.82</w:t>
            </w:r>
          </w:p>
        </w:tc>
      </w:tr>
      <w:tr w:rsidR="000A49CB" w:rsidRPr="00744BCE" w:rsidTr="00A41299">
        <w:trPr>
          <w:trHeight w:val="125"/>
          <w:jc w:val="center"/>
        </w:trPr>
        <w:tc>
          <w:tcPr>
            <w:tcW w:w="704"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S’1</w:t>
            </w:r>
          </w:p>
        </w:tc>
        <w:tc>
          <w:tcPr>
            <w:tcW w:w="1412" w:type="dxa"/>
            <w:shd w:val="clear" w:color="auto" w:fill="auto"/>
            <w:tcMar>
              <w:left w:w="28" w:type="dxa"/>
              <w:right w:w="85" w:type="dxa"/>
            </w:tcMar>
            <w:vAlign w:val="center"/>
          </w:tcPr>
          <w:p w:rsidR="000A49CB" w:rsidRPr="00A41299" w:rsidRDefault="000A49CB" w:rsidP="00A41299">
            <w:pPr>
              <w:tabs>
                <w:tab w:val="num" w:pos="0"/>
                <w:tab w:val="num" w:pos="360"/>
              </w:tabs>
              <w:autoSpaceDE w:val="0"/>
              <w:autoSpaceDN w:val="0"/>
              <w:adjustRightInd w:val="0"/>
              <w:ind w:right="335"/>
              <w:jc w:val="right"/>
              <w:rPr>
                <w:rFonts w:ascii="Times New Roman" w:hAnsi="Times New Roman"/>
                <w:sz w:val="18"/>
                <w:szCs w:val="18"/>
              </w:rPr>
            </w:pPr>
            <w:r w:rsidRPr="00A41299">
              <w:rPr>
                <w:rFonts w:ascii="Times New Roman" w:hAnsi="Times New Roman"/>
                <w:sz w:val="18"/>
                <w:szCs w:val="18"/>
              </w:rPr>
              <w:t>-5.46</w:t>
            </w:r>
          </w:p>
        </w:tc>
        <w:tc>
          <w:tcPr>
            <w:tcW w:w="1281" w:type="dxa"/>
            <w:shd w:val="clear" w:color="auto" w:fill="auto"/>
            <w:tcMar>
              <w:left w:w="28" w:type="dxa"/>
              <w:right w:w="28" w:type="dxa"/>
            </w:tcMar>
            <w:vAlign w:val="center"/>
          </w:tcPr>
          <w:p w:rsidR="000A49CB" w:rsidRPr="00A41299" w:rsidRDefault="000A49CB" w:rsidP="00A41299">
            <w:pPr>
              <w:tabs>
                <w:tab w:val="num" w:pos="0"/>
                <w:tab w:val="num" w:pos="360"/>
              </w:tabs>
              <w:autoSpaceDE w:val="0"/>
              <w:autoSpaceDN w:val="0"/>
              <w:adjustRightInd w:val="0"/>
              <w:ind w:right="340"/>
              <w:jc w:val="right"/>
              <w:rPr>
                <w:rFonts w:ascii="Times New Roman" w:hAnsi="Times New Roman"/>
                <w:sz w:val="18"/>
                <w:szCs w:val="18"/>
              </w:rPr>
            </w:pPr>
            <w:r w:rsidRPr="00A41299">
              <w:rPr>
                <w:rFonts w:ascii="Times New Roman" w:hAnsi="Times New Roman"/>
                <w:sz w:val="18"/>
                <w:szCs w:val="18"/>
              </w:rPr>
              <w:t>-4.18</w:t>
            </w:r>
          </w:p>
        </w:tc>
        <w:tc>
          <w:tcPr>
            <w:tcW w:w="851"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-1.28</w:t>
            </w:r>
          </w:p>
        </w:tc>
      </w:tr>
      <w:tr w:rsidR="000A49CB" w:rsidRPr="00744BCE" w:rsidTr="00A41299">
        <w:trPr>
          <w:trHeight w:val="74"/>
          <w:jc w:val="center"/>
        </w:trPr>
        <w:tc>
          <w:tcPr>
            <w:tcW w:w="704"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S3</w:t>
            </w:r>
          </w:p>
        </w:tc>
        <w:tc>
          <w:tcPr>
            <w:tcW w:w="1412" w:type="dxa"/>
            <w:shd w:val="clear" w:color="auto" w:fill="auto"/>
            <w:tcMar>
              <w:left w:w="28" w:type="dxa"/>
              <w:right w:w="85" w:type="dxa"/>
            </w:tcMar>
            <w:vAlign w:val="center"/>
          </w:tcPr>
          <w:p w:rsidR="000A49CB" w:rsidRPr="00A41299" w:rsidRDefault="000A49CB" w:rsidP="00A41299">
            <w:pPr>
              <w:tabs>
                <w:tab w:val="num" w:pos="0"/>
                <w:tab w:val="num" w:pos="360"/>
              </w:tabs>
              <w:autoSpaceDE w:val="0"/>
              <w:autoSpaceDN w:val="0"/>
              <w:adjustRightInd w:val="0"/>
              <w:ind w:right="335"/>
              <w:jc w:val="right"/>
              <w:rPr>
                <w:rFonts w:ascii="Times New Roman" w:hAnsi="Times New Roman"/>
                <w:sz w:val="18"/>
                <w:szCs w:val="18"/>
              </w:rPr>
            </w:pPr>
            <w:r w:rsidRPr="00A41299">
              <w:rPr>
                <w:rFonts w:ascii="Times New Roman" w:hAnsi="Times New Roman"/>
                <w:sz w:val="18"/>
                <w:szCs w:val="18"/>
              </w:rPr>
              <w:t>-8.02</w:t>
            </w:r>
          </w:p>
        </w:tc>
        <w:tc>
          <w:tcPr>
            <w:tcW w:w="1281" w:type="dxa"/>
            <w:shd w:val="clear" w:color="auto" w:fill="auto"/>
            <w:tcMar>
              <w:left w:w="28" w:type="dxa"/>
              <w:right w:w="28" w:type="dxa"/>
            </w:tcMar>
            <w:vAlign w:val="center"/>
          </w:tcPr>
          <w:p w:rsidR="000A49CB" w:rsidRPr="00A41299" w:rsidRDefault="000A49CB" w:rsidP="00A41299">
            <w:pPr>
              <w:tabs>
                <w:tab w:val="num" w:pos="0"/>
                <w:tab w:val="num" w:pos="360"/>
              </w:tabs>
              <w:autoSpaceDE w:val="0"/>
              <w:autoSpaceDN w:val="0"/>
              <w:adjustRightInd w:val="0"/>
              <w:ind w:right="340"/>
              <w:jc w:val="right"/>
              <w:rPr>
                <w:rFonts w:ascii="Times New Roman" w:hAnsi="Times New Roman"/>
                <w:sz w:val="18"/>
                <w:szCs w:val="18"/>
              </w:rPr>
            </w:pPr>
            <w:r w:rsidRPr="00A41299">
              <w:rPr>
                <w:rFonts w:ascii="Times New Roman" w:hAnsi="Times New Roman"/>
                <w:sz w:val="18"/>
                <w:szCs w:val="18"/>
              </w:rPr>
              <w:t>-8.59</w:t>
            </w:r>
          </w:p>
        </w:tc>
        <w:tc>
          <w:tcPr>
            <w:tcW w:w="851" w:type="dxa"/>
            <w:shd w:val="clear" w:color="auto" w:fill="auto"/>
            <w:tcMar>
              <w:left w:w="28" w:type="dxa"/>
              <w:right w:w="28" w:type="dxa"/>
            </w:tcMar>
            <w:vAlign w:val="center"/>
          </w:tcPr>
          <w:p w:rsidR="000A49CB" w:rsidRPr="00A41299" w:rsidRDefault="000A49CB" w:rsidP="000A49CB">
            <w:pPr>
              <w:tabs>
                <w:tab w:val="num" w:pos="0"/>
                <w:tab w:val="num" w:pos="360"/>
              </w:tabs>
              <w:autoSpaceDE w:val="0"/>
              <w:autoSpaceDN w:val="0"/>
              <w:adjustRightInd w:val="0"/>
              <w:jc w:val="center"/>
              <w:rPr>
                <w:rFonts w:ascii="Times New Roman" w:hAnsi="Times New Roman"/>
                <w:sz w:val="18"/>
                <w:szCs w:val="18"/>
              </w:rPr>
            </w:pPr>
            <w:r w:rsidRPr="00A41299">
              <w:rPr>
                <w:rFonts w:ascii="Times New Roman" w:hAnsi="Times New Roman"/>
                <w:sz w:val="18"/>
                <w:szCs w:val="18"/>
              </w:rPr>
              <w:t>0.57</w:t>
            </w:r>
          </w:p>
        </w:tc>
      </w:tr>
    </w:tbl>
    <w:p w:rsidR="00744BCE" w:rsidRDefault="00744BCE" w:rsidP="00E715FA">
      <w:pPr>
        <w:jc w:val="both"/>
        <w:rPr>
          <w:rStyle w:val="A12"/>
          <w:rFonts w:ascii="Times New Roman" w:eastAsia="Calibri" w:hAnsi="Times New Roman" w:cs="Times New Roman"/>
          <w:sz w:val="20"/>
          <w:szCs w:val="20"/>
        </w:rPr>
      </w:pPr>
    </w:p>
    <w:p w:rsidR="00E073E5" w:rsidRPr="00E073E5" w:rsidRDefault="00E073E5" w:rsidP="00504E67">
      <w:pPr>
        <w:pStyle w:val="Body"/>
        <w:spacing w:before="120" w:after="0"/>
        <w:jc w:val="left"/>
        <w:rPr>
          <w:rFonts w:ascii="Times New Roman" w:hAnsi="Times New Roman"/>
          <w:b/>
          <w:bCs/>
        </w:rPr>
      </w:pPr>
      <w:r w:rsidRPr="00E073E5">
        <w:rPr>
          <w:rFonts w:ascii="Times New Roman" w:hAnsi="Times New Roman"/>
          <w:b/>
          <w:bCs/>
        </w:rPr>
        <w:t xml:space="preserve">QSAR </w:t>
      </w:r>
      <w:r w:rsidRPr="00504E67">
        <w:rPr>
          <w:rFonts w:ascii="Times New Roman" w:hAnsi="Times New Roman"/>
          <w:b/>
        </w:rPr>
        <w:t>Pharmacophore</w:t>
      </w:r>
      <w:r w:rsidRPr="00E073E5">
        <w:rPr>
          <w:rFonts w:ascii="Times New Roman" w:hAnsi="Times New Roman"/>
          <w:b/>
          <w:bCs/>
        </w:rPr>
        <w:t xml:space="preserve"> Model</w:t>
      </w:r>
    </w:p>
    <w:p w:rsidR="00E073E5" w:rsidRPr="00E073E5" w:rsidRDefault="00E073E5" w:rsidP="00E073E5">
      <w:pPr>
        <w:jc w:val="both"/>
        <w:rPr>
          <w:rFonts w:ascii="Times New Roman" w:hAnsi="Times New Roman"/>
          <w:bCs/>
        </w:rPr>
      </w:pPr>
      <w:r w:rsidRPr="00E073E5">
        <w:rPr>
          <w:rFonts w:ascii="Times New Roman" w:hAnsi="Times New Roman"/>
          <w:bCs/>
        </w:rPr>
        <w:t xml:space="preserve">The pharmacophore model of CNP was developed according to the same method used for ADPNs study QSAR 3D Pharmacophore. It was generated from the active conformation of CNPA compounds in the active site of FP2. These compounds covering a wide range of experimental activity (0.001-0.609 nM). </w:t>
      </w:r>
      <w:r w:rsidRPr="00E073E5">
        <w:rPr>
          <w:rStyle w:val="A1"/>
          <w:rFonts w:ascii="Times New Roman" w:hAnsi="Times New Roman"/>
          <w:sz w:val="20"/>
          <w:szCs w:val="20"/>
        </w:rPr>
        <w:t>The 3D-QSAR PH4 generation was carried out in three steps: the constructive, the subtractive and the optimization step. During the constructive phase</w:t>
      </w:r>
      <w:r w:rsidRPr="00E073E5">
        <w:rPr>
          <w:rFonts w:ascii="Times New Roman" w:hAnsi="Times New Roman"/>
          <w:bCs/>
        </w:rPr>
        <w:t xml:space="preserve">the most active compounds of the training set, that which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Pr="00E073E5">
        <w:rPr>
          <w:rFonts w:ascii="Times New Roman" w:hAnsi="Times New Roman"/>
          <w:bCs/>
        </w:rPr>
        <w:t>≤ 1.3 × 0.001 = 0.0013 µM are automatically selected as "lead" or "serial head". Thus the most active compound of the training set, CNP9 whose inhibitory activity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Pr="00E073E5">
        <w:rPr>
          <w:rFonts w:ascii="Times New Roman" w:hAnsi="Times New Roman"/>
          <w:bCs/>
        </w:rPr>
        <w:t xml:space="preserve"> = 0.001 µM) is the only one to fulfill this condition served to generate the active centers of the initial PH4. The subtractive phase, in which the inactive compounds, that is to say those whose inhibitory activity fulfills the condition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Pr="00E073E5">
        <w:rPr>
          <w:rFonts w:ascii="Times New Roman" w:hAnsi="Times New Roman"/>
          <w:bCs/>
        </w:rPr>
        <w:t>&gt; 0.001 × 103.50M = 3.16225M) serving to identify the active centers to be deleted from the initial PH4, does not present any inactive molecule. The results of the 10 best hypotheses are presented in Table 6 showing the cost, the RMSD and the correlation coefficient between predicted and experimental activities.</w:t>
      </w:r>
    </w:p>
    <w:p w:rsidR="00744BCE" w:rsidRDefault="00E073E5" w:rsidP="00E073E5">
      <w:pPr>
        <w:jc w:val="both"/>
        <w:rPr>
          <w:rFonts w:ascii="Times New Roman" w:hAnsi="Times New Roman"/>
          <w:bCs/>
        </w:rPr>
      </w:pPr>
      <w:r w:rsidRPr="00E073E5">
        <w:rPr>
          <w:rFonts w:ascii="Times New Roman" w:hAnsi="Times New Roman"/>
          <w:bCs/>
        </w:rPr>
        <w:t>The CNPs series presents the costs of the 10 respective penalties of PH4 in the range between 68.812 (Hypo1) to 84.894 (Hypo10). The relatively small difference between the costs of the extreme hypotheses clearly reflects the homogeneity and the consistency of the training set used to produce them. The difference of gap ∆ = 280.644 between the fixed coast (32.305) and the null coast (312.949) greater than 70 is the supreme indicator of the quality and the predictive character of the PH4. This indicates the probability that the correlation between the activity values estimated by the PH4 and those experim</w:t>
      </w:r>
      <w:r w:rsidR="000875BD">
        <w:rPr>
          <w:rFonts w:ascii="Times New Roman" w:hAnsi="Times New Roman"/>
          <w:bCs/>
        </w:rPr>
        <w:t>ental is real at more than 90%</w:t>
      </w:r>
      <w:fldSimple w:instr=" NOTEREF _Ref144999973 \h  \* MERGEFORMAT ">
        <w:r w:rsidRPr="000875BD">
          <w:rPr>
            <w:rFonts w:ascii="Times New Roman" w:hAnsi="Times New Roman"/>
            <w:b/>
            <w:bCs/>
            <w:color w:val="8DB3E2" w:themeColor="text2" w:themeTint="66"/>
            <w:vertAlign w:val="superscript"/>
          </w:rPr>
          <w:t>34</w:t>
        </w:r>
      </w:fldSimple>
      <w:r w:rsidRPr="00E073E5">
        <w:rPr>
          <w:rFonts w:ascii="Times New Roman" w:hAnsi="Times New Roman"/>
          <w:bCs/>
        </w:rPr>
        <w:t>. The other standard statistical indicators such as the root mean square deviation (RMSD) of the various hypotheses, between 2.323 and 2.586 and the coefficient of determination (R</w:t>
      </w:r>
      <w:r w:rsidRPr="00E073E5">
        <w:rPr>
          <w:rFonts w:ascii="Times New Roman" w:hAnsi="Times New Roman"/>
          <w:bCs/>
          <w:vertAlign w:val="superscript"/>
        </w:rPr>
        <w:t>2</w:t>
      </w:r>
      <w:r w:rsidRPr="00E073E5">
        <w:rPr>
          <w:rFonts w:ascii="Times New Roman" w:hAnsi="Times New Roman"/>
          <w:bCs/>
        </w:rPr>
        <w:t>) between 0.942 and 0.911 (see Table 6) make it possible to retain the first hypothesis of PH4 for the screening of the virtual library of CNP analogues.Figure 6 presents the geometric characteristics of Hypothesis 1 (Hypo 1) of the FP2 inhibition pharmacophore.</w:t>
      </w:r>
    </w:p>
    <w:p w:rsidR="00C840D5" w:rsidRDefault="00C840D5" w:rsidP="00E073E5">
      <w:pPr>
        <w:jc w:val="both"/>
        <w:rPr>
          <w:rFonts w:ascii="Times New Roman" w:hAnsi="Times New Roman"/>
          <w:bCs/>
        </w:rPr>
      </w:pPr>
    </w:p>
    <w:tbl>
      <w:tblPr>
        <w:tblStyle w:val="TableGrid"/>
        <w:tblW w:w="0" w:type="auto"/>
        <w:tblLook w:val="04A0"/>
      </w:tblPr>
      <w:tblGrid>
        <w:gridCol w:w="2497"/>
        <w:gridCol w:w="2497"/>
      </w:tblGrid>
      <w:tr w:rsidR="005E55DD" w:rsidTr="005E55DD">
        <w:tc>
          <w:tcPr>
            <w:tcW w:w="2388" w:type="dxa"/>
          </w:tcPr>
          <w:p w:rsidR="005E55DD" w:rsidRDefault="002309CB" w:rsidP="00E073E5">
            <w:pPr>
              <w:jc w:val="both"/>
              <w:rPr>
                <w:rFonts w:ascii="Times New Roman" w:hAnsi="Times New Roman"/>
                <w:bCs/>
              </w:rPr>
            </w:pPr>
            <w:r>
              <w:rPr>
                <w:noProof/>
                <w:lang w:val="en-GB" w:eastAsia="en-GB"/>
              </w:rPr>
              <w:drawing>
                <wp:inline distT="0" distB="0" distL="0" distR="0">
                  <wp:extent cx="1440000" cy="1136178"/>
                  <wp:effectExtent l="0" t="0" r="8255" b="698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992" r="6904"/>
                          <a:stretch/>
                        </pic:blipFill>
                        <pic:spPr bwMode="auto">
                          <a:xfrm>
                            <a:off x="0" y="0"/>
                            <a:ext cx="1440000" cy="1136178"/>
                          </a:xfrm>
                          <a:prstGeom prst="rect">
                            <a:avLst/>
                          </a:prstGeom>
                          <a:noFill/>
                          <a:ln w="28575" cap="flat" cmpd="sng" algn="ctr">
                            <a:noFill/>
                            <a:prstDash val="solid"/>
                            <a:miter lim="800000"/>
                            <a:headEnd type="none" w="med" len="med"/>
                            <a:tailEnd type="none" w="med" len="med"/>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389" w:type="dxa"/>
          </w:tcPr>
          <w:p w:rsidR="005E55DD" w:rsidRDefault="002309CB" w:rsidP="00E073E5">
            <w:pPr>
              <w:jc w:val="both"/>
              <w:rPr>
                <w:rFonts w:ascii="Times New Roman" w:hAnsi="Times New Roman"/>
                <w:bCs/>
              </w:rPr>
            </w:pPr>
            <w:r>
              <w:rPr>
                <w:noProof/>
                <w:lang w:val="en-GB" w:eastAsia="en-GB"/>
              </w:rPr>
              <w:drawing>
                <wp:inline distT="0" distB="0" distL="0" distR="0">
                  <wp:extent cx="1440000" cy="1179083"/>
                  <wp:effectExtent l="0" t="0" r="8255" b="254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66" r="10545"/>
                          <a:stretch/>
                        </pic:blipFill>
                        <pic:spPr bwMode="auto">
                          <a:xfrm>
                            <a:off x="0" y="0"/>
                            <a:ext cx="1440000" cy="1179083"/>
                          </a:xfrm>
                          <a:prstGeom prst="rect">
                            <a:avLst/>
                          </a:prstGeom>
                          <a:noFill/>
                          <a:ln w="28575" cap="flat" cmpd="sng" algn="ctr">
                            <a:noFill/>
                            <a:prstDash val="solid"/>
                            <a:miter lim="800000"/>
                            <a:headEnd type="none" w="med" len="med"/>
                            <a:tailEnd type="none" w="med" len="med"/>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5E55DD" w:rsidTr="005E55DD">
        <w:tc>
          <w:tcPr>
            <w:tcW w:w="2388" w:type="dxa"/>
          </w:tcPr>
          <w:p w:rsidR="005E55DD" w:rsidRDefault="002309CB" w:rsidP="00E073E5">
            <w:pPr>
              <w:jc w:val="both"/>
              <w:rPr>
                <w:rFonts w:ascii="Times New Roman" w:hAnsi="Times New Roman"/>
                <w:bCs/>
              </w:rPr>
            </w:pPr>
            <w:r>
              <w:rPr>
                <w:noProof/>
                <w:lang w:val="en-GB" w:eastAsia="en-GB"/>
              </w:rPr>
              <w:drawing>
                <wp:inline distT="0" distB="0" distL="0" distR="0">
                  <wp:extent cx="1440000" cy="1120390"/>
                  <wp:effectExtent l="0" t="0" r="8255" b="381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578" r="11373"/>
                          <a:stretch/>
                        </pic:blipFill>
                        <pic:spPr bwMode="auto">
                          <a:xfrm>
                            <a:off x="0" y="0"/>
                            <a:ext cx="1440000" cy="1120390"/>
                          </a:xfrm>
                          <a:prstGeom prst="rect">
                            <a:avLst/>
                          </a:prstGeom>
                          <a:noFill/>
                          <a:ln w="28575" cap="flat" cmpd="sng" algn="ctr">
                            <a:noFill/>
                            <a:prstDash val="solid"/>
                            <a:miter lim="800000"/>
                            <a:headEnd type="none" w="med" len="med"/>
                            <a:tailEnd type="none" w="med" len="med"/>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389" w:type="dxa"/>
          </w:tcPr>
          <w:p w:rsidR="005E55DD" w:rsidRDefault="002309CB" w:rsidP="00E073E5">
            <w:pPr>
              <w:jc w:val="both"/>
              <w:rPr>
                <w:rFonts w:ascii="Times New Roman" w:hAnsi="Times New Roman"/>
                <w:bCs/>
              </w:rPr>
            </w:pPr>
            <w:r>
              <w:rPr>
                <w:noProof/>
                <w:lang w:val="en-GB" w:eastAsia="en-GB"/>
              </w:rPr>
              <w:drawing>
                <wp:inline distT="0" distB="0" distL="0" distR="0">
                  <wp:extent cx="1440000" cy="1123200"/>
                  <wp:effectExtent l="0" t="0" r="8255" b="127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77" r="8421" b="1830"/>
                          <a:stretch/>
                        </pic:blipFill>
                        <pic:spPr bwMode="auto">
                          <a:xfrm>
                            <a:off x="0" y="0"/>
                            <a:ext cx="1440000" cy="1123200"/>
                          </a:xfrm>
                          <a:prstGeom prst="rect">
                            <a:avLst/>
                          </a:prstGeom>
                          <a:noFill/>
                          <a:ln w="28575" cap="flat" cmpd="sng" algn="ctr">
                            <a:noFill/>
                            <a:prstDash val="solid"/>
                            <a:miter lim="800000"/>
                            <a:headEnd type="none" w="med" len="med"/>
                            <a:tailEnd type="none" w="med" len="med"/>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BB02D2" w:rsidTr="004C79FA">
        <w:tc>
          <w:tcPr>
            <w:tcW w:w="4777" w:type="dxa"/>
            <w:gridSpan w:val="2"/>
          </w:tcPr>
          <w:p w:rsidR="00BB02D2" w:rsidRDefault="00BB02D2" w:rsidP="00E10351">
            <w:pPr>
              <w:jc w:val="center"/>
              <w:rPr>
                <w:rFonts w:ascii="Times New Roman" w:hAnsi="Times New Roman"/>
                <w:bCs/>
              </w:rPr>
            </w:pPr>
            <w:r>
              <w:rPr>
                <w:noProof/>
                <w:lang w:val="en-GB" w:eastAsia="en-GB"/>
              </w:rPr>
              <w:lastRenderedPageBreak/>
              <w:drawing>
                <wp:inline distT="0" distB="0" distL="0" distR="0">
                  <wp:extent cx="2124000" cy="1783116"/>
                  <wp:effectExtent l="0" t="0" r="0" b="7620"/>
                  <wp:docPr id="2" name="Graphiqu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B6458B" w:rsidTr="004C79FA">
        <w:tc>
          <w:tcPr>
            <w:tcW w:w="4777" w:type="dxa"/>
            <w:gridSpan w:val="2"/>
          </w:tcPr>
          <w:p w:rsidR="00B6458B" w:rsidRPr="00B6458B" w:rsidRDefault="00B6458B" w:rsidP="00E073E5">
            <w:pPr>
              <w:jc w:val="both"/>
              <w:rPr>
                <w:rFonts w:ascii="Times New Roman" w:hAnsi="Times New Roman"/>
                <w:bCs/>
                <w:sz w:val="18"/>
                <w:szCs w:val="18"/>
              </w:rPr>
            </w:pPr>
            <w:r w:rsidRPr="00B6458B">
              <w:rPr>
                <w:rFonts w:ascii="Times New Roman" w:hAnsi="Times New Roman"/>
                <w:sz w:val="18"/>
                <w:szCs w:val="18"/>
              </w:rPr>
              <w:t xml:space="preserve">Figure 5: </w:t>
            </w:r>
            <w:r w:rsidR="002309CB">
              <w:rPr>
                <w:rFonts w:ascii="Times New Roman" w:hAnsi="Times New Roman"/>
                <w:sz w:val="18"/>
                <w:szCs w:val="18"/>
              </w:rPr>
              <w:t xml:space="preserve">(top) </w:t>
            </w:r>
            <w:r w:rsidR="002309CB">
              <w:rPr>
                <w:rStyle w:val="A5"/>
                <w:rFonts w:ascii="Times New Roman" w:hAnsi="Times New Roman" w:cs="Times New Roman"/>
                <w:sz w:val="18"/>
                <w:szCs w:val="18"/>
              </w:rPr>
              <w:t>Coordinates</w:t>
            </w:r>
            <w:r w:rsidRPr="00B6458B">
              <w:rPr>
                <w:rStyle w:val="A5"/>
                <w:rFonts w:ascii="Times New Roman" w:hAnsi="Times New Roman" w:cs="Times New Roman"/>
                <w:sz w:val="18"/>
                <w:szCs w:val="18"/>
              </w:rPr>
              <w:t xml:space="preserve">, </w:t>
            </w:r>
            <w:r w:rsidR="002309CB">
              <w:rPr>
                <w:rStyle w:val="A5"/>
                <w:rFonts w:ascii="Times New Roman" w:hAnsi="Times New Roman" w:cs="Times New Roman"/>
                <w:sz w:val="18"/>
                <w:szCs w:val="18"/>
              </w:rPr>
              <w:t>(middle) featuresand mapping</w:t>
            </w:r>
            <w:r w:rsidRPr="00B6458B">
              <w:rPr>
                <w:rStyle w:val="A5"/>
                <w:rFonts w:ascii="Times New Roman" w:hAnsi="Times New Roman" w:cs="Times New Roman"/>
                <w:sz w:val="18"/>
                <w:szCs w:val="18"/>
              </w:rPr>
              <w:t>of the FP2 inhibitor pharmacophore with the best training set CNP9 (yellow). The correlation plot of experimental vs. predicted inhibitory activity i</w:t>
            </w:r>
            <w:r w:rsidR="002309CB">
              <w:rPr>
                <w:rStyle w:val="A5"/>
                <w:rFonts w:ascii="Times New Roman" w:hAnsi="Times New Roman" w:cs="Times New Roman"/>
                <w:sz w:val="18"/>
                <w:szCs w:val="18"/>
              </w:rPr>
              <w:t>s displayed at the bottom</w:t>
            </w:r>
            <w:r w:rsidRPr="00B6458B">
              <w:rPr>
                <w:rStyle w:val="A5"/>
                <w:rFonts w:ascii="Times New Roman" w:hAnsi="Times New Roman" w:cs="Times New Roman"/>
                <w:sz w:val="18"/>
                <w:szCs w:val="18"/>
              </w:rPr>
              <w:t>. The features are colored blue for hydrophobic aliphatic (HYD_AL), green for hydrogen-bond acceptor (HBA), and cyan for hydrophobic (HYD). The arrows represent the projection for donor and acceptor features.</w:t>
            </w:r>
          </w:p>
        </w:tc>
      </w:tr>
    </w:tbl>
    <w:p w:rsidR="005E55DD" w:rsidRDefault="005E55DD" w:rsidP="00E073E5">
      <w:pPr>
        <w:jc w:val="both"/>
        <w:rPr>
          <w:rFonts w:ascii="Times New Roman" w:hAnsi="Times New Roman"/>
          <w:bCs/>
        </w:rPr>
      </w:pPr>
    </w:p>
    <w:p w:rsidR="005E55DD" w:rsidRDefault="007C1F61" w:rsidP="007C1F61">
      <w:pPr>
        <w:spacing w:after="120"/>
        <w:jc w:val="both"/>
        <w:rPr>
          <w:rStyle w:val="A12"/>
          <w:rFonts w:ascii="Times New Roman" w:eastAsia="Calibri" w:hAnsi="Times New Roman" w:cs="Times New Roman"/>
          <w:sz w:val="20"/>
          <w:szCs w:val="20"/>
        </w:rPr>
      </w:pPr>
      <w:r w:rsidRPr="007C1F61">
        <w:rPr>
          <w:rFonts w:ascii="Times New Roman" w:hAnsi="Times New Roman"/>
          <w:sz w:val="18"/>
          <w:szCs w:val="18"/>
        </w:rPr>
        <w:t>Table 6: Output</w:t>
      </w:r>
      <w:r w:rsidRPr="007C1F61">
        <w:rPr>
          <w:rStyle w:val="A5"/>
          <w:rFonts w:ascii="Times New Roman" w:hAnsi="Times New Roman" w:cs="Times New Roman"/>
          <w:sz w:val="18"/>
          <w:szCs w:val="18"/>
        </w:rPr>
        <w:t xml:space="preserve"> parameters of 10 generated PH4 hypotheses for FP2 inhibitors after CatScramble validation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848"/>
        <w:gridCol w:w="621"/>
        <w:gridCol w:w="1076"/>
      </w:tblGrid>
      <w:tr w:rsidR="007C1F61" w:rsidRPr="007C1F61" w:rsidTr="004C79FA">
        <w:trPr>
          <w:trHeight w:val="465"/>
          <w:jc w:val="center"/>
        </w:trPr>
        <w:tc>
          <w:tcPr>
            <w:tcW w:w="0" w:type="auto"/>
            <w:shd w:val="clear" w:color="auto" w:fill="F2F2F2"/>
            <w:vAlign w:val="center"/>
            <w:hideMark/>
          </w:tcPr>
          <w:p w:rsidR="007C1F61" w:rsidRPr="007C1F61" w:rsidRDefault="007C1F61" w:rsidP="004C79FA">
            <w:pPr>
              <w:pStyle w:val="TableHead"/>
              <w:pBdr>
                <w:top w:val="none" w:sz="0" w:space="0" w:color="auto"/>
                <w:left w:val="none" w:sz="0" w:space="0" w:color="auto"/>
                <w:bottom w:val="none" w:sz="0" w:space="0" w:color="auto"/>
                <w:right w:val="none" w:sz="0" w:space="0" w:color="auto"/>
              </w:pBdr>
              <w:spacing w:after="0" w:line="240" w:lineRule="auto"/>
              <w:jc w:val="left"/>
              <w:rPr>
                <w:rFonts w:ascii="Times New Roman" w:hAnsi="Times New Roman"/>
                <w:b/>
                <w:sz w:val="18"/>
                <w:szCs w:val="18"/>
                <w:vertAlign w:val="superscript"/>
                <w:lang w:val="en-US"/>
              </w:rPr>
            </w:pPr>
            <w:r w:rsidRPr="007C1F61">
              <w:rPr>
                <w:rFonts w:ascii="Times New Roman" w:eastAsia="Times New Roman" w:hAnsi="Times New Roman"/>
                <w:b/>
                <w:spacing w:val="0"/>
                <w:sz w:val="18"/>
                <w:szCs w:val="18"/>
                <w:lang w:val="en-US" w:eastAsia="fr-FR"/>
              </w:rPr>
              <w:t>Hypothesis</w:t>
            </w:r>
          </w:p>
        </w:tc>
        <w:tc>
          <w:tcPr>
            <w:tcW w:w="0" w:type="auto"/>
            <w:shd w:val="clear" w:color="auto" w:fill="F2F2F2"/>
            <w:vAlign w:val="center"/>
            <w:hideMark/>
          </w:tcPr>
          <w:p w:rsidR="007C1F61" w:rsidRPr="007C1F61" w:rsidRDefault="007C1F61" w:rsidP="004C79FA">
            <w:pPr>
              <w:pStyle w:val="TableHead"/>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b/>
                <w:sz w:val="18"/>
                <w:szCs w:val="18"/>
                <w:vertAlign w:val="superscript"/>
                <w:lang w:val="en-US"/>
              </w:rPr>
            </w:pPr>
            <w:r w:rsidRPr="007C1F61">
              <w:rPr>
                <w:rFonts w:ascii="Times New Roman" w:eastAsia="Times New Roman" w:hAnsi="Times New Roman"/>
                <w:b/>
                <w:spacing w:val="0"/>
                <w:sz w:val="18"/>
                <w:szCs w:val="18"/>
                <w:lang w:val="en-US" w:eastAsia="fr-FR"/>
              </w:rPr>
              <w:t>RMSD</w:t>
            </w:r>
            <w:r w:rsidRPr="007C1F61">
              <w:rPr>
                <w:rFonts w:ascii="Times New Roman" w:hAnsi="Times New Roman"/>
                <w:b/>
                <w:sz w:val="18"/>
                <w:szCs w:val="18"/>
                <w:vertAlign w:val="superscript"/>
                <w:lang w:val="en-US"/>
              </w:rPr>
              <w:t xml:space="preserve"> a</w:t>
            </w:r>
          </w:p>
        </w:tc>
        <w:tc>
          <w:tcPr>
            <w:tcW w:w="0" w:type="auto"/>
            <w:shd w:val="clear" w:color="auto" w:fill="F2F2F2"/>
            <w:vAlign w:val="center"/>
            <w:hideMark/>
          </w:tcPr>
          <w:p w:rsidR="007C1F61" w:rsidRPr="007C1F61" w:rsidRDefault="007C1F61" w:rsidP="004C79FA">
            <w:pPr>
              <w:pStyle w:val="TableHead"/>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b/>
                <w:sz w:val="18"/>
                <w:szCs w:val="18"/>
                <w:vertAlign w:val="superscript"/>
                <w:lang w:val="en-US"/>
              </w:rPr>
            </w:pPr>
            <w:r w:rsidRPr="007C1F61">
              <w:rPr>
                <w:rFonts w:ascii="Times New Roman" w:eastAsia="Times New Roman" w:hAnsi="Times New Roman"/>
                <w:b/>
                <w:spacing w:val="0"/>
                <w:sz w:val="18"/>
                <w:szCs w:val="18"/>
                <w:lang w:val="en-US" w:eastAsia="fr-FR"/>
              </w:rPr>
              <w:t>R</w:t>
            </w:r>
            <w:r w:rsidRPr="007C1F61">
              <w:rPr>
                <w:rFonts w:ascii="Times New Roman" w:eastAsia="Times New Roman" w:hAnsi="Times New Roman"/>
                <w:b/>
                <w:spacing w:val="0"/>
                <w:sz w:val="18"/>
                <w:szCs w:val="18"/>
                <w:vertAlign w:val="superscript"/>
                <w:lang w:val="en-US" w:eastAsia="fr-FR"/>
              </w:rPr>
              <w:t>2</w:t>
            </w:r>
            <w:r w:rsidRPr="007C1F61">
              <w:rPr>
                <w:rFonts w:ascii="Times New Roman" w:hAnsi="Times New Roman"/>
                <w:b/>
                <w:sz w:val="18"/>
                <w:szCs w:val="18"/>
                <w:vertAlign w:val="superscript"/>
                <w:lang w:val="en-US"/>
              </w:rPr>
              <w:t xml:space="preserve"> b</w:t>
            </w:r>
          </w:p>
        </w:tc>
        <w:tc>
          <w:tcPr>
            <w:tcW w:w="0" w:type="auto"/>
            <w:shd w:val="clear" w:color="auto" w:fill="F2F2F2"/>
            <w:vAlign w:val="center"/>
            <w:hideMark/>
          </w:tcPr>
          <w:p w:rsidR="007C1F61" w:rsidRPr="007C1F61" w:rsidRDefault="007C1F61" w:rsidP="004C79FA">
            <w:pPr>
              <w:pStyle w:val="TableHead"/>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b/>
                <w:sz w:val="18"/>
                <w:szCs w:val="18"/>
                <w:vertAlign w:val="superscript"/>
                <w:lang w:val="en-US"/>
              </w:rPr>
            </w:pPr>
            <w:r w:rsidRPr="007C1F61">
              <w:rPr>
                <w:rFonts w:ascii="Times New Roman" w:eastAsia="Times New Roman" w:hAnsi="Times New Roman"/>
                <w:b/>
                <w:spacing w:val="0"/>
                <w:sz w:val="18"/>
                <w:szCs w:val="18"/>
                <w:lang w:val="en-US" w:eastAsia="fr-FR"/>
              </w:rPr>
              <w:t xml:space="preserve">Total cost </w:t>
            </w:r>
            <w:r w:rsidRPr="007C1F61">
              <w:rPr>
                <w:rFonts w:ascii="Times New Roman" w:hAnsi="Times New Roman"/>
                <w:b/>
                <w:sz w:val="18"/>
                <w:szCs w:val="18"/>
                <w:vertAlign w:val="superscript"/>
                <w:lang w:val="en-US"/>
              </w:rPr>
              <w:t>c</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Hypo1</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2.323</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0.942</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68.812</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Hypo2</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2.592</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0.927</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72.134</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Hypo3</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2.528</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0.931</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74.696</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Hypo4</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2.490</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0.933</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74.868</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Hypo5</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2.494</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0.933</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75.536</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Hypo6</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2.524</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0.931</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76.024</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Hypo7</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2.726</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0.919</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80.335</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Hypo8</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2.756</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0.918</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81.630</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Hypo9</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2.728</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0.919</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82.198</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Hypo10</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2.856</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0.911</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84.894</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Fixed Cost</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0.0</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0.0</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32.305</w:t>
            </w:r>
          </w:p>
        </w:tc>
      </w:tr>
      <w:tr w:rsidR="007C1F61" w:rsidRPr="007C1F61" w:rsidTr="004C79FA">
        <w:trPr>
          <w:trHeight w:val="57"/>
          <w:jc w:val="center"/>
        </w:trPr>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Null Cost</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6.949</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0.0</w:t>
            </w:r>
          </w:p>
        </w:tc>
        <w:tc>
          <w:tcPr>
            <w:tcW w:w="0" w:type="auto"/>
            <w:vAlign w:val="center"/>
            <w:hideMark/>
          </w:tcPr>
          <w:p w:rsidR="007C1F61" w:rsidRPr="007C1F61" w:rsidRDefault="007C1F61" w:rsidP="004C79FA">
            <w:pPr>
              <w:pStyle w:val="MDPI42tablebody"/>
              <w:jc w:val="center"/>
              <w:rPr>
                <w:rFonts w:ascii="Times New Roman" w:hAnsi="Times New Roman"/>
                <w:sz w:val="18"/>
                <w:szCs w:val="18"/>
                <w:lang w:val="de-DE" w:eastAsia="fr-FR"/>
              </w:rPr>
            </w:pPr>
            <w:r w:rsidRPr="007C1F61">
              <w:rPr>
                <w:rFonts w:ascii="Times New Roman" w:hAnsi="Times New Roman"/>
                <w:sz w:val="18"/>
                <w:szCs w:val="18"/>
                <w:lang w:val="de-DE" w:eastAsia="fr-FR"/>
              </w:rPr>
              <w:t>312.949</w:t>
            </w:r>
          </w:p>
        </w:tc>
      </w:tr>
    </w:tbl>
    <w:p w:rsidR="007C1F61" w:rsidRPr="007C1F61" w:rsidRDefault="007C1F61" w:rsidP="00E073E5">
      <w:pPr>
        <w:jc w:val="both"/>
        <w:rPr>
          <w:rStyle w:val="A12"/>
          <w:rFonts w:ascii="Times New Roman" w:eastAsia="Calibri" w:hAnsi="Times New Roman" w:cs="Times New Roman"/>
          <w:sz w:val="16"/>
          <w:szCs w:val="16"/>
        </w:rPr>
      </w:pPr>
      <w:r w:rsidRPr="007C1F61">
        <w:rPr>
          <w:rStyle w:val="A12"/>
          <w:rFonts w:ascii="Times New Roman" w:eastAsia="Calibri" w:hAnsi="Times New Roman" w:cs="Times New Roman"/>
          <w:sz w:val="16"/>
          <w:szCs w:val="16"/>
          <w:vertAlign w:val="superscript"/>
        </w:rPr>
        <w:t>a</w:t>
      </w:r>
      <w:r w:rsidRPr="007C1F61">
        <w:rPr>
          <w:rStyle w:val="A5"/>
          <w:rFonts w:ascii="Times New Roman" w:hAnsi="Times New Roman" w:cs="Times New Roman"/>
        </w:rPr>
        <w:t xml:space="preserve">root mean square deviation (RMSD); </w:t>
      </w:r>
      <w:r w:rsidRPr="007C1F61">
        <w:rPr>
          <w:rStyle w:val="A12"/>
          <w:rFonts w:ascii="Times New Roman" w:eastAsia="Calibri" w:hAnsi="Times New Roman" w:cs="Times New Roman"/>
          <w:sz w:val="16"/>
          <w:szCs w:val="16"/>
          <w:vertAlign w:val="superscript"/>
        </w:rPr>
        <w:t>b</w:t>
      </w:r>
      <w:r w:rsidRPr="007C1F61">
        <w:rPr>
          <w:rStyle w:val="A5"/>
          <w:rFonts w:ascii="Times New Roman" w:hAnsi="Times New Roman" w:cs="Times New Roman"/>
        </w:rPr>
        <w:t xml:space="preserve">squared correlation coefficient; </w:t>
      </w:r>
      <w:r w:rsidRPr="007C1F61">
        <w:rPr>
          <w:rStyle w:val="A12"/>
          <w:rFonts w:ascii="Times New Roman" w:eastAsia="Calibri" w:hAnsi="Times New Roman" w:cs="Times New Roman"/>
          <w:sz w:val="16"/>
          <w:szCs w:val="16"/>
          <w:vertAlign w:val="superscript"/>
        </w:rPr>
        <w:t>c</w:t>
      </w:r>
      <w:r w:rsidRPr="007C1F61">
        <w:rPr>
          <w:rStyle w:val="A5"/>
          <w:rFonts w:ascii="Times New Roman" w:hAnsi="Times New Roman" w:cs="Times New Roman"/>
        </w:rPr>
        <w:t>overall cost parameter of the PH4</w:t>
      </w:r>
    </w:p>
    <w:p w:rsidR="007C1F61" w:rsidRDefault="007C1F61" w:rsidP="00E073E5">
      <w:pPr>
        <w:jc w:val="both"/>
        <w:rPr>
          <w:rStyle w:val="A12"/>
          <w:rFonts w:ascii="Times New Roman" w:eastAsia="Calibri" w:hAnsi="Times New Roman" w:cs="Times New Roman"/>
          <w:sz w:val="20"/>
          <w:szCs w:val="20"/>
        </w:rPr>
      </w:pPr>
    </w:p>
    <w:p w:rsidR="007C1F61" w:rsidRPr="007C1F61" w:rsidRDefault="007C1F61" w:rsidP="00E073E5">
      <w:pPr>
        <w:jc w:val="both"/>
        <w:rPr>
          <w:rStyle w:val="A12"/>
          <w:rFonts w:ascii="Times New Roman" w:eastAsia="Calibri" w:hAnsi="Times New Roman" w:cs="Times New Roman"/>
          <w:sz w:val="20"/>
          <w:szCs w:val="20"/>
        </w:rPr>
      </w:pPr>
      <w:r w:rsidRPr="007C1F61">
        <w:rPr>
          <w:rStyle w:val="A1"/>
          <w:rFonts w:ascii="Times New Roman" w:hAnsi="Times New Roman"/>
          <w:sz w:val="20"/>
          <w:szCs w:val="20"/>
        </w:rPr>
        <w:t xml:space="preserve">The best-selected hypothesis Hypo1 represents with a probability of 91% a PH4 model with a similar level of predictive power as the complexation GFE enzyme-inhibitor binding QSAR model. </w:t>
      </w:r>
      <w:r w:rsidRPr="007C1F61">
        <w:rPr>
          <w:rFonts w:ascii="Times New Roman" w:hAnsi="Times New Roman"/>
          <w:bCs/>
        </w:rPr>
        <w:t xml:space="preserve">The resulting regression equation expresses </w:t>
      </w:r>
      <m:oMath>
        <m:sSubSup>
          <m:sSubSupPr>
            <m:ctrlPr>
              <w:rPr>
                <w:rFonts w:ascii="Cambria Math" w:hAnsi="Cambria Math"/>
                <w:bCs/>
                <w:vertAlign w:val="superscript"/>
              </w:rPr>
            </m:ctrlPr>
          </m:sSubSupPr>
          <m:e>
            <m:r>
              <m:rPr>
                <m:sty m:val="p"/>
              </m:rPr>
              <w:rPr>
                <w:rFonts w:ascii="Cambria Math" w:hAnsi="Cambria Math"/>
                <w:vertAlign w:val="superscript"/>
                <w:lang w:eastAsia="fr-FR"/>
              </w:rPr>
              <m:t>pIC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Pr="007C1F61">
        <w:rPr>
          <w:rFonts w:ascii="Times New Roman" w:hAnsi="Times New Roman"/>
          <w:bCs/>
        </w:rPr>
        <w:t xml:space="preserve"> as a function of </w:t>
      </w:r>
      <m:oMath>
        <m:sSubSup>
          <m:sSubSupPr>
            <m:ctrlPr>
              <w:rPr>
                <w:rFonts w:ascii="Cambria Math" w:hAnsi="Cambria Math"/>
                <w:bCs/>
                <w:vertAlign w:val="superscript"/>
              </w:rPr>
            </m:ctrlPr>
          </m:sSubSupPr>
          <m:e>
            <m:r>
              <m:rPr>
                <m:sty m:val="p"/>
              </m:rPr>
              <w:rPr>
                <w:rFonts w:ascii="Cambria Math" w:hAnsi="Cambria Math"/>
                <w:vertAlign w:val="superscript"/>
                <w:lang w:eastAsia="fr-FR"/>
              </w:rPr>
              <m:t>pIC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pre</m:t>
            </m:r>
          </m:sup>
        </m:sSubSup>
      </m:oMath>
      <w:r w:rsidRPr="007C1F61">
        <w:rPr>
          <w:rFonts w:ascii="Times New Roman" w:hAnsi="Times New Roman"/>
          <w:bCs/>
        </w:rPr>
        <w:t xml:space="preserve">, estimated by Hypo1: </w:t>
      </w:r>
      <m:oMath>
        <m:sSubSup>
          <m:sSubSupPr>
            <m:ctrlPr>
              <w:rPr>
                <w:rFonts w:ascii="Cambria Math" w:hAnsi="Cambria Math"/>
                <w:bCs/>
                <w:vertAlign w:val="superscript"/>
              </w:rPr>
            </m:ctrlPr>
          </m:sSubSupPr>
          <m:e>
            <m:r>
              <m:rPr>
                <m:sty m:val="p"/>
              </m:rPr>
              <w:rPr>
                <w:rFonts w:ascii="Cambria Math" w:hAnsi="Cambria Math"/>
                <w:vertAlign w:val="superscript"/>
                <w:lang w:eastAsia="fr-FR"/>
              </w:rPr>
              <m:t>pIC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exp</m:t>
            </m:r>
          </m:sup>
        </m:sSubSup>
      </m:oMath>
      <w:r w:rsidRPr="007C1F61">
        <w:rPr>
          <w:rFonts w:ascii="Times New Roman" w:hAnsi="Times New Roman"/>
          <w:bCs/>
        </w:rPr>
        <w:t xml:space="preserve"> = 0.9366 x </w:t>
      </w:r>
      <m:oMath>
        <m:sSubSup>
          <m:sSubSupPr>
            <m:ctrlPr>
              <w:rPr>
                <w:rFonts w:ascii="Cambria Math" w:hAnsi="Cambria Math"/>
                <w:bCs/>
                <w:vertAlign w:val="superscript"/>
              </w:rPr>
            </m:ctrlPr>
          </m:sSubSupPr>
          <m:e>
            <m:r>
              <m:rPr>
                <m:sty m:val="p"/>
              </m:rPr>
              <w:rPr>
                <w:rFonts w:ascii="Cambria Math" w:hAnsi="Cambria Math"/>
                <w:vertAlign w:val="superscript"/>
                <w:lang w:eastAsia="fr-FR"/>
              </w:rPr>
              <m:t>pIC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pre</m:t>
            </m:r>
          </m:sup>
        </m:sSubSup>
      </m:oMath>
      <w:r w:rsidRPr="007C1F61">
        <w:rPr>
          <w:rFonts w:ascii="Times New Roman" w:hAnsi="Times New Roman"/>
          <w:bCs/>
        </w:rPr>
        <w:t xml:space="preserve"> + 0.2849 are listed in table 7 (n = 12; R</w:t>
      </w:r>
      <w:r w:rsidRPr="007C1F61">
        <w:rPr>
          <w:rFonts w:ascii="Times New Roman" w:hAnsi="Times New Roman"/>
          <w:bCs/>
          <w:vertAlign w:val="superscript"/>
        </w:rPr>
        <w:t>2</w:t>
      </w:r>
      <w:r w:rsidRPr="007C1F61">
        <w:rPr>
          <w:rFonts w:ascii="Times New Roman" w:hAnsi="Times New Roman"/>
          <w:bCs/>
        </w:rPr>
        <w:t xml:space="preserve"> = 0.91; R</w:t>
      </w:r>
      <w:r w:rsidRPr="007C1F61">
        <w:rPr>
          <w:rFonts w:ascii="Times New Roman" w:hAnsi="Times New Roman"/>
          <w:bCs/>
          <w:vertAlign w:val="superscript"/>
        </w:rPr>
        <w:t>2</w:t>
      </w:r>
      <w:r w:rsidRPr="007C1F61">
        <w:rPr>
          <w:rFonts w:ascii="Times New Roman" w:hAnsi="Times New Roman"/>
          <w:bCs/>
        </w:rPr>
        <w:t>xv = 0.91; F-test = 114.34; σ = 0.551; α &gt; 95%) and its graph is presented in Figure 5 above. Once again, the predictive power of the PH4 model, like that of the QSAR, is confirmed and both present interesting predictive powers. The information obtained from the RQSA and PH4 inhibition models relating to the hierarchy of mechanisms governing the activity of CNPs will be useful for filling the S1 and S2 pockets.</w:t>
      </w:r>
    </w:p>
    <w:p w:rsidR="007C1F61" w:rsidRDefault="007C1F61" w:rsidP="00E073E5">
      <w:pPr>
        <w:jc w:val="both"/>
        <w:rPr>
          <w:rStyle w:val="A12"/>
          <w:rFonts w:ascii="Times New Roman" w:eastAsia="Calibri" w:hAnsi="Times New Roman" w:cs="Times New Roman"/>
          <w:sz w:val="20"/>
          <w:szCs w:val="20"/>
        </w:rPr>
      </w:pPr>
    </w:p>
    <w:p w:rsidR="002A3260" w:rsidRPr="002A3260" w:rsidRDefault="002A3260" w:rsidP="005921F0">
      <w:pPr>
        <w:spacing w:after="120"/>
        <w:jc w:val="both"/>
        <w:rPr>
          <w:sz w:val="18"/>
          <w:szCs w:val="18"/>
        </w:rPr>
      </w:pPr>
      <w:r w:rsidRPr="002A3260">
        <w:rPr>
          <w:rFonts w:ascii="Times New Roman" w:hAnsi="Times New Roman"/>
          <w:sz w:val="18"/>
          <w:szCs w:val="18"/>
        </w:rPr>
        <w:t>Table 7: Regression analysis of</w:t>
      </w:r>
      <m:oMath>
        <m:sSubSup>
          <m:sSubSupPr>
            <m:ctrlPr>
              <w:rPr>
                <w:rFonts w:ascii="Cambria Math" w:hAnsi="Cambria Math" w:cs="Arial"/>
                <w:bCs/>
                <w:color w:val="000000"/>
                <w:vertAlign w:val="superscript"/>
              </w:rPr>
            </m:ctrlPr>
          </m:sSubSupPr>
          <m:e>
            <m:r>
              <m:rPr>
                <m:sty m:val="p"/>
              </m:rPr>
              <w:rPr>
                <w:rFonts w:ascii="Cambria Math" w:hAnsi="Cambria Math" w:cs="Arial"/>
                <w:vertAlign w:val="superscript"/>
                <w:lang w:eastAsia="fr-FR"/>
              </w:rPr>
              <m:t>pCI</m:t>
            </m:r>
          </m:e>
          <m:sub>
            <m:r>
              <m:rPr>
                <m:sty m:val="p"/>
              </m:rPr>
              <w:rPr>
                <w:rFonts w:ascii="Cambria Math" w:hAnsi="Cambria Math" w:cs="Arial"/>
                <w:vertAlign w:val="superscript"/>
                <w:lang w:eastAsia="fr-FR"/>
              </w:rPr>
              <m:t>50</m:t>
            </m:r>
          </m:sub>
          <m:sup>
            <m:r>
              <m:rPr>
                <m:sty m:val="p"/>
              </m:rPr>
              <w:rPr>
                <w:rFonts w:ascii="Cambria Math" w:hAnsi="Cambria Math" w:cs="Arial"/>
                <w:vertAlign w:val="superscript"/>
                <w:lang w:eastAsia="fr-FR"/>
              </w:rPr>
              <m:t>exp</m:t>
            </m:r>
          </m:sup>
        </m:sSubSup>
      </m:oMath>
      <w:r w:rsidRPr="002A3260">
        <w:rPr>
          <w:rFonts w:ascii="Times New Roman" w:hAnsi="Times New Roman"/>
          <w:sz w:val="18"/>
          <w:szCs w:val="18"/>
        </w:rPr>
        <w:t xml:space="preserve">and computed </w:t>
      </w:r>
      <m:oMath>
        <m:sSubSup>
          <m:sSubSupPr>
            <m:ctrlPr>
              <w:rPr>
                <w:rFonts w:ascii="Cambria Math" w:hAnsi="Cambria Math"/>
                <w:sz w:val="18"/>
                <w:szCs w:val="18"/>
              </w:rPr>
            </m:ctrlPr>
          </m:sSubSupPr>
          <m:e>
            <m:r>
              <m:rPr>
                <m:sty m:val="p"/>
              </m:rPr>
              <w:rPr>
                <w:rFonts w:ascii="Cambria Math" w:hAnsi="Cambria Math"/>
                <w:sz w:val="18"/>
                <w:szCs w:val="18"/>
              </w:rPr>
              <m:t>pCI</m:t>
            </m:r>
          </m:e>
          <m:sub>
            <m:r>
              <m:rPr>
                <m:sty m:val="p"/>
              </m:rPr>
              <w:rPr>
                <w:rFonts w:ascii="Cambria Math" w:hAnsi="Cambria Math"/>
                <w:sz w:val="18"/>
                <w:szCs w:val="18"/>
              </w:rPr>
              <m:t>50</m:t>
            </m:r>
          </m:sub>
          <m:sup>
            <m:r>
              <m:rPr>
                <m:sty m:val="p"/>
              </m:rPr>
              <w:rPr>
                <w:rFonts w:ascii="Cambria Math" w:hAnsi="Cambria Math"/>
                <w:sz w:val="18"/>
                <w:szCs w:val="18"/>
              </w:rPr>
              <m:t>pre</m:t>
            </m:r>
          </m:sup>
        </m:sSubSup>
      </m:oMath>
      <w:r w:rsidRPr="002A3260">
        <w:rPr>
          <w:rFonts w:ascii="Times New Roman" w:hAnsi="Times New Roman"/>
          <w:sz w:val="18"/>
          <w:szCs w:val="18"/>
        </w:rPr>
        <w:t xml:space="preserve"> of CNPs toward </w:t>
      </w:r>
      <w:r w:rsidRPr="002A3260">
        <w:rPr>
          <w:rFonts w:ascii="Times New Roman" w:hAnsi="Times New Roman"/>
          <w:i/>
          <w:sz w:val="18"/>
          <w:szCs w:val="18"/>
        </w:rPr>
        <w:t>Pf</w:t>
      </w:r>
      <w:r w:rsidRPr="002A3260">
        <w:rPr>
          <w:rFonts w:ascii="Times New Roman" w:hAnsi="Times New Roman"/>
          <w:sz w:val="18"/>
          <w:szCs w:val="18"/>
        </w:rPr>
        <w:t>FP2</w:t>
      </w:r>
    </w:p>
    <w:tbl>
      <w:tblPr>
        <w:tblW w:w="0" w:type="auto"/>
        <w:jc w:val="center"/>
        <w:tblBorders>
          <w:top w:val="single" w:sz="4" w:space="0" w:color="000000"/>
          <w:bottom w:val="single" w:sz="4" w:space="0" w:color="000000"/>
        </w:tblBorders>
        <w:tblLook w:val="04A0"/>
      </w:tblPr>
      <w:tblGrid>
        <w:gridCol w:w="3803"/>
        <w:gridCol w:w="578"/>
      </w:tblGrid>
      <w:tr w:rsidR="002A3260" w:rsidRPr="002A3260" w:rsidTr="00B2576D">
        <w:trPr>
          <w:trHeight w:val="374"/>
          <w:jc w:val="center"/>
        </w:trPr>
        <w:tc>
          <w:tcPr>
            <w:tcW w:w="4381"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hideMark/>
          </w:tcPr>
          <w:p w:rsidR="002A3260" w:rsidRPr="00B2576D" w:rsidRDefault="002A3260" w:rsidP="002A3260">
            <w:pPr>
              <w:pStyle w:val="Pa2"/>
              <w:spacing w:line="240" w:lineRule="auto"/>
              <w:jc w:val="center"/>
              <w:rPr>
                <w:rFonts w:ascii="Times New Roman" w:hAnsi="Times New Roman" w:cs="Times New Roman"/>
                <w:color w:val="000000"/>
                <w:sz w:val="18"/>
                <w:szCs w:val="18"/>
                <w:lang w:val="en-US"/>
              </w:rPr>
            </w:pPr>
            <w:r w:rsidRPr="00B2576D">
              <w:rPr>
                <w:rStyle w:val="A5"/>
                <w:rFonts w:ascii="Times New Roman" w:hAnsi="Times New Roman" w:cs="Times New Roman"/>
                <w:sz w:val="18"/>
                <w:szCs w:val="18"/>
                <w:lang w:val="en-US"/>
              </w:rPr>
              <w:t xml:space="preserve">Statistical Data of Linear Regression for Hypo 1 </w:t>
            </w:r>
          </w:p>
        </w:tc>
      </w:tr>
      <w:tr w:rsidR="002A3260" w:rsidRPr="002A3260" w:rsidTr="00B2576D">
        <w:trPr>
          <w:trHeight w:val="320"/>
          <w:jc w:val="center"/>
        </w:trPr>
        <w:tc>
          <w:tcPr>
            <w:tcW w:w="3803" w:type="dxa"/>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B2576D" w:rsidRDefault="009A671C" w:rsidP="00B2576D">
            <w:pPr>
              <w:pStyle w:val="MDPI42tablebody"/>
              <w:jc w:val="center"/>
              <w:rPr>
                <w:rFonts w:ascii="Times New Roman" w:hAnsi="Times New Roman"/>
                <w:b/>
                <w:sz w:val="18"/>
                <w:szCs w:val="18"/>
              </w:rPr>
            </w:pPr>
            <m:oMath>
              <m:sSubSup>
                <m:sSubSupPr>
                  <m:ctrlPr>
                    <w:rPr>
                      <w:rFonts w:ascii="Cambria Math" w:hAnsi="Cambria Math"/>
                      <w:b/>
                      <w:bCs/>
                      <w:sz w:val="18"/>
                      <w:szCs w:val="18"/>
                      <w:vertAlign w:val="superscript"/>
                    </w:rPr>
                  </m:ctrlPr>
                </m:sSubSupPr>
                <m:e>
                  <m:r>
                    <m:rPr>
                      <m:sty m:val="b"/>
                    </m:rPr>
                    <w:rPr>
                      <w:rFonts w:ascii="Cambria Math" w:hAnsi="Cambria Math"/>
                      <w:sz w:val="18"/>
                      <w:szCs w:val="18"/>
                      <w:vertAlign w:val="superscript"/>
                      <w:lang w:eastAsia="fr-FR"/>
                    </w:rPr>
                    <m:t>pIC</m:t>
                  </m:r>
                </m:e>
                <m:sub>
                  <m:r>
                    <m:rPr>
                      <m:sty m:val="b"/>
                    </m:rPr>
                    <w:rPr>
                      <w:rFonts w:ascii="Cambria Math" w:hAnsi="Cambria Math"/>
                      <w:sz w:val="18"/>
                      <w:szCs w:val="18"/>
                      <w:vertAlign w:val="superscript"/>
                      <w:lang w:eastAsia="fr-FR"/>
                    </w:rPr>
                    <m:t>50</m:t>
                  </m:r>
                </m:sub>
                <m:sup>
                  <m:r>
                    <m:rPr>
                      <m:sty m:val="b"/>
                    </m:rPr>
                    <w:rPr>
                      <w:rFonts w:ascii="Cambria Math" w:hAnsi="Cambria Math"/>
                      <w:sz w:val="18"/>
                      <w:szCs w:val="18"/>
                      <w:vertAlign w:val="superscript"/>
                      <w:lang w:eastAsia="fr-FR"/>
                    </w:rPr>
                    <m:t>exp</m:t>
                  </m:r>
                </m:sup>
              </m:sSubSup>
            </m:oMath>
            <w:r w:rsidR="002A3260" w:rsidRPr="00B2576D">
              <w:rPr>
                <w:rFonts w:ascii="Times New Roman" w:hAnsi="Times New Roman"/>
                <w:b/>
                <w:sz w:val="18"/>
                <w:szCs w:val="18"/>
              </w:rPr>
              <w:t xml:space="preserve"> = 0.9366 x </w:t>
            </w:r>
            <m:oMath>
              <m:sSubSup>
                <m:sSubSupPr>
                  <m:ctrlPr>
                    <w:rPr>
                      <w:rFonts w:ascii="Cambria Math" w:hAnsi="Cambria Math"/>
                      <w:b/>
                      <w:bCs/>
                      <w:sz w:val="18"/>
                      <w:szCs w:val="18"/>
                      <w:vertAlign w:val="superscript"/>
                    </w:rPr>
                  </m:ctrlPr>
                </m:sSubSupPr>
                <m:e>
                  <m:r>
                    <m:rPr>
                      <m:sty m:val="b"/>
                    </m:rPr>
                    <w:rPr>
                      <w:rFonts w:ascii="Cambria Math" w:hAnsi="Cambria Math"/>
                      <w:sz w:val="18"/>
                      <w:szCs w:val="18"/>
                      <w:vertAlign w:val="superscript"/>
                      <w:lang w:eastAsia="fr-FR"/>
                    </w:rPr>
                    <m:t>pIC</m:t>
                  </m:r>
                </m:e>
                <m:sub>
                  <m:r>
                    <m:rPr>
                      <m:sty m:val="b"/>
                    </m:rPr>
                    <w:rPr>
                      <w:rFonts w:ascii="Cambria Math" w:hAnsi="Cambria Math"/>
                      <w:sz w:val="18"/>
                      <w:szCs w:val="18"/>
                      <w:vertAlign w:val="superscript"/>
                      <w:lang w:eastAsia="fr-FR"/>
                    </w:rPr>
                    <m:t>50</m:t>
                  </m:r>
                </m:sub>
                <m:sup>
                  <m:r>
                    <m:rPr>
                      <m:sty m:val="b"/>
                    </m:rPr>
                    <w:rPr>
                      <w:rFonts w:ascii="Cambria Math" w:hAnsi="Cambria Math"/>
                      <w:sz w:val="18"/>
                      <w:szCs w:val="18"/>
                      <w:vertAlign w:val="superscript"/>
                      <w:lang w:eastAsia="fr-FR"/>
                    </w:rPr>
                    <m:t>pre</m:t>
                  </m:r>
                </m:sup>
              </m:sSubSup>
            </m:oMath>
            <w:r w:rsidR="002A3260" w:rsidRPr="00B2576D">
              <w:rPr>
                <w:rFonts w:ascii="Times New Roman" w:hAnsi="Times New Roman"/>
                <w:b/>
                <w:sz w:val="18"/>
                <w:szCs w:val="18"/>
              </w:rPr>
              <w:t> + 0.2849</w:t>
            </w:r>
          </w:p>
        </w:tc>
        <w:tc>
          <w:tcPr>
            <w:tcW w:w="0" w:type="auto"/>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tcPr>
          <w:p w:rsidR="002A3260" w:rsidRPr="002A3260" w:rsidRDefault="002A3260" w:rsidP="00B2576D">
            <w:pPr>
              <w:pStyle w:val="MDPI42tablebody"/>
              <w:rPr>
                <w:rFonts w:ascii="Times New Roman" w:hAnsi="Times New Roman"/>
                <w:sz w:val="18"/>
                <w:szCs w:val="18"/>
              </w:rPr>
            </w:pPr>
          </w:p>
        </w:tc>
      </w:tr>
      <w:tr w:rsidR="002A3260" w:rsidRPr="002A3260" w:rsidTr="00B2576D">
        <w:trPr>
          <w:trHeight w:val="70"/>
          <w:jc w:val="center"/>
        </w:trPr>
        <w:tc>
          <w:tcPr>
            <w:tcW w:w="3803" w:type="dxa"/>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Pa2"/>
              <w:spacing w:line="240" w:lineRule="auto"/>
              <w:rPr>
                <w:rFonts w:ascii="Times New Roman" w:hAnsi="Times New Roman" w:cs="Times New Roman"/>
                <w:color w:val="000000"/>
                <w:sz w:val="18"/>
                <w:szCs w:val="18"/>
              </w:rPr>
            </w:pPr>
            <w:r w:rsidRPr="002A3260">
              <w:rPr>
                <w:rStyle w:val="A5"/>
                <w:rFonts w:ascii="Times New Roman" w:hAnsi="Times New Roman" w:cs="Times New Roman"/>
                <w:sz w:val="18"/>
                <w:szCs w:val="18"/>
              </w:rPr>
              <w:t xml:space="preserve">Number of </w:t>
            </w:r>
            <w:r w:rsidR="006C058C" w:rsidRPr="002A3260">
              <w:rPr>
                <w:rStyle w:val="A5"/>
                <w:rFonts w:ascii="Times New Roman" w:hAnsi="Times New Roman" w:cs="Times New Roman"/>
                <w:sz w:val="18"/>
                <w:szCs w:val="18"/>
              </w:rPr>
              <w:t>compound</w:t>
            </w:r>
            <w:r w:rsidRPr="002A3260">
              <w:rPr>
                <w:rStyle w:val="A5"/>
                <w:rFonts w:ascii="Times New Roman" w:hAnsi="Times New Roman" w:cs="Times New Roman"/>
                <w:sz w:val="18"/>
                <w:szCs w:val="18"/>
              </w:rPr>
              <w:t xml:space="preserve">n </w:t>
            </w:r>
          </w:p>
        </w:tc>
        <w:tc>
          <w:tcPr>
            <w:tcW w:w="0" w:type="auto"/>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MDPI42tablebody"/>
              <w:jc w:val="center"/>
              <w:rPr>
                <w:rFonts w:ascii="Times New Roman" w:hAnsi="Times New Roman"/>
                <w:sz w:val="18"/>
                <w:szCs w:val="18"/>
                <w:lang w:val="fr-FR"/>
              </w:rPr>
            </w:pPr>
            <w:r w:rsidRPr="002A3260">
              <w:rPr>
                <w:rFonts w:ascii="Times New Roman" w:hAnsi="Times New Roman"/>
                <w:sz w:val="18"/>
                <w:szCs w:val="18"/>
                <w:lang w:val="fr-FR"/>
              </w:rPr>
              <w:t>12</w:t>
            </w:r>
          </w:p>
        </w:tc>
      </w:tr>
      <w:tr w:rsidR="002A3260" w:rsidRPr="002A3260" w:rsidTr="00B2576D">
        <w:trPr>
          <w:trHeight w:val="91"/>
          <w:jc w:val="center"/>
        </w:trPr>
        <w:tc>
          <w:tcPr>
            <w:tcW w:w="3803" w:type="dxa"/>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Pa2"/>
              <w:spacing w:line="240" w:lineRule="auto"/>
              <w:rPr>
                <w:rFonts w:ascii="Times New Roman" w:hAnsi="Times New Roman" w:cs="Times New Roman"/>
                <w:color w:val="000000"/>
                <w:sz w:val="18"/>
                <w:szCs w:val="18"/>
              </w:rPr>
            </w:pPr>
            <w:r w:rsidRPr="002A3260">
              <w:rPr>
                <w:rStyle w:val="A5"/>
                <w:rFonts w:ascii="Times New Roman" w:hAnsi="Times New Roman" w:cs="Times New Roman"/>
                <w:sz w:val="18"/>
                <w:szCs w:val="18"/>
              </w:rPr>
              <w:t>Square correlation coefficient regression R</w:t>
            </w:r>
            <w:r w:rsidRPr="002A3260">
              <w:rPr>
                <w:rStyle w:val="A5"/>
                <w:rFonts w:ascii="Times New Roman" w:hAnsi="Times New Roman" w:cs="Times New Roman"/>
                <w:sz w:val="18"/>
                <w:szCs w:val="18"/>
                <w:vertAlign w:val="superscript"/>
              </w:rPr>
              <w:t>2</w:t>
            </w:r>
          </w:p>
        </w:tc>
        <w:tc>
          <w:tcPr>
            <w:tcW w:w="0" w:type="auto"/>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MDPI42tablebody"/>
              <w:jc w:val="center"/>
              <w:rPr>
                <w:rFonts w:ascii="Times New Roman" w:hAnsi="Times New Roman"/>
                <w:sz w:val="18"/>
                <w:szCs w:val="18"/>
                <w:lang w:val="fr-FR"/>
              </w:rPr>
            </w:pPr>
            <w:r w:rsidRPr="002A3260">
              <w:rPr>
                <w:rFonts w:ascii="Times New Roman" w:hAnsi="Times New Roman"/>
                <w:sz w:val="18"/>
                <w:szCs w:val="18"/>
                <w:lang w:val="fr-FR"/>
              </w:rPr>
              <w:t>0.91</w:t>
            </w:r>
          </w:p>
        </w:tc>
      </w:tr>
      <w:tr w:rsidR="002A3260" w:rsidRPr="002A3260" w:rsidTr="00B2576D">
        <w:trPr>
          <w:trHeight w:val="91"/>
          <w:jc w:val="center"/>
        </w:trPr>
        <w:tc>
          <w:tcPr>
            <w:tcW w:w="3803" w:type="dxa"/>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Pa2"/>
              <w:spacing w:line="240" w:lineRule="auto"/>
              <w:rPr>
                <w:rFonts w:ascii="Times New Roman" w:hAnsi="Times New Roman" w:cs="Times New Roman"/>
                <w:color w:val="000000"/>
                <w:sz w:val="18"/>
                <w:szCs w:val="18"/>
                <w:lang w:val="en-US"/>
              </w:rPr>
            </w:pPr>
            <w:r w:rsidRPr="002A3260">
              <w:rPr>
                <w:rStyle w:val="A5"/>
                <w:rFonts w:ascii="Times New Roman" w:hAnsi="Times New Roman" w:cs="Times New Roman"/>
                <w:sz w:val="18"/>
                <w:szCs w:val="18"/>
                <w:lang w:val="en-US"/>
              </w:rPr>
              <w:t xml:space="preserve">LOO cross-validated Square correlation  </w:t>
            </w:r>
            <w:r w:rsidRPr="002A3260">
              <w:rPr>
                <w:rFonts w:ascii="Times New Roman" w:hAnsi="Times New Roman" w:cs="Times New Roman"/>
                <w:sz w:val="18"/>
                <w:szCs w:val="18"/>
                <w:lang w:val="en-US"/>
              </w:rPr>
              <w:t>R</w:t>
            </w:r>
            <w:r w:rsidRPr="002A3260">
              <w:rPr>
                <w:rFonts w:ascii="Times New Roman" w:hAnsi="Times New Roman" w:cs="Times New Roman"/>
                <w:sz w:val="18"/>
                <w:szCs w:val="18"/>
                <w:vertAlign w:val="superscript"/>
                <w:lang w:val="en-US"/>
              </w:rPr>
              <w:t>2</w:t>
            </w:r>
            <w:r w:rsidRPr="002A3260">
              <w:rPr>
                <w:rFonts w:ascii="Times New Roman" w:hAnsi="Times New Roman" w:cs="Times New Roman"/>
                <w:sz w:val="18"/>
                <w:szCs w:val="18"/>
                <w:lang w:val="en-US"/>
              </w:rPr>
              <w:t xml:space="preserve">xv </w:t>
            </w:r>
          </w:p>
        </w:tc>
        <w:tc>
          <w:tcPr>
            <w:tcW w:w="0" w:type="auto"/>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MDPI42tablebody"/>
              <w:jc w:val="center"/>
              <w:rPr>
                <w:rFonts w:ascii="Times New Roman" w:hAnsi="Times New Roman"/>
                <w:sz w:val="18"/>
                <w:szCs w:val="18"/>
                <w:lang w:val="en-GB"/>
              </w:rPr>
            </w:pPr>
            <w:r w:rsidRPr="002A3260">
              <w:rPr>
                <w:rFonts w:ascii="Times New Roman" w:hAnsi="Times New Roman"/>
                <w:sz w:val="18"/>
                <w:szCs w:val="18"/>
                <w:lang w:val="en-GB"/>
              </w:rPr>
              <w:t>0.91</w:t>
            </w:r>
          </w:p>
        </w:tc>
      </w:tr>
      <w:tr w:rsidR="002A3260" w:rsidRPr="002A3260" w:rsidTr="00B2576D">
        <w:trPr>
          <w:trHeight w:val="70"/>
          <w:jc w:val="center"/>
        </w:trPr>
        <w:tc>
          <w:tcPr>
            <w:tcW w:w="3803" w:type="dxa"/>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Pa2"/>
              <w:spacing w:line="240" w:lineRule="auto"/>
              <w:rPr>
                <w:rFonts w:ascii="Times New Roman" w:hAnsi="Times New Roman" w:cs="Times New Roman"/>
                <w:color w:val="000000"/>
                <w:sz w:val="18"/>
                <w:szCs w:val="18"/>
                <w:lang w:val="en-US"/>
              </w:rPr>
            </w:pPr>
            <w:r w:rsidRPr="002A3260">
              <w:rPr>
                <w:rStyle w:val="A5"/>
                <w:rFonts w:ascii="Times New Roman" w:hAnsi="Times New Roman" w:cs="Times New Roman"/>
                <w:sz w:val="18"/>
                <w:szCs w:val="18"/>
                <w:lang w:val="en-US"/>
              </w:rPr>
              <w:t xml:space="preserve">Standard error of regression </w:t>
            </w:r>
            <w:r w:rsidRPr="002A3260">
              <w:rPr>
                <w:rStyle w:val="A5"/>
                <w:rFonts w:ascii="Times New Roman" w:hAnsi="Times New Roman" w:cs="Times New Roman"/>
                <w:sz w:val="18"/>
                <w:szCs w:val="18"/>
              </w:rPr>
              <w:t>σ</w:t>
            </w:r>
          </w:p>
        </w:tc>
        <w:tc>
          <w:tcPr>
            <w:tcW w:w="0" w:type="auto"/>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MDPI42tablebody"/>
              <w:jc w:val="center"/>
              <w:rPr>
                <w:rFonts w:ascii="Times New Roman" w:hAnsi="Times New Roman"/>
                <w:sz w:val="18"/>
                <w:szCs w:val="18"/>
                <w:lang w:val="en-GB"/>
              </w:rPr>
            </w:pPr>
            <w:r w:rsidRPr="002A3260">
              <w:rPr>
                <w:rFonts w:ascii="Times New Roman" w:hAnsi="Times New Roman"/>
                <w:sz w:val="18"/>
                <w:szCs w:val="18"/>
                <w:lang w:val="en-GB"/>
              </w:rPr>
              <w:t>0.551</w:t>
            </w:r>
          </w:p>
        </w:tc>
      </w:tr>
      <w:tr w:rsidR="002A3260" w:rsidRPr="002A3260" w:rsidTr="00B2576D">
        <w:trPr>
          <w:trHeight w:val="70"/>
          <w:jc w:val="center"/>
        </w:trPr>
        <w:tc>
          <w:tcPr>
            <w:tcW w:w="3803" w:type="dxa"/>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Pa2"/>
              <w:spacing w:line="240" w:lineRule="auto"/>
              <w:rPr>
                <w:rFonts w:ascii="Times New Roman" w:hAnsi="Times New Roman" w:cs="Times New Roman"/>
                <w:color w:val="000000"/>
                <w:sz w:val="18"/>
                <w:szCs w:val="18"/>
                <w:lang w:val="en-US"/>
              </w:rPr>
            </w:pPr>
            <w:r w:rsidRPr="002A3260">
              <w:rPr>
                <w:rStyle w:val="A5"/>
                <w:rFonts w:ascii="Times New Roman" w:hAnsi="Times New Roman" w:cs="Times New Roman"/>
                <w:sz w:val="18"/>
                <w:szCs w:val="18"/>
                <w:lang w:val="en-US"/>
              </w:rPr>
              <w:t xml:space="preserve">Statistical significance of regression, Fisher F-test </w:t>
            </w:r>
          </w:p>
        </w:tc>
        <w:tc>
          <w:tcPr>
            <w:tcW w:w="0" w:type="auto"/>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MDPI42tablebody"/>
              <w:jc w:val="center"/>
              <w:rPr>
                <w:rFonts w:ascii="Times New Roman" w:hAnsi="Times New Roman"/>
                <w:sz w:val="18"/>
                <w:szCs w:val="18"/>
                <w:lang w:val="en-GB"/>
              </w:rPr>
            </w:pPr>
            <w:r w:rsidRPr="002A3260">
              <w:rPr>
                <w:rFonts w:ascii="Times New Roman" w:hAnsi="Times New Roman"/>
                <w:sz w:val="18"/>
                <w:szCs w:val="18"/>
                <w:lang w:val="en-GB"/>
              </w:rPr>
              <w:t>114.34</w:t>
            </w:r>
          </w:p>
        </w:tc>
      </w:tr>
      <w:tr w:rsidR="002A3260" w:rsidRPr="002A3260" w:rsidTr="00B2576D">
        <w:trPr>
          <w:trHeight w:val="70"/>
          <w:jc w:val="center"/>
        </w:trPr>
        <w:tc>
          <w:tcPr>
            <w:tcW w:w="3803"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Pa2"/>
              <w:spacing w:line="240" w:lineRule="auto"/>
              <w:rPr>
                <w:rFonts w:ascii="Times New Roman" w:hAnsi="Times New Roman" w:cs="Times New Roman"/>
                <w:color w:val="000000"/>
                <w:sz w:val="18"/>
                <w:szCs w:val="18"/>
                <w:lang w:val="en-US"/>
              </w:rPr>
            </w:pPr>
            <w:r w:rsidRPr="002A3260">
              <w:rPr>
                <w:rStyle w:val="A5"/>
                <w:rFonts w:ascii="Times New Roman" w:hAnsi="Times New Roman" w:cs="Times New Roman"/>
                <w:sz w:val="18"/>
                <w:szCs w:val="18"/>
                <w:lang w:val="en-US"/>
              </w:rPr>
              <w:t xml:space="preserve">Level of statistical significance </w:t>
            </w:r>
            <w:r w:rsidRPr="002A3260">
              <w:rPr>
                <w:rStyle w:val="A5"/>
                <w:rFonts w:ascii="Times New Roman" w:hAnsi="Times New Roman" w:cs="Times New Roman"/>
                <w:sz w:val="18"/>
                <w:szCs w:val="18"/>
              </w:rPr>
              <w:t>α</w:t>
            </w:r>
          </w:p>
        </w:tc>
        <w:tc>
          <w:tcPr>
            <w:tcW w:w="0" w:type="auto"/>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B2576D">
            <w:pPr>
              <w:pStyle w:val="MDPI42tablebody"/>
              <w:jc w:val="center"/>
              <w:rPr>
                <w:rFonts w:ascii="Times New Roman" w:hAnsi="Times New Roman"/>
                <w:sz w:val="18"/>
                <w:szCs w:val="18"/>
                <w:lang w:val="en-GB"/>
              </w:rPr>
            </w:pPr>
            <w:r w:rsidRPr="002A3260">
              <w:rPr>
                <w:rFonts w:ascii="Times New Roman" w:hAnsi="Times New Roman"/>
                <w:sz w:val="18"/>
                <w:szCs w:val="18"/>
                <w:lang w:val="en-GB"/>
              </w:rPr>
              <w:t>&gt; 95 %</w:t>
            </w:r>
          </w:p>
        </w:tc>
      </w:tr>
      <w:tr w:rsidR="002A3260" w:rsidRPr="002A3260" w:rsidTr="00B2576D">
        <w:trPr>
          <w:trHeight w:val="25"/>
          <w:jc w:val="center"/>
        </w:trPr>
        <w:tc>
          <w:tcPr>
            <w:tcW w:w="4381" w:type="dxa"/>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2A3260" w:rsidRPr="002A3260" w:rsidRDefault="002A3260" w:rsidP="00FA3AD2">
            <w:pPr>
              <w:pStyle w:val="MDPI42tablebody"/>
              <w:rPr>
                <w:rFonts w:ascii="Times New Roman" w:hAnsi="Times New Roman"/>
                <w:sz w:val="18"/>
                <w:szCs w:val="18"/>
              </w:rPr>
            </w:pPr>
            <w:r w:rsidRPr="002A3260">
              <w:rPr>
                <w:rStyle w:val="A5"/>
                <w:rFonts w:ascii="Times New Roman" w:hAnsi="Times New Roman" w:cs="Times New Roman"/>
                <w:sz w:val="18"/>
                <w:szCs w:val="18"/>
              </w:rPr>
              <w:t xml:space="preserve">Range of activities </w:t>
            </w:r>
            <m:oMath>
              <m:sSubSup>
                <m:sSubSupPr>
                  <m:ctrlPr>
                    <w:rPr>
                      <w:rFonts w:ascii="Cambria Math" w:hAnsi="Cambria Math"/>
                      <w:bCs/>
                      <w:sz w:val="18"/>
                      <w:szCs w:val="18"/>
                      <w:vertAlign w:val="superscript"/>
                    </w:rPr>
                  </m:ctrlPr>
                </m:sSubSupPr>
                <m:e>
                  <m:r>
                    <m:rPr>
                      <m:sty m:val="p"/>
                    </m:rPr>
                    <w:rPr>
                      <w:rFonts w:ascii="Cambria Math" w:hAnsi="Cambria Math"/>
                      <w:sz w:val="18"/>
                      <w:szCs w:val="18"/>
                      <w:vertAlign w:val="superscript"/>
                      <w:lang w:eastAsia="fr-FR"/>
                    </w:rPr>
                    <m:t>IC</m:t>
                  </m:r>
                </m:e>
                <m:sub>
                  <m:r>
                    <m:rPr>
                      <m:sty m:val="p"/>
                    </m:rPr>
                    <w:rPr>
                      <w:rFonts w:ascii="Cambria Math" w:hAnsi="Cambria Math"/>
                      <w:sz w:val="18"/>
                      <w:szCs w:val="18"/>
                      <w:vertAlign w:val="superscript"/>
                      <w:lang w:eastAsia="fr-FR"/>
                    </w:rPr>
                    <m:t>50</m:t>
                  </m:r>
                </m:sub>
                <m:sup>
                  <m:r>
                    <m:rPr>
                      <m:sty m:val="p"/>
                    </m:rPr>
                    <w:rPr>
                      <w:rFonts w:ascii="Cambria Math" w:hAnsi="Cambria Math"/>
                      <w:sz w:val="18"/>
                      <w:szCs w:val="18"/>
                      <w:vertAlign w:val="superscript"/>
                      <w:lang w:eastAsia="fr-FR"/>
                    </w:rPr>
                    <m:t>exp</m:t>
                  </m:r>
                </m:sup>
              </m:sSubSup>
            </m:oMath>
            <w:r w:rsidRPr="002A3260">
              <w:rPr>
                <w:rFonts w:ascii="Times New Roman" w:hAnsi="Times New Roman"/>
                <w:sz w:val="18"/>
                <w:szCs w:val="18"/>
              </w:rPr>
              <w:t xml:space="preserve">  [</w:t>
            </w:r>
            <w:r w:rsidR="00FA3AD2">
              <w:rPr>
                <w:rFonts w:ascii="Times New Roman" w:hAnsi="Times New Roman"/>
                <w:sz w:val="18"/>
                <w:szCs w:val="18"/>
              </w:rPr>
              <w:t>n</w:t>
            </w:r>
            <w:r w:rsidRPr="002A3260">
              <w:rPr>
                <w:rFonts w:ascii="Times New Roman" w:hAnsi="Times New Roman"/>
                <w:sz w:val="18"/>
                <w:szCs w:val="18"/>
              </w:rPr>
              <w:t>M]</w:t>
            </w:r>
            <w:r w:rsidR="00B2576D">
              <w:rPr>
                <w:rFonts w:ascii="Times New Roman" w:hAnsi="Times New Roman"/>
                <w:sz w:val="18"/>
                <w:szCs w:val="18"/>
              </w:rPr>
              <w:t xml:space="preserve">   1- </w:t>
            </w:r>
            <w:r w:rsidRPr="002A3260">
              <w:rPr>
                <w:rFonts w:ascii="Times New Roman" w:hAnsi="Times New Roman"/>
                <w:sz w:val="18"/>
                <w:szCs w:val="18"/>
              </w:rPr>
              <w:t>609</w:t>
            </w:r>
          </w:p>
        </w:tc>
      </w:tr>
    </w:tbl>
    <w:p w:rsidR="002A3260" w:rsidRDefault="002A3260" w:rsidP="00E073E5">
      <w:pPr>
        <w:jc w:val="both"/>
        <w:rPr>
          <w:rStyle w:val="A12"/>
          <w:rFonts w:ascii="Times New Roman" w:eastAsia="Calibri" w:hAnsi="Times New Roman" w:cs="Times New Roman"/>
          <w:sz w:val="20"/>
          <w:szCs w:val="20"/>
        </w:rPr>
      </w:pPr>
    </w:p>
    <w:p w:rsidR="000211E1" w:rsidRPr="000211E1" w:rsidRDefault="000211E1" w:rsidP="00504E67">
      <w:pPr>
        <w:pStyle w:val="Body"/>
        <w:spacing w:before="120" w:after="0"/>
        <w:jc w:val="left"/>
        <w:rPr>
          <w:rFonts w:ascii="Times New Roman" w:hAnsi="Times New Roman"/>
          <w:b/>
          <w:bCs/>
        </w:rPr>
      </w:pPr>
      <w:r w:rsidRPr="000211E1">
        <w:rPr>
          <w:rFonts w:ascii="Times New Roman" w:hAnsi="Times New Roman"/>
          <w:b/>
          <w:bCs/>
        </w:rPr>
        <w:t xml:space="preserve">Virtual </w:t>
      </w:r>
      <w:r w:rsidRPr="00504E67">
        <w:rPr>
          <w:rFonts w:ascii="Times New Roman" w:hAnsi="Times New Roman"/>
          <w:b/>
        </w:rPr>
        <w:t>screening</w:t>
      </w:r>
    </w:p>
    <w:p w:rsidR="002A3260" w:rsidRDefault="000211E1" w:rsidP="000211E1">
      <w:pPr>
        <w:jc w:val="both"/>
        <w:rPr>
          <w:rFonts w:ascii="Times New Roman" w:hAnsi="Times New Roman"/>
        </w:rPr>
      </w:pPr>
      <w:r w:rsidRPr="000211E1">
        <w:rPr>
          <w:rFonts w:ascii="Times New Roman" w:hAnsi="Times New Roman"/>
          <w:i/>
          <w:iCs/>
        </w:rPr>
        <w:t xml:space="preserve">In silico </w:t>
      </w:r>
      <w:r w:rsidRPr="000211E1">
        <w:rPr>
          <w:rFonts w:ascii="Times New Roman" w:hAnsi="Times New Roman"/>
        </w:rPr>
        <w:t>screening of a virtual (combinatorial) library can lead to hit identification as it was shown in previ</w:t>
      </w:r>
      <w:r w:rsidR="00203E4F">
        <w:rPr>
          <w:rFonts w:ascii="Times New Roman" w:hAnsi="Times New Roman"/>
        </w:rPr>
        <w:t>ous works on inhibitors design</w:t>
      </w:r>
      <w:r w:rsidRPr="00203E4F">
        <w:rPr>
          <w:rStyle w:val="EndnoteReference"/>
          <w:rFonts w:ascii="Times New Roman" w:hAnsi="Times New Roman"/>
          <w:b/>
          <w:color w:val="8DB3E2" w:themeColor="text2" w:themeTint="66"/>
        </w:rPr>
        <w:endnoteReference w:id="42"/>
      </w:r>
      <w:r w:rsidRPr="000211E1">
        <w:rPr>
          <w:rFonts w:ascii="Times New Roman" w:hAnsi="Times New Roman"/>
        </w:rPr>
        <w:t xml:space="preserve">. From the different groups listed in Table 8, we have created a virtual combinatorial library by </w:t>
      </w:r>
      <w:r w:rsidRPr="000211E1">
        <w:rPr>
          <w:rFonts w:ascii="Times New Roman" w:hAnsi="Times New Roman"/>
        </w:rPr>
        <w:lastRenderedPageBreak/>
        <w:t>substitution in positions R</w:t>
      </w:r>
      <w:r w:rsidRPr="000211E1">
        <w:rPr>
          <w:rFonts w:ascii="Times New Roman" w:hAnsi="Times New Roman"/>
          <w:vertAlign w:val="subscript"/>
        </w:rPr>
        <w:t>1</w:t>
      </w:r>
      <w:r w:rsidRPr="000211E1">
        <w:rPr>
          <w:rFonts w:ascii="Times New Roman" w:hAnsi="Times New Roman"/>
        </w:rPr>
        <w:t>, R</w:t>
      </w:r>
      <w:r w:rsidRPr="000211E1">
        <w:rPr>
          <w:rFonts w:ascii="Times New Roman" w:hAnsi="Times New Roman"/>
          <w:vertAlign w:val="subscript"/>
        </w:rPr>
        <w:t>2</w:t>
      </w:r>
      <w:r w:rsidRPr="000211E1">
        <w:rPr>
          <w:rFonts w:ascii="Times New Roman" w:hAnsi="Times New Roman"/>
        </w:rPr>
        <w:t>, R</w:t>
      </w:r>
      <w:r w:rsidRPr="000211E1">
        <w:rPr>
          <w:rFonts w:ascii="Times New Roman" w:hAnsi="Times New Roman"/>
          <w:vertAlign w:val="subscript"/>
        </w:rPr>
        <w:t>3</w:t>
      </w:r>
      <w:r w:rsidRPr="000211E1">
        <w:rPr>
          <w:rFonts w:ascii="Times New Roman" w:hAnsi="Times New Roman"/>
        </w:rPr>
        <w:t xml:space="preserve"> and R</w:t>
      </w:r>
      <w:r w:rsidRPr="000211E1">
        <w:rPr>
          <w:rFonts w:ascii="Times New Roman" w:hAnsi="Times New Roman"/>
          <w:vertAlign w:val="subscript"/>
        </w:rPr>
        <w:t>4</w:t>
      </w:r>
      <w:r w:rsidRPr="000211E1">
        <w:rPr>
          <w:rFonts w:ascii="Times New Roman" w:hAnsi="Times New Roman"/>
        </w:rPr>
        <w:t xml:space="preserve"> on the pyrimidine nucleus and its side chain, the size of which is R</w:t>
      </w:r>
      <w:r w:rsidRPr="000211E1">
        <w:rPr>
          <w:rFonts w:ascii="Times New Roman" w:hAnsi="Times New Roman"/>
          <w:vertAlign w:val="subscript"/>
        </w:rPr>
        <w:t>1</w:t>
      </w:r>
      <w:r w:rsidRPr="000211E1">
        <w:rPr>
          <w:rFonts w:ascii="Times New Roman" w:hAnsi="Times New Roman"/>
        </w:rPr>
        <w:t xml:space="preserve"> x R</w:t>
      </w:r>
      <w:r w:rsidRPr="000211E1">
        <w:rPr>
          <w:rFonts w:ascii="Times New Roman" w:hAnsi="Times New Roman"/>
          <w:vertAlign w:val="subscript"/>
        </w:rPr>
        <w:t>2</w:t>
      </w:r>
      <w:r w:rsidRPr="000211E1">
        <w:rPr>
          <w:rFonts w:ascii="Times New Roman" w:hAnsi="Times New Roman"/>
        </w:rPr>
        <w:t xml:space="preserve"> x R</w:t>
      </w:r>
      <w:r w:rsidRPr="000211E1">
        <w:rPr>
          <w:rFonts w:ascii="Times New Roman" w:hAnsi="Times New Roman"/>
          <w:vertAlign w:val="subscript"/>
        </w:rPr>
        <w:t>3</w:t>
      </w:r>
      <w:r w:rsidRPr="000211E1">
        <w:rPr>
          <w:rFonts w:ascii="Times New Roman" w:hAnsi="Times New Roman"/>
        </w:rPr>
        <w:t xml:space="preserve"> x R</w:t>
      </w:r>
      <w:r w:rsidRPr="000211E1">
        <w:rPr>
          <w:rFonts w:ascii="Times New Roman" w:hAnsi="Times New Roman"/>
          <w:vertAlign w:val="subscript"/>
        </w:rPr>
        <w:t>4</w:t>
      </w:r>
      <w:r w:rsidRPr="000211E1">
        <w:rPr>
          <w:rFonts w:ascii="Times New Roman" w:hAnsi="Times New Roman"/>
        </w:rPr>
        <w:t xml:space="preserve"> = 14 x 17 x 14 x 25 = 83.300 CNPA analog</w:t>
      </w:r>
      <w:r>
        <w:rPr>
          <w:rFonts w:ascii="Times New Roman" w:hAnsi="Times New Roman"/>
        </w:rPr>
        <w:t xml:space="preserve">s (CNPs analogs). </w:t>
      </w:r>
      <w:r w:rsidRPr="000211E1">
        <w:rPr>
          <w:rFonts w:ascii="Times New Roman" w:hAnsi="Times New Roman"/>
        </w:rPr>
        <w:t xml:space="preserve">This virtual combinatorial library has been filtered in order to retain the analogue which can be administered orally and which have a very good predictive pharmacokinetic profile. Following this filtering, a reduced virtual combinatory library of 32.856 analogues was obtained which represents 39.44% of its initial population. It was then screened from the generated PH4 3D-RQSA model of Hypo1. Only 127 analogues having a better alignment with the PH4 model were subjected to a last evaluation of their theoretical experimental activity or predicted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pre</m:t>
            </m:r>
          </m:sup>
        </m:sSubSup>
      </m:oMath>
      <w:r w:rsidRPr="000211E1">
        <w:rPr>
          <w:rFonts w:ascii="Times New Roman" w:hAnsi="Times New Roman"/>
        </w:rPr>
        <w:t>with the complexation method (</w:t>
      </w:r>
      <m:oMath>
        <m:sSubSup>
          <m:sSubSupPr>
            <m:ctrlPr>
              <w:rPr>
                <w:rFonts w:ascii="Cambria Math" w:eastAsia="Calibri" w:hAnsi="Cambria Math"/>
                <w:bCs/>
                <w:vertAlign w:val="superscript"/>
                <w:lang w:eastAsia="fr-FR"/>
              </w:rPr>
            </m:ctrlPr>
          </m:sSubSupPr>
          <m:e>
            <m:r>
              <m:rPr>
                <m:sty m:val="p"/>
              </m:rPr>
              <w:rPr>
                <w:rFonts w:ascii="Cambria Math" w:hAnsi="Cambria Math"/>
                <w:vertAlign w:val="superscript"/>
                <w:lang w:eastAsia="fr-FR"/>
              </w:rPr>
              <m:t>IC</m:t>
            </m:r>
          </m:e>
          <m:sub>
            <m:r>
              <m:rPr>
                <m:sty m:val="p"/>
              </m:rPr>
              <w:rPr>
                <w:rFonts w:ascii="Cambria Math" w:hAnsi="Cambria Math"/>
                <w:vertAlign w:val="superscript"/>
                <w:lang w:eastAsia="fr-FR"/>
              </w:rPr>
              <m:t>50</m:t>
            </m:r>
          </m:sub>
          <m:sup>
            <m:r>
              <m:rPr>
                <m:sty m:val="p"/>
              </m:rPr>
              <w:rPr>
                <w:rFonts w:ascii="Cambria Math" w:hAnsi="Cambria Math"/>
                <w:vertAlign w:val="superscript"/>
                <w:lang w:eastAsia="fr-FR"/>
              </w:rPr>
              <m:t>pre</m:t>
            </m:r>
          </m:sup>
        </m:sSubSup>
      </m:oMath>
      <w:r w:rsidRPr="000211E1">
        <w:rPr>
          <w:rFonts w:ascii="Times New Roman" w:hAnsi="Times New Roman"/>
        </w:rPr>
        <w:t xml:space="preserve"> is calculated from the correlation equation (3) Table 3). Finally, 52 analogues with better scores are selected and presented in table 8.</w:t>
      </w:r>
    </w:p>
    <w:p w:rsidR="004C79FA" w:rsidRDefault="004C79FA" w:rsidP="000211E1">
      <w:pPr>
        <w:jc w:val="both"/>
        <w:rPr>
          <w:rFonts w:ascii="Times New Roman" w:hAnsi="Times New Roman"/>
          <w:bCs/>
        </w:rPr>
      </w:pPr>
      <w:r w:rsidRPr="004C79FA">
        <w:rPr>
          <w:rFonts w:ascii="Times New Roman" w:hAnsi="Times New Roman"/>
          <w:bCs/>
        </w:rPr>
        <w:t>We have prepared histograms of frequency of appearance of groups R</w:t>
      </w:r>
      <w:r w:rsidRPr="004C79FA">
        <w:rPr>
          <w:rFonts w:ascii="Times New Roman" w:hAnsi="Times New Roman"/>
          <w:bCs/>
          <w:vertAlign w:val="subscript"/>
        </w:rPr>
        <w:t>1</w:t>
      </w:r>
      <w:r w:rsidRPr="004C79FA">
        <w:rPr>
          <w:rFonts w:ascii="Times New Roman" w:hAnsi="Times New Roman"/>
          <w:bCs/>
        </w:rPr>
        <w:t>, R</w:t>
      </w:r>
      <w:r w:rsidRPr="004C79FA">
        <w:rPr>
          <w:rFonts w:ascii="Times New Roman" w:hAnsi="Times New Roman"/>
          <w:bCs/>
          <w:vertAlign w:val="subscript"/>
        </w:rPr>
        <w:t>2</w:t>
      </w:r>
      <w:r w:rsidRPr="004C79FA">
        <w:rPr>
          <w:rFonts w:ascii="Times New Roman" w:hAnsi="Times New Roman"/>
          <w:bCs/>
        </w:rPr>
        <w:t>, R</w:t>
      </w:r>
      <w:r w:rsidRPr="004C79FA">
        <w:rPr>
          <w:rFonts w:ascii="Times New Roman" w:hAnsi="Times New Roman"/>
          <w:bCs/>
          <w:vertAlign w:val="subscript"/>
        </w:rPr>
        <w:t>3</w:t>
      </w:r>
      <w:r w:rsidRPr="004C79FA">
        <w:rPr>
          <w:rFonts w:ascii="Times New Roman" w:hAnsi="Times New Roman"/>
          <w:bCs/>
        </w:rPr>
        <w:t xml:space="preserve"> and R</w:t>
      </w:r>
      <w:r w:rsidRPr="004C79FA">
        <w:rPr>
          <w:rFonts w:ascii="Times New Roman" w:hAnsi="Times New Roman"/>
          <w:bCs/>
          <w:vertAlign w:val="subscript"/>
        </w:rPr>
        <w:t>4</w:t>
      </w:r>
      <w:r w:rsidRPr="004C79FA">
        <w:rPr>
          <w:rFonts w:ascii="Times New Roman" w:hAnsi="Times New Roman"/>
          <w:bCs/>
        </w:rPr>
        <w:t xml:space="preserve"> for the 52 CNPA. On the analysis of these histograms (Figure 6), it emerges that the fragments of greater occurrences (value in parentheses) are : 1(49), 2(1), 3(1), 4(1) in R</w:t>
      </w:r>
      <w:r w:rsidRPr="004C79FA">
        <w:rPr>
          <w:rFonts w:ascii="Times New Roman" w:hAnsi="Times New Roman"/>
          <w:bCs/>
          <w:vertAlign w:val="subscript"/>
        </w:rPr>
        <w:t>1</w:t>
      </w:r>
      <w:r w:rsidRPr="004C79FA">
        <w:rPr>
          <w:rFonts w:ascii="Times New Roman" w:hAnsi="Times New Roman"/>
          <w:bCs/>
        </w:rPr>
        <w:t xml:space="preserve"> for filling the S3 pocket ; 15(32), 31(20) in R</w:t>
      </w:r>
      <w:r w:rsidRPr="004C79FA">
        <w:rPr>
          <w:rFonts w:ascii="Times New Roman" w:hAnsi="Times New Roman"/>
          <w:bCs/>
          <w:vertAlign w:val="subscript"/>
        </w:rPr>
        <w:t xml:space="preserve">2 </w:t>
      </w:r>
      <w:r w:rsidRPr="004C79FA">
        <w:rPr>
          <w:rFonts w:ascii="Times New Roman" w:hAnsi="Times New Roman"/>
          <w:bCs/>
        </w:rPr>
        <w:t>and 38(14), 39(10), 40(12), 41(9) at R</w:t>
      </w:r>
      <w:r w:rsidRPr="004C79FA">
        <w:rPr>
          <w:rFonts w:ascii="Times New Roman" w:hAnsi="Times New Roman"/>
          <w:bCs/>
          <w:vertAlign w:val="subscript"/>
        </w:rPr>
        <w:t>3</w:t>
      </w:r>
      <w:r w:rsidRPr="004C79FA">
        <w:rPr>
          <w:rFonts w:ascii="Times New Roman" w:hAnsi="Times New Roman"/>
          <w:bCs/>
        </w:rPr>
        <w:t xml:space="preserve"> for filling the pocket S1 and finally preferentially the fragments 46(5), 49(4), 50(6), 51(4), 52(4), 53(5), 54(6), 55(6) and 56(6) in R</w:t>
      </w:r>
      <w:r w:rsidRPr="004C79FA">
        <w:rPr>
          <w:rFonts w:ascii="Times New Roman" w:hAnsi="Times New Roman"/>
          <w:bCs/>
          <w:vertAlign w:val="subscript"/>
        </w:rPr>
        <w:t>4</w:t>
      </w:r>
      <w:r w:rsidRPr="004C79FA">
        <w:rPr>
          <w:rFonts w:ascii="Times New Roman" w:hAnsi="Times New Roman"/>
          <w:bCs/>
        </w:rPr>
        <w:t xml:space="preserve"> for filling the pocket S2. The frequency of the occurrences of the groups R</w:t>
      </w:r>
      <w:r w:rsidRPr="004C79FA">
        <w:rPr>
          <w:rFonts w:ascii="Times New Roman" w:hAnsi="Times New Roman"/>
          <w:bCs/>
          <w:vertAlign w:val="subscript"/>
        </w:rPr>
        <w:t>1</w:t>
      </w:r>
      <w:r w:rsidRPr="004C79FA">
        <w:rPr>
          <w:rFonts w:ascii="Times New Roman" w:hAnsi="Times New Roman"/>
          <w:bCs/>
        </w:rPr>
        <w:t>, R</w:t>
      </w:r>
      <w:r w:rsidRPr="004C79FA">
        <w:rPr>
          <w:rFonts w:ascii="Times New Roman" w:hAnsi="Times New Roman"/>
          <w:bCs/>
          <w:vertAlign w:val="subscript"/>
        </w:rPr>
        <w:t>2</w:t>
      </w:r>
      <w:r w:rsidRPr="004C79FA">
        <w:rPr>
          <w:rFonts w:ascii="Times New Roman" w:hAnsi="Times New Roman"/>
          <w:bCs/>
        </w:rPr>
        <w:t>, R</w:t>
      </w:r>
      <w:r w:rsidRPr="004C79FA">
        <w:rPr>
          <w:rFonts w:ascii="Times New Roman" w:hAnsi="Times New Roman"/>
          <w:bCs/>
          <w:vertAlign w:val="subscript"/>
        </w:rPr>
        <w:t>3</w:t>
      </w:r>
      <w:r w:rsidRPr="004C79FA">
        <w:rPr>
          <w:rFonts w:ascii="Times New Roman" w:hAnsi="Times New Roman"/>
          <w:bCs/>
        </w:rPr>
        <w:t xml:space="preserve"> and R</w:t>
      </w:r>
      <w:r w:rsidRPr="004C79FA">
        <w:rPr>
          <w:rFonts w:ascii="Times New Roman" w:hAnsi="Times New Roman"/>
          <w:bCs/>
          <w:vertAlign w:val="subscript"/>
        </w:rPr>
        <w:t>4</w:t>
      </w:r>
      <w:r w:rsidRPr="004C79FA">
        <w:rPr>
          <w:rFonts w:ascii="Times New Roman" w:hAnsi="Times New Roman"/>
          <w:bCs/>
        </w:rPr>
        <w:t xml:space="preserve"> of the 52 best analogs following the superposition at PH4 is presented in following figure.</w:t>
      </w:r>
    </w:p>
    <w:p w:rsidR="004C79FA" w:rsidRPr="000211E1" w:rsidRDefault="004C79FA" w:rsidP="000211E1">
      <w:pPr>
        <w:jc w:val="both"/>
        <w:rPr>
          <w:rStyle w:val="A12"/>
          <w:rFonts w:ascii="Times New Roman" w:hAnsi="Times New Roman" w:cs="Times New Roman"/>
          <w:color w:val="auto"/>
          <w:sz w:val="20"/>
          <w:szCs w:val="20"/>
        </w:rPr>
      </w:pPr>
    </w:p>
    <w:p w:rsidR="000211E1" w:rsidRDefault="0002388B" w:rsidP="00E073E5">
      <w:pPr>
        <w:jc w:val="both"/>
        <w:rPr>
          <w:rFonts w:ascii="Times New Roman" w:hAnsi="Times New Roman"/>
          <w:sz w:val="18"/>
          <w:szCs w:val="18"/>
        </w:rPr>
      </w:pPr>
      <w:r w:rsidRPr="0002388B">
        <w:rPr>
          <w:rFonts w:ascii="Times New Roman" w:hAnsi="Times New Roman"/>
          <w:bCs/>
          <w:sz w:val="18"/>
          <w:szCs w:val="18"/>
        </w:rPr>
        <w:t>Table 8:</w:t>
      </w:r>
      <w:r w:rsidRPr="0002388B">
        <w:rPr>
          <w:rFonts w:ascii="Times New Roman" w:hAnsi="Times New Roman"/>
          <w:sz w:val="18"/>
          <w:szCs w:val="18"/>
        </w:rPr>
        <w:t xml:space="preserve"> Substituents used to generate the </w:t>
      </w:r>
      <w:r w:rsidR="00504E67">
        <w:rPr>
          <w:rFonts w:ascii="Times New Roman" w:hAnsi="Times New Roman"/>
          <w:sz w:val="18"/>
          <w:szCs w:val="18"/>
        </w:rPr>
        <w:t>VL</w:t>
      </w:r>
      <w:r w:rsidRPr="0002388B">
        <w:rPr>
          <w:rFonts w:ascii="Times New Roman" w:hAnsi="Times New Roman"/>
          <w:sz w:val="18"/>
          <w:szCs w:val="18"/>
        </w:rPr>
        <w:t xml:space="preserve"> of CNP analogs</w:t>
      </w:r>
    </w:p>
    <w:p w:rsidR="002560A2" w:rsidRDefault="002560A2" w:rsidP="002560A2">
      <w:pPr>
        <w:jc w:val="center"/>
        <w:rPr>
          <w:rStyle w:val="A12"/>
          <w:rFonts w:ascii="Times New Roman" w:eastAsia="Calibri" w:hAnsi="Times New Roman" w:cs="Times New Roman"/>
          <w:sz w:val="20"/>
          <w:szCs w:val="20"/>
        </w:rPr>
      </w:pPr>
      <w:r w:rsidRPr="008E6E74">
        <w:rPr>
          <w:sz w:val="18"/>
          <w:szCs w:val="18"/>
        </w:rPr>
        <w:object w:dxaOrig="4891" w:dyaOrig="2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2pt;height:65.1pt" o:ole="">
            <v:imagedata r:id="rId28" o:title=""/>
          </v:shape>
          <o:OLEObject Type="Embed" ProgID="ACD.ChemSketch.20" ShapeID="_x0000_i1026" DrawAspect="Content" ObjectID="_1759056974" r:id="rId29"/>
        </w:object>
      </w:r>
    </w:p>
    <w:tbl>
      <w:tblPr>
        <w:tblStyle w:val="TableGrid"/>
        <w:tblW w:w="0" w:type="auto"/>
        <w:jc w:val="center"/>
        <w:tblLook w:val="04A0"/>
      </w:tblPr>
      <w:tblGrid>
        <w:gridCol w:w="279"/>
        <w:gridCol w:w="1413"/>
        <w:gridCol w:w="426"/>
        <w:gridCol w:w="1113"/>
        <w:gridCol w:w="416"/>
        <w:gridCol w:w="1130"/>
      </w:tblGrid>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c>
          <w:tcPr>
            <w:tcW w:w="1413"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*R</w:t>
            </w:r>
            <w:r w:rsidRPr="00431435">
              <w:rPr>
                <w:rFonts w:ascii="Times New Roman" w:hAnsi="Times New Roman"/>
                <w:sz w:val="18"/>
                <w:szCs w:val="18"/>
                <w:vertAlign w:val="subscript"/>
              </w:rPr>
              <w:t>1</w:t>
            </w:r>
          </w:p>
        </w:tc>
        <w:tc>
          <w:tcPr>
            <w:tcW w:w="426"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c>
          <w:tcPr>
            <w:tcW w:w="1113"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R</w:t>
            </w:r>
            <w:r w:rsidRPr="00431435">
              <w:rPr>
                <w:rFonts w:ascii="Times New Roman" w:hAnsi="Times New Roman"/>
                <w:sz w:val="18"/>
                <w:szCs w:val="18"/>
                <w:vertAlign w:val="subscript"/>
              </w:rPr>
              <w:t>2</w:t>
            </w:r>
          </w:p>
        </w:tc>
        <w:tc>
          <w:tcPr>
            <w:tcW w:w="416"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c>
          <w:tcPr>
            <w:tcW w:w="1130"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R</w:t>
            </w:r>
            <w:r w:rsidRPr="00431435">
              <w:rPr>
                <w:rFonts w:ascii="Times New Roman" w:hAnsi="Times New Roman"/>
                <w:sz w:val="18"/>
                <w:szCs w:val="18"/>
                <w:vertAlign w:val="subscript"/>
              </w:rPr>
              <w:t>3</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w:t>
            </w:r>
          </w:p>
        </w:tc>
        <w:tc>
          <w:tcPr>
            <w:tcW w:w="1413" w:type="dxa"/>
            <w:tcMar>
              <w:left w:w="28" w:type="dxa"/>
              <w:right w:w="28" w:type="dxa"/>
            </w:tcMar>
            <w:vAlign w:val="center"/>
          </w:tcPr>
          <w:p w:rsidR="0002388B" w:rsidRPr="00431435" w:rsidRDefault="002560A2"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11</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15</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–CH</w:t>
            </w:r>
            <w:r w:rsidRPr="00431435">
              <w:rPr>
                <w:rFonts w:ascii="Times New Roman" w:hAnsi="Times New Roman"/>
                <w:sz w:val="18"/>
                <w:szCs w:val="18"/>
                <w:vertAlign w:val="subscript"/>
              </w:rPr>
              <w:t>3</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32</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3</w:t>
            </w:r>
            <w:r w:rsidRPr="00431435">
              <w:rPr>
                <w:rFonts w:ascii="Times New Roman" w:hAnsi="Times New Roman"/>
                <w:sz w:val="18"/>
                <w:szCs w:val="18"/>
              </w:rPr>
              <w:t>H</w:t>
            </w:r>
            <w:r w:rsidRPr="00431435">
              <w:rPr>
                <w:rFonts w:ascii="Times New Roman" w:hAnsi="Times New Roman"/>
                <w:sz w:val="18"/>
                <w:szCs w:val="18"/>
                <w:vertAlign w:val="subscript"/>
              </w:rPr>
              <w:t>7</w:t>
            </w:r>
            <w:r w:rsidRPr="00431435">
              <w:rPr>
                <w:rFonts w:ascii="Times New Roman" w:hAnsi="Times New Roman"/>
                <w:sz w:val="18"/>
                <w:szCs w:val="18"/>
              </w:rPr>
              <w:t>O</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w:t>
            </w:r>
          </w:p>
        </w:tc>
        <w:tc>
          <w:tcPr>
            <w:tcW w:w="1413" w:type="dxa"/>
            <w:tcMar>
              <w:left w:w="28" w:type="dxa"/>
              <w:right w:w="28" w:type="dxa"/>
            </w:tcMar>
            <w:vAlign w:val="center"/>
          </w:tcPr>
          <w:p w:rsidR="0002388B" w:rsidRPr="00431435" w:rsidRDefault="002560A2"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10</w:t>
            </w:r>
            <w:r w:rsidRPr="00431435">
              <w:rPr>
                <w:rFonts w:ascii="Times New Roman" w:hAnsi="Times New Roman"/>
                <w:sz w:val="18"/>
                <w:szCs w:val="18"/>
              </w:rPr>
              <w:t>OH</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16</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–OH</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33</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–CONH</w:t>
            </w:r>
            <w:r w:rsidRPr="00431435">
              <w:rPr>
                <w:rFonts w:ascii="Times New Roman" w:hAnsi="Times New Roman"/>
                <w:sz w:val="18"/>
                <w:szCs w:val="18"/>
                <w:vertAlign w:val="subscript"/>
              </w:rPr>
              <w:t>2</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w:t>
            </w:r>
          </w:p>
        </w:tc>
        <w:tc>
          <w:tcPr>
            <w:tcW w:w="1413" w:type="dxa"/>
            <w:tcMar>
              <w:left w:w="28" w:type="dxa"/>
              <w:right w:w="28" w:type="dxa"/>
            </w:tcMar>
            <w:vAlign w:val="center"/>
          </w:tcPr>
          <w:p w:rsidR="0002388B" w:rsidRPr="00431435" w:rsidRDefault="002560A2"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–Me(C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17</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–CH</w:t>
            </w:r>
            <w:r w:rsidRPr="00431435">
              <w:rPr>
                <w:rFonts w:ascii="Times New Roman" w:hAnsi="Times New Roman"/>
                <w:sz w:val="18"/>
                <w:szCs w:val="18"/>
                <w:vertAlign w:val="subscript"/>
              </w:rPr>
              <w:t>2</w:t>
            </w:r>
            <w:r w:rsidRPr="00431435">
              <w:rPr>
                <w:rFonts w:ascii="Times New Roman" w:hAnsi="Times New Roman"/>
                <w:sz w:val="18"/>
                <w:szCs w:val="18"/>
              </w:rPr>
              <w:t>F</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34</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–CH</w:t>
            </w:r>
            <w:r w:rsidRPr="00431435">
              <w:rPr>
                <w:rFonts w:ascii="Times New Roman" w:hAnsi="Times New Roman"/>
                <w:sz w:val="18"/>
                <w:szCs w:val="18"/>
                <w:vertAlign w:val="subscript"/>
              </w:rPr>
              <w:t>2</w:t>
            </w:r>
            <w:r w:rsidRPr="00431435">
              <w:rPr>
                <w:rFonts w:ascii="Times New Roman" w:hAnsi="Times New Roman"/>
                <w:sz w:val="18"/>
                <w:szCs w:val="18"/>
              </w:rPr>
              <w:t>CO</w:t>
            </w:r>
            <w:r w:rsidRPr="00431435">
              <w:rPr>
                <w:rFonts w:ascii="Times New Roman" w:hAnsi="Times New Roman"/>
                <w:sz w:val="18"/>
                <w:szCs w:val="18"/>
                <w:vertAlign w:val="subscript"/>
              </w:rPr>
              <w:t>2</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w:t>
            </w:r>
          </w:p>
        </w:tc>
        <w:tc>
          <w:tcPr>
            <w:tcW w:w="1413" w:type="dxa"/>
            <w:tcMar>
              <w:left w:w="28" w:type="dxa"/>
              <w:right w:w="28" w:type="dxa"/>
            </w:tcMar>
            <w:vAlign w:val="center"/>
          </w:tcPr>
          <w:p w:rsidR="0002388B" w:rsidRPr="00431435" w:rsidRDefault="00092EDA"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1,2-diMe(C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18</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–CH</w:t>
            </w:r>
            <w:r w:rsidRPr="00431435">
              <w:rPr>
                <w:rFonts w:ascii="Times New Roman" w:hAnsi="Times New Roman"/>
                <w:sz w:val="18"/>
                <w:szCs w:val="18"/>
                <w:vertAlign w:val="subscript"/>
              </w:rPr>
              <w:t>2</w:t>
            </w:r>
            <w:r w:rsidRPr="00431435">
              <w:rPr>
                <w:rFonts w:ascii="Times New Roman" w:hAnsi="Times New Roman"/>
                <w:sz w:val="18"/>
                <w:szCs w:val="18"/>
              </w:rPr>
              <w:t>Cl</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35</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2</w:t>
            </w:r>
            <w:r w:rsidRPr="00431435">
              <w:rPr>
                <w:rFonts w:ascii="Times New Roman" w:hAnsi="Times New Roman"/>
                <w:sz w:val="18"/>
                <w:szCs w:val="18"/>
              </w:rPr>
              <w:t>H</w:t>
            </w:r>
            <w:r w:rsidRPr="00431435">
              <w:rPr>
                <w:rFonts w:ascii="Times New Roman" w:hAnsi="Times New Roman"/>
                <w:sz w:val="18"/>
                <w:szCs w:val="18"/>
                <w:vertAlign w:val="subscript"/>
              </w:rPr>
              <w:t>5</w:t>
            </w:r>
            <w:r w:rsidRPr="00431435">
              <w:rPr>
                <w:rFonts w:ascii="Times New Roman" w:hAnsi="Times New Roman"/>
                <w:sz w:val="18"/>
                <w:szCs w:val="18"/>
              </w:rPr>
              <w:t>CONH</w:t>
            </w:r>
            <w:r w:rsidRPr="00431435">
              <w:rPr>
                <w:rFonts w:ascii="Times New Roman" w:hAnsi="Times New Roman"/>
                <w:sz w:val="18"/>
                <w:szCs w:val="18"/>
                <w:vertAlign w:val="subscript"/>
              </w:rPr>
              <w:t>2</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w:t>
            </w:r>
          </w:p>
        </w:tc>
        <w:tc>
          <w:tcPr>
            <w:tcW w:w="1413" w:type="dxa"/>
            <w:tcMar>
              <w:left w:w="28" w:type="dxa"/>
              <w:right w:w="28" w:type="dxa"/>
            </w:tcMar>
            <w:vAlign w:val="center"/>
          </w:tcPr>
          <w:p w:rsidR="0002388B" w:rsidRPr="00431435" w:rsidRDefault="00092EDA"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–Phe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19</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–NO</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36</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–OC</w:t>
            </w:r>
            <w:r w:rsidRPr="00431435">
              <w:rPr>
                <w:rFonts w:ascii="Times New Roman" w:hAnsi="Times New Roman"/>
                <w:sz w:val="18"/>
                <w:szCs w:val="18"/>
                <w:vertAlign w:val="subscript"/>
              </w:rPr>
              <w:t>3</w:t>
            </w:r>
            <w:r w:rsidRPr="00431435">
              <w:rPr>
                <w:rFonts w:ascii="Times New Roman" w:hAnsi="Times New Roman"/>
                <w:sz w:val="18"/>
                <w:szCs w:val="18"/>
              </w:rPr>
              <w:t>H</w:t>
            </w:r>
            <w:r w:rsidRPr="00431435">
              <w:rPr>
                <w:rFonts w:ascii="Times New Roman" w:hAnsi="Times New Roman"/>
                <w:sz w:val="18"/>
                <w:szCs w:val="18"/>
                <w:vertAlign w:val="subscript"/>
              </w:rPr>
              <w:t>7</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6</w:t>
            </w:r>
          </w:p>
        </w:tc>
        <w:tc>
          <w:tcPr>
            <w:tcW w:w="1413" w:type="dxa"/>
            <w:tcMar>
              <w:left w:w="28" w:type="dxa"/>
              <w:right w:w="28" w:type="dxa"/>
            </w:tcMar>
            <w:vAlign w:val="center"/>
          </w:tcPr>
          <w:p w:rsidR="0002388B" w:rsidRPr="00431435" w:rsidRDefault="00092EDA"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–Me(phe)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20</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–NO</w:t>
            </w:r>
            <w:r w:rsidRPr="00431435">
              <w:rPr>
                <w:rFonts w:ascii="Times New Roman" w:hAnsi="Times New Roman"/>
                <w:sz w:val="18"/>
                <w:szCs w:val="18"/>
                <w:vertAlign w:val="subscript"/>
              </w:rPr>
              <w:t>2</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37</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–OC</w:t>
            </w:r>
            <w:r w:rsidRPr="00431435">
              <w:rPr>
                <w:rFonts w:ascii="Times New Roman" w:hAnsi="Times New Roman"/>
                <w:sz w:val="18"/>
                <w:szCs w:val="18"/>
                <w:vertAlign w:val="subscript"/>
              </w:rPr>
              <w:t>2</w:t>
            </w:r>
            <w:r w:rsidRPr="00431435">
              <w:rPr>
                <w:rFonts w:ascii="Times New Roman" w:hAnsi="Times New Roman"/>
                <w:sz w:val="18"/>
                <w:szCs w:val="18"/>
              </w:rPr>
              <w:t>H</w:t>
            </w:r>
            <w:r w:rsidRPr="00431435">
              <w:rPr>
                <w:rFonts w:ascii="Times New Roman" w:hAnsi="Times New Roman"/>
                <w:sz w:val="18"/>
                <w:szCs w:val="18"/>
                <w:vertAlign w:val="subscript"/>
              </w:rPr>
              <w:t>5</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7</w:t>
            </w:r>
          </w:p>
        </w:tc>
        <w:tc>
          <w:tcPr>
            <w:tcW w:w="1413" w:type="dxa"/>
            <w:tcMar>
              <w:left w:w="28" w:type="dxa"/>
              <w:right w:w="28" w:type="dxa"/>
            </w:tcMar>
            <w:vAlign w:val="center"/>
          </w:tcPr>
          <w:p w:rsidR="0002388B" w:rsidRPr="00431435" w:rsidRDefault="00092EDA"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Piperidine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21</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–CH</w:t>
            </w:r>
            <w:r w:rsidRPr="00431435">
              <w:rPr>
                <w:rFonts w:ascii="Times New Roman" w:hAnsi="Times New Roman"/>
                <w:sz w:val="18"/>
                <w:szCs w:val="18"/>
                <w:vertAlign w:val="subscript"/>
              </w:rPr>
              <w:t>2</w:t>
            </w:r>
            <w:r w:rsidRPr="00431435">
              <w:rPr>
                <w:rFonts w:ascii="Times New Roman" w:hAnsi="Times New Roman"/>
                <w:sz w:val="18"/>
                <w:szCs w:val="18"/>
              </w:rPr>
              <w:t>I</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38</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4</w:t>
            </w:r>
            <w:r w:rsidRPr="00431435">
              <w:rPr>
                <w:rFonts w:ascii="Times New Roman" w:hAnsi="Times New Roman"/>
                <w:sz w:val="18"/>
                <w:szCs w:val="18"/>
              </w:rPr>
              <w:t>H</w:t>
            </w:r>
            <w:r w:rsidRPr="00431435">
              <w:rPr>
                <w:rFonts w:ascii="Times New Roman" w:hAnsi="Times New Roman"/>
                <w:sz w:val="18"/>
                <w:szCs w:val="18"/>
                <w:vertAlign w:val="subscript"/>
              </w:rPr>
              <w:t>9</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8</w:t>
            </w:r>
          </w:p>
        </w:tc>
        <w:tc>
          <w:tcPr>
            <w:tcW w:w="1413" w:type="dxa"/>
            <w:tcMar>
              <w:left w:w="28" w:type="dxa"/>
              <w:right w:w="28" w:type="dxa"/>
            </w:tcMar>
            <w:vAlign w:val="center"/>
          </w:tcPr>
          <w:p w:rsidR="0002388B" w:rsidRPr="00431435" w:rsidRDefault="00092EDA"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2-Me(piperidine)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22</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–CH</w:t>
            </w:r>
            <w:r w:rsidRPr="00431435">
              <w:rPr>
                <w:rFonts w:ascii="Times New Roman" w:hAnsi="Times New Roman"/>
                <w:sz w:val="18"/>
                <w:szCs w:val="18"/>
                <w:vertAlign w:val="subscript"/>
              </w:rPr>
              <w:t>2</w:t>
            </w:r>
            <w:r w:rsidRPr="00431435">
              <w:rPr>
                <w:rFonts w:ascii="Times New Roman" w:hAnsi="Times New Roman"/>
                <w:sz w:val="18"/>
                <w:szCs w:val="18"/>
              </w:rPr>
              <w:t>Br</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39</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4</w:t>
            </w:r>
            <w:r w:rsidRPr="00431435">
              <w:rPr>
                <w:rFonts w:ascii="Times New Roman" w:hAnsi="Times New Roman"/>
                <w:sz w:val="18"/>
                <w:szCs w:val="18"/>
              </w:rPr>
              <w:t>H</w:t>
            </w:r>
            <w:r w:rsidRPr="00431435">
              <w:rPr>
                <w:rFonts w:ascii="Times New Roman" w:hAnsi="Times New Roman"/>
                <w:sz w:val="18"/>
                <w:szCs w:val="18"/>
                <w:vertAlign w:val="subscript"/>
              </w:rPr>
              <w:t>9</w:t>
            </w:r>
            <w:r w:rsidRPr="00431435">
              <w:rPr>
                <w:rFonts w:ascii="Times New Roman" w:hAnsi="Times New Roman"/>
                <w:sz w:val="18"/>
                <w:szCs w:val="18"/>
              </w:rPr>
              <w:t>OH</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9</w:t>
            </w:r>
          </w:p>
        </w:tc>
        <w:tc>
          <w:tcPr>
            <w:tcW w:w="1413" w:type="dxa"/>
            <w:tcMar>
              <w:left w:w="28" w:type="dxa"/>
              <w:right w:w="28" w:type="dxa"/>
            </w:tcMar>
            <w:vAlign w:val="center"/>
          </w:tcPr>
          <w:p w:rsidR="0002388B" w:rsidRPr="00431435" w:rsidRDefault="00092EDA"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3-Me(piperidine)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23</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–F</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40</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5</w:t>
            </w:r>
            <w:r w:rsidRPr="00431435">
              <w:rPr>
                <w:rFonts w:ascii="Times New Roman" w:hAnsi="Times New Roman"/>
                <w:sz w:val="18"/>
                <w:szCs w:val="18"/>
              </w:rPr>
              <w:t>H</w:t>
            </w:r>
            <w:r w:rsidRPr="00431435">
              <w:rPr>
                <w:rFonts w:ascii="Times New Roman" w:hAnsi="Times New Roman"/>
                <w:sz w:val="18"/>
                <w:szCs w:val="18"/>
                <w:vertAlign w:val="subscript"/>
              </w:rPr>
              <w:t>11</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10</w:t>
            </w:r>
          </w:p>
        </w:tc>
        <w:tc>
          <w:tcPr>
            <w:tcW w:w="14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4-Me(piperidine)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24</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–Cl</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41</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5</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OH</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11</w:t>
            </w:r>
          </w:p>
        </w:tc>
        <w:tc>
          <w:tcPr>
            <w:tcW w:w="14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Pyridine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25</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–Br</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42</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5</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F</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12</w:t>
            </w:r>
          </w:p>
        </w:tc>
        <w:tc>
          <w:tcPr>
            <w:tcW w:w="14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2-Me(pyridine)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26</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–I</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43</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5</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Cl</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13</w:t>
            </w:r>
          </w:p>
        </w:tc>
        <w:tc>
          <w:tcPr>
            <w:tcW w:w="14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3-Me(pyridine)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27</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–CCl</w:t>
            </w:r>
            <w:r w:rsidRPr="00431435">
              <w:rPr>
                <w:rFonts w:ascii="Times New Roman" w:hAnsi="Times New Roman"/>
                <w:sz w:val="18"/>
                <w:szCs w:val="18"/>
                <w:vertAlign w:val="subscript"/>
              </w:rPr>
              <w:t>3</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44</w:t>
            </w:r>
          </w:p>
        </w:tc>
        <w:tc>
          <w:tcPr>
            <w:tcW w:w="1130"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5</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Br</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14</w:t>
            </w:r>
          </w:p>
        </w:tc>
        <w:tc>
          <w:tcPr>
            <w:tcW w:w="14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4-Me(pyridine)</w:t>
            </w: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28</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–CF</w:t>
            </w:r>
            <w:r w:rsidRPr="00431435">
              <w:rPr>
                <w:rFonts w:ascii="Times New Roman" w:hAnsi="Times New Roman"/>
                <w:sz w:val="18"/>
                <w:szCs w:val="18"/>
                <w:vertAlign w:val="subscript"/>
              </w:rPr>
              <w:t>3</w:t>
            </w:r>
          </w:p>
        </w:tc>
        <w:tc>
          <w:tcPr>
            <w:tcW w:w="416" w:type="dxa"/>
            <w:tcMar>
              <w:left w:w="28" w:type="dxa"/>
              <w:right w:w="28" w:type="dxa"/>
            </w:tcMar>
            <w:vAlign w:val="center"/>
          </w:tcPr>
          <w:p w:rsidR="0002388B" w:rsidRPr="00431435" w:rsidRDefault="002011B0"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45</w:t>
            </w:r>
          </w:p>
        </w:tc>
        <w:tc>
          <w:tcPr>
            <w:tcW w:w="1130" w:type="dxa"/>
            <w:tcMar>
              <w:left w:w="28" w:type="dxa"/>
              <w:right w:w="28" w:type="dxa"/>
            </w:tcMar>
            <w:vAlign w:val="center"/>
          </w:tcPr>
          <w:p w:rsidR="0002388B"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w:t>
            </w:r>
            <w:r w:rsidRPr="00431435">
              <w:rPr>
                <w:rFonts w:ascii="Times New Roman" w:hAnsi="Times New Roman"/>
                <w:sz w:val="18"/>
                <w:szCs w:val="18"/>
                <w:vertAlign w:val="subscript"/>
              </w:rPr>
              <w:t>5</w:t>
            </w:r>
            <w:r w:rsidRPr="00431435">
              <w:rPr>
                <w:rFonts w:ascii="Times New Roman" w:hAnsi="Times New Roman"/>
                <w:sz w:val="18"/>
                <w:szCs w:val="18"/>
              </w:rPr>
              <w:t>H</w:t>
            </w:r>
            <w:r w:rsidRPr="00431435">
              <w:rPr>
                <w:rFonts w:ascii="Times New Roman" w:hAnsi="Times New Roman"/>
                <w:sz w:val="18"/>
                <w:szCs w:val="18"/>
                <w:vertAlign w:val="subscript"/>
              </w:rPr>
              <w:t>11</w:t>
            </w:r>
            <w:r w:rsidRPr="00431435">
              <w:rPr>
                <w:rFonts w:ascii="Times New Roman" w:hAnsi="Times New Roman"/>
                <w:sz w:val="18"/>
                <w:szCs w:val="18"/>
              </w:rPr>
              <w:t>I</w:t>
            </w:r>
          </w:p>
        </w:tc>
      </w:tr>
      <w:tr w:rsidR="0002388B" w:rsidRPr="00431435" w:rsidTr="00431435">
        <w:trPr>
          <w:jc w:val="center"/>
        </w:trPr>
        <w:tc>
          <w:tcPr>
            <w:tcW w:w="279"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c>
          <w:tcPr>
            <w:tcW w:w="1413"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c>
          <w:tcPr>
            <w:tcW w:w="426"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29</w:t>
            </w:r>
          </w:p>
        </w:tc>
        <w:tc>
          <w:tcPr>
            <w:tcW w:w="1113" w:type="dxa"/>
            <w:tcMar>
              <w:left w:w="28" w:type="dxa"/>
              <w:right w:w="28" w:type="dxa"/>
            </w:tcMar>
            <w:vAlign w:val="center"/>
          </w:tcPr>
          <w:p w:rsidR="0002388B"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–CBr</w:t>
            </w:r>
            <w:r w:rsidRPr="00431435">
              <w:rPr>
                <w:rFonts w:ascii="Times New Roman" w:hAnsi="Times New Roman"/>
                <w:sz w:val="18"/>
                <w:szCs w:val="18"/>
                <w:vertAlign w:val="subscript"/>
              </w:rPr>
              <w:t>3</w:t>
            </w:r>
          </w:p>
        </w:tc>
        <w:tc>
          <w:tcPr>
            <w:tcW w:w="416"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c>
          <w:tcPr>
            <w:tcW w:w="1130" w:type="dxa"/>
            <w:tcMar>
              <w:left w:w="28" w:type="dxa"/>
              <w:right w:w="28" w:type="dxa"/>
            </w:tcMar>
            <w:vAlign w:val="center"/>
          </w:tcPr>
          <w:p w:rsidR="0002388B" w:rsidRPr="00431435" w:rsidRDefault="0002388B" w:rsidP="00431435">
            <w:pPr>
              <w:jc w:val="center"/>
              <w:rPr>
                <w:rStyle w:val="A12"/>
                <w:rFonts w:ascii="Times New Roman" w:eastAsia="Calibri" w:hAnsi="Times New Roman" w:cs="Times New Roman"/>
                <w:sz w:val="18"/>
                <w:szCs w:val="18"/>
              </w:rPr>
            </w:pPr>
          </w:p>
        </w:tc>
      </w:tr>
      <w:tr w:rsidR="00DB3A61" w:rsidRPr="00431435" w:rsidTr="00431435">
        <w:trPr>
          <w:jc w:val="center"/>
        </w:trPr>
        <w:tc>
          <w:tcPr>
            <w:tcW w:w="279"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c>
          <w:tcPr>
            <w:tcW w:w="1413"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c>
          <w:tcPr>
            <w:tcW w:w="426"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30</w:t>
            </w:r>
          </w:p>
        </w:tc>
        <w:tc>
          <w:tcPr>
            <w:tcW w:w="1113"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–CI</w:t>
            </w:r>
            <w:r w:rsidRPr="00431435">
              <w:rPr>
                <w:rFonts w:ascii="Times New Roman" w:hAnsi="Times New Roman"/>
                <w:sz w:val="18"/>
                <w:szCs w:val="18"/>
                <w:vertAlign w:val="subscript"/>
              </w:rPr>
              <w:t>3</w:t>
            </w:r>
          </w:p>
        </w:tc>
        <w:tc>
          <w:tcPr>
            <w:tcW w:w="416"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c>
          <w:tcPr>
            <w:tcW w:w="1130"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r>
      <w:tr w:rsidR="00DB3A61" w:rsidRPr="00431435" w:rsidTr="00431435">
        <w:trPr>
          <w:jc w:val="center"/>
        </w:trPr>
        <w:tc>
          <w:tcPr>
            <w:tcW w:w="279"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c>
          <w:tcPr>
            <w:tcW w:w="1413"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c>
          <w:tcPr>
            <w:tcW w:w="426"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31</w:t>
            </w:r>
          </w:p>
        </w:tc>
        <w:tc>
          <w:tcPr>
            <w:tcW w:w="1113" w:type="dxa"/>
            <w:tcMar>
              <w:left w:w="28" w:type="dxa"/>
              <w:right w:w="28" w:type="dxa"/>
            </w:tcMar>
            <w:vAlign w:val="center"/>
          </w:tcPr>
          <w:p w:rsidR="00DB3A61" w:rsidRPr="00431435" w:rsidRDefault="00DB3A61" w:rsidP="00431435">
            <w:pPr>
              <w:jc w:val="center"/>
              <w:rPr>
                <w:rFonts w:ascii="Times New Roman" w:hAnsi="Times New Roman"/>
                <w:sz w:val="18"/>
                <w:szCs w:val="18"/>
              </w:rPr>
            </w:pPr>
            <w:r w:rsidRPr="00431435">
              <w:rPr>
                <w:rFonts w:ascii="Times New Roman" w:hAnsi="Times New Roman"/>
                <w:sz w:val="18"/>
                <w:szCs w:val="18"/>
              </w:rPr>
              <w:t>–H</w:t>
            </w:r>
          </w:p>
        </w:tc>
        <w:tc>
          <w:tcPr>
            <w:tcW w:w="416"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c>
          <w:tcPr>
            <w:tcW w:w="1130" w:type="dxa"/>
            <w:tcMar>
              <w:left w:w="28" w:type="dxa"/>
              <w:right w:w="28" w:type="dxa"/>
            </w:tcMar>
            <w:vAlign w:val="center"/>
          </w:tcPr>
          <w:p w:rsidR="00DB3A61" w:rsidRPr="00431435" w:rsidRDefault="00DB3A61" w:rsidP="00431435">
            <w:pPr>
              <w:jc w:val="center"/>
              <w:rPr>
                <w:rStyle w:val="A12"/>
                <w:rFonts w:ascii="Times New Roman" w:eastAsia="Calibri" w:hAnsi="Times New Roman" w:cs="Times New Roman"/>
                <w:sz w:val="18"/>
                <w:szCs w:val="18"/>
              </w:rPr>
            </w:pPr>
          </w:p>
        </w:tc>
      </w:tr>
      <w:tr w:rsidR="008A582F" w:rsidRPr="00431435" w:rsidTr="00431435">
        <w:trPr>
          <w:jc w:val="center"/>
        </w:trPr>
        <w:tc>
          <w:tcPr>
            <w:tcW w:w="4777" w:type="dxa"/>
            <w:gridSpan w:val="6"/>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R</w:t>
            </w:r>
            <w:r w:rsidRPr="00431435">
              <w:rPr>
                <w:rFonts w:ascii="Times New Roman" w:hAnsi="Times New Roman"/>
                <w:sz w:val="18"/>
                <w:szCs w:val="18"/>
                <w:vertAlign w:val="subscript"/>
              </w:rPr>
              <w:t>4</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46</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lang w:val="fr-FR"/>
              </w:rPr>
              <w:t>2,4-diMe(C</w:t>
            </w:r>
            <w:r w:rsidRPr="00431435">
              <w:rPr>
                <w:rFonts w:ascii="Times New Roman" w:hAnsi="Times New Roman"/>
                <w:sz w:val="18"/>
                <w:szCs w:val="18"/>
                <w:vertAlign w:val="subscript"/>
                <w:lang w:val="fr-FR"/>
              </w:rPr>
              <w:t>6</w:t>
            </w:r>
            <w:r w:rsidRPr="00431435">
              <w:rPr>
                <w:rFonts w:ascii="Times New Roman" w:hAnsi="Times New Roman"/>
                <w:sz w:val="18"/>
                <w:szCs w:val="18"/>
                <w:lang w:val="fr-FR"/>
              </w:rPr>
              <w:t>H</w:t>
            </w:r>
            <w:r w:rsidRPr="00431435">
              <w:rPr>
                <w:rFonts w:ascii="Times New Roman" w:hAnsi="Times New Roman"/>
                <w:sz w:val="18"/>
                <w:szCs w:val="18"/>
                <w:vertAlign w:val="subscript"/>
                <w:lang w:val="fr-FR"/>
              </w:rPr>
              <w:t>12</w:t>
            </w:r>
            <w:r w:rsidRPr="00431435">
              <w:rPr>
                <w:rFonts w:ascii="Times New Roman" w:hAnsi="Times New Roman"/>
                <w:sz w:val="18"/>
                <w:szCs w:val="18"/>
                <w:lang w:val="fr-FR"/>
              </w:rPr>
              <w:t>)carboxamide</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47</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lang w:val="fr-FR"/>
              </w:rPr>
              <w:t>2,3-diMe(C</w:t>
            </w:r>
            <w:r w:rsidRPr="00431435">
              <w:rPr>
                <w:rFonts w:ascii="Times New Roman" w:hAnsi="Times New Roman"/>
                <w:sz w:val="18"/>
                <w:szCs w:val="18"/>
                <w:vertAlign w:val="subscript"/>
                <w:lang w:val="fr-FR"/>
              </w:rPr>
              <w:t>6</w:t>
            </w:r>
            <w:r w:rsidRPr="00431435">
              <w:rPr>
                <w:rFonts w:ascii="Times New Roman" w:hAnsi="Times New Roman"/>
                <w:sz w:val="18"/>
                <w:szCs w:val="18"/>
                <w:lang w:val="fr-FR"/>
              </w:rPr>
              <w:t>H</w:t>
            </w:r>
            <w:r w:rsidRPr="00431435">
              <w:rPr>
                <w:rFonts w:ascii="Times New Roman" w:hAnsi="Times New Roman"/>
                <w:sz w:val="18"/>
                <w:szCs w:val="18"/>
                <w:vertAlign w:val="subscript"/>
                <w:lang w:val="fr-FR"/>
              </w:rPr>
              <w:t>12</w:t>
            </w:r>
            <w:r w:rsidRPr="00431435">
              <w:rPr>
                <w:rFonts w:ascii="Times New Roman" w:hAnsi="Times New Roman"/>
                <w:sz w:val="18"/>
                <w:szCs w:val="18"/>
                <w:lang w:val="fr-FR"/>
              </w:rPr>
              <w:t>)carboxamide</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48</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lang w:val="fr-FR"/>
              </w:rPr>
              <w:t>4-Et-2-Me(C</w:t>
            </w:r>
            <w:r w:rsidRPr="00431435">
              <w:rPr>
                <w:rFonts w:ascii="Times New Roman" w:hAnsi="Times New Roman"/>
                <w:sz w:val="18"/>
                <w:szCs w:val="18"/>
                <w:vertAlign w:val="subscript"/>
                <w:lang w:val="fr-FR"/>
              </w:rPr>
              <w:t>6</w:t>
            </w:r>
            <w:r w:rsidRPr="00431435">
              <w:rPr>
                <w:rFonts w:ascii="Times New Roman" w:hAnsi="Times New Roman"/>
                <w:sz w:val="18"/>
                <w:szCs w:val="18"/>
                <w:lang w:val="fr-FR"/>
              </w:rPr>
              <w:t>H</w:t>
            </w:r>
            <w:r w:rsidRPr="00431435">
              <w:rPr>
                <w:rFonts w:ascii="Times New Roman" w:hAnsi="Times New Roman"/>
                <w:sz w:val="18"/>
                <w:szCs w:val="18"/>
                <w:vertAlign w:val="subscript"/>
                <w:lang w:val="fr-FR"/>
              </w:rPr>
              <w:t>12</w:t>
            </w:r>
            <w:r w:rsidRPr="00431435">
              <w:rPr>
                <w:rFonts w:ascii="Times New Roman" w:hAnsi="Times New Roman"/>
                <w:sz w:val="18"/>
                <w:szCs w:val="18"/>
                <w:lang w:val="fr-FR"/>
              </w:rPr>
              <w:t>)carboxamide</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49</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lang w:val="fr-FR"/>
              </w:rPr>
              <w:t>But(C</w:t>
            </w:r>
            <w:r w:rsidRPr="00431435">
              <w:rPr>
                <w:rFonts w:ascii="Times New Roman" w:hAnsi="Times New Roman"/>
                <w:sz w:val="18"/>
                <w:szCs w:val="18"/>
                <w:vertAlign w:val="subscript"/>
                <w:lang w:val="fr-FR"/>
              </w:rPr>
              <w:t>6</w:t>
            </w:r>
            <w:r w:rsidRPr="00431435">
              <w:rPr>
                <w:rFonts w:ascii="Times New Roman" w:hAnsi="Times New Roman"/>
                <w:sz w:val="18"/>
                <w:szCs w:val="18"/>
                <w:lang w:val="fr-FR"/>
              </w:rPr>
              <w:t>H</w:t>
            </w:r>
            <w:r w:rsidRPr="00431435">
              <w:rPr>
                <w:rFonts w:ascii="Times New Roman" w:hAnsi="Times New Roman"/>
                <w:sz w:val="18"/>
                <w:szCs w:val="18"/>
                <w:vertAlign w:val="subscript"/>
                <w:lang w:val="fr-FR"/>
              </w:rPr>
              <w:t>12</w:t>
            </w:r>
            <w:r w:rsidRPr="00431435">
              <w:rPr>
                <w:rFonts w:ascii="Times New Roman" w:hAnsi="Times New Roman"/>
                <w:sz w:val="18"/>
                <w:szCs w:val="18"/>
                <w:lang w:val="fr-FR"/>
              </w:rPr>
              <w:t>)</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50</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1-But-2-Me(C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12</w:t>
            </w:r>
            <w:r w:rsidRPr="00431435">
              <w:rPr>
                <w:rFonts w:ascii="Times New Roman" w:hAnsi="Times New Roman"/>
                <w:sz w:val="18"/>
                <w:szCs w:val="18"/>
              </w:rPr>
              <w:t>)</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51</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1-But-3-Me(C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12</w:t>
            </w:r>
            <w:r w:rsidRPr="00431435">
              <w:rPr>
                <w:rFonts w:ascii="Times New Roman" w:hAnsi="Times New Roman"/>
                <w:sz w:val="18"/>
                <w:szCs w:val="18"/>
              </w:rPr>
              <w:t>)</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52</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1-But-4-Me(C</w:t>
            </w:r>
            <w:r w:rsidRPr="00431435">
              <w:rPr>
                <w:rFonts w:ascii="Times New Roman" w:hAnsi="Times New Roman"/>
                <w:sz w:val="18"/>
                <w:szCs w:val="18"/>
                <w:vertAlign w:val="subscript"/>
              </w:rPr>
              <w:t>6</w:t>
            </w:r>
            <w:r w:rsidRPr="00431435">
              <w:rPr>
                <w:rFonts w:ascii="Times New Roman" w:hAnsi="Times New Roman"/>
                <w:sz w:val="18"/>
                <w:szCs w:val="18"/>
              </w:rPr>
              <w:t>H</w:t>
            </w:r>
            <w:r w:rsidRPr="00431435">
              <w:rPr>
                <w:rFonts w:ascii="Times New Roman" w:hAnsi="Times New Roman"/>
                <w:sz w:val="18"/>
                <w:szCs w:val="18"/>
                <w:vertAlign w:val="subscript"/>
              </w:rPr>
              <w:t>12</w:t>
            </w:r>
            <w:r w:rsidRPr="00431435">
              <w:rPr>
                <w:rFonts w:ascii="Times New Roman" w:hAnsi="Times New Roman"/>
                <w:sz w:val="18"/>
                <w:szCs w:val="18"/>
              </w:rPr>
              <w:t>)</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53</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2-But(piperidine)</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54</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2-But-3-Me(piperidine)</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55</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2-But-4-Me(piperidine)</w:t>
            </w:r>
          </w:p>
        </w:tc>
      </w:tr>
      <w:tr w:rsidR="008A582F" w:rsidRPr="00431435" w:rsidTr="00431435">
        <w:trPr>
          <w:jc w:val="center"/>
        </w:trPr>
        <w:tc>
          <w:tcPr>
            <w:tcW w:w="279" w:type="dxa"/>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Style w:val="A12"/>
                <w:rFonts w:ascii="Times New Roman" w:eastAsia="Calibri" w:hAnsi="Times New Roman" w:cs="Times New Roman"/>
                <w:sz w:val="18"/>
                <w:szCs w:val="18"/>
              </w:rPr>
              <w:t>56</w:t>
            </w:r>
          </w:p>
        </w:tc>
        <w:tc>
          <w:tcPr>
            <w:tcW w:w="4498" w:type="dxa"/>
            <w:gridSpan w:val="5"/>
            <w:tcMar>
              <w:left w:w="28" w:type="dxa"/>
              <w:right w:w="28" w:type="dxa"/>
            </w:tcMar>
            <w:vAlign w:val="center"/>
          </w:tcPr>
          <w:p w:rsidR="008A582F" w:rsidRPr="00431435" w:rsidRDefault="008A582F" w:rsidP="00431435">
            <w:pPr>
              <w:jc w:val="center"/>
              <w:rPr>
                <w:rStyle w:val="A12"/>
                <w:rFonts w:ascii="Times New Roman" w:eastAsia="Calibri" w:hAnsi="Times New Roman" w:cs="Times New Roman"/>
                <w:sz w:val="18"/>
                <w:szCs w:val="18"/>
              </w:rPr>
            </w:pPr>
            <w:r w:rsidRPr="00431435">
              <w:rPr>
                <w:rFonts w:ascii="Times New Roman" w:hAnsi="Times New Roman"/>
                <w:sz w:val="18"/>
                <w:szCs w:val="18"/>
              </w:rPr>
              <w:t>2-But-5-Me(piperidine)</w:t>
            </w:r>
          </w:p>
        </w:tc>
      </w:tr>
    </w:tbl>
    <w:p w:rsidR="0002388B" w:rsidRPr="00431435" w:rsidRDefault="00431435" w:rsidP="00E073E5">
      <w:pPr>
        <w:jc w:val="both"/>
        <w:rPr>
          <w:rStyle w:val="A12"/>
          <w:rFonts w:ascii="Times New Roman" w:eastAsia="Calibri" w:hAnsi="Times New Roman" w:cs="Times New Roman"/>
          <w:sz w:val="16"/>
          <w:szCs w:val="16"/>
        </w:rPr>
      </w:pPr>
      <w:r w:rsidRPr="00431435">
        <w:rPr>
          <w:rFonts w:ascii="Times New Roman" w:hAnsi="Times New Roman"/>
          <w:sz w:val="16"/>
          <w:szCs w:val="16"/>
        </w:rPr>
        <w:t>*Fragments 1 to 14 have also been used for R4</w:t>
      </w:r>
    </w:p>
    <w:p w:rsidR="0002388B" w:rsidRDefault="0002388B" w:rsidP="00E073E5">
      <w:pPr>
        <w:jc w:val="both"/>
        <w:rPr>
          <w:rStyle w:val="A12"/>
          <w:rFonts w:ascii="Times New Roman" w:eastAsia="Calibri" w:hAnsi="Times New Roman" w:cs="Times New Roman"/>
          <w:sz w:val="20"/>
          <w:szCs w:val="20"/>
        </w:rPr>
      </w:pPr>
    </w:p>
    <w:p w:rsidR="00431435" w:rsidRDefault="00431435" w:rsidP="00431435">
      <w:pPr>
        <w:jc w:val="both"/>
        <w:rPr>
          <w:rStyle w:val="A12"/>
          <w:rFonts w:ascii="Times New Roman" w:eastAsia="Calibri" w:hAnsi="Times New Roman" w:cs="Times New Roman"/>
          <w:sz w:val="20"/>
          <w:szCs w:val="20"/>
        </w:rPr>
      </w:pPr>
    </w:p>
    <w:p w:rsidR="00431435" w:rsidRPr="00431435" w:rsidRDefault="00431435" w:rsidP="00504E67">
      <w:pPr>
        <w:keepNext/>
        <w:spacing w:after="120"/>
        <w:jc w:val="both"/>
        <w:rPr>
          <w:rStyle w:val="A12"/>
          <w:rFonts w:ascii="Times New Roman" w:eastAsia="Calibri" w:hAnsi="Times New Roman" w:cs="Times New Roman"/>
          <w:sz w:val="20"/>
          <w:szCs w:val="20"/>
        </w:rPr>
      </w:pPr>
      <w:r w:rsidRPr="00431435">
        <w:rPr>
          <w:rFonts w:ascii="Times New Roman" w:hAnsi="Times New Roman"/>
          <w:sz w:val="18"/>
          <w:szCs w:val="18"/>
        </w:rPr>
        <w:t xml:space="preserve">Table 9: complexation Gibbs free energy and its components and predictive activities </w:t>
      </w:r>
      <m:oMath>
        <m:sSubSup>
          <m:sSubSupPr>
            <m:ctrlPr>
              <w:rPr>
                <w:rFonts w:ascii="Cambria Math" w:hAnsi="Cambria Math"/>
                <w:bCs/>
                <w:color w:val="000000"/>
                <w:sz w:val="18"/>
                <w:szCs w:val="18"/>
                <w:vertAlign w:val="superscript"/>
                <w:lang w:eastAsia="fr-FR"/>
              </w:rPr>
            </m:ctrlPr>
          </m:sSubSupPr>
          <m:e>
            <m:r>
              <m:rPr>
                <m:sty m:val="p"/>
              </m:rPr>
              <w:rPr>
                <w:rFonts w:ascii="Cambria Math" w:hAnsi="Cambria Math"/>
                <w:color w:val="000000"/>
                <w:sz w:val="18"/>
                <w:szCs w:val="18"/>
                <w:vertAlign w:val="superscript"/>
                <w:lang w:eastAsia="fr-FR"/>
              </w:rPr>
              <m:t>IC</m:t>
            </m:r>
          </m:e>
          <m:sub>
            <m:r>
              <m:rPr>
                <m:sty m:val="p"/>
              </m:rPr>
              <w:rPr>
                <w:rFonts w:ascii="Cambria Math" w:hAnsi="Cambria Math"/>
                <w:color w:val="000000"/>
                <w:sz w:val="18"/>
                <w:szCs w:val="18"/>
                <w:vertAlign w:val="superscript"/>
                <w:lang w:eastAsia="fr-FR"/>
              </w:rPr>
              <m:t>50</m:t>
            </m:r>
          </m:sub>
          <m:sup>
            <m:r>
              <m:rPr>
                <m:sty m:val="p"/>
              </m:rPr>
              <w:rPr>
                <w:rFonts w:ascii="Cambria Math" w:hAnsi="Cambria Math"/>
                <w:color w:val="000000"/>
                <w:sz w:val="18"/>
                <w:szCs w:val="18"/>
                <w:vertAlign w:val="superscript"/>
                <w:lang w:eastAsia="fr-FR"/>
              </w:rPr>
              <m:t>pre</m:t>
            </m:r>
          </m:sup>
        </m:sSubSup>
      </m:oMath>
      <w:r w:rsidRPr="00431435">
        <w:rPr>
          <w:rFonts w:ascii="Times New Roman" w:hAnsi="Times New Roman"/>
          <w:sz w:val="18"/>
          <w:szCs w:val="18"/>
        </w:rPr>
        <w:t xml:space="preserve"> of the best new analogs.</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857"/>
        <w:gridCol w:w="373"/>
        <w:gridCol w:w="731"/>
        <w:gridCol w:w="627"/>
        <w:gridCol w:w="745"/>
        <w:gridCol w:w="704"/>
        <w:gridCol w:w="499"/>
      </w:tblGrid>
      <w:tr w:rsidR="004C79FA" w:rsidRPr="004C79FA" w:rsidTr="004C79FA">
        <w:trPr>
          <w:trHeight w:val="405"/>
          <w:tblHeader/>
          <w:jc w:val="center"/>
        </w:trPr>
        <w:tc>
          <w:tcPr>
            <w:tcW w:w="0" w:type="auto"/>
            <w:tcBorders>
              <w:bottom w:val="single" w:sz="4" w:space="0" w:color="auto"/>
            </w:tcBorders>
            <w:shd w:val="clear" w:color="auto" w:fill="FFFFFF" w:themeFill="background1"/>
            <w:noWrap/>
            <w:tcMar>
              <w:left w:w="0" w:type="dxa"/>
              <w:right w:w="0" w:type="dxa"/>
            </w:tcMar>
            <w:vAlign w:val="center"/>
          </w:tcPr>
          <w:p w:rsidR="004C79FA" w:rsidRPr="004C79FA" w:rsidRDefault="004C79FA" w:rsidP="00504E67">
            <w:pPr>
              <w:keepNext/>
              <w:jc w:val="center"/>
              <w:rPr>
                <w:rFonts w:ascii="Times New Roman" w:hAnsi="Times New Roman"/>
                <w:b/>
                <w:sz w:val="18"/>
                <w:szCs w:val="18"/>
                <w:lang w:eastAsia="fr-FR"/>
              </w:rPr>
            </w:pPr>
            <w:r w:rsidRPr="004C79FA">
              <w:rPr>
                <w:rFonts w:ascii="Times New Roman" w:hAnsi="Times New Roman"/>
                <w:b/>
                <w:sz w:val="18"/>
                <w:szCs w:val="18"/>
                <w:lang w:eastAsia="fr-FR"/>
              </w:rPr>
              <w:t>Analogs</w:t>
            </w:r>
          </w:p>
          <w:p w:rsidR="004C79FA" w:rsidRPr="004C79FA" w:rsidRDefault="004C79FA" w:rsidP="00504E67">
            <w:pPr>
              <w:keepNext/>
              <w:rPr>
                <w:rFonts w:ascii="Times New Roman" w:hAnsi="Times New Roman"/>
                <w:b/>
                <w:sz w:val="18"/>
                <w:szCs w:val="18"/>
                <w:lang w:eastAsia="fr-FR"/>
              </w:rPr>
            </w:pPr>
            <w:r w:rsidRPr="004C79FA">
              <w:rPr>
                <w:rFonts w:ascii="Times New Roman" w:hAnsi="Times New Roman"/>
                <w:b/>
                <w:sz w:val="18"/>
                <w:szCs w:val="18"/>
                <w:lang w:eastAsia="fr-FR"/>
              </w:rPr>
              <w:t>Designed</w:t>
            </w:r>
          </w:p>
        </w:tc>
        <w:tc>
          <w:tcPr>
            <w:tcW w:w="0" w:type="auto"/>
            <w:tcBorders>
              <w:bottom w:val="single" w:sz="4" w:space="0" w:color="auto"/>
            </w:tcBorders>
            <w:shd w:val="clear" w:color="auto" w:fill="FFFFFF" w:themeFill="background1"/>
            <w:tcMar>
              <w:left w:w="0" w:type="dxa"/>
              <w:right w:w="0" w:type="dxa"/>
            </w:tcMar>
            <w:vAlign w:val="center"/>
          </w:tcPr>
          <w:p w:rsidR="004C79FA" w:rsidRPr="004C79FA" w:rsidRDefault="004C79FA" w:rsidP="00504E67">
            <w:pPr>
              <w:keepNext/>
              <w:jc w:val="center"/>
              <w:rPr>
                <w:rFonts w:ascii="Times New Roman" w:hAnsi="Times New Roman"/>
                <w:b/>
                <w:sz w:val="18"/>
                <w:szCs w:val="18"/>
                <w:vertAlign w:val="subscript"/>
                <w:lang w:val="en-GB"/>
              </w:rPr>
            </w:pPr>
            <w:r w:rsidRPr="004C79FA">
              <w:rPr>
                <w:rFonts w:ascii="Times New Roman" w:hAnsi="Times New Roman"/>
                <w:b/>
                <w:sz w:val="18"/>
                <w:szCs w:val="18"/>
                <w:lang w:val="en-GB"/>
              </w:rPr>
              <w:t>M</w:t>
            </w:r>
            <w:r w:rsidRPr="004C79FA">
              <w:rPr>
                <w:rFonts w:ascii="Times New Roman" w:hAnsi="Times New Roman"/>
                <w:b/>
                <w:sz w:val="18"/>
                <w:szCs w:val="18"/>
                <w:vertAlign w:val="subscript"/>
                <w:lang w:val="en-GB"/>
              </w:rPr>
              <w:t xml:space="preserve">w </w:t>
            </w:r>
            <w:r w:rsidRPr="004C79FA">
              <w:rPr>
                <w:rFonts w:ascii="Times New Roman" w:hAnsi="Times New Roman"/>
                <w:b/>
                <w:sz w:val="18"/>
                <w:szCs w:val="18"/>
                <w:vertAlign w:val="superscript"/>
                <w:lang w:val="en-GB"/>
              </w:rPr>
              <w:t>a</w:t>
            </w:r>
          </w:p>
        </w:tc>
        <w:tc>
          <w:tcPr>
            <w:tcW w:w="0" w:type="auto"/>
            <w:tcBorders>
              <w:bottom w:val="single" w:sz="4" w:space="0" w:color="auto"/>
            </w:tcBorders>
            <w:shd w:val="clear" w:color="auto" w:fill="FFFFFF" w:themeFill="background1"/>
            <w:noWrap/>
            <w:tcMar>
              <w:left w:w="0" w:type="dxa"/>
              <w:right w:w="0" w:type="dxa"/>
            </w:tcMar>
            <w:vAlign w:val="center"/>
            <w:hideMark/>
          </w:tcPr>
          <w:p w:rsidR="004C79FA" w:rsidRPr="004C79FA" w:rsidRDefault="004C79FA" w:rsidP="00504E67">
            <w:pPr>
              <w:keepNext/>
              <w:jc w:val="center"/>
              <w:rPr>
                <w:rFonts w:ascii="Times New Roman" w:hAnsi="Times New Roman"/>
                <w:b/>
                <w:sz w:val="18"/>
                <w:szCs w:val="18"/>
                <w:vertAlign w:val="subscript"/>
                <w:lang w:val="en-GB"/>
              </w:rPr>
            </w:pPr>
            <w:r w:rsidRPr="004C79FA">
              <w:rPr>
                <w:rFonts w:ascii="Times New Roman" w:hAnsi="Times New Roman"/>
                <w:b/>
                <w:sz w:val="18"/>
                <w:szCs w:val="18"/>
                <w:lang w:val="en-GB"/>
              </w:rPr>
              <w:t>ΔΔH</w:t>
            </w:r>
            <w:r w:rsidRPr="004C79FA">
              <w:rPr>
                <w:rFonts w:ascii="Times New Roman" w:hAnsi="Times New Roman"/>
                <w:b/>
                <w:sz w:val="18"/>
                <w:szCs w:val="18"/>
                <w:vertAlign w:val="subscript"/>
                <w:lang w:val="en-GB"/>
              </w:rPr>
              <w:t xml:space="preserve">MM </w:t>
            </w:r>
            <w:r w:rsidRPr="004C79FA">
              <w:rPr>
                <w:rFonts w:ascii="Times New Roman" w:hAnsi="Times New Roman"/>
                <w:b/>
                <w:sz w:val="18"/>
                <w:szCs w:val="18"/>
                <w:vertAlign w:val="superscript"/>
                <w:lang w:val="en-GB"/>
              </w:rPr>
              <w:t>b</w:t>
            </w:r>
          </w:p>
        </w:tc>
        <w:tc>
          <w:tcPr>
            <w:tcW w:w="0" w:type="auto"/>
            <w:tcBorders>
              <w:bottom w:val="single" w:sz="4" w:space="0" w:color="auto"/>
            </w:tcBorders>
            <w:shd w:val="clear" w:color="auto" w:fill="FFFFFF" w:themeFill="background1"/>
            <w:noWrap/>
            <w:tcMar>
              <w:left w:w="0" w:type="dxa"/>
              <w:right w:w="0" w:type="dxa"/>
            </w:tcMar>
            <w:vAlign w:val="center"/>
            <w:hideMark/>
          </w:tcPr>
          <w:p w:rsidR="004C79FA" w:rsidRPr="004C79FA" w:rsidRDefault="004C79FA" w:rsidP="00504E67">
            <w:pPr>
              <w:keepNext/>
              <w:jc w:val="center"/>
              <w:rPr>
                <w:rFonts w:ascii="Times New Roman" w:hAnsi="Times New Roman"/>
                <w:b/>
                <w:sz w:val="18"/>
                <w:szCs w:val="18"/>
                <w:vertAlign w:val="subscript"/>
                <w:lang w:val="en-GB"/>
              </w:rPr>
            </w:pPr>
            <w:r w:rsidRPr="004C79FA">
              <w:rPr>
                <w:rFonts w:ascii="Times New Roman" w:hAnsi="Times New Roman"/>
                <w:b/>
                <w:sz w:val="18"/>
                <w:szCs w:val="18"/>
                <w:lang w:val="en-GB"/>
              </w:rPr>
              <w:t>ΔΔG</w:t>
            </w:r>
            <w:r w:rsidRPr="004C79FA">
              <w:rPr>
                <w:rFonts w:ascii="Times New Roman" w:hAnsi="Times New Roman"/>
                <w:b/>
                <w:sz w:val="18"/>
                <w:szCs w:val="18"/>
                <w:vertAlign w:val="subscript"/>
                <w:lang w:val="en-GB"/>
              </w:rPr>
              <w:t xml:space="preserve">sol </w:t>
            </w:r>
            <w:r w:rsidRPr="004C79FA">
              <w:rPr>
                <w:rFonts w:ascii="Times New Roman" w:hAnsi="Times New Roman"/>
                <w:b/>
                <w:sz w:val="18"/>
                <w:szCs w:val="18"/>
                <w:vertAlign w:val="superscript"/>
                <w:lang w:val="en-GB"/>
              </w:rPr>
              <w:t>c</w:t>
            </w:r>
          </w:p>
        </w:tc>
        <w:tc>
          <w:tcPr>
            <w:tcW w:w="0" w:type="auto"/>
            <w:tcBorders>
              <w:bottom w:val="single" w:sz="4" w:space="0" w:color="auto"/>
            </w:tcBorders>
            <w:shd w:val="clear" w:color="auto" w:fill="FFFFFF" w:themeFill="background1"/>
            <w:noWrap/>
            <w:tcMar>
              <w:left w:w="0" w:type="dxa"/>
              <w:right w:w="0" w:type="dxa"/>
            </w:tcMar>
            <w:vAlign w:val="center"/>
            <w:hideMark/>
          </w:tcPr>
          <w:p w:rsidR="004C79FA" w:rsidRPr="004C79FA" w:rsidRDefault="004C79FA" w:rsidP="00504E67">
            <w:pPr>
              <w:keepNext/>
              <w:jc w:val="center"/>
              <w:rPr>
                <w:rFonts w:ascii="Times New Roman" w:hAnsi="Times New Roman"/>
                <w:b/>
                <w:sz w:val="18"/>
                <w:szCs w:val="18"/>
                <w:vertAlign w:val="subscript"/>
                <w:lang w:val="en-GB"/>
              </w:rPr>
            </w:pPr>
            <w:r w:rsidRPr="004C79FA">
              <w:rPr>
                <w:rFonts w:ascii="Times New Roman" w:hAnsi="Times New Roman"/>
                <w:b/>
                <w:sz w:val="18"/>
                <w:szCs w:val="18"/>
                <w:lang w:val="en-GB"/>
              </w:rPr>
              <w:t>ΔΔTS</w:t>
            </w:r>
            <w:r w:rsidRPr="004C79FA">
              <w:rPr>
                <w:rFonts w:ascii="Times New Roman" w:hAnsi="Times New Roman"/>
                <w:b/>
                <w:sz w:val="18"/>
                <w:szCs w:val="18"/>
                <w:vertAlign w:val="subscript"/>
                <w:lang w:val="en-GB"/>
              </w:rPr>
              <w:t xml:space="preserve">vib </w:t>
            </w:r>
            <w:r w:rsidRPr="004C79FA">
              <w:rPr>
                <w:rFonts w:ascii="Times New Roman" w:hAnsi="Times New Roman"/>
                <w:b/>
                <w:sz w:val="18"/>
                <w:szCs w:val="18"/>
                <w:vertAlign w:val="superscript"/>
                <w:lang w:val="en-GB"/>
              </w:rPr>
              <w:t>d</w:t>
            </w:r>
          </w:p>
        </w:tc>
        <w:tc>
          <w:tcPr>
            <w:tcW w:w="0" w:type="auto"/>
            <w:tcBorders>
              <w:bottom w:val="single" w:sz="4" w:space="0" w:color="auto"/>
            </w:tcBorders>
            <w:shd w:val="clear" w:color="auto" w:fill="FFFFFF" w:themeFill="background1"/>
            <w:noWrap/>
            <w:tcMar>
              <w:left w:w="0" w:type="dxa"/>
              <w:right w:w="0" w:type="dxa"/>
            </w:tcMar>
            <w:vAlign w:val="center"/>
            <w:hideMark/>
          </w:tcPr>
          <w:p w:rsidR="004C79FA" w:rsidRPr="004C79FA" w:rsidRDefault="004C79FA" w:rsidP="00504E67">
            <w:pPr>
              <w:keepNext/>
              <w:jc w:val="center"/>
              <w:rPr>
                <w:rFonts w:ascii="Times New Roman" w:hAnsi="Times New Roman"/>
                <w:b/>
                <w:sz w:val="18"/>
                <w:szCs w:val="18"/>
                <w:vertAlign w:val="subscript"/>
                <w:lang w:val="en-GB"/>
              </w:rPr>
            </w:pPr>
            <w:r w:rsidRPr="004C79FA">
              <w:rPr>
                <w:rFonts w:ascii="Times New Roman" w:hAnsi="Times New Roman"/>
                <w:b/>
                <w:sz w:val="18"/>
                <w:szCs w:val="18"/>
                <w:lang w:val="en-GB"/>
              </w:rPr>
              <w:t>ΔΔG</w:t>
            </w:r>
            <w:r w:rsidRPr="004C79FA">
              <w:rPr>
                <w:rFonts w:ascii="Times New Roman" w:hAnsi="Times New Roman"/>
                <w:b/>
                <w:sz w:val="18"/>
                <w:szCs w:val="18"/>
                <w:vertAlign w:val="subscript"/>
                <w:lang w:val="en-GB"/>
              </w:rPr>
              <w:t xml:space="preserve">com </w:t>
            </w:r>
            <w:r w:rsidRPr="004C79FA">
              <w:rPr>
                <w:rFonts w:ascii="Times New Roman" w:hAnsi="Times New Roman"/>
                <w:b/>
                <w:sz w:val="18"/>
                <w:szCs w:val="18"/>
                <w:vertAlign w:val="superscript"/>
                <w:lang w:val="en-GB"/>
              </w:rPr>
              <w:t>e</w:t>
            </w:r>
          </w:p>
        </w:tc>
        <w:tc>
          <w:tcPr>
            <w:tcW w:w="0" w:type="auto"/>
            <w:tcBorders>
              <w:bottom w:val="single" w:sz="4" w:space="0" w:color="auto"/>
            </w:tcBorders>
            <w:shd w:val="clear" w:color="auto" w:fill="FFFFFF" w:themeFill="background1"/>
            <w:noWrap/>
            <w:tcMar>
              <w:left w:w="0" w:type="dxa"/>
              <w:right w:w="0" w:type="dxa"/>
            </w:tcMar>
            <w:vAlign w:val="center"/>
            <w:hideMark/>
          </w:tcPr>
          <w:p w:rsidR="004C79FA" w:rsidRPr="004C79FA" w:rsidRDefault="009A671C" w:rsidP="00504E67">
            <w:pPr>
              <w:keepNext/>
              <w:jc w:val="center"/>
              <w:rPr>
                <w:rFonts w:ascii="Times New Roman" w:hAnsi="Times New Roman"/>
                <w:b/>
                <w:sz w:val="18"/>
                <w:szCs w:val="18"/>
                <w:vertAlign w:val="superscript"/>
                <w:lang w:val="en-GB"/>
              </w:rPr>
            </w:pPr>
            <m:oMath>
              <m:sSubSup>
                <m:sSubSupPr>
                  <m:ctrlPr>
                    <w:rPr>
                      <w:rFonts w:ascii="Cambria Math" w:hAnsi="Cambria Math"/>
                      <w:b/>
                      <w:bCs/>
                      <w:color w:val="000000"/>
                      <w:sz w:val="18"/>
                      <w:szCs w:val="18"/>
                      <w:vertAlign w:val="superscript"/>
                      <w:lang w:eastAsia="fr-FR"/>
                    </w:rPr>
                  </m:ctrlPr>
                </m:sSubSupPr>
                <m:e>
                  <m:r>
                    <m:rPr>
                      <m:sty m:val="b"/>
                    </m:rPr>
                    <w:rPr>
                      <w:rFonts w:ascii="Cambria Math" w:hAnsi="Cambria Math"/>
                      <w:color w:val="000000"/>
                      <w:sz w:val="18"/>
                      <w:szCs w:val="18"/>
                      <w:vertAlign w:val="superscript"/>
                      <w:lang w:eastAsia="fr-FR"/>
                    </w:rPr>
                    <m:t>IC</m:t>
                  </m:r>
                </m:e>
                <m:sub>
                  <m:r>
                    <m:rPr>
                      <m:sty m:val="b"/>
                    </m:rPr>
                    <w:rPr>
                      <w:rFonts w:ascii="Cambria Math" w:hAnsi="Cambria Math"/>
                      <w:color w:val="000000"/>
                      <w:sz w:val="18"/>
                      <w:szCs w:val="18"/>
                      <w:vertAlign w:val="superscript"/>
                      <w:lang w:eastAsia="fr-FR"/>
                    </w:rPr>
                    <m:t>50</m:t>
                  </m:r>
                </m:sub>
                <m:sup>
                  <m:r>
                    <m:rPr>
                      <m:sty m:val="b"/>
                    </m:rPr>
                    <w:rPr>
                      <w:rFonts w:ascii="Cambria Math" w:hAnsi="Cambria Math"/>
                      <w:color w:val="000000"/>
                      <w:sz w:val="18"/>
                      <w:szCs w:val="18"/>
                      <w:vertAlign w:val="superscript"/>
                      <w:lang w:eastAsia="fr-FR"/>
                    </w:rPr>
                    <m:t>pre</m:t>
                  </m:r>
                </m:sup>
              </m:sSubSup>
            </m:oMath>
            <w:r w:rsidR="004C79FA" w:rsidRPr="004C79FA">
              <w:rPr>
                <w:rFonts w:ascii="Times New Roman" w:eastAsiaTheme="minorEastAsia" w:hAnsi="Times New Roman"/>
                <w:b/>
                <w:bCs/>
                <w:color w:val="000000"/>
                <w:sz w:val="18"/>
                <w:szCs w:val="18"/>
                <w:vertAlign w:val="superscript"/>
                <w:lang w:eastAsia="fr-FR"/>
              </w:rPr>
              <w:t xml:space="preserve"> f</w:t>
            </w:r>
          </w:p>
        </w:tc>
      </w:tr>
      <w:tr w:rsidR="004C79FA" w:rsidRPr="004C79FA" w:rsidTr="00EE1E02">
        <w:trPr>
          <w:trHeight w:val="149"/>
          <w:jc w:val="center"/>
        </w:trPr>
        <w:tc>
          <w:tcPr>
            <w:tcW w:w="0" w:type="auto"/>
            <w:tcBorders>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sz w:val="18"/>
                <w:szCs w:val="18"/>
                <w:lang w:eastAsia="fr-FR"/>
              </w:rPr>
            </w:pPr>
            <w:r w:rsidRPr="004C79FA">
              <w:rPr>
                <w:rFonts w:ascii="Times New Roman" w:hAnsi="Times New Roman"/>
                <w:sz w:val="18"/>
                <w:szCs w:val="18"/>
                <w:lang w:eastAsia="fr-FR"/>
              </w:rPr>
              <w:t>CNP9</w:t>
            </w:r>
          </w:p>
        </w:tc>
        <w:tc>
          <w:tcPr>
            <w:tcW w:w="0" w:type="auto"/>
            <w:tcBorders>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lang w:val="en-GB"/>
              </w:rPr>
            </w:pPr>
            <w:r w:rsidRPr="004C79FA">
              <w:rPr>
                <w:rFonts w:ascii="Times New Roman" w:hAnsi="Times New Roman"/>
                <w:sz w:val="18"/>
                <w:szCs w:val="18"/>
                <w:lang w:val="en-GB"/>
              </w:rPr>
              <w:t>332</w:t>
            </w:r>
          </w:p>
        </w:tc>
        <w:tc>
          <w:tcPr>
            <w:tcW w:w="0" w:type="auto"/>
            <w:tcBorders>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0.00</w:t>
            </w:r>
          </w:p>
        </w:tc>
        <w:tc>
          <w:tcPr>
            <w:tcW w:w="0" w:type="auto"/>
            <w:tcBorders>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0.00</w:t>
            </w:r>
          </w:p>
        </w:tc>
        <w:tc>
          <w:tcPr>
            <w:tcW w:w="0" w:type="auto"/>
            <w:tcBorders>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0.00</w:t>
            </w:r>
          </w:p>
        </w:tc>
        <w:tc>
          <w:tcPr>
            <w:tcW w:w="0" w:type="auto"/>
            <w:tcBorders>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0.00</w:t>
            </w:r>
          </w:p>
        </w:tc>
        <w:tc>
          <w:tcPr>
            <w:tcW w:w="0" w:type="auto"/>
            <w:tcBorders>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right"/>
              <w:rPr>
                <w:rFonts w:ascii="Times New Roman" w:hAnsi="Times New Roman"/>
                <w:color w:val="000000"/>
                <w:sz w:val="18"/>
                <w:szCs w:val="18"/>
                <w:lang w:val="fr-FR"/>
              </w:rPr>
            </w:pPr>
            <w:r w:rsidRPr="004C79FA">
              <w:rPr>
                <w:rFonts w:ascii="Times New Roman" w:hAnsi="Times New Roman"/>
                <w:color w:val="000000"/>
                <w:sz w:val="18"/>
                <w:szCs w:val="18"/>
              </w:rPr>
              <w:t>1000</w:t>
            </w:r>
            <w:r w:rsidR="00FA3AD2" w:rsidRPr="00FA3AD2">
              <w:rPr>
                <w:rFonts w:ascii="Times New Roman" w:hAnsi="Times New Roman"/>
                <w:color w:val="000000"/>
                <w:sz w:val="18"/>
                <w:szCs w:val="18"/>
                <w:vertAlign w:val="superscript"/>
              </w:rPr>
              <w:t>g</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1-15-36-46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-5.52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11.13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-18.33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680</w:t>
            </w:r>
          </w:p>
        </w:tc>
      </w:tr>
      <w:tr w:rsidR="004C79FA" w:rsidRPr="004C79FA" w:rsidTr="00EE1E02">
        <w:trPr>
          <w:trHeight w:val="233"/>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2-15-37-46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488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0.37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10.11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-13.58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2000</w:t>
            </w:r>
          </w:p>
        </w:tc>
      </w:tr>
      <w:tr w:rsidR="004C79FA" w:rsidRPr="004C79FA" w:rsidTr="00EE1E02">
        <w:trPr>
          <w:trHeight w:val="171"/>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3-15-37-46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-4.06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11.99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-17.64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800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1-15-36-47</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-0.16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-1.08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13.02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-14.26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1700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lastRenderedPageBreak/>
              <w:t>4-15-37-46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-3.20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14.47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13.12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hideMark/>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33300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1-15-36-48</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-24.92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8.33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11.83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-28.42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63</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1-31-36-46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-22.31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8.48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09.92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-23.75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190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1-15-38-48</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-25.17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8.08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15.52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-32.61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23</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1-31-38-48</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-22.13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8.22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14.49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-28.40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63</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1-15-38-49</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469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-14.68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6.17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18.34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-26.85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92</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1-15-38-50</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-15.78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5.29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18.56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-29.05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54</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1-31-38-50</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469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-16.30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5.93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14.01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-24.38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160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1-15-38-51</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-14.61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6.76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16.30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-24.15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170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1-15-38-52</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-14.66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6.25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19.09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-27.50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78</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1-15-38-53</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470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-14.19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7.13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-24.05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170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-19.13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6.51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18.32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-30.94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34</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1-31-38-54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470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-16.19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6.93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14.49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-23.75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190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1-15-38-55</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-18.22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6.29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18.29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-30.22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41</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1-31-38-55</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470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-18.54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6.30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15.35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-27.59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76</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1-15-38-56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-18.65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6.39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18.33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-30.59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37</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1-31-38-56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470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-14.66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6.91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15.44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-23.19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210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1-15-39-49</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-11.74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7.25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18.44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-22.93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230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1-15-39-50</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-13.87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6.03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17.89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-25.73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110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1-15-39-51</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-14.11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7.26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19.80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-26.65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95</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1-15-39-52</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-11.10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7.63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20.11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-23.58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190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1-15-39-53</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-13.96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7.72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18.49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-24.73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150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-18.23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6.53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19.32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-31.02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34</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1-31-39-54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-17.04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7.40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13.92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-23.56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190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1-15-39-55</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-18.77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8.04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16.64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-27.37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80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1-15-39-56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-15.82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6.96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19.65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-28.51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61</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1-31-39-56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-16.12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8.08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14.26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-22.30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260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1-15-40-49</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6.15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19.37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-27.21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83</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1-15-40-50</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-18.27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5.57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17.65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-30.35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40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1-31-40-50</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-15.60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5.77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16.40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-26.23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100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1-15-40-51</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-12.31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6.50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18.65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-24.46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160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1-15-40-52</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-13.23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5.96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19.72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-26.99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88</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1-15-40-53</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-14.29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7.20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18.71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-25.80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170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-20.06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5.56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17.61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-32.11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26</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1-31-40-54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-18.04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6.02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17.26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-29.28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51</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1-15-40-55</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-20.72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6.75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20.77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-34.74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14</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1-31-40-55</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-19.33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6.63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-28.69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59</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1-15-40-56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-18.82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6.62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19.77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-31.97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27</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1-31-40-56</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-15.02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18.30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-26.48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99</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1-15-41-49</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-14.37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7.10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20.57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-27.84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23</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1-31-41-50</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-13.38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5.43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17.73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-25.68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120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1-31-41-51</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-9.67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6.79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19.14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-22.02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280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1-31-41-52</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499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-12.63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7.37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19.75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-25.01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140</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1-15-41-53</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7.59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22.00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-32.27</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25</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1-31-41-53</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486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-13.53</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7.65</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17.66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-23.54</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19</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1-31-41-54</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-16.32</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6.48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19.06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-28.90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56</w:t>
            </w:r>
          </w:p>
        </w:tc>
      </w:tr>
      <w:tr w:rsidR="004C79FA" w:rsidRPr="004C79FA" w:rsidTr="00EE1E02">
        <w:trPr>
          <w:trHeight w:val="80"/>
          <w:jc w:val="center"/>
        </w:trPr>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1-31-41-55</w:t>
            </w:r>
          </w:p>
        </w:tc>
        <w:tc>
          <w:tcPr>
            <w:tcW w:w="0" w:type="auto"/>
            <w:tcBorders>
              <w:top w:val="nil"/>
              <w:left w:val="single" w:sz="4" w:space="0" w:color="auto"/>
              <w:bottom w:val="nil"/>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-14.09</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7.66</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17.78</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-24.21</w:t>
            </w:r>
          </w:p>
        </w:tc>
        <w:tc>
          <w:tcPr>
            <w:tcW w:w="0" w:type="auto"/>
            <w:tcBorders>
              <w:top w:val="nil"/>
              <w:left w:val="single" w:sz="4" w:space="0" w:color="auto"/>
              <w:bottom w:val="nil"/>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170</w:t>
            </w:r>
          </w:p>
        </w:tc>
      </w:tr>
      <w:tr w:rsidR="004C79FA" w:rsidRPr="004C79FA" w:rsidTr="00EE1E02">
        <w:trPr>
          <w:trHeight w:val="80"/>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sz w:val="18"/>
                <w:szCs w:val="18"/>
              </w:rPr>
            </w:pPr>
            <w:r w:rsidRPr="004C79FA">
              <w:rPr>
                <w:rFonts w:ascii="Times New Roman" w:hAnsi="Times New Roman"/>
                <w:sz w:val="18"/>
                <w:szCs w:val="18"/>
              </w:rPr>
              <w:t>1-31-41-56</w:t>
            </w:r>
          </w:p>
        </w:tc>
        <w:tc>
          <w:tcPr>
            <w:tcW w:w="0" w:type="auto"/>
            <w:tcBorders>
              <w:top w:val="nil"/>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4C79FA" w:rsidRPr="004C79FA" w:rsidRDefault="004C79FA" w:rsidP="004C79FA">
            <w:pPr>
              <w:jc w:val="center"/>
              <w:rPr>
                <w:rFonts w:ascii="Times New Roman" w:hAnsi="Times New Roman"/>
                <w:bCs/>
                <w:color w:val="000000"/>
                <w:sz w:val="18"/>
                <w:szCs w:val="18"/>
                <w:lang w:eastAsia="fr-FR"/>
              </w:rPr>
            </w:pPr>
            <w:r w:rsidRPr="004C79FA">
              <w:rPr>
                <w:rFonts w:ascii="Times New Roman" w:hAnsi="Times New Roman"/>
                <w:bCs/>
                <w:color w:val="000000"/>
                <w:sz w:val="18"/>
                <w:szCs w:val="18"/>
                <w:lang w:eastAsia="fr-FR"/>
              </w:rPr>
              <w:t>500</w:t>
            </w:r>
          </w:p>
        </w:tc>
        <w:tc>
          <w:tcPr>
            <w:tcW w:w="0" w:type="auto"/>
            <w:tcBorders>
              <w:top w:val="nil"/>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-14.46</w:t>
            </w:r>
          </w:p>
        </w:tc>
        <w:tc>
          <w:tcPr>
            <w:tcW w:w="0" w:type="auto"/>
            <w:tcBorders>
              <w:top w:val="nil"/>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7.25</w:t>
            </w:r>
          </w:p>
        </w:tc>
        <w:tc>
          <w:tcPr>
            <w:tcW w:w="0" w:type="auto"/>
            <w:tcBorders>
              <w:top w:val="nil"/>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18.35</w:t>
            </w:r>
          </w:p>
        </w:tc>
        <w:tc>
          <w:tcPr>
            <w:tcW w:w="0" w:type="auto"/>
            <w:tcBorders>
              <w:top w:val="nil"/>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center"/>
              <w:rPr>
                <w:rFonts w:ascii="Times New Roman" w:hAnsi="Times New Roman"/>
                <w:bCs/>
                <w:sz w:val="18"/>
                <w:szCs w:val="18"/>
                <w:lang w:eastAsia="fr-FR"/>
              </w:rPr>
            </w:pPr>
            <w:r w:rsidRPr="004C79FA">
              <w:rPr>
                <w:rFonts w:ascii="Times New Roman" w:hAnsi="Times New Roman"/>
                <w:bCs/>
                <w:sz w:val="18"/>
                <w:szCs w:val="18"/>
                <w:lang w:eastAsia="fr-FR"/>
              </w:rPr>
              <w:t>-25.56</w:t>
            </w:r>
          </w:p>
        </w:tc>
        <w:tc>
          <w:tcPr>
            <w:tcW w:w="0" w:type="auto"/>
            <w:tcBorders>
              <w:top w:val="nil"/>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rsidR="004C79FA" w:rsidRPr="004C79FA" w:rsidRDefault="004C79FA" w:rsidP="004C79FA">
            <w:pPr>
              <w:jc w:val="right"/>
              <w:rPr>
                <w:rFonts w:ascii="Times New Roman" w:hAnsi="Times New Roman"/>
                <w:color w:val="000000"/>
                <w:sz w:val="18"/>
                <w:szCs w:val="18"/>
              </w:rPr>
            </w:pPr>
            <w:r w:rsidRPr="004C79FA">
              <w:rPr>
                <w:rFonts w:ascii="Times New Roman" w:hAnsi="Times New Roman"/>
                <w:color w:val="000000"/>
                <w:sz w:val="18"/>
                <w:szCs w:val="18"/>
              </w:rPr>
              <w:t>120</w:t>
            </w:r>
          </w:p>
        </w:tc>
      </w:tr>
    </w:tbl>
    <w:p w:rsidR="00431435" w:rsidRPr="004C79FA" w:rsidRDefault="004C79FA" w:rsidP="00431435">
      <w:pPr>
        <w:jc w:val="both"/>
        <w:rPr>
          <w:rStyle w:val="A12"/>
          <w:rFonts w:ascii="Times New Roman" w:eastAsia="Calibri" w:hAnsi="Times New Roman" w:cs="Times New Roman"/>
          <w:sz w:val="14"/>
          <w:szCs w:val="14"/>
        </w:rPr>
      </w:pPr>
      <w:r w:rsidRPr="004C79FA">
        <w:rPr>
          <w:rStyle w:val="A12"/>
          <w:rFonts w:ascii="Times New Roman" w:eastAsia="Calibri" w:hAnsi="Times New Roman" w:cs="Times New Roman"/>
          <w:sz w:val="14"/>
          <w:szCs w:val="14"/>
          <w:vertAlign w:val="superscript"/>
        </w:rPr>
        <w:t>a</w:t>
      </w:r>
      <w:r w:rsidRPr="004C79FA">
        <w:rPr>
          <w:rStyle w:val="A5"/>
          <w:rFonts w:ascii="Times New Roman" w:hAnsi="Times New Roman" w:cs="Times New Roman"/>
          <w:sz w:val="14"/>
          <w:szCs w:val="14"/>
        </w:rPr>
        <w:t>M</w:t>
      </w:r>
      <w:r w:rsidRPr="004C79FA">
        <w:rPr>
          <w:rStyle w:val="A5"/>
          <w:rFonts w:ascii="Times New Roman" w:hAnsi="Times New Roman" w:cs="Times New Roman"/>
          <w:sz w:val="14"/>
          <w:szCs w:val="14"/>
          <w:vertAlign w:val="subscript"/>
        </w:rPr>
        <w:t>W</w:t>
      </w:r>
      <w:r w:rsidRPr="004C79FA">
        <w:rPr>
          <w:rStyle w:val="A5"/>
          <w:rFonts w:ascii="Times New Roman" w:hAnsi="Times New Roman" w:cs="Times New Roman"/>
          <w:sz w:val="14"/>
          <w:szCs w:val="14"/>
        </w:rPr>
        <w:t xml:space="preserve"> (g/mol) is molecular mass of the inhibitor; </w:t>
      </w:r>
      <w:r w:rsidRPr="004C79FA">
        <w:rPr>
          <w:rStyle w:val="A12"/>
          <w:rFonts w:ascii="Times New Roman" w:eastAsia="Calibri" w:hAnsi="Times New Roman" w:cs="Times New Roman"/>
          <w:sz w:val="14"/>
          <w:szCs w:val="14"/>
          <w:vertAlign w:val="superscript"/>
        </w:rPr>
        <w:t>b</w:t>
      </w:r>
      <w:r w:rsidRPr="004C79FA">
        <w:rPr>
          <w:rStyle w:val="A5"/>
          <w:rFonts w:ascii="Times New Roman" w:hAnsi="Times New Roman" w:cs="Times New Roman"/>
          <w:sz w:val="14"/>
          <w:szCs w:val="14"/>
        </w:rPr>
        <w:t>∆∆H</w:t>
      </w:r>
      <w:r w:rsidRPr="004C79FA">
        <w:rPr>
          <w:rStyle w:val="A11"/>
          <w:rFonts w:ascii="Times New Roman" w:hAnsi="Times New Roman" w:cs="Times New Roman"/>
          <w:sz w:val="14"/>
          <w:szCs w:val="14"/>
          <w:vertAlign w:val="subscript"/>
        </w:rPr>
        <w:t>MM</w:t>
      </w:r>
      <w:r w:rsidRPr="004C79FA">
        <w:rPr>
          <w:rStyle w:val="A5"/>
          <w:rFonts w:ascii="Times New Roman" w:hAnsi="Times New Roman" w:cs="Times New Roman"/>
          <w:sz w:val="14"/>
          <w:szCs w:val="14"/>
        </w:rPr>
        <w:t>(kcal/mol) is the relative enthalpic contribution to the Gibbs free energy change related to the F</w:t>
      </w:r>
      <w:r w:rsidR="00EE1E02">
        <w:rPr>
          <w:rStyle w:val="A5"/>
          <w:rFonts w:ascii="Times New Roman" w:hAnsi="Times New Roman" w:cs="Times New Roman"/>
          <w:sz w:val="14"/>
          <w:szCs w:val="14"/>
        </w:rPr>
        <w:t>P2-</w:t>
      </w:r>
      <w:r w:rsidRPr="004C79FA">
        <w:rPr>
          <w:rStyle w:val="A5"/>
          <w:rFonts w:ascii="Times New Roman" w:hAnsi="Times New Roman" w:cs="Times New Roman"/>
          <w:sz w:val="14"/>
          <w:szCs w:val="14"/>
        </w:rPr>
        <w:t>CNP complex formation ∆∆G</w:t>
      </w:r>
      <w:r w:rsidRPr="004C79FA">
        <w:rPr>
          <w:rStyle w:val="A11"/>
          <w:rFonts w:ascii="Times New Roman" w:hAnsi="Times New Roman" w:cs="Times New Roman"/>
          <w:sz w:val="14"/>
          <w:szCs w:val="14"/>
          <w:vertAlign w:val="subscript"/>
        </w:rPr>
        <w:t>com</w:t>
      </w:r>
      <w:r w:rsidRPr="004C79FA">
        <w:rPr>
          <w:rStyle w:val="A5"/>
          <w:rFonts w:ascii="Times New Roman" w:hAnsi="Times New Roman" w:cs="Times New Roman"/>
          <w:sz w:val="14"/>
          <w:szCs w:val="14"/>
        </w:rPr>
        <w:t xml:space="preserve">(for details see footnote of Table 2); </w:t>
      </w:r>
      <w:r w:rsidRPr="004C79FA">
        <w:rPr>
          <w:rStyle w:val="A12"/>
          <w:rFonts w:ascii="Times New Roman" w:eastAsia="Calibri" w:hAnsi="Times New Roman" w:cs="Times New Roman"/>
          <w:sz w:val="14"/>
          <w:szCs w:val="14"/>
          <w:vertAlign w:val="superscript"/>
        </w:rPr>
        <w:t>c</w:t>
      </w:r>
      <w:r w:rsidRPr="004C79FA">
        <w:rPr>
          <w:rStyle w:val="A5"/>
          <w:rFonts w:ascii="Times New Roman" w:hAnsi="Times New Roman" w:cs="Times New Roman"/>
          <w:sz w:val="14"/>
          <w:szCs w:val="14"/>
        </w:rPr>
        <w:t>∆∆G</w:t>
      </w:r>
      <w:r w:rsidRPr="004C79FA">
        <w:rPr>
          <w:rStyle w:val="A11"/>
          <w:rFonts w:ascii="Times New Roman" w:hAnsi="Times New Roman" w:cs="Times New Roman"/>
          <w:sz w:val="14"/>
          <w:szCs w:val="14"/>
          <w:vertAlign w:val="subscript"/>
        </w:rPr>
        <w:t>sol</w:t>
      </w:r>
      <w:r w:rsidRPr="004C79FA">
        <w:rPr>
          <w:rStyle w:val="A5"/>
          <w:rFonts w:ascii="Times New Roman" w:hAnsi="Times New Roman" w:cs="Times New Roman"/>
          <w:sz w:val="14"/>
          <w:szCs w:val="14"/>
        </w:rPr>
        <w:t>(kcal/mol) is the relative solvation Gibbs free energy contribution to ∆∆G</w:t>
      </w:r>
      <w:r w:rsidRPr="004C79FA">
        <w:rPr>
          <w:rStyle w:val="A11"/>
          <w:rFonts w:ascii="Times New Roman" w:hAnsi="Times New Roman" w:cs="Times New Roman"/>
          <w:sz w:val="14"/>
          <w:szCs w:val="14"/>
          <w:vertAlign w:val="subscript"/>
        </w:rPr>
        <w:t>com</w:t>
      </w:r>
      <w:r w:rsidRPr="004C79FA">
        <w:rPr>
          <w:rStyle w:val="A5"/>
          <w:rFonts w:ascii="Times New Roman" w:hAnsi="Times New Roman" w:cs="Times New Roman"/>
          <w:sz w:val="14"/>
          <w:szCs w:val="14"/>
        </w:rPr>
        <w:t xml:space="preserve">; </w:t>
      </w:r>
      <w:r w:rsidRPr="004C79FA">
        <w:rPr>
          <w:rStyle w:val="A12"/>
          <w:rFonts w:ascii="Times New Roman" w:eastAsia="Calibri" w:hAnsi="Times New Roman" w:cs="Times New Roman"/>
          <w:sz w:val="14"/>
          <w:szCs w:val="14"/>
          <w:vertAlign w:val="superscript"/>
        </w:rPr>
        <w:t>d</w:t>
      </w:r>
      <w:r w:rsidRPr="004C79FA">
        <w:rPr>
          <w:rStyle w:val="A5"/>
          <w:rFonts w:ascii="Times New Roman" w:hAnsi="Times New Roman" w:cs="Times New Roman"/>
          <w:sz w:val="14"/>
          <w:szCs w:val="14"/>
        </w:rPr>
        <w:t>∆∆TS</w:t>
      </w:r>
      <w:r w:rsidRPr="004C79FA">
        <w:rPr>
          <w:rStyle w:val="A11"/>
          <w:rFonts w:ascii="Times New Roman" w:hAnsi="Times New Roman" w:cs="Times New Roman"/>
          <w:sz w:val="14"/>
          <w:szCs w:val="14"/>
        </w:rPr>
        <w:t xml:space="preserve">vib </w:t>
      </w:r>
      <w:r w:rsidRPr="004C79FA">
        <w:rPr>
          <w:rStyle w:val="A5"/>
          <w:rFonts w:ascii="Times New Roman" w:hAnsi="Times New Roman" w:cs="Times New Roman"/>
          <w:sz w:val="14"/>
          <w:szCs w:val="14"/>
        </w:rPr>
        <w:t>(kcal/mol) is the relative entropic (vibrational) contribution to ∆∆G</w:t>
      </w:r>
      <w:r w:rsidRPr="004C79FA">
        <w:rPr>
          <w:rStyle w:val="A11"/>
          <w:rFonts w:ascii="Times New Roman" w:hAnsi="Times New Roman" w:cs="Times New Roman"/>
          <w:sz w:val="14"/>
          <w:szCs w:val="14"/>
          <w:vertAlign w:val="subscript"/>
        </w:rPr>
        <w:t>com</w:t>
      </w:r>
      <w:r w:rsidRPr="004C79FA">
        <w:rPr>
          <w:rStyle w:val="A5"/>
          <w:rFonts w:ascii="Times New Roman" w:hAnsi="Times New Roman" w:cs="Times New Roman"/>
          <w:sz w:val="14"/>
          <w:szCs w:val="14"/>
        </w:rPr>
        <w:t xml:space="preserve">; </w:t>
      </w:r>
      <w:r w:rsidRPr="004C79FA">
        <w:rPr>
          <w:rStyle w:val="A12"/>
          <w:rFonts w:ascii="Times New Roman" w:eastAsia="Calibri" w:hAnsi="Times New Roman" w:cs="Times New Roman"/>
          <w:sz w:val="14"/>
          <w:szCs w:val="14"/>
          <w:vertAlign w:val="superscript"/>
        </w:rPr>
        <w:t>e</w:t>
      </w:r>
      <w:r w:rsidRPr="004C79FA">
        <w:rPr>
          <w:rStyle w:val="A5"/>
          <w:rFonts w:ascii="Times New Roman" w:hAnsi="Times New Roman" w:cs="Times New Roman"/>
          <w:sz w:val="14"/>
          <w:szCs w:val="14"/>
        </w:rPr>
        <w:t>∆∆G</w:t>
      </w:r>
      <w:r w:rsidRPr="004C79FA">
        <w:rPr>
          <w:rStyle w:val="A11"/>
          <w:rFonts w:ascii="Times New Roman" w:hAnsi="Times New Roman" w:cs="Times New Roman"/>
          <w:sz w:val="14"/>
          <w:szCs w:val="14"/>
          <w:vertAlign w:val="subscript"/>
        </w:rPr>
        <w:t>com</w:t>
      </w:r>
      <w:r w:rsidRPr="004C79FA">
        <w:rPr>
          <w:rStyle w:val="A5"/>
          <w:rFonts w:ascii="Times New Roman" w:hAnsi="Times New Roman" w:cs="Times New Roman"/>
          <w:sz w:val="14"/>
          <w:szCs w:val="14"/>
        </w:rPr>
        <w:t>(kcal/mol) is the relative Gibbs free energy change related to the enzyme-inhibitor FP2-CNP complex formation ∆∆G</w:t>
      </w:r>
      <w:r w:rsidRPr="004C79FA">
        <w:rPr>
          <w:rStyle w:val="A11"/>
          <w:rFonts w:ascii="Times New Roman" w:hAnsi="Times New Roman" w:cs="Times New Roman"/>
          <w:sz w:val="14"/>
          <w:szCs w:val="14"/>
          <w:vertAlign w:val="subscript"/>
        </w:rPr>
        <w:t>com</w:t>
      </w:r>
      <w:r w:rsidRPr="004C79FA">
        <w:rPr>
          <w:rStyle w:val="A5"/>
          <w:rFonts w:ascii="Times New Roman" w:hAnsi="Times New Roman" w:cs="Times New Roman"/>
          <w:sz w:val="14"/>
          <w:szCs w:val="14"/>
        </w:rPr>
        <w:t>–∆∆H</w:t>
      </w:r>
      <w:r w:rsidRPr="004C79FA">
        <w:rPr>
          <w:rStyle w:val="A11"/>
          <w:rFonts w:ascii="Times New Roman" w:hAnsi="Times New Roman" w:cs="Times New Roman"/>
          <w:sz w:val="14"/>
          <w:szCs w:val="14"/>
          <w:vertAlign w:val="subscript"/>
        </w:rPr>
        <w:t>MM</w:t>
      </w:r>
      <w:r w:rsidRPr="004C79FA">
        <w:rPr>
          <w:rStyle w:val="A5"/>
          <w:rFonts w:ascii="Times New Roman" w:hAnsi="Times New Roman" w:cs="Times New Roman"/>
          <w:sz w:val="14"/>
          <w:szCs w:val="14"/>
        </w:rPr>
        <w:t>+∆∆G</w:t>
      </w:r>
      <w:r w:rsidRPr="004C79FA">
        <w:rPr>
          <w:rStyle w:val="A11"/>
          <w:rFonts w:ascii="Times New Roman" w:hAnsi="Times New Roman" w:cs="Times New Roman"/>
          <w:sz w:val="14"/>
          <w:szCs w:val="14"/>
          <w:vertAlign w:val="subscript"/>
        </w:rPr>
        <w:t>sol</w:t>
      </w:r>
      <w:r w:rsidRPr="004C79FA">
        <w:rPr>
          <w:rStyle w:val="A5"/>
          <w:rFonts w:ascii="Times New Roman" w:hAnsi="Times New Roman" w:cs="Times New Roman"/>
          <w:sz w:val="14"/>
          <w:szCs w:val="14"/>
        </w:rPr>
        <w:t>+∆∆TS</w:t>
      </w:r>
      <w:r w:rsidRPr="004C79FA">
        <w:rPr>
          <w:rStyle w:val="A11"/>
          <w:rFonts w:ascii="Times New Roman" w:hAnsi="Times New Roman" w:cs="Times New Roman"/>
          <w:sz w:val="14"/>
          <w:szCs w:val="14"/>
          <w:vertAlign w:val="subscript"/>
        </w:rPr>
        <w:t>vib</w:t>
      </w:r>
      <w:r w:rsidRPr="004C79FA">
        <w:rPr>
          <w:rStyle w:val="A5"/>
          <w:rFonts w:ascii="Times New Roman" w:hAnsi="Times New Roman" w:cs="Times New Roman"/>
          <w:sz w:val="14"/>
          <w:szCs w:val="14"/>
        </w:rPr>
        <w:t xml:space="preserve">; </w:t>
      </w:r>
      <w:r w:rsidRPr="004C79FA">
        <w:rPr>
          <w:rStyle w:val="A12"/>
          <w:rFonts w:ascii="Times New Roman" w:eastAsia="Calibri" w:hAnsi="Times New Roman" w:cs="Times New Roman"/>
          <w:sz w:val="14"/>
          <w:szCs w:val="14"/>
          <w:vertAlign w:val="superscript"/>
        </w:rPr>
        <w:t>f</w:t>
      </w:r>
      <m:oMath>
        <m:sSubSup>
          <m:sSubSupPr>
            <m:ctrlPr>
              <w:rPr>
                <w:rFonts w:ascii="Cambria Math" w:hAnsi="Cambria Math"/>
                <w:bCs/>
                <w:color w:val="000000"/>
                <w:sz w:val="14"/>
                <w:szCs w:val="14"/>
                <w:vertAlign w:val="superscript"/>
                <w:lang w:eastAsia="fr-FR"/>
              </w:rPr>
            </m:ctrlPr>
          </m:sSubSupPr>
          <m:e>
            <m:r>
              <m:rPr>
                <m:sty m:val="p"/>
              </m:rPr>
              <w:rPr>
                <w:rFonts w:ascii="Cambria Math" w:hAnsi="Cambria Math"/>
                <w:color w:val="000000"/>
                <w:sz w:val="14"/>
                <w:szCs w:val="14"/>
                <w:vertAlign w:val="superscript"/>
                <w:lang w:eastAsia="fr-FR"/>
              </w:rPr>
              <m:t>IC</m:t>
            </m:r>
          </m:e>
          <m:sub>
            <m:r>
              <m:rPr>
                <m:sty m:val="p"/>
              </m:rPr>
              <w:rPr>
                <w:rFonts w:ascii="Cambria Math" w:hAnsi="Cambria Math"/>
                <w:color w:val="000000"/>
                <w:sz w:val="14"/>
                <w:szCs w:val="14"/>
                <w:vertAlign w:val="superscript"/>
                <w:lang w:eastAsia="fr-FR"/>
              </w:rPr>
              <m:t>50</m:t>
            </m:r>
          </m:sub>
          <m:sup>
            <m:r>
              <m:rPr>
                <m:sty m:val="p"/>
              </m:rPr>
              <w:rPr>
                <w:rFonts w:ascii="Cambria Math" w:hAnsi="Cambria Math"/>
                <w:color w:val="000000"/>
                <w:sz w:val="14"/>
                <w:szCs w:val="14"/>
                <w:vertAlign w:val="superscript"/>
                <w:lang w:eastAsia="fr-FR"/>
              </w:rPr>
              <m:t>pre</m:t>
            </m:r>
          </m:sup>
        </m:sSubSup>
      </m:oMath>
      <w:r w:rsidRPr="004C79FA">
        <w:rPr>
          <w:rStyle w:val="A5"/>
          <w:rFonts w:ascii="Times New Roman" w:hAnsi="Times New Roman" w:cs="Times New Roman"/>
          <w:sz w:val="14"/>
          <w:szCs w:val="14"/>
        </w:rPr>
        <w:t xml:space="preserve">(pM) is the predicted half-maximal inhibitory concentration of CNPx towards </w:t>
      </w:r>
      <w:r w:rsidRPr="004C79FA">
        <w:rPr>
          <w:rStyle w:val="A5"/>
          <w:rFonts w:ascii="Times New Roman" w:hAnsi="Times New Roman" w:cs="Times New Roman"/>
          <w:i/>
          <w:iCs/>
          <w:sz w:val="14"/>
          <w:szCs w:val="14"/>
        </w:rPr>
        <w:t>Pf</w:t>
      </w:r>
      <w:r w:rsidRPr="004C79FA">
        <w:rPr>
          <w:rStyle w:val="A5"/>
          <w:rFonts w:ascii="Times New Roman" w:hAnsi="Times New Roman" w:cs="Times New Roman"/>
          <w:sz w:val="14"/>
          <w:szCs w:val="14"/>
        </w:rPr>
        <w:t>FP2 calculated from ∆∆G</w:t>
      </w:r>
      <w:r w:rsidRPr="004C79FA">
        <w:rPr>
          <w:rStyle w:val="A11"/>
          <w:rFonts w:ascii="Times New Roman" w:hAnsi="Times New Roman" w:cs="Times New Roman"/>
          <w:sz w:val="14"/>
          <w:szCs w:val="14"/>
          <w:vertAlign w:val="subscript"/>
        </w:rPr>
        <w:t>com</w:t>
      </w:r>
      <w:r w:rsidRPr="004C79FA">
        <w:rPr>
          <w:rStyle w:val="A5"/>
          <w:rFonts w:ascii="Times New Roman" w:hAnsi="Times New Roman" w:cs="Times New Roman"/>
          <w:sz w:val="14"/>
          <w:szCs w:val="14"/>
        </w:rPr>
        <w:t xml:space="preserve">using correlation Equation (B), Table 3; </w:t>
      </w:r>
      <w:r w:rsidRPr="004C79FA">
        <w:rPr>
          <w:rStyle w:val="A12"/>
          <w:rFonts w:ascii="Times New Roman" w:eastAsia="Calibri" w:hAnsi="Times New Roman" w:cs="Times New Roman"/>
          <w:sz w:val="14"/>
          <w:szCs w:val="14"/>
          <w:vertAlign w:val="superscript"/>
        </w:rPr>
        <w:t>g</w:t>
      </w:r>
      <m:oMath>
        <m:sSubSup>
          <m:sSubSupPr>
            <m:ctrlPr>
              <w:rPr>
                <w:rFonts w:ascii="Cambria Math" w:hAnsi="Cambria Math"/>
                <w:b/>
                <w:bCs/>
                <w:color w:val="000000"/>
                <w:sz w:val="14"/>
                <w:szCs w:val="14"/>
                <w:vertAlign w:val="superscript"/>
                <w:lang w:eastAsia="fr-FR"/>
              </w:rPr>
            </m:ctrlPr>
          </m:sSubSupPr>
          <m:e>
            <m:r>
              <m:rPr>
                <m:sty m:val="b"/>
              </m:rPr>
              <w:rPr>
                <w:rFonts w:ascii="Cambria Math" w:hAnsi="Cambria Math"/>
                <w:color w:val="000000"/>
                <w:sz w:val="14"/>
                <w:szCs w:val="14"/>
                <w:vertAlign w:val="superscript"/>
                <w:lang w:eastAsia="fr-FR"/>
              </w:rPr>
              <m:t>IC</m:t>
            </m:r>
          </m:e>
          <m:sub>
            <m:r>
              <m:rPr>
                <m:sty m:val="b"/>
              </m:rPr>
              <w:rPr>
                <w:rFonts w:ascii="Cambria Math" w:hAnsi="Cambria Math"/>
                <w:color w:val="000000"/>
                <w:sz w:val="14"/>
                <w:szCs w:val="14"/>
                <w:vertAlign w:val="superscript"/>
                <w:lang w:eastAsia="fr-FR"/>
              </w:rPr>
              <m:t>50</m:t>
            </m:r>
          </m:sub>
          <m:sup>
            <m:r>
              <m:rPr>
                <m:sty m:val="b"/>
              </m:rPr>
              <w:rPr>
                <w:rFonts w:ascii="Cambria Math" w:hAnsi="Cambria Math"/>
                <w:color w:val="000000"/>
                <w:sz w:val="14"/>
                <w:szCs w:val="14"/>
                <w:vertAlign w:val="superscript"/>
                <w:lang w:eastAsia="fr-FR"/>
              </w:rPr>
              <m:t>exp</m:t>
            </m:r>
          </m:sup>
        </m:sSubSup>
      </m:oMath>
      <w:r w:rsidRPr="004C79FA">
        <w:rPr>
          <w:rStyle w:val="A5"/>
          <w:rFonts w:ascii="Times New Roman" w:hAnsi="Times New Roman" w:cs="Times New Roman"/>
          <w:sz w:val="14"/>
          <w:szCs w:val="14"/>
        </w:rPr>
        <w:t xml:space="preserve">is given for the reference inhibitor CNP9 instead of </w:t>
      </w:r>
      <m:oMath>
        <m:sSubSup>
          <m:sSubSupPr>
            <m:ctrlPr>
              <w:rPr>
                <w:rFonts w:ascii="Cambria Math" w:hAnsi="Cambria Math"/>
                <w:b/>
                <w:bCs/>
                <w:color w:val="000000"/>
                <w:sz w:val="14"/>
                <w:szCs w:val="14"/>
                <w:vertAlign w:val="superscript"/>
                <w:lang w:eastAsia="fr-FR"/>
              </w:rPr>
            </m:ctrlPr>
          </m:sSubSupPr>
          <m:e>
            <m:r>
              <m:rPr>
                <m:sty m:val="b"/>
              </m:rPr>
              <w:rPr>
                <w:rFonts w:ascii="Cambria Math" w:hAnsi="Cambria Math"/>
                <w:color w:val="000000"/>
                <w:sz w:val="14"/>
                <w:szCs w:val="14"/>
                <w:vertAlign w:val="superscript"/>
                <w:lang w:eastAsia="fr-FR"/>
              </w:rPr>
              <m:t>IC</m:t>
            </m:r>
          </m:e>
          <m:sub>
            <m:r>
              <m:rPr>
                <m:sty m:val="b"/>
              </m:rPr>
              <w:rPr>
                <w:rFonts w:ascii="Cambria Math" w:hAnsi="Cambria Math"/>
                <w:color w:val="000000"/>
                <w:sz w:val="14"/>
                <w:szCs w:val="14"/>
                <w:vertAlign w:val="superscript"/>
                <w:lang w:eastAsia="fr-FR"/>
              </w:rPr>
              <m:t>50</m:t>
            </m:r>
          </m:sub>
          <m:sup>
            <m:r>
              <m:rPr>
                <m:sty m:val="b"/>
              </m:rPr>
              <w:rPr>
                <w:rFonts w:ascii="Cambria Math" w:hAnsi="Cambria Math"/>
                <w:color w:val="000000"/>
                <w:sz w:val="14"/>
                <w:szCs w:val="14"/>
                <w:vertAlign w:val="superscript"/>
                <w:lang w:eastAsia="fr-FR"/>
              </w:rPr>
              <m:t>pre</m:t>
            </m:r>
          </m:sup>
        </m:sSubSup>
      </m:oMath>
      <w:r w:rsidRPr="004C79FA">
        <w:rPr>
          <w:rStyle w:val="A5"/>
          <w:rFonts w:ascii="Times New Roman" w:hAnsi="Times New Roman" w:cs="Times New Roman"/>
          <w:sz w:val="14"/>
          <w:szCs w:val="14"/>
        </w:rPr>
        <w:t>(pM</w:t>
      </w:r>
      <w:r w:rsidRPr="00FA3AD2">
        <w:rPr>
          <w:rStyle w:val="A5"/>
          <w:rFonts w:ascii="Times New Roman" w:hAnsi="Times New Roman" w:cs="Times New Roman"/>
          <w:sz w:val="14"/>
          <w:szCs w:val="14"/>
        </w:rPr>
        <w:t>)</w:t>
      </w:r>
      <w:r w:rsidR="00FA3AD2" w:rsidRPr="00FA3AD2">
        <w:rPr>
          <w:rStyle w:val="A12"/>
          <w:rFonts w:ascii="Times New Roman" w:hAnsi="Times New Roman" w:cs="Times New Roman"/>
          <w:sz w:val="14"/>
          <w:szCs w:val="14"/>
        </w:rPr>
        <w:t>[</w:t>
      </w:r>
      <w:fldSimple w:instr=" NOTEREF _Ref144976154 \h  \* MERGEFORMAT ">
        <w:r w:rsidR="00FA3AD2" w:rsidRPr="00FA3AD2">
          <w:rPr>
            <w:rStyle w:val="A12"/>
            <w:rFonts w:ascii="Times New Roman" w:hAnsi="Times New Roman" w:cs="Times New Roman"/>
            <w:sz w:val="14"/>
            <w:szCs w:val="14"/>
          </w:rPr>
          <w:t>20</w:t>
        </w:r>
      </w:fldSimple>
      <w:r w:rsidR="00FA3AD2" w:rsidRPr="00FA3AD2">
        <w:rPr>
          <w:rStyle w:val="A12"/>
          <w:rFonts w:ascii="Times New Roman" w:hAnsi="Times New Roman" w:cs="Times New Roman"/>
          <w:sz w:val="14"/>
          <w:szCs w:val="14"/>
        </w:rPr>
        <w:t>].</w:t>
      </w:r>
    </w:p>
    <w:p w:rsidR="004C79FA" w:rsidRDefault="004C79FA" w:rsidP="00431435">
      <w:pPr>
        <w:jc w:val="both"/>
        <w:rPr>
          <w:rStyle w:val="A12"/>
          <w:rFonts w:ascii="Times New Roman" w:eastAsia="Calibri" w:hAnsi="Times New Roman" w:cs="Times New Roman"/>
          <w:sz w:val="20"/>
          <w:szCs w:val="20"/>
        </w:rPr>
      </w:pPr>
    </w:p>
    <w:p w:rsidR="004C79FA" w:rsidRPr="00431435" w:rsidRDefault="004C79FA" w:rsidP="00504E67">
      <w:pPr>
        <w:pStyle w:val="Body"/>
        <w:spacing w:before="120" w:after="0"/>
        <w:jc w:val="left"/>
        <w:rPr>
          <w:rFonts w:ascii="Times New Roman" w:hAnsi="Times New Roman"/>
          <w:b/>
          <w:bCs/>
        </w:rPr>
      </w:pPr>
      <w:r w:rsidRPr="00431435">
        <w:rPr>
          <w:rFonts w:ascii="Times New Roman" w:hAnsi="Times New Roman"/>
          <w:b/>
          <w:bCs/>
        </w:rPr>
        <w:t xml:space="preserve">Novel CNPs </w:t>
      </w:r>
      <w:r w:rsidRPr="00504E67">
        <w:rPr>
          <w:rFonts w:ascii="Times New Roman" w:hAnsi="Times New Roman"/>
          <w:b/>
        </w:rPr>
        <w:t>analogs</w:t>
      </w:r>
    </w:p>
    <w:p w:rsidR="004C79FA" w:rsidRDefault="004C79FA" w:rsidP="004C79FA">
      <w:pPr>
        <w:jc w:val="both"/>
        <w:rPr>
          <w:rFonts w:ascii="Times New Roman" w:hAnsi="Times New Roman"/>
          <w:bCs/>
        </w:rPr>
      </w:pPr>
      <w:r w:rsidRPr="00431435">
        <w:rPr>
          <w:rFonts w:ascii="Times New Roman" w:hAnsi="Times New Roman"/>
          <w:bCs/>
        </w:rPr>
        <w:t xml:space="preserve">The predictive activities </w:t>
      </w:r>
      <m:oMath>
        <m:sSubSup>
          <m:sSubSupPr>
            <m:ctrlPr>
              <w:rPr>
                <w:rFonts w:ascii="Cambria Math" w:hAnsi="Cambria Math"/>
                <w:bCs/>
                <w:color w:val="000000"/>
                <w:vertAlign w:val="superscript"/>
                <w:lang w:eastAsia="fr-FR"/>
              </w:rPr>
            </m:ctrlPr>
          </m:sSubSupPr>
          <m:e>
            <m:r>
              <m:rPr>
                <m:sty m:val="p"/>
              </m:rPr>
              <w:rPr>
                <w:rFonts w:ascii="Cambria Math" w:hAnsi="Cambria Math"/>
                <w:color w:val="000000"/>
                <w:vertAlign w:val="superscript"/>
                <w:lang w:eastAsia="fr-FR"/>
              </w:rPr>
              <m:t>IC</m:t>
            </m:r>
          </m:e>
          <m:sub>
            <m:r>
              <m:rPr>
                <m:sty m:val="p"/>
              </m:rPr>
              <w:rPr>
                <w:rFonts w:ascii="Cambria Math" w:hAnsi="Cambria Math"/>
                <w:color w:val="000000"/>
                <w:vertAlign w:val="superscript"/>
                <w:lang w:eastAsia="fr-FR"/>
              </w:rPr>
              <m:t>50</m:t>
            </m:r>
          </m:sub>
          <m:sup>
            <m:r>
              <m:rPr>
                <m:sty m:val="p"/>
              </m:rPr>
              <w:rPr>
                <w:rFonts w:ascii="Cambria Math" w:hAnsi="Cambria Math"/>
                <w:color w:val="000000"/>
                <w:vertAlign w:val="superscript"/>
                <w:lang w:eastAsia="fr-FR"/>
              </w:rPr>
              <m:t>pre</m:t>
            </m:r>
          </m:sup>
        </m:sSubSup>
      </m:oMath>
      <w:r w:rsidRPr="00431435">
        <w:rPr>
          <w:rFonts w:ascii="Times New Roman" w:hAnsi="Times New Roman"/>
          <w:bCs/>
        </w:rPr>
        <w:t xml:space="preserve">of the best </w:t>
      </w:r>
      <w:r w:rsidRPr="00431435">
        <w:rPr>
          <w:rFonts w:ascii="Times New Roman" w:hAnsi="Times New Roman"/>
        </w:rPr>
        <w:t xml:space="preserve">52 </w:t>
      </w:r>
      <w:r w:rsidRPr="00431435">
        <w:rPr>
          <w:rFonts w:ascii="Times New Roman" w:hAnsi="Times New Roman"/>
          <w:bCs/>
        </w:rPr>
        <w:t>new analogs of CNPA calculated from the correlation equation (3) are better and more powerful than that of the most active compound CNP9 of the training set (</w:t>
      </w:r>
      <m:oMath>
        <m:sSubSup>
          <m:sSubSupPr>
            <m:ctrlPr>
              <w:rPr>
                <w:rFonts w:ascii="Cambria Math" w:hAnsi="Cambria Math"/>
                <w:bCs/>
                <w:color w:val="000000"/>
                <w:vertAlign w:val="superscript"/>
                <w:lang w:eastAsia="fr-FR"/>
              </w:rPr>
            </m:ctrlPr>
          </m:sSubSupPr>
          <m:e>
            <m:r>
              <m:rPr>
                <m:sty m:val="p"/>
              </m:rPr>
              <w:rPr>
                <w:rFonts w:ascii="Cambria Math" w:hAnsi="Cambria Math"/>
                <w:color w:val="000000"/>
                <w:vertAlign w:val="superscript"/>
                <w:lang w:eastAsia="fr-FR"/>
              </w:rPr>
              <m:t>IC</m:t>
            </m:r>
          </m:e>
          <m:sub>
            <m:r>
              <m:rPr>
                <m:sty m:val="p"/>
              </m:rPr>
              <w:rPr>
                <w:rFonts w:ascii="Cambria Math" w:hAnsi="Cambria Math"/>
                <w:color w:val="000000"/>
                <w:vertAlign w:val="superscript"/>
                <w:lang w:eastAsia="fr-FR"/>
              </w:rPr>
              <m:t>50</m:t>
            </m:r>
          </m:sub>
          <m:sup>
            <m:r>
              <m:rPr>
                <m:sty m:val="p"/>
              </m:rPr>
              <w:rPr>
                <w:rFonts w:ascii="Cambria Math" w:hAnsi="Cambria Math"/>
                <w:color w:val="000000"/>
                <w:vertAlign w:val="superscript"/>
                <w:lang w:eastAsia="fr-FR"/>
              </w:rPr>
              <m:t>exp</m:t>
            </m:r>
          </m:sup>
        </m:sSubSup>
        <m:r>
          <m:rPr>
            <m:sty m:val="p"/>
          </m:rPr>
          <w:rPr>
            <w:rFonts w:ascii="Cambria Math" w:hAnsi="Cambria Math"/>
            <w:color w:val="000000"/>
            <w:vertAlign w:val="superscript"/>
            <w:lang w:eastAsia="fr-FR"/>
          </w:rPr>
          <m:t>=1 nM</m:t>
        </m:r>
      </m:oMath>
      <w:r w:rsidRPr="00431435">
        <w:rPr>
          <w:rFonts w:ascii="Times New Roman" w:hAnsi="Times New Roman"/>
          <w:bCs/>
        </w:rPr>
        <w:t xml:space="preserve">) proposed by Cotereon </w:t>
      </w:r>
      <w:r w:rsidR="00FA3AD2" w:rsidRPr="00FA3AD2">
        <w:rPr>
          <w:rFonts w:ascii="Times New Roman" w:hAnsi="Times New Roman"/>
          <w:bCs/>
          <w:i/>
        </w:rPr>
        <w:t>et</w:t>
      </w:r>
      <w:r w:rsidRPr="00FA3AD2">
        <w:rPr>
          <w:rFonts w:ascii="Times New Roman" w:hAnsi="Times New Roman"/>
          <w:bCs/>
          <w:i/>
        </w:rPr>
        <w:t xml:space="preserve"> al</w:t>
      </w:r>
      <w:r w:rsidRPr="00761DCB">
        <w:rPr>
          <w:rFonts w:ascii="Times New Roman" w:hAnsi="Times New Roman"/>
          <w:bCs/>
          <w:i/>
        </w:rPr>
        <w:t>.</w:t>
      </w:r>
      <w:r w:rsidR="00FA3AD2" w:rsidRPr="00761DCB">
        <w:rPr>
          <w:rStyle w:val="A12"/>
          <w:rFonts w:ascii="Times New Roman" w:hAnsi="Times New Roman" w:cs="Times New Roman"/>
          <w:sz w:val="20"/>
          <w:szCs w:val="20"/>
        </w:rPr>
        <w:t>[</w:t>
      </w:r>
      <w:fldSimple w:instr=" NOTEREF _Ref144976154 \h  \* MERGEFORMAT ">
        <w:r w:rsidR="00FA3AD2" w:rsidRPr="00761DCB">
          <w:rPr>
            <w:rStyle w:val="A12"/>
            <w:rFonts w:ascii="Times New Roman" w:hAnsi="Times New Roman" w:cs="Times New Roman"/>
            <w:sz w:val="20"/>
            <w:szCs w:val="20"/>
          </w:rPr>
          <w:t>20</w:t>
        </w:r>
      </w:fldSimple>
      <w:r w:rsidR="00FA3AD2" w:rsidRPr="00761DCB">
        <w:rPr>
          <w:rStyle w:val="A12"/>
          <w:rFonts w:ascii="Times New Roman" w:hAnsi="Times New Roman" w:cs="Times New Roman"/>
          <w:sz w:val="20"/>
          <w:szCs w:val="20"/>
        </w:rPr>
        <w:t xml:space="preserve">] </w:t>
      </w:r>
      <w:r w:rsidRPr="00761DCB">
        <w:rPr>
          <w:rFonts w:ascii="Times New Roman" w:hAnsi="Times New Roman"/>
          <w:bCs/>
        </w:rPr>
        <w:t>are</w:t>
      </w:r>
      <w:r w:rsidRPr="00431435">
        <w:rPr>
          <w:rFonts w:ascii="Times New Roman" w:hAnsi="Times New Roman"/>
          <w:bCs/>
        </w:rPr>
        <w:t xml:space="preserve"> presented </w:t>
      </w:r>
      <w:r w:rsidR="00FA3AD2">
        <w:rPr>
          <w:rFonts w:ascii="Times New Roman" w:hAnsi="Times New Roman"/>
          <w:bCs/>
        </w:rPr>
        <w:t>in</w:t>
      </w:r>
      <w:r w:rsidRPr="00431435">
        <w:rPr>
          <w:rFonts w:ascii="Times New Roman" w:hAnsi="Times New Roman"/>
          <w:bCs/>
        </w:rPr>
        <w:t xml:space="preserve"> table</w:t>
      </w:r>
      <w:r w:rsidR="00FA3AD2">
        <w:rPr>
          <w:rFonts w:ascii="Times New Roman" w:hAnsi="Times New Roman"/>
          <w:bCs/>
        </w:rPr>
        <w:t xml:space="preserve"> 9.</w:t>
      </w:r>
    </w:p>
    <w:p w:rsidR="00881312" w:rsidRPr="00881312" w:rsidRDefault="00D34794" w:rsidP="004C79FA">
      <w:pPr>
        <w:jc w:val="both"/>
        <w:rPr>
          <w:rStyle w:val="A12"/>
          <w:rFonts w:ascii="Times New Roman" w:eastAsia="Calibri" w:hAnsi="Times New Roman" w:cs="Times New Roman"/>
          <w:sz w:val="20"/>
          <w:szCs w:val="20"/>
        </w:rPr>
      </w:pPr>
      <w:r>
        <w:rPr>
          <w:rFonts w:ascii="Times New Roman" w:hAnsi="Times New Roman"/>
          <w:bCs/>
        </w:rPr>
        <w:t>The best CNP</w:t>
      </w:r>
      <w:r w:rsidR="00881312" w:rsidRPr="00881312">
        <w:rPr>
          <w:rFonts w:ascii="Times New Roman" w:hAnsi="Times New Roman"/>
          <w:bCs/>
        </w:rPr>
        <w:t xml:space="preserve"> analogs </w:t>
      </w:r>
      <w:r>
        <w:rPr>
          <w:rFonts w:ascii="Times New Roman" w:hAnsi="Times New Roman"/>
          <w:bCs/>
        </w:rPr>
        <w:t>(</w:t>
      </w:r>
      <w:r w:rsidRPr="00881312">
        <w:rPr>
          <w:rFonts w:ascii="Times New Roman" w:hAnsi="Times New Roman"/>
          <w:bCs/>
        </w:rPr>
        <w:t>CNPA</w:t>
      </w:r>
      <w:r>
        <w:rPr>
          <w:rFonts w:ascii="Times New Roman" w:hAnsi="Times New Roman"/>
          <w:bCs/>
        </w:rPr>
        <w:t>)</w:t>
      </w:r>
      <w:r w:rsidR="00881312" w:rsidRPr="00881312">
        <w:rPr>
          <w:rFonts w:ascii="Times New Roman" w:hAnsi="Times New Roman"/>
          <w:bCs/>
        </w:rPr>
        <w:t>with their predicted activity value (</w:t>
      </w:r>
      <m:oMath>
        <m:sSubSup>
          <m:sSubSupPr>
            <m:ctrlPr>
              <w:rPr>
                <w:rFonts w:ascii="Cambria Math" w:hAnsi="Cambria Math"/>
                <w:bCs/>
                <w:color w:val="000000"/>
                <w:vertAlign w:val="superscript"/>
                <w:lang w:eastAsia="fr-FR"/>
              </w:rPr>
            </m:ctrlPr>
          </m:sSubSupPr>
          <m:e>
            <m:r>
              <m:rPr>
                <m:sty m:val="p"/>
              </m:rPr>
              <w:rPr>
                <w:rFonts w:ascii="Cambria Math" w:hAnsi="Cambria Math"/>
                <w:color w:val="000000"/>
                <w:vertAlign w:val="superscript"/>
                <w:lang w:eastAsia="fr-FR"/>
              </w:rPr>
              <m:t>IC</m:t>
            </m:r>
          </m:e>
          <m:sub>
            <m:r>
              <m:rPr>
                <m:sty m:val="p"/>
              </m:rPr>
              <w:rPr>
                <w:rFonts w:ascii="Cambria Math" w:hAnsi="Cambria Math"/>
                <w:color w:val="000000"/>
                <w:vertAlign w:val="superscript"/>
                <w:lang w:eastAsia="fr-FR"/>
              </w:rPr>
              <m:t>50</m:t>
            </m:r>
          </m:sub>
          <m:sup>
            <m:r>
              <m:rPr>
                <m:sty m:val="p"/>
              </m:rPr>
              <w:rPr>
                <w:rFonts w:ascii="Cambria Math" w:hAnsi="Cambria Math"/>
                <w:color w:val="000000"/>
                <w:vertAlign w:val="superscript"/>
                <w:lang w:eastAsia="fr-FR"/>
              </w:rPr>
              <m:t>pre</m:t>
            </m:r>
          </m:sup>
        </m:sSubSup>
      </m:oMath>
      <w:r w:rsidR="00881312" w:rsidRPr="00881312">
        <w:rPr>
          <w:rFonts w:ascii="Times New Roman" w:hAnsi="Times New Roman"/>
          <w:bCs/>
        </w:rPr>
        <w:t xml:space="preserve"> ) </w:t>
      </w:r>
      <w:r>
        <w:rPr>
          <w:rFonts w:ascii="Times New Roman" w:hAnsi="Times New Roman"/>
          <w:bCs/>
        </w:rPr>
        <w:t>in brackets are: 1-15-38-48 (</w:t>
      </w:r>
      <w:r w:rsidR="00881312" w:rsidRPr="00881312">
        <w:rPr>
          <w:rFonts w:ascii="Times New Roman" w:hAnsi="Times New Roman"/>
          <w:bCs/>
        </w:rPr>
        <w:t xml:space="preserve">23 </w:t>
      </w:r>
      <w:r>
        <w:rPr>
          <w:rFonts w:ascii="Times New Roman" w:hAnsi="Times New Roman"/>
          <w:bCs/>
        </w:rPr>
        <w:t>pM); 1-15-38-54 (</w:t>
      </w:r>
      <w:r w:rsidR="00881312" w:rsidRPr="00881312">
        <w:rPr>
          <w:rFonts w:ascii="Times New Roman" w:hAnsi="Times New Roman"/>
          <w:bCs/>
        </w:rPr>
        <w:t xml:space="preserve">34 </w:t>
      </w:r>
      <w:r>
        <w:rPr>
          <w:rFonts w:ascii="Times New Roman" w:hAnsi="Times New Roman"/>
          <w:bCs/>
        </w:rPr>
        <w:t>pM); 1-15-38-56 (</w:t>
      </w:r>
      <w:r w:rsidR="00881312" w:rsidRPr="00881312">
        <w:rPr>
          <w:rFonts w:ascii="Times New Roman" w:hAnsi="Times New Roman"/>
          <w:bCs/>
        </w:rPr>
        <w:t xml:space="preserve">37 </w:t>
      </w:r>
      <w:r>
        <w:rPr>
          <w:rFonts w:ascii="Times New Roman" w:hAnsi="Times New Roman"/>
          <w:bCs/>
        </w:rPr>
        <w:t>pM); 1-15-39-54 (</w:t>
      </w:r>
      <w:r w:rsidR="00881312" w:rsidRPr="00881312">
        <w:rPr>
          <w:rFonts w:ascii="Times New Roman" w:hAnsi="Times New Roman"/>
          <w:bCs/>
        </w:rPr>
        <w:t xml:space="preserve">34 </w:t>
      </w:r>
      <w:r>
        <w:rPr>
          <w:rFonts w:ascii="Times New Roman" w:hAnsi="Times New Roman"/>
          <w:bCs/>
        </w:rPr>
        <w:t>pM); 1-15-40-50 (</w:t>
      </w:r>
      <w:r w:rsidR="00881312" w:rsidRPr="00881312">
        <w:rPr>
          <w:rFonts w:ascii="Times New Roman" w:hAnsi="Times New Roman"/>
          <w:bCs/>
        </w:rPr>
        <w:t>4</w:t>
      </w:r>
      <w:r>
        <w:rPr>
          <w:rFonts w:ascii="Times New Roman" w:hAnsi="Times New Roman"/>
          <w:bCs/>
        </w:rPr>
        <w:t>0pM); 1-15-40-54 (</w:t>
      </w:r>
      <w:r w:rsidR="00881312" w:rsidRPr="00881312">
        <w:rPr>
          <w:rFonts w:ascii="Times New Roman" w:hAnsi="Times New Roman"/>
          <w:bCs/>
        </w:rPr>
        <w:t xml:space="preserve">26 </w:t>
      </w:r>
      <w:r>
        <w:rPr>
          <w:rFonts w:ascii="Times New Roman" w:hAnsi="Times New Roman"/>
          <w:bCs/>
        </w:rPr>
        <w:t>pM); 1-15-40-55 (</w:t>
      </w:r>
      <w:r w:rsidR="00881312" w:rsidRPr="00881312">
        <w:rPr>
          <w:rFonts w:ascii="Times New Roman" w:hAnsi="Times New Roman"/>
          <w:bCs/>
        </w:rPr>
        <w:t xml:space="preserve">14 </w:t>
      </w:r>
      <w:r>
        <w:rPr>
          <w:rFonts w:ascii="Times New Roman" w:hAnsi="Times New Roman"/>
          <w:bCs/>
        </w:rPr>
        <w:t>pM); 1-15-40-56 (</w:t>
      </w:r>
      <w:r w:rsidR="00881312" w:rsidRPr="00881312">
        <w:rPr>
          <w:rFonts w:ascii="Times New Roman" w:hAnsi="Times New Roman"/>
          <w:bCs/>
        </w:rPr>
        <w:t xml:space="preserve">27 </w:t>
      </w:r>
      <w:r>
        <w:rPr>
          <w:rFonts w:ascii="Times New Roman" w:hAnsi="Times New Roman"/>
          <w:bCs/>
        </w:rPr>
        <w:t>pM); 1-15-41-49 (</w:t>
      </w:r>
      <w:r w:rsidR="00881312" w:rsidRPr="00881312">
        <w:rPr>
          <w:rFonts w:ascii="Times New Roman" w:hAnsi="Times New Roman"/>
          <w:bCs/>
        </w:rPr>
        <w:t xml:space="preserve">23 </w:t>
      </w:r>
      <w:r>
        <w:rPr>
          <w:rFonts w:ascii="Times New Roman" w:hAnsi="Times New Roman"/>
          <w:bCs/>
        </w:rPr>
        <w:t>pM); 1-15-41-53 (</w:t>
      </w:r>
      <w:r w:rsidR="00881312" w:rsidRPr="00881312">
        <w:rPr>
          <w:rFonts w:ascii="Times New Roman" w:hAnsi="Times New Roman"/>
          <w:bCs/>
        </w:rPr>
        <w:t xml:space="preserve">25 </w:t>
      </w:r>
      <w:r>
        <w:rPr>
          <w:rFonts w:ascii="Times New Roman" w:hAnsi="Times New Roman"/>
          <w:bCs/>
        </w:rPr>
        <w:t>pM); 1-31-41-53 (</w:t>
      </w:r>
      <w:r w:rsidR="00881312" w:rsidRPr="00881312">
        <w:rPr>
          <w:rFonts w:ascii="Times New Roman" w:hAnsi="Times New Roman"/>
          <w:bCs/>
        </w:rPr>
        <w:t xml:space="preserve">19 </w:t>
      </w:r>
      <w:r>
        <w:rPr>
          <w:rFonts w:ascii="Times New Roman" w:hAnsi="Times New Roman"/>
          <w:bCs/>
        </w:rPr>
        <w:t>p</w:t>
      </w:r>
      <w:r w:rsidR="00881312" w:rsidRPr="00881312">
        <w:rPr>
          <w:rFonts w:ascii="Times New Roman" w:hAnsi="Times New Roman"/>
          <w:bCs/>
        </w:rPr>
        <w:t>M). The most active of t</w:t>
      </w:r>
      <w:r>
        <w:rPr>
          <w:rFonts w:ascii="Times New Roman" w:hAnsi="Times New Roman"/>
          <w:bCs/>
        </w:rPr>
        <w:t>he CNPAs, namely 1-15-40-55 (</w:t>
      </w:r>
      <w:r w:rsidR="00881312" w:rsidRPr="00881312">
        <w:rPr>
          <w:rFonts w:ascii="Times New Roman" w:hAnsi="Times New Roman"/>
          <w:bCs/>
        </w:rPr>
        <w:t xml:space="preserve">14 </w:t>
      </w:r>
      <w:r>
        <w:rPr>
          <w:rFonts w:ascii="Times New Roman" w:hAnsi="Times New Roman"/>
          <w:bCs/>
        </w:rPr>
        <w:t>p</w:t>
      </w:r>
      <w:r w:rsidR="00881312" w:rsidRPr="00881312">
        <w:rPr>
          <w:rFonts w:ascii="Times New Roman" w:hAnsi="Times New Roman"/>
          <w:bCs/>
        </w:rPr>
        <w:t>M), has a predicted potency (</w:t>
      </w:r>
      <m:oMath>
        <m:sSubSup>
          <m:sSubSupPr>
            <m:ctrlPr>
              <w:rPr>
                <w:rFonts w:ascii="Cambria Math" w:hAnsi="Cambria Math"/>
                <w:bCs/>
                <w:color w:val="000000"/>
                <w:vertAlign w:val="superscript"/>
                <w:lang w:eastAsia="fr-FR"/>
              </w:rPr>
            </m:ctrlPr>
          </m:sSubSupPr>
          <m:e>
            <m:r>
              <m:rPr>
                <m:sty m:val="p"/>
              </m:rPr>
              <w:rPr>
                <w:rFonts w:ascii="Cambria Math" w:hAnsi="Cambria Math"/>
                <w:color w:val="000000"/>
                <w:vertAlign w:val="superscript"/>
                <w:lang w:eastAsia="fr-FR"/>
              </w:rPr>
              <m:t>IC</m:t>
            </m:r>
          </m:e>
          <m:sub>
            <m:r>
              <m:rPr>
                <m:sty m:val="p"/>
              </m:rPr>
              <w:rPr>
                <w:rFonts w:ascii="Cambria Math" w:hAnsi="Cambria Math"/>
                <w:color w:val="000000"/>
                <w:vertAlign w:val="superscript"/>
                <w:lang w:eastAsia="fr-FR"/>
              </w:rPr>
              <m:t>50</m:t>
            </m:r>
          </m:sub>
          <m:sup>
            <m:r>
              <m:rPr>
                <m:sty m:val="p"/>
              </m:rPr>
              <w:rPr>
                <w:rFonts w:ascii="Cambria Math" w:hAnsi="Cambria Math"/>
                <w:color w:val="000000"/>
                <w:vertAlign w:val="superscript"/>
                <w:lang w:eastAsia="fr-FR"/>
              </w:rPr>
              <m:t>pre</m:t>
            </m:r>
          </m:sup>
        </m:sSubSup>
      </m:oMath>
      <w:r w:rsidR="00881312" w:rsidRPr="00881312">
        <w:rPr>
          <w:rFonts w:ascii="Times New Roman" w:hAnsi="Times New Roman"/>
          <w:bCs/>
        </w:rPr>
        <w:t>) of approximately 70 times greater than that of the best CNP9 inhibitor of the training set.</w:t>
      </w:r>
    </w:p>
    <w:p w:rsidR="004C79FA" w:rsidRDefault="004C79FA" w:rsidP="00431435">
      <w:pPr>
        <w:jc w:val="both"/>
        <w:rPr>
          <w:rStyle w:val="A12"/>
          <w:rFonts w:ascii="Times New Roman" w:eastAsia="Calibri" w:hAnsi="Times New Roman" w:cs="Times New Roman"/>
          <w:sz w:val="20"/>
          <w:szCs w:val="20"/>
        </w:rPr>
      </w:pPr>
    </w:p>
    <w:tbl>
      <w:tblPr>
        <w:tblStyle w:val="TableGrid"/>
        <w:tblW w:w="0" w:type="auto"/>
        <w:tblLook w:val="04A0"/>
      </w:tblPr>
      <w:tblGrid>
        <w:gridCol w:w="2388"/>
        <w:gridCol w:w="2389"/>
      </w:tblGrid>
      <w:tr w:rsidR="00EA69CB" w:rsidTr="009549F3">
        <w:trPr>
          <w:trHeight w:val="1831"/>
        </w:trPr>
        <w:tc>
          <w:tcPr>
            <w:tcW w:w="2388" w:type="dxa"/>
            <w:tcMar>
              <w:left w:w="0" w:type="dxa"/>
              <w:right w:w="0" w:type="dxa"/>
            </w:tcMar>
            <w:vAlign w:val="center"/>
          </w:tcPr>
          <w:p w:rsidR="00FA3AD2" w:rsidRDefault="00FA3AD2" w:rsidP="00431435">
            <w:pPr>
              <w:jc w:val="both"/>
              <w:rPr>
                <w:rStyle w:val="A12"/>
                <w:rFonts w:ascii="Times New Roman" w:eastAsia="Calibri" w:hAnsi="Times New Roman" w:cs="Times New Roman"/>
                <w:sz w:val="20"/>
                <w:szCs w:val="20"/>
              </w:rPr>
            </w:pPr>
            <w:r>
              <w:rPr>
                <w:noProof/>
                <w:lang w:val="en-GB" w:eastAsia="en-GB"/>
              </w:rPr>
              <w:lastRenderedPageBreak/>
              <w:drawing>
                <wp:inline distT="0" distB="0" distL="0" distR="0">
                  <wp:extent cx="1440000" cy="1048091"/>
                  <wp:effectExtent l="0" t="0" r="8255" b="0"/>
                  <wp:docPr id="8" name="Graphique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2389" w:type="dxa"/>
            <w:tcMar>
              <w:left w:w="0" w:type="dxa"/>
              <w:right w:w="0" w:type="dxa"/>
            </w:tcMar>
            <w:vAlign w:val="center"/>
          </w:tcPr>
          <w:p w:rsidR="00FA3AD2" w:rsidRDefault="009549F3" w:rsidP="00431435">
            <w:pPr>
              <w:jc w:val="both"/>
              <w:rPr>
                <w:rStyle w:val="A12"/>
                <w:rFonts w:ascii="Times New Roman" w:eastAsia="Calibri" w:hAnsi="Times New Roman" w:cs="Times New Roman"/>
                <w:sz w:val="20"/>
                <w:szCs w:val="20"/>
              </w:rPr>
            </w:pPr>
            <w:r>
              <w:rPr>
                <w:noProof/>
                <w:lang w:val="en-GB" w:eastAsia="en-GB"/>
              </w:rPr>
              <w:drawing>
                <wp:inline distT="0" distB="0" distL="0" distR="0">
                  <wp:extent cx="1440000" cy="1071420"/>
                  <wp:effectExtent l="0" t="0" r="8255" b="0"/>
                  <wp:docPr id="9" name="Graphique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EA69CB" w:rsidTr="009549F3">
        <w:tc>
          <w:tcPr>
            <w:tcW w:w="2388" w:type="dxa"/>
            <w:tcMar>
              <w:left w:w="0" w:type="dxa"/>
              <w:right w:w="0" w:type="dxa"/>
            </w:tcMar>
            <w:vAlign w:val="center"/>
          </w:tcPr>
          <w:p w:rsidR="00FA3AD2" w:rsidRDefault="008B5404" w:rsidP="00431435">
            <w:pPr>
              <w:jc w:val="both"/>
              <w:rPr>
                <w:rStyle w:val="A12"/>
                <w:rFonts w:ascii="Times New Roman" w:eastAsia="Calibri" w:hAnsi="Times New Roman" w:cs="Times New Roman"/>
                <w:sz w:val="20"/>
                <w:szCs w:val="20"/>
              </w:rPr>
            </w:pPr>
            <w:r>
              <w:rPr>
                <w:noProof/>
                <w:lang w:val="en-GB" w:eastAsia="en-GB"/>
              </w:rPr>
              <w:drawing>
                <wp:inline distT="0" distB="0" distL="0" distR="0">
                  <wp:extent cx="1440000" cy="1043613"/>
                  <wp:effectExtent l="0" t="0" r="8255" b="4445"/>
                  <wp:docPr id="11" name="Graphique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389" w:type="dxa"/>
            <w:tcMar>
              <w:left w:w="0" w:type="dxa"/>
              <w:right w:w="0" w:type="dxa"/>
            </w:tcMar>
            <w:vAlign w:val="center"/>
          </w:tcPr>
          <w:p w:rsidR="00FA3AD2" w:rsidRDefault="009D321E" w:rsidP="00431435">
            <w:pPr>
              <w:jc w:val="both"/>
              <w:rPr>
                <w:rStyle w:val="A12"/>
                <w:rFonts w:ascii="Times New Roman" w:eastAsia="Calibri" w:hAnsi="Times New Roman" w:cs="Times New Roman"/>
                <w:sz w:val="20"/>
                <w:szCs w:val="20"/>
              </w:rPr>
            </w:pPr>
            <w:r>
              <w:rPr>
                <w:noProof/>
                <w:lang w:val="en-GB" w:eastAsia="en-GB"/>
              </w:rPr>
              <w:drawing>
                <wp:inline distT="0" distB="0" distL="0" distR="0">
                  <wp:extent cx="1440000" cy="1057070"/>
                  <wp:effectExtent l="0" t="0" r="8255" b="0"/>
                  <wp:docPr id="13" name="Graphique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9D321E" w:rsidTr="0011126F">
        <w:tc>
          <w:tcPr>
            <w:tcW w:w="4777" w:type="dxa"/>
            <w:gridSpan w:val="2"/>
            <w:tcMar>
              <w:left w:w="0" w:type="dxa"/>
              <w:right w:w="0" w:type="dxa"/>
            </w:tcMar>
            <w:vAlign w:val="center"/>
          </w:tcPr>
          <w:p w:rsidR="009D321E" w:rsidRPr="009D321E" w:rsidRDefault="009D321E" w:rsidP="00431435">
            <w:pPr>
              <w:jc w:val="both"/>
              <w:rPr>
                <w:rStyle w:val="A12"/>
                <w:rFonts w:ascii="Times New Roman" w:eastAsia="Calibri" w:hAnsi="Times New Roman" w:cs="Times New Roman"/>
                <w:sz w:val="20"/>
                <w:szCs w:val="20"/>
              </w:rPr>
            </w:pPr>
            <w:r w:rsidRPr="009D321E">
              <w:rPr>
                <w:rFonts w:ascii="Times New Roman" w:hAnsi="Times New Roman"/>
                <w:bCs/>
                <w:sz w:val="18"/>
                <w:szCs w:val="18"/>
              </w:rPr>
              <w:t>Figure 6: Histograms of frequency of occurrence of the individual R-groups in the 52 best analogues selected and mapped to the four characteristics of the ph4 hypothesis of the hypo1 pharmacophore</w:t>
            </w:r>
          </w:p>
        </w:tc>
      </w:tr>
    </w:tbl>
    <w:p w:rsidR="001E72C2" w:rsidRDefault="001E72C2" w:rsidP="001E72C2">
      <w:pPr>
        <w:spacing w:line="360" w:lineRule="auto"/>
        <w:rPr>
          <w:rFonts w:ascii="Times New Roman" w:hAnsi="Times New Roman"/>
          <w:b/>
          <w:bCs/>
        </w:rPr>
      </w:pPr>
    </w:p>
    <w:p w:rsidR="001E72C2" w:rsidRPr="001E72C2" w:rsidRDefault="001E72C2" w:rsidP="001E72C2">
      <w:pPr>
        <w:spacing w:line="360" w:lineRule="auto"/>
        <w:rPr>
          <w:rFonts w:ascii="Times New Roman" w:hAnsi="Times New Roman"/>
          <w:b/>
          <w:bCs/>
        </w:rPr>
      </w:pPr>
      <w:r>
        <w:rPr>
          <w:rFonts w:ascii="Times New Roman" w:hAnsi="Times New Roman"/>
          <w:b/>
          <w:bCs/>
        </w:rPr>
        <w:t>P</w:t>
      </w:r>
      <w:r w:rsidRPr="001E72C2">
        <w:rPr>
          <w:rFonts w:ascii="Times New Roman" w:hAnsi="Times New Roman"/>
          <w:b/>
          <w:bCs/>
        </w:rPr>
        <w:t>harmacokinetic profile of the best analogs</w:t>
      </w:r>
    </w:p>
    <w:p w:rsidR="001E72C2" w:rsidRPr="001E72C2" w:rsidRDefault="001E72C2" w:rsidP="001E72C2">
      <w:pPr>
        <w:jc w:val="both"/>
        <w:rPr>
          <w:rFonts w:ascii="Times New Roman" w:hAnsi="Times New Roman"/>
          <w:bCs/>
        </w:rPr>
      </w:pPr>
      <w:r w:rsidRPr="001E72C2">
        <w:rPr>
          <w:rFonts w:ascii="Times New Roman" w:hAnsi="Times New Roman"/>
          <w:bCs/>
        </w:rPr>
        <w:t xml:space="preserve">The pharmacokinetic profile of the best designed CNPs has also been calculated and compared with those of the drugs used for the treatment of malaria alone or in combination with Artemisinin (CTA) or </w:t>
      </w:r>
      <w:r>
        <w:rPr>
          <w:rFonts w:ascii="Times New Roman" w:hAnsi="Times New Roman"/>
          <w:bCs/>
        </w:rPr>
        <w:t xml:space="preserve">in clinical trials (Table 10). </w:t>
      </w:r>
    </w:p>
    <w:p w:rsidR="001E72C2" w:rsidRDefault="001E72C2" w:rsidP="001E72C2">
      <w:pPr>
        <w:jc w:val="both"/>
        <w:rPr>
          <w:rFonts w:ascii="Times New Roman" w:hAnsi="Times New Roman"/>
          <w:bCs/>
        </w:rPr>
      </w:pPr>
      <w:r w:rsidRPr="001E72C2">
        <w:rPr>
          <w:rFonts w:ascii="Times New Roman" w:hAnsi="Times New Roman"/>
          <w:bCs/>
        </w:rPr>
        <w:t>The value of the drug likelihood descriptor #stars indicates that CNPs analogs have 24 descriptors that comply with those of 95% of drugs and have a better profile than the majority of ACT</w:t>
      </w:r>
      <w:r>
        <w:rPr>
          <w:rFonts w:ascii="Times New Roman" w:hAnsi="Times New Roman"/>
          <w:bCs/>
        </w:rPr>
        <w:t xml:space="preserve">s. </w:t>
      </w:r>
      <w:r w:rsidRPr="001E72C2">
        <w:rPr>
          <w:rFonts w:ascii="Times New Roman" w:hAnsi="Times New Roman"/>
          <w:bCs/>
        </w:rPr>
        <w:t xml:space="preserve">These results also present the percentage of absorption by oral route (%HOA) of the best analogues which is greater than or equal to 80% and also obey the WHO recommendation namely %HOA </w:t>
      </w:r>
      <w:r w:rsidRPr="001E72C2">
        <w:rPr>
          <w:rFonts w:ascii="Cambria Math" w:hAnsi="Cambria Math" w:cs="Cambria Math"/>
          <w:bCs/>
        </w:rPr>
        <w:t>⩾</w:t>
      </w:r>
      <w:r w:rsidRPr="001E72C2">
        <w:rPr>
          <w:rFonts w:ascii="Times New Roman" w:hAnsi="Times New Roman"/>
          <w:bCs/>
        </w:rPr>
        <w:t xml:space="preserve"> 80%. Therefore, the best analogues identified in this work are potential drug candidates.</w:t>
      </w:r>
    </w:p>
    <w:p w:rsidR="00E46940" w:rsidRPr="001E72C2" w:rsidRDefault="00E46940" w:rsidP="001E72C2">
      <w:pPr>
        <w:jc w:val="both"/>
        <w:rPr>
          <w:rFonts w:ascii="Times New Roman" w:hAnsi="Times New Roman"/>
          <w:bCs/>
        </w:rPr>
      </w:pPr>
    </w:p>
    <w:p w:rsidR="00E46940" w:rsidRPr="00EA69CB" w:rsidRDefault="00E46940" w:rsidP="00890CC9">
      <w:pPr>
        <w:keepNext/>
        <w:spacing w:after="120"/>
        <w:rPr>
          <w:rFonts w:ascii="Times New Roman" w:hAnsi="Times New Roman"/>
          <w:b/>
          <w:bCs/>
        </w:rPr>
      </w:pPr>
      <w:r w:rsidRPr="00EA69CB">
        <w:rPr>
          <w:rFonts w:ascii="Times New Roman" w:hAnsi="Times New Roman"/>
          <w:b/>
          <w:bCs/>
        </w:rPr>
        <w:t>DISCUSSION</w:t>
      </w:r>
    </w:p>
    <w:p w:rsidR="00E46940" w:rsidRPr="00EA69CB" w:rsidRDefault="00E46940" w:rsidP="00890CC9">
      <w:pPr>
        <w:pStyle w:val="ListParagraph"/>
        <w:keepNext/>
        <w:spacing w:after="0" w:line="240" w:lineRule="auto"/>
        <w:ind w:left="0"/>
        <w:jc w:val="both"/>
        <w:rPr>
          <w:rFonts w:ascii="Times New Roman" w:hAnsi="Times New Roman" w:cs="Times New Roman"/>
          <w:sz w:val="20"/>
          <w:szCs w:val="20"/>
          <w:lang w:val="en-US"/>
        </w:rPr>
      </w:pPr>
      <w:r w:rsidRPr="00EA69CB">
        <w:rPr>
          <w:rFonts w:ascii="Times New Roman" w:hAnsi="Times New Roman" w:cs="Times New Roman"/>
          <w:sz w:val="20"/>
          <w:szCs w:val="20"/>
          <w:lang w:val="en-US"/>
        </w:rPr>
        <w:t xml:space="preserve">The study of the binding mode of </w:t>
      </w:r>
      <w:r w:rsidR="00F92A1C">
        <w:rPr>
          <w:rFonts w:ascii="Times New Roman" w:hAnsi="Times New Roman" w:cs="Times New Roman"/>
          <w:i/>
          <w:sz w:val="20"/>
          <w:szCs w:val="20"/>
          <w:lang w:val="en-US"/>
        </w:rPr>
        <w:t>P</w:t>
      </w:r>
      <w:r w:rsidRPr="00F92A1C">
        <w:rPr>
          <w:rFonts w:ascii="Times New Roman" w:hAnsi="Times New Roman" w:cs="Times New Roman"/>
          <w:i/>
          <w:sz w:val="20"/>
          <w:szCs w:val="20"/>
          <w:lang w:val="en-US"/>
        </w:rPr>
        <w:t>f</w:t>
      </w:r>
      <w:r w:rsidRPr="00EA69CB">
        <w:rPr>
          <w:rFonts w:ascii="Times New Roman" w:hAnsi="Times New Roman" w:cs="Times New Roman"/>
          <w:sz w:val="20"/>
          <w:szCs w:val="20"/>
          <w:lang w:val="en-US"/>
        </w:rPr>
        <w:t>FP2:CNP from its RQSA model of complexation with a single descriptor and the 3D-QSAR PH4 pharmacophore model generated allowed us to access major structural information on the molecular complementarities of</w:t>
      </w:r>
      <w:r w:rsidR="00F92A1C">
        <w:rPr>
          <w:rFonts w:ascii="Times New Roman" w:hAnsi="Times New Roman" w:cs="Times New Roman"/>
          <w:sz w:val="20"/>
          <w:szCs w:val="20"/>
          <w:lang w:val="en-US"/>
        </w:rPr>
        <w:t xml:space="preserve"> the enzyme and the inhibitor. </w:t>
      </w:r>
      <w:r w:rsidRPr="00EA69CB">
        <w:rPr>
          <w:rFonts w:ascii="Times New Roman" w:hAnsi="Times New Roman" w:cs="Times New Roman"/>
          <w:sz w:val="20"/>
          <w:szCs w:val="20"/>
          <w:lang w:val="en-US"/>
        </w:rPr>
        <w:t xml:space="preserve">The visual analysis and the calculation of the interactions between </w:t>
      </w:r>
      <w:r w:rsidR="00761DCB" w:rsidRPr="00761DCB">
        <w:rPr>
          <w:rFonts w:ascii="Times New Roman" w:hAnsi="Times New Roman" w:cs="Times New Roman"/>
          <w:i/>
          <w:sz w:val="20"/>
          <w:szCs w:val="20"/>
          <w:lang w:val="en-US"/>
        </w:rPr>
        <w:t>P</w:t>
      </w:r>
      <w:r w:rsidRPr="00761DCB">
        <w:rPr>
          <w:rFonts w:ascii="Times New Roman" w:hAnsi="Times New Roman" w:cs="Times New Roman"/>
          <w:i/>
          <w:sz w:val="20"/>
          <w:szCs w:val="20"/>
          <w:lang w:val="en-US"/>
        </w:rPr>
        <w:t>f</w:t>
      </w:r>
      <w:r w:rsidRPr="00EA69CB">
        <w:rPr>
          <w:rFonts w:ascii="Times New Roman" w:hAnsi="Times New Roman" w:cs="Times New Roman"/>
          <w:sz w:val="20"/>
          <w:szCs w:val="20"/>
          <w:lang w:val="en-US"/>
        </w:rPr>
        <w:t>FP2 and CNPs in the active site of the enzyme guided us in our efforts to design a virtual combinatorial library of new CNP analogues with four substitutions on the CNP scaffold at positions R</w:t>
      </w:r>
      <w:r w:rsidRPr="00EA69CB">
        <w:rPr>
          <w:rFonts w:ascii="Times New Roman" w:hAnsi="Times New Roman" w:cs="Times New Roman"/>
          <w:sz w:val="20"/>
          <w:szCs w:val="20"/>
          <w:vertAlign w:val="subscript"/>
          <w:lang w:val="en-US"/>
        </w:rPr>
        <w:t>1</w:t>
      </w:r>
      <w:r w:rsidRPr="00EA69CB">
        <w:rPr>
          <w:rFonts w:ascii="Times New Roman" w:hAnsi="Times New Roman" w:cs="Times New Roman"/>
          <w:sz w:val="20"/>
          <w:szCs w:val="20"/>
          <w:lang w:val="en-US"/>
        </w:rPr>
        <w:t>, R</w:t>
      </w:r>
      <w:r w:rsidRPr="00EA69CB">
        <w:rPr>
          <w:rFonts w:ascii="Times New Roman" w:hAnsi="Times New Roman" w:cs="Times New Roman"/>
          <w:sz w:val="20"/>
          <w:szCs w:val="20"/>
          <w:vertAlign w:val="subscript"/>
          <w:lang w:val="en-US"/>
        </w:rPr>
        <w:t>2</w:t>
      </w:r>
      <w:r w:rsidRPr="00EA69CB">
        <w:rPr>
          <w:rFonts w:ascii="Times New Roman" w:hAnsi="Times New Roman" w:cs="Times New Roman"/>
          <w:sz w:val="20"/>
          <w:szCs w:val="20"/>
          <w:lang w:val="en-US"/>
        </w:rPr>
        <w:t>, R</w:t>
      </w:r>
      <w:r w:rsidRPr="00EA69CB">
        <w:rPr>
          <w:rFonts w:ascii="Times New Roman" w:hAnsi="Times New Roman" w:cs="Times New Roman"/>
          <w:sz w:val="20"/>
          <w:szCs w:val="20"/>
          <w:vertAlign w:val="subscript"/>
          <w:lang w:val="en-US"/>
        </w:rPr>
        <w:t>3</w:t>
      </w:r>
      <w:r w:rsidRPr="00EA69CB">
        <w:rPr>
          <w:rFonts w:ascii="Times New Roman" w:hAnsi="Times New Roman" w:cs="Times New Roman"/>
          <w:sz w:val="20"/>
          <w:szCs w:val="20"/>
          <w:lang w:val="en-US"/>
        </w:rPr>
        <w:t xml:space="preserve"> and R</w:t>
      </w:r>
      <w:r w:rsidRPr="00EA69CB">
        <w:rPr>
          <w:rFonts w:ascii="Times New Roman" w:hAnsi="Times New Roman" w:cs="Times New Roman"/>
          <w:sz w:val="20"/>
          <w:szCs w:val="20"/>
          <w:vertAlign w:val="subscript"/>
          <w:lang w:val="en-US"/>
        </w:rPr>
        <w:t>4</w:t>
      </w:r>
      <w:r w:rsidRPr="00EA69CB">
        <w:rPr>
          <w:rFonts w:ascii="Times New Roman" w:hAnsi="Times New Roman" w:cs="Times New Roman"/>
          <w:sz w:val="20"/>
          <w:szCs w:val="20"/>
          <w:lang w:val="en-US"/>
        </w:rPr>
        <w:t>. A resulting targeted library filtered by a set of descriptors linked to ADME and screened by mapping the analogues to the PH4 pharmacophore, allowed the selection of a subset of libraries of CNPS bioavailable orally.</w:t>
      </w:r>
    </w:p>
    <w:p w:rsidR="004C79FA" w:rsidRDefault="004C79FA" w:rsidP="00431435">
      <w:pPr>
        <w:jc w:val="both"/>
        <w:rPr>
          <w:rStyle w:val="A12"/>
          <w:rFonts w:ascii="Times New Roman" w:eastAsia="Calibri" w:hAnsi="Times New Roman" w:cs="Times New Roman"/>
          <w:sz w:val="20"/>
          <w:szCs w:val="20"/>
        </w:rPr>
      </w:pPr>
    </w:p>
    <w:tbl>
      <w:tblPr>
        <w:tblStyle w:val="TableGrid"/>
        <w:tblW w:w="0" w:type="auto"/>
        <w:tblLook w:val="04A0"/>
      </w:tblPr>
      <w:tblGrid>
        <w:gridCol w:w="4777"/>
      </w:tblGrid>
      <w:tr w:rsidR="00EE1E02" w:rsidTr="00EE1E02">
        <w:tc>
          <w:tcPr>
            <w:tcW w:w="4777" w:type="dxa"/>
          </w:tcPr>
          <w:p w:rsidR="00EE1E02" w:rsidRDefault="00EE1E02" w:rsidP="00EE1E02">
            <w:pPr>
              <w:jc w:val="center"/>
              <w:rPr>
                <w:rStyle w:val="A12"/>
                <w:rFonts w:ascii="Times New Roman" w:eastAsia="Calibri" w:hAnsi="Times New Roman" w:cs="Times New Roman"/>
                <w:sz w:val="20"/>
                <w:szCs w:val="20"/>
              </w:rPr>
            </w:pPr>
            <w:r>
              <w:rPr>
                <w:rFonts w:ascii="Arial" w:hAnsi="Arial" w:cs="Arial"/>
                <w:b/>
                <w:noProof/>
                <w:lang w:val="en-GB" w:eastAsia="en-GB"/>
              </w:rPr>
              <w:drawing>
                <wp:inline distT="0" distB="0" distL="0" distR="0">
                  <wp:extent cx="2612571" cy="33381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214" cy="3341533"/>
                          </a:xfrm>
                          <a:prstGeom prst="rect">
                            <a:avLst/>
                          </a:prstGeom>
                          <a:noFill/>
                          <a:ln>
                            <a:noFill/>
                          </a:ln>
                        </pic:spPr>
                      </pic:pic>
                    </a:graphicData>
                  </a:graphic>
                </wp:inline>
              </w:drawing>
            </w:r>
          </w:p>
        </w:tc>
      </w:tr>
      <w:tr w:rsidR="00EE1E02" w:rsidTr="00EE1E02">
        <w:tc>
          <w:tcPr>
            <w:tcW w:w="4777" w:type="dxa"/>
          </w:tcPr>
          <w:p w:rsidR="00EE1E02" w:rsidRPr="00EE1E02" w:rsidRDefault="00EE1E02" w:rsidP="00431435">
            <w:pPr>
              <w:jc w:val="both"/>
              <w:rPr>
                <w:rStyle w:val="A12"/>
                <w:rFonts w:ascii="Times New Roman" w:eastAsia="Calibri" w:hAnsi="Times New Roman" w:cs="Times New Roman"/>
                <w:sz w:val="18"/>
                <w:szCs w:val="18"/>
              </w:rPr>
            </w:pPr>
            <w:r w:rsidRPr="00EE1E02">
              <w:rPr>
                <w:rFonts w:ascii="Times New Roman" w:hAnsi="Times New Roman"/>
                <w:bCs/>
                <w:sz w:val="18"/>
                <w:szCs w:val="18"/>
              </w:rPr>
              <w:lastRenderedPageBreak/>
              <w:t>Figure 7: Presentation of some designed analogs of CNPA</w:t>
            </w:r>
          </w:p>
        </w:tc>
      </w:tr>
    </w:tbl>
    <w:p w:rsidR="004C79FA" w:rsidRDefault="004C79FA" w:rsidP="00431435">
      <w:pPr>
        <w:jc w:val="both"/>
        <w:rPr>
          <w:rStyle w:val="A12"/>
          <w:rFonts w:ascii="Times New Roman" w:eastAsia="Calibri" w:hAnsi="Times New Roman" w:cs="Times New Roman"/>
          <w:sz w:val="20"/>
          <w:szCs w:val="20"/>
        </w:rPr>
      </w:pPr>
    </w:p>
    <w:tbl>
      <w:tblPr>
        <w:tblStyle w:val="TableGrid"/>
        <w:tblW w:w="0" w:type="auto"/>
        <w:tblLook w:val="04A0"/>
      </w:tblPr>
      <w:tblGrid>
        <w:gridCol w:w="4777"/>
      </w:tblGrid>
      <w:tr w:rsidR="00EE1E02" w:rsidTr="00EE1E02">
        <w:tc>
          <w:tcPr>
            <w:tcW w:w="4777" w:type="dxa"/>
          </w:tcPr>
          <w:p w:rsidR="00EE1E02" w:rsidRDefault="00EE1E02" w:rsidP="00753C47">
            <w:pPr>
              <w:jc w:val="center"/>
              <w:rPr>
                <w:rStyle w:val="A12"/>
                <w:rFonts w:ascii="Times New Roman" w:eastAsia="Calibri" w:hAnsi="Times New Roman" w:cs="Times New Roman"/>
                <w:sz w:val="20"/>
                <w:szCs w:val="20"/>
              </w:rPr>
            </w:pPr>
            <w:r>
              <w:rPr>
                <w:noProof/>
                <w:lang w:val="en-GB" w:eastAsia="en-GB"/>
              </w:rPr>
              <w:drawing>
                <wp:inline distT="0" distB="0" distL="0" distR="0">
                  <wp:extent cx="1800000" cy="1479025"/>
                  <wp:effectExtent l="38100" t="38100" r="86360" b="102235"/>
                  <wp:docPr id="3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14"/>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147902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r>
      <w:tr w:rsidR="00EE1E02" w:rsidTr="00EE1E02">
        <w:tc>
          <w:tcPr>
            <w:tcW w:w="4777" w:type="dxa"/>
          </w:tcPr>
          <w:p w:rsidR="00EE1E02" w:rsidRDefault="007D7162" w:rsidP="00753C47">
            <w:pPr>
              <w:jc w:val="center"/>
              <w:rPr>
                <w:rStyle w:val="A12"/>
                <w:rFonts w:ascii="Times New Roman" w:eastAsia="Calibri" w:hAnsi="Times New Roman" w:cs="Times New Roman"/>
                <w:sz w:val="20"/>
                <w:szCs w:val="20"/>
              </w:rPr>
            </w:pPr>
            <w:r>
              <w:rPr>
                <w:noProof/>
                <w:lang w:val="en-GB" w:eastAsia="en-GB"/>
              </w:rPr>
              <w:drawing>
                <wp:inline distT="0" distB="0" distL="0" distR="0">
                  <wp:extent cx="1800000" cy="1545158"/>
                  <wp:effectExtent l="38100" t="38100" r="86360" b="93345"/>
                  <wp:docPr id="3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19"/>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1545158"/>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r>
      <w:tr w:rsidR="00753C47" w:rsidTr="00EE1E02">
        <w:tc>
          <w:tcPr>
            <w:tcW w:w="4777" w:type="dxa"/>
          </w:tcPr>
          <w:p w:rsidR="00753C47" w:rsidRPr="00753C47" w:rsidRDefault="00753C47" w:rsidP="006B352E">
            <w:pPr>
              <w:jc w:val="both"/>
              <w:rPr>
                <w:rFonts w:ascii="Times New Roman" w:hAnsi="Times New Roman"/>
                <w:noProof/>
                <w:lang w:eastAsia="fr-FR"/>
              </w:rPr>
            </w:pPr>
            <w:r w:rsidRPr="00753C47">
              <w:rPr>
                <w:rFonts w:ascii="Times New Roman" w:hAnsi="Times New Roman"/>
                <w:bCs/>
                <w:sz w:val="18"/>
                <w:szCs w:val="18"/>
              </w:rPr>
              <w:t>Figure 8 (</w:t>
            </w:r>
            <w:r w:rsidR="006B352E">
              <w:rPr>
                <w:rFonts w:ascii="Times New Roman" w:hAnsi="Times New Roman"/>
                <w:bCs/>
                <w:sz w:val="18"/>
                <w:szCs w:val="18"/>
              </w:rPr>
              <w:t>Top</w:t>
            </w:r>
            <w:r w:rsidRPr="00753C47">
              <w:rPr>
                <w:rFonts w:ascii="Times New Roman" w:hAnsi="Times New Roman"/>
                <w:bCs/>
                <w:sz w:val="18"/>
                <w:szCs w:val="18"/>
              </w:rPr>
              <w:t>) Close up of virtual hit 1-15-40-55 at the active-site of FP2. (</w:t>
            </w:r>
            <w:r w:rsidR="006B352E">
              <w:rPr>
                <w:rFonts w:ascii="Times New Roman" w:hAnsi="Times New Roman"/>
                <w:bCs/>
                <w:sz w:val="18"/>
                <w:szCs w:val="18"/>
              </w:rPr>
              <w:t>Bottom</w:t>
            </w:r>
            <w:r w:rsidRPr="00753C47">
              <w:rPr>
                <w:rFonts w:ascii="Times New Roman" w:hAnsi="Times New Roman"/>
                <w:bCs/>
                <w:sz w:val="18"/>
                <w:szCs w:val="18"/>
              </w:rPr>
              <w:t xml:space="preserve">) Connolly surface of the active-site of </w:t>
            </w:r>
            <w:r w:rsidRPr="00753C47">
              <w:rPr>
                <w:rFonts w:ascii="Times New Roman" w:hAnsi="Times New Roman"/>
                <w:bCs/>
                <w:i/>
                <w:sz w:val="18"/>
                <w:szCs w:val="18"/>
              </w:rPr>
              <w:t>Pf</w:t>
            </w:r>
            <w:r>
              <w:rPr>
                <w:rFonts w:ascii="Times New Roman" w:hAnsi="Times New Roman"/>
                <w:bCs/>
                <w:sz w:val="18"/>
                <w:szCs w:val="18"/>
              </w:rPr>
              <w:t xml:space="preserve">FP2 </w:t>
            </w:r>
            <w:r w:rsidRPr="00753C47">
              <w:rPr>
                <w:rFonts w:ascii="Times New Roman" w:hAnsi="Times New Roman"/>
                <w:bCs/>
                <w:sz w:val="18"/>
                <w:szCs w:val="18"/>
              </w:rPr>
              <w:t>with bound predicted most active CNP inhibitor 1-15-40-55. The binding site surface is colored according to residue hydrophobicity: red—hydrophobic, blue—hydrophilic, and white—intermediate.</w:t>
            </w:r>
          </w:p>
        </w:tc>
      </w:tr>
    </w:tbl>
    <w:p w:rsidR="004C79FA" w:rsidRDefault="004C79FA" w:rsidP="00431435">
      <w:pPr>
        <w:jc w:val="both"/>
        <w:rPr>
          <w:rStyle w:val="A12"/>
          <w:rFonts w:ascii="Times New Roman" w:eastAsia="Calibri" w:hAnsi="Times New Roman" w:cs="Times New Roman"/>
          <w:sz w:val="20"/>
          <w:szCs w:val="20"/>
        </w:rPr>
      </w:pPr>
    </w:p>
    <w:p w:rsidR="00EA69CB" w:rsidRPr="00EA69CB" w:rsidRDefault="00EA69CB" w:rsidP="00EA69CB">
      <w:pPr>
        <w:pStyle w:val="ListParagraph"/>
        <w:spacing w:before="120" w:after="0" w:line="240" w:lineRule="auto"/>
        <w:ind w:left="0"/>
        <w:contextualSpacing w:val="0"/>
        <w:rPr>
          <w:rFonts w:ascii="Times New Roman" w:hAnsi="Times New Roman" w:cs="Times New Roman"/>
          <w:b/>
          <w:bCs/>
          <w:color w:val="000000"/>
          <w:sz w:val="20"/>
          <w:szCs w:val="20"/>
          <w:lang w:val="en-US"/>
        </w:rPr>
      </w:pPr>
      <w:r w:rsidRPr="00EA69CB">
        <w:rPr>
          <w:rFonts w:ascii="Times New Roman" w:hAnsi="Times New Roman" w:cs="Times New Roman"/>
          <w:b/>
          <w:bCs/>
          <w:color w:val="000000"/>
          <w:sz w:val="20"/>
          <w:szCs w:val="20"/>
          <w:lang w:val="en-US"/>
        </w:rPr>
        <w:t>QSAR model</w:t>
      </w:r>
    </w:p>
    <w:p w:rsidR="00EA69CB" w:rsidRPr="00EA69CB" w:rsidRDefault="00EA69CB" w:rsidP="00EA69CB">
      <w:pPr>
        <w:pStyle w:val="ListParagraph"/>
        <w:spacing w:after="0" w:line="240" w:lineRule="auto"/>
        <w:ind w:left="0"/>
        <w:jc w:val="both"/>
        <w:rPr>
          <w:rFonts w:ascii="Times New Roman" w:hAnsi="Times New Roman" w:cs="Times New Roman"/>
          <w:bCs/>
          <w:color w:val="000000"/>
          <w:sz w:val="20"/>
          <w:szCs w:val="20"/>
          <w:lang w:val="en-US"/>
        </w:rPr>
      </w:pPr>
      <w:r w:rsidRPr="00EA69CB">
        <w:rPr>
          <w:rFonts w:ascii="Times New Roman" w:hAnsi="Times New Roman" w:cs="Times New Roman"/>
          <w:bCs/>
          <w:color w:val="000000"/>
          <w:sz w:val="20"/>
          <w:szCs w:val="20"/>
          <w:lang w:val="en-US"/>
        </w:rPr>
        <w:t>The robustness of this QSAR model with a descriptor is evaluated through the components of the GFE (</w:t>
      </w:r>
      <w:r w:rsidRPr="00EA69CB">
        <w:rPr>
          <w:rFonts w:ascii="Times New Roman" w:hAnsi="Times New Roman" w:cs="Times New Roman"/>
          <w:bCs/>
          <w:color w:val="000000"/>
          <w:sz w:val="20"/>
          <w:szCs w:val="20"/>
        </w:rPr>
        <w:t>ΔΔ</w:t>
      </w:r>
      <w:r w:rsidRPr="00EA69CB">
        <w:rPr>
          <w:rFonts w:ascii="Times New Roman" w:hAnsi="Times New Roman" w:cs="Times New Roman"/>
          <w:bCs/>
          <w:color w:val="000000"/>
          <w:sz w:val="20"/>
          <w:szCs w:val="20"/>
          <w:lang w:val="en-US"/>
        </w:rPr>
        <w:t>G</w:t>
      </w:r>
      <w:r w:rsidRPr="00EA69CB">
        <w:rPr>
          <w:rFonts w:ascii="Times New Roman" w:hAnsi="Times New Roman" w:cs="Times New Roman"/>
          <w:bCs/>
          <w:color w:val="000000"/>
          <w:sz w:val="20"/>
          <w:szCs w:val="20"/>
          <w:vertAlign w:val="subscript"/>
          <w:lang w:val="en-US"/>
        </w:rPr>
        <w:t>com</w:t>
      </w:r>
      <w:r w:rsidRPr="00EA69CB">
        <w:rPr>
          <w:rFonts w:ascii="Times New Roman" w:hAnsi="Times New Roman" w:cs="Times New Roman"/>
          <w:bCs/>
          <w:color w:val="000000"/>
          <w:sz w:val="20"/>
          <w:szCs w:val="20"/>
          <w:lang w:val="en-US"/>
        </w:rPr>
        <w:t xml:space="preserve">), namely the contribution of the </w:t>
      </w:r>
      <w:r w:rsidRPr="00EA69CB">
        <w:rPr>
          <w:rFonts w:ascii="Times New Roman" w:hAnsi="Times New Roman" w:cs="Times New Roman"/>
          <w:bCs/>
          <w:color w:val="000000"/>
          <w:sz w:val="20"/>
          <w:szCs w:val="20"/>
        </w:rPr>
        <w:t>ΔΔ</w:t>
      </w:r>
      <w:r w:rsidRPr="00EA69CB">
        <w:rPr>
          <w:rFonts w:ascii="Times New Roman" w:hAnsi="Times New Roman" w:cs="Times New Roman"/>
          <w:bCs/>
          <w:color w:val="000000"/>
          <w:sz w:val="20"/>
          <w:szCs w:val="20"/>
          <w:lang w:val="en-US"/>
        </w:rPr>
        <w:t>H</w:t>
      </w:r>
      <w:r w:rsidRPr="00EA69CB">
        <w:rPr>
          <w:rFonts w:ascii="Times New Roman" w:hAnsi="Times New Roman" w:cs="Times New Roman"/>
          <w:bCs/>
          <w:color w:val="000000"/>
          <w:sz w:val="20"/>
          <w:szCs w:val="20"/>
          <w:vertAlign w:val="subscript"/>
          <w:lang w:val="en-US"/>
        </w:rPr>
        <w:t>MM</w:t>
      </w:r>
      <w:r w:rsidRPr="00EA69CB">
        <w:rPr>
          <w:rFonts w:ascii="Times New Roman" w:hAnsi="Times New Roman" w:cs="Times New Roman"/>
          <w:bCs/>
          <w:color w:val="000000"/>
          <w:sz w:val="20"/>
          <w:szCs w:val="20"/>
          <w:lang w:val="en-US"/>
        </w:rPr>
        <w:t xml:space="preserve"> enthalpy, the </w:t>
      </w:r>
      <w:r w:rsidRPr="00EA69CB">
        <w:rPr>
          <w:rFonts w:ascii="Times New Roman" w:hAnsi="Times New Roman" w:cs="Times New Roman"/>
          <w:bCs/>
          <w:color w:val="000000"/>
          <w:sz w:val="20"/>
          <w:szCs w:val="20"/>
        </w:rPr>
        <w:t>ΔΔ</w:t>
      </w:r>
      <w:r w:rsidRPr="00EA69CB">
        <w:rPr>
          <w:rFonts w:ascii="Times New Roman" w:hAnsi="Times New Roman" w:cs="Times New Roman"/>
          <w:bCs/>
          <w:color w:val="000000"/>
          <w:sz w:val="20"/>
          <w:szCs w:val="20"/>
          <w:lang w:val="en-US"/>
        </w:rPr>
        <w:t>G</w:t>
      </w:r>
      <w:r w:rsidRPr="00EA69CB">
        <w:rPr>
          <w:rFonts w:ascii="Times New Roman" w:hAnsi="Times New Roman" w:cs="Times New Roman"/>
          <w:bCs/>
          <w:color w:val="000000"/>
          <w:sz w:val="20"/>
          <w:szCs w:val="20"/>
          <w:vertAlign w:val="subscript"/>
          <w:lang w:val="en-US"/>
        </w:rPr>
        <w:t>solv</w:t>
      </w:r>
      <w:r w:rsidRPr="00EA69CB">
        <w:rPr>
          <w:rFonts w:ascii="Times New Roman" w:hAnsi="Times New Roman" w:cs="Times New Roman"/>
          <w:bCs/>
          <w:color w:val="000000"/>
          <w:sz w:val="20"/>
          <w:szCs w:val="20"/>
          <w:lang w:val="en-US"/>
        </w:rPr>
        <w:t xml:space="preserve"> solvation and the loss of vibrational entropy </w:t>
      </w:r>
      <w:r w:rsidRPr="00EA69CB">
        <w:rPr>
          <w:rFonts w:ascii="Times New Roman" w:hAnsi="Times New Roman" w:cs="Times New Roman"/>
          <w:bCs/>
          <w:color w:val="000000"/>
          <w:sz w:val="20"/>
          <w:szCs w:val="20"/>
        </w:rPr>
        <w:t>ΔΔ</w:t>
      </w:r>
      <w:r w:rsidRPr="00EA69CB">
        <w:rPr>
          <w:rFonts w:ascii="Times New Roman" w:hAnsi="Times New Roman" w:cs="Times New Roman"/>
          <w:bCs/>
          <w:color w:val="000000"/>
          <w:sz w:val="20"/>
          <w:szCs w:val="20"/>
          <w:lang w:val="en-US"/>
        </w:rPr>
        <w:t>TS</w:t>
      </w:r>
      <w:r w:rsidRPr="00EA69CB">
        <w:rPr>
          <w:rFonts w:ascii="Times New Roman" w:hAnsi="Times New Roman" w:cs="Times New Roman"/>
          <w:bCs/>
          <w:color w:val="000000"/>
          <w:sz w:val="20"/>
          <w:szCs w:val="20"/>
          <w:vertAlign w:val="subscript"/>
          <w:lang w:val="en-US"/>
        </w:rPr>
        <w:t>vib</w:t>
      </w:r>
      <w:r w:rsidRPr="00EA69CB">
        <w:rPr>
          <w:rFonts w:ascii="Times New Roman" w:hAnsi="Times New Roman" w:cs="Times New Roman"/>
          <w:bCs/>
          <w:color w:val="000000"/>
          <w:sz w:val="20"/>
          <w:szCs w:val="20"/>
          <w:lang w:val="en-US"/>
        </w:rPr>
        <w:t xml:space="preserve"> during the binding of the CNPs. The enthalpy contribution to GFE, then taking into account the effect of the solvent in order to get closer to the biological medium maintains the level of strong relationship between the experimental data and the simulation results. Finally, the likelihood of the model is increased by the loss of the inhibitory vibrational entropy TS</w:t>
      </w:r>
      <w:r w:rsidRPr="00EA69CB">
        <w:rPr>
          <w:rFonts w:ascii="Times New Roman" w:hAnsi="Times New Roman" w:cs="Times New Roman"/>
          <w:bCs/>
          <w:color w:val="000000"/>
          <w:sz w:val="20"/>
          <w:szCs w:val="20"/>
          <w:vertAlign w:val="subscript"/>
          <w:lang w:val="en-US"/>
        </w:rPr>
        <w:t>vib</w:t>
      </w:r>
      <w:r w:rsidRPr="00EA69CB">
        <w:rPr>
          <w:rFonts w:ascii="Times New Roman" w:hAnsi="Times New Roman" w:cs="Times New Roman"/>
          <w:bCs/>
          <w:color w:val="000000"/>
          <w:sz w:val="20"/>
          <w:szCs w:val="20"/>
          <w:lang w:val="en-US"/>
        </w:rPr>
        <w:t xml:space="preserve"> to explain approximately 97% of the variations of the </w:t>
      </w:r>
      <m:oMath>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exp</m:t>
            </m:r>
          </m:sup>
        </m:sSubSup>
      </m:oMath>
      <w:r w:rsidRPr="00EA69CB">
        <w:rPr>
          <w:rFonts w:ascii="Times New Roman" w:hAnsi="Times New Roman" w:cs="Times New Roman"/>
          <w:bCs/>
          <w:color w:val="000000"/>
          <w:sz w:val="20"/>
          <w:szCs w:val="20"/>
          <w:lang w:val="en-US"/>
        </w:rPr>
        <w:t xml:space="preserve"> by that of the GFE. This last contribution is one of the most reliable indicators of the predictive power of the QSAR model as reported by Freire </w:t>
      </w:r>
      <w:r w:rsidRPr="00EA69CB">
        <w:rPr>
          <w:rFonts w:ascii="Times New Roman" w:hAnsi="Times New Roman" w:cs="Times New Roman"/>
          <w:bCs/>
          <w:i/>
          <w:color w:val="000000"/>
          <w:sz w:val="20"/>
          <w:szCs w:val="20"/>
          <w:lang w:val="en-US"/>
        </w:rPr>
        <w:t>et al.</w:t>
      </w:r>
      <w:r w:rsidRPr="00DF2DA0">
        <w:rPr>
          <w:rStyle w:val="EndnoteReference"/>
          <w:rFonts w:ascii="Times New Roman" w:hAnsi="Times New Roman" w:cs="Times New Roman"/>
          <w:b/>
          <w:bCs/>
          <w:color w:val="8DB3E2" w:themeColor="text2" w:themeTint="66"/>
          <w:sz w:val="20"/>
          <w:szCs w:val="20"/>
          <w:lang w:val="en-US"/>
        </w:rPr>
        <w:endnoteReference w:id="43"/>
      </w:r>
      <w:r w:rsidRPr="00EA69CB">
        <w:rPr>
          <w:rFonts w:ascii="Times New Roman" w:hAnsi="Times New Roman" w:cs="Times New Roman"/>
          <w:bCs/>
          <w:color w:val="000000"/>
          <w:sz w:val="20"/>
          <w:szCs w:val="20"/>
          <w:lang w:val="en-US"/>
        </w:rPr>
        <w:t xml:space="preserve">. Consequently, the correlation equation (3) and the calculated quantities </w:t>
      </w:r>
      <w:r w:rsidRPr="00EA69CB">
        <w:rPr>
          <w:rFonts w:ascii="Times New Roman" w:hAnsi="Times New Roman" w:cs="Times New Roman"/>
          <w:bCs/>
          <w:color w:val="000000"/>
          <w:sz w:val="20"/>
          <w:szCs w:val="20"/>
        </w:rPr>
        <w:t>ΔΔ</w:t>
      </w:r>
      <w:r w:rsidRPr="00EA69CB">
        <w:rPr>
          <w:rFonts w:ascii="Times New Roman" w:hAnsi="Times New Roman" w:cs="Times New Roman"/>
          <w:bCs/>
          <w:color w:val="000000"/>
          <w:sz w:val="20"/>
          <w:szCs w:val="20"/>
          <w:lang w:val="en-US"/>
        </w:rPr>
        <w:t>G</w:t>
      </w:r>
      <w:r w:rsidRPr="00EA69CB">
        <w:rPr>
          <w:rFonts w:ascii="Times New Roman" w:hAnsi="Times New Roman" w:cs="Times New Roman"/>
          <w:bCs/>
          <w:color w:val="000000"/>
          <w:sz w:val="20"/>
          <w:szCs w:val="20"/>
          <w:vertAlign w:val="subscript"/>
          <w:lang w:val="en-US"/>
        </w:rPr>
        <w:t>comp</w:t>
      </w:r>
      <w:r w:rsidRPr="00EA69CB">
        <w:rPr>
          <w:rFonts w:ascii="Times New Roman" w:hAnsi="Times New Roman" w:cs="Times New Roman"/>
          <w:bCs/>
          <w:color w:val="000000"/>
          <w:sz w:val="20"/>
          <w:szCs w:val="20"/>
          <w:lang w:val="en-US"/>
        </w:rPr>
        <w:t xml:space="preserve"> can be used respectively to predict the </w:t>
      </w:r>
      <m:oMath>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pre</m:t>
            </m:r>
          </m:sup>
        </m:sSubSup>
      </m:oMath>
      <w:r w:rsidRPr="00EA69CB">
        <w:rPr>
          <w:rFonts w:ascii="Times New Roman" w:hAnsi="Times New Roman" w:cs="Times New Roman"/>
          <w:bCs/>
          <w:color w:val="000000"/>
          <w:sz w:val="20"/>
          <w:szCs w:val="20"/>
          <w:lang w:val="en-US"/>
        </w:rPr>
        <w:t xml:space="preserve">inhibitory potencies with respect to pfFP2 for new CNP analogues, since they share the same binding mode as the compounds of the corresponding validation set. The quality of the fixation model is also confirmed by the ratio between the calculated inhibitory activities </w:t>
      </w:r>
      <m:oMath>
        <m:r>
          <m:rPr>
            <m:sty m:val="p"/>
          </m:rPr>
          <w:rPr>
            <w:rFonts w:ascii="Cambria Math" w:hAnsi="Cambria Math" w:cs="Times New Roman"/>
            <w:color w:val="000000"/>
            <w:sz w:val="20"/>
            <w:szCs w:val="20"/>
            <w:lang w:val="en-US"/>
          </w:rPr>
          <m:t>p</m:t>
        </m:r>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pre</m:t>
            </m:r>
          </m:sup>
        </m:sSubSup>
      </m:oMath>
      <w:r w:rsidRPr="00EA69CB">
        <w:rPr>
          <w:rFonts w:ascii="Times New Roman" w:hAnsi="Times New Roman" w:cs="Times New Roman"/>
          <w:bCs/>
          <w:color w:val="000000"/>
          <w:sz w:val="20"/>
          <w:szCs w:val="20"/>
          <w:lang w:val="en-US"/>
        </w:rPr>
        <w:t xml:space="preserve"> and the values of the experimental activities </w:t>
      </w:r>
      <m:oMath>
        <m:r>
          <m:rPr>
            <m:sty m:val="p"/>
          </m:rPr>
          <w:rPr>
            <w:rFonts w:ascii="Cambria Math" w:hAnsi="Cambria Math" w:cs="Times New Roman"/>
            <w:color w:val="000000"/>
            <w:sz w:val="20"/>
            <w:szCs w:val="20"/>
            <w:lang w:val="en-US"/>
          </w:rPr>
          <m:t>p</m:t>
        </m:r>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exp</m:t>
            </m:r>
          </m:sup>
        </m:sSubSup>
      </m:oMath>
      <w:r w:rsidRPr="00EA69CB">
        <w:rPr>
          <w:rFonts w:ascii="Times New Roman" w:hAnsi="Times New Roman" w:cs="Times New Roman"/>
          <w:bCs/>
          <w:color w:val="000000"/>
          <w:sz w:val="20"/>
          <w:szCs w:val="20"/>
          <w:lang w:val="en-US"/>
        </w:rPr>
        <w:t xml:space="preserve"> and documents the considerable predictive power of the RQSA model of complexation (</w:t>
      </w:r>
      <m:oMath>
        <m:r>
          <m:rPr>
            <m:sty m:val="p"/>
          </m:rPr>
          <w:rPr>
            <w:rFonts w:ascii="Cambria Math" w:hAnsi="Cambria Math" w:cs="Times New Roman"/>
            <w:color w:val="000000"/>
            <w:sz w:val="20"/>
            <w:szCs w:val="20"/>
            <w:lang w:val="en-US"/>
          </w:rPr>
          <m:t>p</m:t>
        </m:r>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pre</m:t>
            </m:r>
          </m:sup>
        </m:sSubSup>
      </m:oMath>
      <w:r w:rsidRPr="00EA69CB">
        <w:rPr>
          <w:rFonts w:ascii="Times New Roman" w:hAnsi="Times New Roman" w:cs="Times New Roman"/>
          <w:bCs/>
          <w:color w:val="000000"/>
          <w:sz w:val="20"/>
          <w:szCs w:val="20"/>
          <w:lang w:val="en-US"/>
        </w:rPr>
        <w:t>/</w:t>
      </w:r>
      <m:oMath>
        <m:r>
          <m:rPr>
            <m:sty m:val="p"/>
          </m:rPr>
          <w:rPr>
            <w:rFonts w:ascii="Cambria Math" w:hAnsi="Cambria Math" w:cs="Times New Roman"/>
            <w:color w:val="000000"/>
            <w:sz w:val="20"/>
            <w:szCs w:val="20"/>
            <w:lang w:val="en-US"/>
          </w:rPr>
          <m:t xml:space="preserve"> p</m:t>
        </m:r>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exp</m:t>
            </m:r>
          </m:sup>
        </m:sSubSup>
      </m:oMath>
      <w:r w:rsidRPr="00EA69CB">
        <w:rPr>
          <w:rFonts w:ascii="Times New Roman" w:hAnsi="Times New Roman" w:cs="Times New Roman"/>
          <w:bCs/>
          <w:color w:val="000000"/>
          <w:sz w:val="20"/>
          <w:szCs w:val="20"/>
          <w:lang w:val="en-US"/>
        </w:rPr>
        <w:t xml:space="preserve">, </w:t>
      </w:r>
      <m:oMath>
        <m:r>
          <m:rPr>
            <m:sty m:val="p"/>
          </m:rPr>
          <w:rPr>
            <w:rFonts w:ascii="Cambria Math" w:hAnsi="Cambria Math" w:cs="Times New Roman"/>
            <w:color w:val="000000"/>
            <w:sz w:val="20"/>
            <w:szCs w:val="20"/>
            <w:lang w:val="en-US"/>
          </w:rPr>
          <m:t>p</m:t>
        </m:r>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pre</m:t>
            </m:r>
          </m:sup>
        </m:sSubSup>
      </m:oMath>
      <w:r w:rsidRPr="00EA69CB">
        <w:rPr>
          <w:rFonts w:ascii="Times New Roman" w:hAnsi="Times New Roman" w:cs="Times New Roman"/>
          <w:bCs/>
          <w:color w:val="000000"/>
          <w:sz w:val="20"/>
          <w:szCs w:val="20"/>
          <w:lang w:val="en-US"/>
        </w:rPr>
        <w:t>being calculated by equation 3, Table 2 which is close to 1 for the CNPs of the validation set see Table 2)</w:t>
      </w:r>
    </w:p>
    <w:p w:rsidR="00EA69CB" w:rsidRPr="00637B1A" w:rsidRDefault="00EA69CB" w:rsidP="00EA69CB">
      <w:pPr>
        <w:pStyle w:val="ListParagraph"/>
        <w:spacing w:before="120" w:after="0" w:line="240" w:lineRule="auto"/>
        <w:ind w:left="0"/>
        <w:contextualSpacing w:val="0"/>
        <w:rPr>
          <w:rFonts w:ascii="Times New Roman" w:hAnsi="Times New Roman" w:cs="Times New Roman"/>
          <w:sz w:val="20"/>
          <w:szCs w:val="20"/>
          <w:lang w:val="en-US"/>
        </w:rPr>
      </w:pPr>
      <w:r w:rsidRPr="00EA69CB">
        <w:rPr>
          <w:rFonts w:ascii="Times New Roman" w:hAnsi="Times New Roman" w:cs="Times New Roman"/>
          <w:b/>
          <w:bCs/>
          <w:color w:val="000000"/>
          <w:sz w:val="20"/>
          <w:szCs w:val="20"/>
          <w:lang w:val="en-US"/>
        </w:rPr>
        <w:t>Binding</w:t>
      </w:r>
      <w:r w:rsidRPr="00637B1A">
        <w:rPr>
          <w:rFonts w:ascii="Times New Roman" w:hAnsi="Times New Roman" w:cs="Times New Roman"/>
          <w:b/>
          <w:bCs/>
          <w:color w:val="000000"/>
          <w:sz w:val="20"/>
          <w:szCs w:val="20"/>
          <w:lang w:val="en-US"/>
        </w:rPr>
        <w:t xml:space="preserve"> mode of inhibitors</w:t>
      </w:r>
    </w:p>
    <w:p w:rsidR="00EA69CB" w:rsidRPr="00EA69CB" w:rsidRDefault="00EA69CB" w:rsidP="00EA69CB">
      <w:pPr>
        <w:pStyle w:val="ListParagraph"/>
        <w:spacing w:after="0" w:line="240" w:lineRule="auto"/>
        <w:ind w:left="0"/>
        <w:jc w:val="both"/>
        <w:rPr>
          <w:rFonts w:ascii="Times New Roman" w:hAnsi="Times New Roman" w:cs="Times New Roman"/>
          <w:bCs/>
          <w:color w:val="000000"/>
          <w:sz w:val="20"/>
          <w:szCs w:val="20"/>
          <w:lang w:val="en-US"/>
        </w:rPr>
      </w:pPr>
      <w:r w:rsidRPr="00EA69CB">
        <w:rPr>
          <w:rFonts w:ascii="Times New Roman" w:hAnsi="Times New Roman" w:cs="Times New Roman"/>
          <w:bCs/>
          <w:color w:val="000000"/>
          <w:sz w:val="20"/>
          <w:szCs w:val="20"/>
          <w:lang w:val="en-US"/>
        </w:rPr>
        <w:t>In addition to the robustness of the QSAR model, an analysis of the interactions between FP2 and carbonitriles pyrimidine allowed us to reveal key interactions justifying the affinity of the FP2:CNPx complexes. As shown in Figure 2 in 2D and in 3D, the mode of binding to the active site of the best CNP9 is supported by a hydrogen bond with Gly83 and hydrophobic contacts. CNPs unlike ADPN</w:t>
      </w:r>
      <w:r w:rsidR="00DF2DA0">
        <w:rPr>
          <w:rFonts w:ascii="Times New Roman" w:hAnsi="Times New Roman" w:cs="Times New Roman"/>
          <w:bCs/>
          <w:color w:val="000000"/>
          <w:sz w:val="20"/>
          <w:szCs w:val="20"/>
          <w:lang w:val="en-US"/>
        </w:rPr>
        <w:t>s have a pyrimidine core in P1</w:t>
      </w:r>
      <w:fldSimple w:instr=" NOTEREF _Ref144976154 \h  \* MERGEFORMAT ">
        <w:r w:rsidRPr="00DF2DA0">
          <w:rPr>
            <w:rFonts w:ascii="Times New Roman" w:hAnsi="Times New Roman" w:cs="Times New Roman"/>
            <w:b/>
            <w:bCs/>
            <w:color w:val="8DB3E2" w:themeColor="text2" w:themeTint="66"/>
            <w:sz w:val="20"/>
            <w:szCs w:val="20"/>
            <w:vertAlign w:val="superscript"/>
            <w:lang w:val="en-US"/>
          </w:rPr>
          <w:t>20</w:t>
        </w:r>
      </w:fldSimple>
      <w:r w:rsidRPr="00EA69CB">
        <w:rPr>
          <w:rFonts w:ascii="Times New Roman" w:hAnsi="Times New Roman" w:cs="Times New Roman"/>
          <w:bCs/>
          <w:color w:val="000000"/>
          <w:sz w:val="20"/>
          <w:szCs w:val="20"/>
          <w:lang w:val="en-US"/>
        </w:rPr>
        <w:t xml:space="preserve"> offering a multiple possibility of substitution. Since the fragments at P3 are identical for all the inhibitors, the halogenation of the C5 carbon of the pyrimidine nucleus at P1, in particular by Br, has the effect of stabilizing the complex, favoring an improvement in the interactions with the Trp43, Asn173 and His174 residues. This allows a better orientation of the hydrophobic fragments P2 in the S2 pocket facilitating interactions particularly with the residues with Ser149, Leu172, Ala175 and Asp234 which results in an increase in biological activity in accordance </w:t>
      </w:r>
      <w:r w:rsidR="00DF2DA0">
        <w:rPr>
          <w:rFonts w:ascii="Times New Roman" w:hAnsi="Times New Roman" w:cs="Times New Roman"/>
          <w:bCs/>
          <w:color w:val="000000"/>
          <w:sz w:val="20"/>
          <w:szCs w:val="20"/>
          <w:lang w:val="en-US"/>
        </w:rPr>
        <w:t>with the work of Löser and al.</w:t>
      </w:r>
      <w:fldSimple w:instr=" NOTEREF _Ref145051272 \h  \* MERGEFORMAT ">
        <w:r w:rsidRPr="00DF2DA0">
          <w:rPr>
            <w:rFonts w:ascii="Times New Roman" w:hAnsi="Times New Roman" w:cs="Times New Roman"/>
            <w:b/>
            <w:bCs/>
            <w:color w:val="8DB3E2" w:themeColor="text2" w:themeTint="66"/>
            <w:sz w:val="20"/>
            <w:szCs w:val="20"/>
            <w:vertAlign w:val="superscript"/>
            <w:lang w:val="en-US"/>
          </w:rPr>
          <w:t>22</w:t>
        </w:r>
      </w:fldSimple>
      <w:r w:rsidRPr="00EA69CB">
        <w:rPr>
          <w:rFonts w:ascii="Times New Roman" w:hAnsi="Times New Roman" w:cs="Times New Roman"/>
          <w:bCs/>
          <w:color w:val="000000"/>
          <w:sz w:val="20"/>
          <w:szCs w:val="20"/>
          <w:lang w:val="en-US"/>
        </w:rPr>
        <w:t>. Just like the ADPNs, the pyrimidine carbonitriles exhibit the same similarities of attach</w:t>
      </w:r>
      <w:r w:rsidR="00DF2DA0">
        <w:rPr>
          <w:rFonts w:ascii="Times New Roman" w:hAnsi="Times New Roman" w:cs="Times New Roman"/>
          <w:bCs/>
          <w:color w:val="000000"/>
          <w:sz w:val="20"/>
          <w:szCs w:val="20"/>
          <w:lang w:val="en-US"/>
        </w:rPr>
        <w:t>ment to the active site of FP2</w:t>
      </w:r>
      <w:fldSimple w:instr=" NOTEREF _Ref144997725 \h  \* MERGEFORMAT ">
        <w:r w:rsidRPr="00DF2DA0">
          <w:rPr>
            <w:rFonts w:ascii="Times New Roman" w:hAnsi="Times New Roman" w:cs="Times New Roman"/>
            <w:b/>
            <w:bCs/>
            <w:color w:val="8DB3E2" w:themeColor="text2" w:themeTint="66"/>
            <w:sz w:val="20"/>
            <w:szCs w:val="20"/>
            <w:vertAlign w:val="superscript"/>
            <w:lang w:val="en-US"/>
          </w:rPr>
          <w:t>25</w:t>
        </w:r>
      </w:fldSimple>
      <w:r w:rsidRPr="00EA69CB">
        <w:rPr>
          <w:rFonts w:ascii="Times New Roman" w:hAnsi="Times New Roman" w:cs="Times New Roman"/>
          <w:bCs/>
          <w:color w:val="000000"/>
          <w:sz w:val="20"/>
          <w:szCs w:val="20"/>
          <w:lang w:val="en-US"/>
        </w:rPr>
        <w:t>. For the design of new analogs, we calculated the interaction energy (E</w:t>
      </w:r>
      <w:r w:rsidRPr="00D546D9">
        <w:rPr>
          <w:rFonts w:ascii="Times New Roman" w:hAnsi="Times New Roman" w:cs="Times New Roman"/>
          <w:bCs/>
          <w:color w:val="000000"/>
          <w:sz w:val="20"/>
          <w:szCs w:val="20"/>
          <w:vertAlign w:val="subscript"/>
          <w:lang w:val="en-US"/>
        </w:rPr>
        <w:t>int</w:t>
      </w:r>
      <w:r w:rsidRPr="00EA69CB">
        <w:rPr>
          <w:rFonts w:ascii="Times New Roman" w:hAnsi="Times New Roman" w:cs="Times New Roman"/>
          <w:bCs/>
          <w:color w:val="000000"/>
          <w:sz w:val="20"/>
          <w:szCs w:val="20"/>
          <w:lang w:val="en-US"/>
        </w:rPr>
        <w:t xml:space="preserve">) between each residue of the active site (Table 4) in order to verify if other interactions not displayed must be taken into account in the description of the mode of binding of the CNPs to the active site of the FP2. The structure of these compounds with a pyrimidine core highlighted the structural characteristics of the binding affinity and paved the way for </w:t>
      </w:r>
      <w:r w:rsidRPr="00EA69CB">
        <w:rPr>
          <w:rFonts w:ascii="Times New Roman" w:hAnsi="Times New Roman" w:cs="Times New Roman"/>
          <w:bCs/>
          <w:color w:val="000000"/>
          <w:sz w:val="20"/>
          <w:szCs w:val="20"/>
          <w:lang w:val="en-US"/>
        </w:rPr>
        <w:lastRenderedPageBreak/>
        <w:t>the design of FP2 inhibitors taking advantage for the filling of the S1, S’1, S2 and S3 pockets. In this way, the key residues of these pockets contribute to the overall FP2–CNPx interaction energy. But specifically, the filling of the S2 pocket illustrates the overall impact of the inhibition of FP2 to more than 70% as illustrated in Figure 3 a</w:t>
      </w:r>
      <w:r w:rsidR="00DF2DA0">
        <w:rPr>
          <w:rFonts w:ascii="Times New Roman" w:hAnsi="Times New Roman" w:cs="Times New Roman"/>
          <w:bCs/>
          <w:color w:val="000000"/>
          <w:sz w:val="20"/>
          <w:szCs w:val="20"/>
          <w:lang w:val="en-US"/>
        </w:rPr>
        <w:t>nd also as reported previously</w:t>
      </w:r>
      <w:fldSimple w:instr=" NOTEREF _Ref145051949 \h  \* MERGEFORMAT ">
        <w:r w:rsidRPr="00DF2DA0">
          <w:rPr>
            <w:rFonts w:ascii="Times New Roman" w:hAnsi="Times New Roman" w:cs="Times New Roman"/>
            <w:b/>
            <w:bCs/>
            <w:color w:val="8DB3E2" w:themeColor="text2" w:themeTint="66"/>
            <w:sz w:val="20"/>
            <w:szCs w:val="20"/>
            <w:vertAlign w:val="superscript"/>
            <w:lang w:val="en-US"/>
          </w:rPr>
          <w:t>19</w:t>
        </w:r>
      </w:fldSimple>
      <w:r w:rsidRPr="00DF2DA0">
        <w:rPr>
          <w:rFonts w:ascii="Times New Roman" w:hAnsi="Times New Roman" w:cs="Times New Roman"/>
          <w:b/>
          <w:bCs/>
          <w:color w:val="8DB3E2" w:themeColor="text2" w:themeTint="66"/>
          <w:sz w:val="20"/>
          <w:szCs w:val="20"/>
          <w:vertAlign w:val="superscript"/>
          <w:lang w:val="en-US"/>
        </w:rPr>
        <w:t>,</w:t>
      </w:r>
      <w:fldSimple w:instr=" NOTEREF _Ref144997725 \h  \* MERGEFORMAT ">
        <w:r w:rsidRPr="00DF2DA0">
          <w:rPr>
            <w:rFonts w:ascii="Times New Roman" w:hAnsi="Times New Roman" w:cs="Times New Roman"/>
            <w:b/>
            <w:bCs/>
            <w:color w:val="8DB3E2" w:themeColor="text2" w:themeTint="66"/>
            <w:sz w:val="20"/>
            <w:szCs w:val="20"/>
            <w:vertAlign w:val="superscript"/>
            <w:lang w:val="en-US"/>
          </w:rPr>
          <w:t>25</w:t>
        </w:r>
      </w:fldSimple>
      <w:r w:rsidRPr="00EA69CB">
        <w:rPr>
          <w:rFonts w:ascii="Times New Roman" w:hAnsi="Times New Roman" w:cs="Times New Roman"/>
          <w:bCs/>
          <w:color w:val="000000"/>
          <w:sz w:val="20"/>
          <w:szCs w:val="20"/>
          <w:lang w:val="en-US"/>
        </w:rPr>
        <w:t xml:space="preserve">. </w:t>
      </w:r>
      <w:r w:rsidRPr="00EA69CB">
        <w:rPr>
          <w:rFonts w:ascii="Times New Roman" w:hAnsi="Times New Roman" w:cs="Times New Roman"/>
          <w:sz w:val="20"/>
          <w:szCs w:val="20"/>
          <w:lang w:val="en-US"/>
        </w:rPr>
        <w:t>In contrast, Figure 4 displaying the comparative contribution of each residue of the active site to the E</w:t>
      </w:r>
      <w:r w:rsidRPr="001603CC">
        <w:rPr>
          <w:rFonts w:ascii="Times New Roman" w:hAnsi="Times New Roman" w:cs="Times New Roman"/>
          <w:sz w:val="20"/>
          <w:szCs w:val="20"/>
          <w:vertAlign w:val="subscript"/>
          <w:lang w:val="en-US"/>
        </w:rPr>
        <w:t>int</w:t>
      </w:r>
      <w:r w:rsidRPr="00EA69CB">
        <w:rPr>
          <w:rFonts w:ascii="Times New Roman" w:hAnsi="Times New Roman" w:cs="Times New Roman"/>
          <w:sz w:val="20"/>
          <w:szCs w:val="20"/>
          <w:lang w:val="en-US"/>
        </w:rPr>
        <w:t xml:space="preserve"> for the most active CNP9 and the least active CNP11 of the training set confirms the observed trend of the </w:t>
      </w:r>
      <m:oMath>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exp</m:t>
            </m:r>
          </m:sup>
        </m:sSubSup>
      </m:oMath>
      <w:r w:rsidRPr="00EA69CB">
        <w:rPr>
          <w:rFonts w:ascii="Times New Roman" w:hAnsi="Times New Roman" w:cs="Times New Roman"/>
          <w:sz w:val="20"/>
          <w:szCs w:val="20"/>
          <w:lang w:val="en-US"/>
        </w:rPr>
        <w:t>but cannot justify the large difference in their inhibitory potencies. However, a recent work has succeeded in justifying the observed jump of 37.5% in the experimental biological activity between methylphosphonic arginine and the Leucyl aminopeptidase inhibitors (</w:t>
      </w:r>
      <w:r w:rsidR="006C058C" w:rsidRPr="006C058C">
        <w:rPr>
          <w:rFonts w:ascii="Times New Roman" w:hAnsi="Times New Roman" w:cs="Times New Roman"/>
          <w:i/>
          <w:sz w:val="20"/>
          <w:szCs w:val="20"/>
          <w:lang w:val="en-US"/>
        </w:rPr>
        <w:t>P</w:t>
      </w:r>
      <w:r w:rsidRPr="006C058C">
        <w:rPr>
          <w:rFonts w:ascii="Times New Roman" w:hAnsi="Times New Roman" w:cs="Times New Roman"/>
          <w:i/>
          <w:sz w:val="20"/>
          <w:szCs w:val="20"/>
          <w:lang w:val="en-US"/>
        </w:rPr>
        <w:t>f</w:t>
      </w:r>
      <w:r w:rsidRPr="00EA69CB">
        <w:rPr>
          <w:rFonts w:ascii="Times New Roman" w:hAnsi="Times New Roman" w:cs="Times New Roman"/>
          <w:sz w:val="20"/>
          <w:szCs w:val="20"/>
          <w:lang w:val="en-US"/>
        </w:rPr>
        <w:t>A-M17) derived from hydroxamic acid by the contribution of the residues of the enzymatic active site</w:t>
      </w:r>
      <w:r w:rsidR="008D59F9">
        <w:rPr>
          <w:rFonts w:ascii="Times New Roman" w:hAnsi="Times New Roman" w:cs="Times New Roman"/>
          <w:sz w:val="20"/>
          <w:szCs w:val="20"/>
          <w:lang w:val="en-US"/>
        </w:rPr>
        <w:t xml:space="preserve"> to the E</w:t>
      </w:r>
      <w:r w:rsidR="008D59F9" w:rsidRPr="006C058C">
        <w:rPr>
          <w:rFonts w:ascii="Times New Roman" w:hAnsi="Times New Roman" w:cs="Times New Roman"/>
          <w:sz w:val="20"/>
          <w:szCs w:val="20"/>
          <w:vertAlign w:val="subscript"/>
          <w:lang w:val="en-US"/>
        </w:rPr>
        <w:t>int</w:t>
      </w:r>
      <w:r w:rsidR="008D59F9">
        <w:rPr>
          <w:rFonts w:ascii="Times New Roman" w:hAnsi="Times New Roman" w:cs="Times New Roman"/>
          <w:sz w:val="20"/>
          <w:szCs w:val="20"/>
          <w:lang w:val="en-US"/>
        </w:rPr>
        <w:t xml:space="preserve"> at a level of 35%</w:t>
      </w:r>
      <w:r w:rsidRPr="008D59F9">
        <w:rPr>
          <w:rStyle w:val="EndnoteReference"/>
          <w:rFonts w:ascii="Times New Roman" w:hAnsi="Times New Roman" w:cs="Times New Roman"/>
          <w:b/>
          <w:color w:val="8DB3E2" w:themeColor="text2" w:themeTint="66"/>
          <w:sz w:val="20"/>
          <w:szCs w:val="20"/>
          <w:lang w:val="en-US"/>
        </w:rPr>
        <w:endnoteReference w:id="44"/>
      </w:r>
      <w:r w:rsidRPr="00EA69CB">
        <w:rPr>
          <w:rFonts w:ascii="Times New Roman" w:hAnsi="Times New Roman" w:cs="Times New Roman"/>
          <w:sz w:val="20"/>
          <w:szCs w:val="20"/>
          <w:lang w:val="en-US"/>
        </w:rPr>
        <w:t>.  Therefore, the essential structural information in the design of new powerful analogues of CNP will not only be derived from the E</w:t>
      </w:r>
      <w:r w:rsidRPr="006C058C">
        <w:rPr>
          <w:rFonts w:ascii="Times New Roman" w:hAnsi="Times New Roman" w:cs="Times New Roman"/>
          <w:sz w:val="20"/>
          <w:szCs w:val="20"/>
          <w:vertAlign w:val="subscript"/>
          <w:lang w:val="en-US"/>
        </w:rPr>
        <w:t>int</w:t>
      </w:r>
      <w:r w:rsidRPr="00EA69CB">
        <w:rPr>
          <w:rFonts w:ascii="Times New Roman" w:hAnsi="Times New Roman" w:cs="Times New Roman"/>
          <w:sz w:val="20"/>
          <w:szCs w:val="20"/>
          <w:lang w:val="en-US"/>
        </w:rPr>
        <w:t xml:space="preserve"> but also from a more predictive descriptor. The analogs will be selected by virtual screening from a diversified virtual library of analogues with the hydrophobic contact S2 as the central structural requirement displayed by the Pharmacophore model of inhibition of FP2 provided by the single descriptor QSAR model (GFE) (Table 3) (Figure 2).</w:t>
      </w:r>
    </w:p>
    <w:p w:rsidR="00EA69CB" w:rsidRPr="0011126F" w:rsidRDefault="00EA69CB" w:rsidP="00EA69CB">
      <w:pPr>
        <w:pStyle w:val="ListParagraph"/>
        <w:spacing w:before="120" w:after="0" w:line="240" w:lineRule="auto"/>
        <w:ind w:left="0"/>
        <w:contextualSpacing w:val="0"/>
        <w:rPr>
          <w:rFonts w:ascii="Times New Roman" w:hAnsi="Times New Roman" w:cs="Times New Roman"/>
          <w:sz w:val="20"/>
          <w:szCs w:val="20"/>
          <w:lang w:val="en-US"/>
        </w:rPr>
      </w:pPr>
      <w:r w:rsidRPr="0011126F">
        <w:rPr>
          <w:rFonts w:ascii="Times New Roman" w:hAnsi="Times New Roman" w:cs="Times New Roman"/>
          <w:b/>
          <w:lang w:val="en-US"/>
        </w:rPr>
        <w:t>Analysis</w:t>
      </w:r>
      <w:r w:rsidRPr="0011126F">
        <w:rPr>
          <w:rStyle w:val="A8"/>
          <w:rFonts w:ascii="Times New Roman" w:hAnsi="Times New Roman" w:cs="Times New Roman"/>
          <w:lang w:val="en-US"/>
        </w:rPr>
        <w:t xml:space="preserve">of new inhibitors from </w:t>
      </w:r>
      <w:r w:rsidRPr="0011126F">
        <w:rPr>
          <w:rStyle w:val="A8"/>
          <w:rFonts w:ascii="Times New Roman" w:hAnsi="Times New Roman" w:cs="Times New Roman"/>
          <w:i/>
          <w:iCs/>
          <w:lang w:val="en-US"/>
        </w:rPr>
        <w:t xml:space="preserve">in Silico </w:t>
      </w:r>
      <w:r w:rsidRPr="0011126F">
        <w:rPr>
          <w:rStyle w:val="A8"/>
          <w:rFonts w:ascii="Times New Roman" w:hAnsi="Times New Roman" w:cs="Times New Roman"/>
          <w:lang w:val="en-US"/>
        </w:rPr>
        <w:t>screening</w:t>
      </w:r>
    </w:p>
    <w:p w:rsidR="00EA69CB" w:rsidRPr="00EA69CB" w:rsidRDefault="00EA69CB" w:rsidP="00EA69CB">
      <w:pPr>
        <w:jc w:val="both"/>
        <w:rPr>
          <w:rFonts w:ascii="Times New Roman" w:hAnsi="Times New Roman"/>
          <w:lang w:eastAsia="fr-FR"/>
        </w:rPr>
      </w:pPr>
      <w:r w:rsidRPr="00EA69CB">
        <w:rPr>
          <w:rFonts w:ascii="Times New Roman" w:hAnsi="Times New Roman"/>
          <w:lang w:eastAsia="fr-FR"/>
        </w:rPr>
        <w:t xml:space="preserve">The PH4-based screening of the virtual combinatorial library of CNP analogues has resulted in the identification of new compounds with better predicted activities. These anologues display solid theoretical values reaching 14 picomolars for the most powerful of the analogs ((1-15-40-55; </w:t>
      </w:r>
      <m:oMath>
        <m:sSubSup>
          <m:sSubSupPr>
            <m:ctrlPr>
              <w:rPr>
                <w:rFonts w:ascii="Cambria Math" w:hAnsi="Cambria Math"/>
                <w:bCs/>
                <w:color w:val="000000"/>
                <w:vertAlign w:val="superscript"/>
              </w:rPr>
            </m:ctrlPr>
          </m:sSubSupPr>
          <m:e>
            <m:r>
              <m:rPr>
                <m:sty m:val="p"/>
              </m:rPr>
              <w:rPr>
                <w:rFonts w:ascii="Cambria Math" w:hAnsi="Cambria Math"/>
                <w:color w:val="000000"/>
                <w:vertAlign w:val="superscript"/>
                <w:lang w:eastAsia="fr-FR"/>
              </w:rPr>
              <m:t>IC</m:t>
            </m:r>
          </m:e>
          <m:sub>
            <m:r>
              <m:rPr>
                <m:sty m:val="p"/>
              </m:rPr>
              <w:rPr>
                <w:rFonts w:ascii="Cambria Math" w:hAnsi="Cambria Math"/>
                <w:color w:val="000000"/>
                <w:vertAlign w:val="superscript"/>
                <w:lang w:eastAsia="fr-FR"/>
              </w:rPr>
              <m:t>50</m:t>
            </m:r>
          </m:sub>
          <m:sup>
            <m:r>
              <m:rPr>
                <m:sty m:val="p"/>
              </m:rPr>
              <w:rPr>
                <w:rFonts w:ascii="Cambria Math" w:hAnsi="Cambria Math"/>
                <w:color w:val="000000"/>
                <w:vertAlign w:val="superscript"/>
                <w:lang w:eastAsia="fr-FR"/>
              </w:rPr>
              <m:t>pre</m:t>
            </m:r>
          </m:sup>
        </m:sSubSup>
      </m:oMath>
      <w:r w:rsidRPr="00EA69CB">
        <w:rPr>
          <w:rFonts w:ascii="Times New Roman" w:hAnsi="Times New Roman"/>
          <w:lang w:eastAsia="fr-FR"/>
        </w:rPr>
        <w:t xml:space="preserve"> =0.014 nM), which is approximately 70 times higher than that of the best CNP9 inhibitor of the training set. The representation of the best designed analogue in 3D interaction with FP2 (on the left) and the Connolly surface of the binding site (on the right) in Figure 8 shows that the methylpropane of the training set at P3 is replaced by cyclohexane (R</w:t>
      </w:r>
      <w:r w:rsidRPr="00EA69CB">
        <w:rPr>
          <w:rFonts w:ascii="Times New Roman" w:hAnsi="Times New Roman"/>
          <w:vertAlign w:val="subscript"/>
          <w:lang w:eastAsia="fr-FR"/>
        </w:rPr>
        <w:t>1</w:t>
      </w:r>
      <w:r w:rsidRPr="00EA69CB">
        <w:rPr>
          <w:rFonts w:ascii="Times New Roman" w:hAnsi="Times New Roman"/>
          <w:lang w:eastAsia="fr-FR"/>
        </w:rPr>
        <w:t>=1) ensuring great stability in the S3 pocket. Since the pyrimidine nucleus is conserved at P1, two substitutions have been made at positions 4 and 5. The bromine (Br) and hydrogen (H) atoms have been replaced respectively by methyl (R</w:t>
      </w:r>
      <w:r w:rsidRPr="00EA69CB">
        <w:rPr>
          <w:rFonts w:ascii="Times New Roman" w:hAnsi="Times New Roman"/>
          <w:vertAlign w:val="subscript"/>
          <w:lang w:eastAsia="fr-FR"/>
        </w:rPr>
        <w:t>2</w:t>
      </w:r>
      <w:r w:rsidRPr="00EA69CB">
        <w:rPr>
          <w:rFonts w:ascii="Times New Roman" w:hAnsi="Times New Roman"/>
          <w:lang w:eastAsia="fr-FR"/>
        </w:rPr>
        <w:t xml:space="preserve"> =15) and pentyl (R</w:t>
      </w:r>
      <w:r w:rsidRPr="00EA69CB">
        <w:rPr>
          <w:rFonts w:ascii="Times New Roman" w:hAnsi="Times New Roman"/>
          <w:vertAlign w:val="subscript"/>
          <w:lang w:eastAsia="fr-FR"/>
        </w:rPr>
        <w:t>3</w:t>
      </w:r>
      <w:r w:rsidRPr="00EA69CB">
        <w:rPr>
          <w:rFonts w:ascii="Times New Roman" w:hAnsi="Times New Roman"/>
          <w:lang w:eastAsia="fr-FR"/>
        </w:rPr>
        <w:t xml:space="preserve"> = 40) inducing an increase in the hydrophobic interactions at S1 with the Trp43 residue in particular. The lipophilic pocket S2 contains a larger 2-But-4-Me(piperidine) (R</w:t>
      </w:r>
      <w:r w:rsidRPr="00EA69CB">
        <w:rPr>
          <w:rFonts w:ascii="Times New Roman" w:hAnsi="Times New Roman"/>
          <w:vertAlign w:val="subscript"/>
          <w:lang w:eastAsia="fr-FR"/>
        </w:rPr>
        <w:t>4</w:t>
      </w:r>
      <w:r w:rsidRPr="00EA69CB">
        <w:rPr>
          <w:rFonts w:ascii="Times New Roman" w:hAnsi="Times New Roman"/>
          <w:lang w:eastAsia="fr-FR"/>
        </w:rPr>
        <w:t>= 55) in place of the cyclohexane fragment, which leads to an increase in the hydrophobic contact equivalent to better stabilization and greater affinity. Just like the nitrile azadipeptides, the results of the carbonitriles pyrimidine family are in agreement with the structural information reported by the experimental study Structure Activity Relationship (SAR) of carbonitriles pyrimi</w:t>
      </w:r>
      <w:r w:rsidR="008D59F9">
        <w:rPr>
          <w:rFonts w:ascii="Times New Roman" w:hAnsi="Times New Roman"/>
          <w:lang w:eastAsia="fr-FR"/>
        </w:rPr>
        <w:t>dine inhibitors of FP2 and FP3</w:t>
      </w:r>
      <w:fldSimple w:instr=" NOTEREF _Ref144976154 \h  \* MERGEFORMAT ">
        <w:r w:rsidRPr="008D59F9">
          <w:rPr>
            <w:rFonts w:ascii="Times New Roman" w:hAnsi="Times New Roman"/>
            <w:b/>
            <w:color w:val="8DB3E2" w:themeColor="text2" w:themeTint="66"/>
            <w:vertAlign w:val="superscript"/>
            <w:lang w:eastAsia="fr-FR"/>
          </w:rPr>
          <w:t>20</w:t>
        </w:r>
      </w:fldSimple>
      <w:r w:rsidRPr="00EA69CB">
        <w:rPr>
          <w:rFonts w:ascii="Times New Roman" w:hAnsi="Times New Roman"/>
          <w:lang w:eastAsia="fr-FR"/>
        </w:rPr>
        <w:t xml:space="preserve"> and the RQSA complexation based on the in silico design of inhibitor</w:t>
      </w:r>
      <w:r w:rsidR="008D59F9">
        <w:rPr>
          <w:rFonts w:ascii="Times New Roman" w:hAnsi="Times New Roman"/>
          <w:lang w:eastAsia="fr-FR"/>
        </w:rPr>
        <w:t>s of nitrile dipeptides of FP3</w:t>
      </w:r>
      <w:fldSimple w:instr=" NOTEREF _Ref145054945 \h  \* MERGEFORMAT ">
        <w:r w:rsidRPr="008D59F9">
          <w:rPr>
            <w:rFonts w:ascii="Times New Roman" w:hAnsi="Times New Roman"/>
            <w:b/>
            <w:color w:val="8DB3E2" w:themeColor="text2" w:themeTint="66"/>
            <w:vertAlign w:val="superscript"/>
            <w:lang w:eastAsia="fr-FR"/>
          </w:rPr>
          <w:t>11</w:t>
        </w:r>
      </w:fldSimple>
      <w:r w:rsidRPr="00EA69CB">
        <w:rPr>
          <w:rFonts w:ascii="Times New Roman" w:hAnsi="Times New Roman"/>
          <w:lang w:eastAsia="fr-FR"/>
        </w:rPr>
        <w:t>; The major contribution of the substitutions on the different positions has led to the new CNPA analogs resulting in a significant increase in their activity inhibitory.</w:t>
      </w:r>
    </w:p>
    <w:p w:rsidR="00EA69CB" w:rsidRPr="008E032B" w:rsidRDefault="00EA69CB" w:rsidP="0011126F">
      <w:pPr>
        <w:pStyle w:val="ListParagraph"/>
        <w:keepNext/>
        <w:spacing w:before="120" w:after="0" w:line="240" w:lineRule="auto"/>
        <w:ind w:left="0"/>
        <w:contextualSpacing w:val="0"/>
        <w:rPr>
          <w:rStyle w:val="A8"/>
          <w:rFonts w:ascii="Times New Roman" w:hAnsi="Times New Roman" w:cs="Times New Roman"/>
          <w:b w:val="0"/>
          <w:bCs w:val="0"/>
          <w:lang w:val="en-US"/>
        </w:rPr>
      </w:pPr>
      <w:r w:rsidRPr="008E032B">
        <w:rPr>
          <w:rStyle w:val="A1"/>
          <w:rFonts w:ascii="Times New Roman" w:hAnsi="Times New Roman" w:cs="Times New Roman"/>
          <w:b/>
          <w:sz w:val="20"/>
          <w:szCs w:val="20"/>
          <w:lang w:val="en-US"/>
        </w:rPr>
        <w:t>ADME-</w:t>
      </w:r>
      <w:r w:rsidRPr="0011126F">
        <w:rPr>
          <w:rFonts w:ascii="Times New Roman" w:hAnsi="Times New Roman" w:cs="Times New Roman"/>
          <w:b/>
          <w:bCs/>
          <w:lang w:val="en-US"/>
        </w:rPr>
        <w:t>related</w:t>
      </w:r>
      <w:r w:rsidRPr="008E032B">
        <w:rPr>
          <w:rStyle w:val="A1"/>
          <w:rFonts w:ascii="Times New Roman" w:hAnsi="Times New Roman" w:cs="Times New Roman"/>
          <w:b/>
          <w:sz w:val="20"/>
          <w:szCs w:val="20"/>
          <w:lang w:val="en-US"/>
        </w:rPr>
        <w:t xml:space="preserve"> properties</w:t>
      </w:r>
    </w:p>
    <w:p w:rsidR="00EA69CB" w:rsidRDefault="00EA69CB" w:rsidP="0011126F">
      <w:pPr>
        <w:pStyle w:val="ListParagraph"/>
        <w:keepNext/>
        <w:spacing w:after="0" w:line="240" w:lineRule="auto"/>
        <w:ind w:left="0"/>
        <w:jc w:val="both"/>
        <w:rPr>
          <w:rFonts w:ascii="Times New Roman" w:hAnsi="Times New Roman" w:cs="Times New Roman"/>
          <w:bCs/>
          <w:sz w:val="20"/>
          <w:szCs w:val="20"/>
          <w:lang w:val="en-US"/>
        </w:rPr>
      </w:pPr>
      <w:r w:rsidRPr="00EA69CB">
        <w:rPr>
          <w:rFonts w:ascii="Times New Roman" w:hAnsi="Times New Roman" w:cs="Times New Roman"/>
          <w:bCs/>
          <w:sz w:val="20"/>
          <w:szCs w:val="20"/>
          <w:lang w:val="en-US"/>
        </w:rPr>
        <w:t>The properties related to ADME described in section 2-8 have been calculated and the profiles of the best CNPs analogs designed are presented in Table 10 in comparison with those of the drugs used for the treatment of malaria alone or in combination with Artemisinin (CTA) or in clinical trials (Table 10). With regard to our results, most of the CNP analogues designed are assumed to have a good level of drug likelihood with the descriptor #stars which lies in the validation interval between 0 and 5, just like the available antimalarial.  It is also noted for all the analogues a strong human oral absorption in the gastrointestinal tract (HOA). None of them is outside the range of good oral bioavailabi</w:t>
      </w:r>
      <w:r w:rsidR="00D546D9">
        <w:rPr>
          <w:rFonts w:ascii="Times New Roman" w:hAnsi="Times New Roman" w:cs="Times New Roman"/>
          <w:bCs/>
          <w:sz w:val="20"/>
          <w:szCs w:val="20"/>
          <w:lang w:val="en-US"/>
        </w:rPr>
        <w:t>lity (&lt; 25% - poor absorption;</w:t>
      </w:r>
      <w:r w:rsidRPr="00EA69CB">
        <w:rPr>
          <w:rFonts w:ascii="Times New Roman" w:hAnsi="Times New Roman" w:cs="Times New Roman"/>
          <w:bCs/>
          <w:sz w:val="20"/>
          <w:szCs w:val="20"/>
          <w:lang w:val="en-US"/>
        </w:rPr>
        <w:t>&gt; 80% - good absorption) which is one of the main requirements for new antimalarial drugs, as declared by the WHO. This is also the case for the antimalarial drugs used.</w:t>
      </w:r>
    </w:p>
    <w:p w:rsidR="00EA69CB" w:rsidRPr="00EA69CB" w:rsidRDefault="00EA69CB" w:rsidP="00EA69CB">
      <w:pPr>
        <w:pStyle w:val="ListParagraph"/>
        <w:spacing w:after="0" w:line="240" w:lineRule="auto"/>
        <w:ind w:left="0"/>
        <w:jc w:val="both"/>
        <w:rPr>
          <w:rFonts w:ascii="Times New Roman" w:hAnsi="Times New Roman" w:cs="Times New Roman"/>
          <w:bCs/>
          <w:sz w:val="20"/>
          <w:szCs w:val="20"/>
          <w:lang w:val="en-US"/>
        </w:rPr>
      </w:pPr>
    </w:p>
    <w:p w:rsidR="00EA69CB" w:rsidRPr="00EA69CB" w:rsidRDefault="00EA69CB" w:rsidP="00EA69CB">
      <w:pPr>
        <w:pStyle w:val="Body"/>
        <w:spacing w:after="120"/>
        <w:jc w:val="left"/>
        <w:rPr>
          <w:rFonts w:ascii="Times New Roman" w:hAnsi="Times New Roman"/>
          <w:b/>
        </w:rPr>
      </w:pPr>
      <w:r w:rsidRPr="00EA69CB">
        <w:rPr>
          <w:rFonts w:ascii="Times New Roman" w:hAnsi="Times New Roman"/>
          <w:b/>
        </w:rPr>
        <w:t>CONCLUSION</w:t>
      </w:r>
    </w:p>
    <w:p w:rsidR="00EA69CB" w:rsidRPr="00EA69CB" w:rsidRDefault="00EA69CB" w:rsidP="00EA69CB">
      <w:pPr>
        <w:pStyle w:val="ListParagraph"/>
        <w:spacing w:after="0" w:line="240" w:lineRule="auto"/>
        <w:ind w:left="0"/>
        <w:jc w:val="both"/>
        <w:rPr>
          <w:rFonts w:ascii="Times New Roman" w:eastAsia="Times New Roman" w:hAnsi="Times New Roman" w:cs="Times New Roman"/>
          <w:color w:val="212121"/>
          <w:sz w:val="20"/>
          <w:szCs w:val="20"/>
          <w:lang w:val="en-US" w:eastAsia="fr-FR"/>
        </w:rPr>
      </w:pPr>
      <w:r w:rsidRPr="00EA69CB">
        <w:rPr>
          <w:rFonts w:ascii="Times New Roman" w:eastAsia="Times New Roman" w:hAnsi="Times New Roman" w:cs="Times New Roman"/>
          <w:color w:val="212121"/>
          <w:sz w:val="20"/>
          <w:szCs w:val="20"/>
          <w:lang w:val="en-US" w:eastAsia="fr-FR"/>
        </w:rPr>
        <w:t xml:space="preserve">The evaluation of key structural information on FP2 inhibition from FP2:CNPx complexes or from the in situ modification of an existing generic FP2 inhibitor constitutes a reliable means for designing powerful, bioavailable and favorable oral pharmacokinetic antimalarial. From the series of 15 CNPs inhibitors (12 for the training set and 3 for the validation set), we have, despite the low diversity of substitutions at the P1, P2 and P3 positions, established an RQSA model with a descriptor correlating the variation in the free enthalpy of complexation </w:t>
      </w:r>
      <w:r w:rsidRPr="00EA69CB">
        <w:rPr>
          <w:rFonts w:ascii="Times New Roman" w:eastAsia="Times New Roman" w:hAnsi="Times New Roman" w:cs="Times New Roman"/>
          <w:color w:val="212121"/>
          <w:sz w:val="20"/>
          <w:szCs w:val="20"/>
          <w:lang w:eastAsia="fr-FR"/>
        </w:rPr>
        <w:t>ΔΔ</w:t>
      </w:r>
      <w:r w:rsidRPr="00EA69CB">
        <w:rPr>
          <w:rFonts w:ascii="Times New Roman" w:eastAsia="Times New Roman" w:hAnsi="Times New Roman" w:cs="Times New Roman"/>
          <w:color w:val="212121"/>
          <w:sz w:val="20"/>
          <w:szCs w:val="20"/>
          <w:lang w:val="en-US" w:eastAsia="fr-FR"/>
        </w:rPr>
        <w:t>G</w:t>
      </w:r>
      <w:r w:rsidRPr="00D546D9">
        <w:rPr>
          <w:rFonts w:ascii="Times New Roman" w:eastAsia="Times New Roman" w:hAnsi="Times New Roman" w:cs="Times New Roman"/>
          <w:color w:val="212121"/>
          <w:sz w:val="20"/>
          <w:szCs w:val="20"/>
          <w:vertAlign w:val="subscript"/>
          <w:lang w:val="en-US" w:eastAsia="fr-FR"/>
        </w:rPr>
        <w:t>com</w:t>
      </w:r>
      <w:r w:rsidRPr="00EA69CB">
        <w:rPr>
          <w:rFonts w:ascii="Times New Roman" w:eastAsia="Times New Roman" w:hAnsi="Times New Roman" w:cs="Times New Roman"/>
          <w:color w:val="212121"/>
          <w:sz w:val="20"/>
          <w:szCs w:val="20"/>
          <w:lang w:val="en-US" w:eastAsia="fr-FR"/>
        </w:rPr>
        <w:t xml:space="preserve"> calculated during the formation of the complexes with the experimental activities </w:t>
      </w:r>
      <m:oMath>
        <m:r>
          <m:rPr>
            <m:sty m:val="p"/>
          </m:rPr>
          <w:rPr>
            <w:rFonts w:ascii="Cambria Math" w:hAnsi="Cambria Math" w:cs="Times New Roman"/>
            <w:color w:val="000000"/>
            <w:sz w:val="20"/>
            <w:szCs w:val="20"/>
            <w:lang w:val="en-US"/>
          </w:rPr>
          <m:t>I</m:t>
        </m:r>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exp</m:t>
            </m:r>
          </m:sup>
        </m:sSubSup>
      </m:oMath>
      <w:r w:rsidRPr="00EA69CB">
        <w:rPr>
          <w:rFonts w:ascii="Times New Roman" w:eastAsia="Times New Roman" w:hAnsi="Times New Roman" w:cs="Times New Roman"/>
          <w:color w:val="212121"/>
          <w:sz w:val="20"/>
          <w:szCs w:val="20"/>
          <w:lang w:val="en-US" w:eastAsia="fr-FR"/>
        </w:rPr>
        <w:t>for this family of series of inhibitors. This model sheds light on the main interactions having an impact on the activity. Subsequently, a 3D-RQSA pharmacophore protocol was used to prepare a four-function pharmacophore model (PH4); a model derived from the conformations of the inhibitors of this series linked to the active site of FP2. The robustness of the inhibitory activity PH4, due to the quality of the structural information on the inhibition of FP2 and having a good predictive level, made it possible to screen 83</w:t>
      </w:r>
      <w:r w:rsidR="008D59F9">
        <w:rPr>
          <w:rFonts w:ascii="Times New Roman" w:eastAsia="Times New Roman" w:hAnsi="Times New Roman" w:cs="Times New Roman"/>
          <w:color w:val="212121"/>
          <w:sz w:val="20"/>
          <w:szCs w:val="20"/>
          <w:lang w:val="en-US" w:eastAsia="fr-FR"/>
        </w:rPr>
        <w:t>.</w:t>
      </w:r>
      <w:r w:rsidRPr="00EA69CB">
        <w:rPr>
          <w:rFonts w:ascii="Times New Roman" w:eastAsia="Times New Roman" w:hAnsi="Times New Roman" w:cs="Times New Roman"/>
          <w:color w:val="212121"/>
          <w:sz w:val="20"/>
          <w:szCs w:val="20"/>
          <w:lang w:val="en-US" w:eastAsia="fr-FR"/>
        </w:rPr>
        <w:t xml:space="preserve">300 CNPA analogues in order to design more powerful inhibitors of FP2 available orally. This was possible with the help of several substitutions on their molecular skeleton, in particular with the presence of the pyrimidine nucleus. The design strategy is based on the hydrophobic contact at the level of the S2 pocket in the best 3D model-RQSA PH4 generated while considering the size of the fragment in S1 comprising the 2-cyanopyrimidine nucleus offering a great possibility of substitution and respecting the hydrophobic spheres in S’1 and S3. The virtual combinatorial library was filtered by a set of pharmacokinetic descriptors and then subjected respectively to a virtual screening by pharmacophore. New analogues were selected, namely 52 CNPAs, which were evaluated again by complexation in order to determine theoretical inhibition constant molecules of the picomolar order. Presenting a good predictive pharmacokinetic profile, the best designed analogues with their predicted </w:t>
      </w:r>
      <m:oMath>
        <m:sSubSup>
          <m:sSubSupPr>
            <m:ctrlPr>
              <w:rPr>
                <w:rFonts w:ascii="Cambria Math" w:hAnsi="Cambria Math" w:cs="Times New Roman"/>
                <w:bCs/>
                <w:color w:val="000000"/>
                <w:sz w:val="20"/>
                <w:szCs w:val="20"/>
                <w:vertAlign w:val="superscript"/>
              </w:rPr>
            </m:ctrlPr>
          </m:sSubSupPr>
          <m:e>
            <m:r>
              <m:rPr>
                <m:sty m:val="p"/>
              </m:rPr>
              <w:rPr>
                <w:rFonts w:ascii="Cambria Math" w:hAnsi="Cambria Math" w:cs="Times New Roman"/>
                <w:color w:val="000000"/>
                <w:sz w:val="20"/>
                <w:szCs w:val="20"/>
                <w:vertAlign w:val="superscript"/>
                <w:lang w:val="en-US" w:eastAsia="fr-FR"/>
              </w:rPr>
              <m:t>IC</m:t>
            </m:r>
          </m:e>
          <m:sub>
            <m:r>
              <m:rPr>
                <m:sty m:val="p"/>
              </m:rPr>
              <w:rPr>
                <w:rFonts w:ascii="Cambria Math" w:hAnsi="Cambria Math" w:cs="Times New Roman"/>
                <w:color w:val="000000"/>
                <w:sz w:val="20"/>
                <w:szCs w:val="20"/>
                <w:vertAlign w:val="superscript"/>
                <w:lang w:val="en-US" w:eastAsia="fr-FR"/>
              </w:rPr>
              <m:t>50</m:t>
            </m:r>
          </m:sub>
          <m:sup>
            <m:r>
              <m:rPr>
                <m:sty m:val="p"/>
              </m:rPr>
              <w:rPr>
                <w:rFonts w:ascii="Cambria Math" w:hAnsi="Cambria Math" w:cs="Times New Roman"/>
                <w:color w:val="000000"/>
                <w:sz w:val="20"/>
                <w:szCs w:val="20"/>
                <w:vertAlign w:val="superscript"/>
                <w:lang w:val="en-US" w:eastAsia="fr-FR"/>
              </w:rPr>
              <m:t>pre</m:t>
            </m:r>
          </m:sup>
        </m:sSubSup>
      </m:oMath>
      <w:r w:rsidRPr="00EA69CB">
        <w:rPr>
          <w:rFonts w:ascii="Times New Roman" w:eastAsia="Times New Roman" w:hAnsi="Times New Roman" w:cs="Times New Roman"/>
          <w:color w:val="212121"/>
          <w:sz w:val="20"/>
          <w:szCs w:val="20"/>
          <w:lang w:val="en-US" w:eastAsia="fr-FR"/>
        </w:rPr>
        <w:t>activit</w:t>
      </w:r>
      <w:r w:rsidR="00D546D9">
        <w:rPr>
          <w:rFonts w:ascii="Times New Roman" w:eastAsia="Times New Roman" w:hAnsi="Times New Roman" w:cs="Times New Roman"/>
          <w:color w:val="212121"/>
          <w:sz w:val="20"/>
          <w:szCs w:val="20"/>
          <w:lang w:val="en-US" w:eastAsia="fr-FR"/>
        </w:rPr>
        <w:t>y in brackets are: (Table 10</w:t>
      </w:r>
      <w:r w:rsidRPr="00EA69CB">
        <w:rPr>
          <w:rFonts w:ascii="Times New Roman" w:eastAsia="Times New Roman" w:hAnsi="Times New Roman" w:cs="Times New Roman"/>
          <w:color w:val="212121"/>
          <w:sz w:val="20"/>
          <w:szCs w:val="20"/>
          <w:lang w:val="en-US" w:eastAsia="fr-FR"/>
        </w:rPr>
        <w:t xml:space="preserve">): 1-15-38-48 (23 </w:t>
      </w:r>
      <w:r w:rsidR="00D546D9">
        <w:rPr>
          <w:rFonts w:ascii="Times New Roman" w:eastAsia="Times New Roman" w:hAnsi="Times New Roman" w:cs="Times New Roman"/>
          <w:color w:val="212121"/>
          <w:sz w:val="20"/>
          <w:szCs w:val="20"/>
          <w:lang w:val="en-US" w:eastAsia="fr-FR"/>
        </w:rPr>
        <w:t>pM); 1-15-38-54 (</w:t>
      </w:r>
      <w:r w:rsidRPr="00EA69CB">
        <w:rPr>
          <w:rFonts w:ascii="Times New Roman" w:eastAsia="Times New Roman" w:hAnsi="Times New Roman" w:cs="Times New Roman"/>
          <w:color w:val="212121"/>
          <w:sz w:val="20"/>
          <w:szCs w:val="20"/>
          <w:lang w:val="en-US" w:eastAsia="fr-FR"/>
        </w:rPr>
        <w:t xml:space="preserve">34 </w:t>
      </w:r>
      <w:r w:rsidR="00D546D9">
        <w:rPr>
          <w:rFonts w:ascii="Times New Roman" w:eastAsia="Times New Roman" w:hAnsi="Times New Roman" w:cs="Times New Roman"/>
          <w:color w:val="212121"/>
          <w:sz w:val="20"/>
          <w:szCs w:val="20"/>
          <w:lang w:val="en-US" w:eastAsia="fr-FR"/>
        </w:rPr>
        <w:t>pM) ; 1-15-38-56 (</w:t>
      </w:r>
      <w:r w:rsidRPr="00EA69CB">
        <w:rPr>
          <w:rFonts w:ascii="Times New Roman" w:eastAsia="Times New Roman" w:hAnsi="Times New Roman" w:cs="Times New Roman"/>
          <w:color w:val="212121"/>
          <w:sz w:val="20"/>
          <w:szCs w:val="20"/>
          <w:lang w:val="en-US" w:eastAsia="fr-FR"/>
        </w:rPr>
        <w:t xml:space="preserve">37 </w:t>
      </w:r>
      <w:r w:rsidR="00D546D9">
        <w:rPr>
          <w:rFonts w:ascii="Times New Roman" w:eastAsia="Times New Roman" w:hAnsi="Times New Roman" w:cs="Times New Roman"/>
          <w:color w:val="212121"/>
          <w:sz w:val="20"/>
          <w:szCs w:val="20"/>
          <w:lang w:val="en-US" w:eastAsia="fr-FR"/>
        </w:rPr>
        <w:t>pM); 1-15-39-54 (</w:t>
      </w:r>
      <w:r w:rsidRPr="00EA69CB">
        <w:rPr>
          <w:rFonts w:ascii="Times New Roman" w:eastAsia="Times New Roman" w:hAnsi="Times New Roman" w:cs="Times New Roman"/>
          <w:color w:val="212121"/>
          <w:sz w:val="20"/>
          <w:szCs w:val="20"/>
          <w:lang w:val="en-US" w:eastAsia="fr-FR"/>
        </w:rPr>
        <w:t xml:space="preserve">34 </w:t>
      </w:r>
      <w:r w:rsidR="00D546D9">
        <w:rPr>
          <w:rFonts w:ascii="Times New Roman" w:eastAsia="Times New Roman" w:hAnsi="Times New Roman" w:cs="Times New Roman"/>
          <w:color w:val="212121"/>
          <w:sz w:val="20"/>
          <w:szCs w:val="20"/>
          <w:lang w:val="en-US" w:eastAsia="fr-FR"/>
        </w:rPr>
        <w:t>pM); 1-15-40-</w:t>
      </w:r>
      <w:r w:rsidR="00D546D9">
        <w:rPr>
          <w:rFonts w:ascii="Times New Roman" w:eastAsia="Times New Roman" w:hAnsi="Times New Roman" w:cs="Times New Roman"/>
          <w:color w:val="212121"/>
          <w:sz w:val="20"/>
          <w:szCs w:val="20"/>
          <w:lang w:val="en-US" w:eastAsia="fr-FR"/>
        </w:rPr>
        <w:lastRenderedPageBreak/>
        <w:t>50 (</w:t>
      </w:r>
      <w:r w:rsidRPr="00EA69CB">
        <w:rPr>
          <w:rFonts w:ascii="Times New Roman" w:eastAsia="Times New Roman" w:hAnsi="Times New Roman" w:cs="Times New Roman"/>
          <w:color w:val="212121"/>
          <w:sz w:val="20"/>
          <w:szCs w:val="20"/>
          <w:lang w:val="en-US" w:eastAsia="fr-FR"/>
        </w:rPr>
        <w:t>4</w:t>
      </w:r>
      <w:r w:rsidR="00D546D9">
        <w:rPr>
          <w:rFonts w:ascii="Times New Roman" w:eastAsia="Times New Roman" w:hAnsi="Times New Roman" w:cs="Times New Roman"/>
          <w:color w:val="212121"/>
          <w:sz w:val="20"/>
          <w:szCs w:val="20"/>
          <w:lang w:val="en-US" w:eastAsia="fr-FR"/>
        </w:rPr>
        <w:t>0pM); 1-15-40-54 (</w:t>
      </w:r>
      <w:r w:rsidRPr="00EA69CB">
        <w:rPr>
          <w:rFonts w:ascii="Times New Roman" w:eastAsia="Times New Roman" w:hAnsi="Times New Roman" w:cs="Times New Roman"/>
          <w:color w:val="212121"/>
          <w:sz w:val="20"/>
          <w:szCs w:val="20"/>
          <w:lang w:val="en-US" w:eastAsia="fr-FR"/>
        </w:rPr>
        <w:t xml:space="preserve">26 </w:t>
      </w:r>
      <w:r w:rsidR="00D546D9">
        <w:rPr>
          <w:rFonts w:ascii="Times New Roman" w:eastAsia="Times New Roman" w:hAnsi="Times New Roman" w:cs="Times New Roman"/>
          <w:color w:val="212121"/>
          <w:sz w:val="20"/>
          <w:szCs w:val="20"/>
          <w:lang w:val="en-US" w:eastAsia="fr-FR"/>
        </w:rPr>
        <w:t>pM); 1-15-40-55 (</w:t>
      </w:r>
      <w:r w:rsidRPr="00EA69CB">
        <w:rPr>
          <w:rFonts w:ascii="Times New Roman" w:eastAsia="Times New Roman" w:hAnsi="Times New Roman" w:cs="Times New Roman"/>
          <w:color w:val="212121"/>
          <w:sz w:val="20"/>
          <w:szCs w:val="20"/>
          <w:lang w:val="en-US" w:eastAsia="fr-FR"/>
        </w:rPr>
        <w:t xml:space="preserve">14 </w:t>
      </w:r>
      <w:r w:rsidR="00D546D9">
        <w:rPr>
          <w:rFonts w:ascii="Times New Roman" w:eastAsia="Times New Roman" w:hAnsi="Times New Roman" w:cs="Times New Roman"/>
          <w:color w:val="212121"/>
          <w:sz w:val="20"/>
          <w:szCs w:val="20"/>
          <w:lang w:val="en-US" w:eastAsia="fr-FR"/>
        </w:rPr>
        <w:t>pM); 1-15-40-56 (</w:t>
      </w:r>
      <w:r w:rsidRPr="00EA69CB">
        <w:rPr>
          <w:rFonts w:ascii="Times New Roman" w:eastAsia="Times New Roman" w:hAnsi="Times New Roman" w:cs="Times New Roman"/>
          <w:color w:val="212121"/>
          <w:sz w:val="20"/>
          <w:szCs w:val="20"/>
          <w:lang w:val="en-US" w:eastAsia="fr-FR"/>
        </w:rPr>
        <w:t xml:space="preserve">27 </w:t>
      </w:r>
      <w:r w:rsidR="00D546D9">
        <w:rPr>
          <w:rFonts w:ascii="Times New Roman" w:eastAsia="Times New Roman" w:hAnsi="Times New Roman" w:cs="Times New Roman"/>
          <w:color w:val="212121"/>
          <w:sz w:val="20"/>
          <w:szCs w:val="20"/>
          <w:lang w:val="en-US" w:eastAsia="fr-FR"/>
        </w:rPr>
        <w:t>pM); 1-15-41-49 (</w:t>
      </w:r>
      <w:r w:rsidRPr="00EA69CB">
        <w:rPr>
          <w:rFonts w:ascii="Times New Roman" w:eastAsia="Times New Roman" w:hAnsi="Times New Roman" w:cs="Times New Roman"/>
          <w:color w:val="212121"/>
          <w:sz w:val="20"/>
          <w:szCs w:val="20"/>
          <w:lang w:val="en-US" w:eastAsia="fr-FR"/>
        </w:rPr>
        <w:t xml:space="preserve">23 </w:t>
      </w:r>
      <w:r w:rsidR="00D546D9">
        <w:rPr>
          <w:rFonts w:ascii="Times New Roman" w:eastAsia="Times New Roman" w:hAnsi="Times New Roman" w:cs="Times New Roman"/>
          <w:color w:val="212121"/>
          <w:sz w:val="20"/>
          <w:szCs w:val="20"/>
          <w:lang w:val="en-US" w:eastAsia="fr-FR"/>
        </w:rPr>
        <w:t>pM); 1-15-41-53 (</w:t>
      </w:r>
      <w:r w:rsidRPr="00EA69CB">
        <w:rPr>
          <w:rFonts w:ascii="Times New Roman" w:eastAsia="Times New Roman" w:hAnsi="Times New Roman" w:cs="Times New Roman"/>
          <w:color w:val="212121"/>
          <w:sz w:val="20"/>
          <w:szCs w:val="20"/>
          <w:lang w:val="en-US" w:eastAsia="fr-FR"/>
        </w:rPr>
        <w:t xml:space="preserve">25 </w:t>
      </w:r>
      <w:r w:rsidR="00D546D9">
        <w:rPr>
          <w:rFonts w:ascii="Times New Roman" w:eastAsia="Times New Roman" w:hAnsi="Times New Roman" w:cs="Times New Roman"/>
          <w:color w:val="212121"/>
          <w:sz w:val="20"/>
          <w:szCs w:val="20"/>
          <w:lang w:val="en-US" w:eastAsia="fr-FR"/>
        </w:rPr>
        <w:t>pM); 1-31-41-53 (</w:t>
      </w:r>
      <w:r w:rsidRPr="00EA69CB">
        <w:rPr>
          <w:rFonts w:ascii="Times New Roman" w:eastAsia="Times New Roman" w:hAnsi="Times New Roman" w:cs="Times New Roman"/>
          <w:color w:val="212121"/>
          <w:sz w:val="20"/>
          <w:szCs w:val="20"/>
          <w:lang w:val="en-US" w:eastAsia="fr-FR"/>
        </w:rPr>
        <w:t xml:space="preserve">19 </w:t>
      </w:r>
      <w:r w:rsidR="00D546D9">
        <w:rPr>
          <w:rFonts w:ascii="Times New Roman" w:eastAsia="Times New Roman" w:hAnsi="Times New Roman" w:cs="Times New Roman"/>
          <w:color w:val="212121"/>
          <w:sz w:val="20"/>
          <w:szCs w:val="20"/>
          <w:lang w:val="en-US" w:eastAsia="fr-FR"/>
        </w:rPr>
        <w:t>p</w:t>
      </w:r>
      <w:r w:rsidRPr="00EA69CB">
        <w:rPr>
          <w:rFonts w:ascii="Times New Roman" w:eastAsia="Times New Roman" w:hAnsi="Times New Roman" w:cs="Times New Roman"/>
          <w:color w:val="212121"/>
          <w:sz w:val="20"/>
          <w:szCs w:val="20"/>
          <w:lang w:val="en-US" w:eastAsia="fr-FR"/>
        </w:rPr>
        <w:t>M). The activities of these analogs being located in the low picomolar range, are recommended for the synthesis and evaluation of the activity in order to verify the consistency of the structural information provided and to guide the future discovery of peptidomimetic inhibitors of FP2. In addition, although limited to the theoretical framework, the approach used in this work helps to understand the studied systems in order to better prepare them for validation by biological tests. This technique is to be encouraged for research and for the medical application of pathologies not yet controlled.</w:t>
      </w:r>
    </w:p>
    <w:p w:rsidR="00EE1E02" w:rsidRDefault="00EE1E02" w:rsidP="00431435">
      <w:pPr>
        <w:jc w:val="both"/>
        <w:rPr>
          <w:rStyle w:val="A12"/>
          <w:rFonts w:ascii="Times New Roman" w:eastAsia="Calibri" w:hAnsi="Times New Roman" w:cs="Times New Roman"/>
          <w:sz w:val="20"/>
          <w:szCs w:val="20"/>
        </w:rPr>
      </w:pPr>
    </w:p>
    <w:p w:rsidR="00EE1E02" w:rsidRPr="00431435" w:rsidRDefault="00EE1E02" w:rsidP="00431435">
      <w:pPr>
        <w:jc w:val="both"/>
        <w:rPr>
          <w:rStyle w:val="A12"/>
          <w:rFonts w:ascii="Times New Roman" w:eastAsia="Calibri" w:hAnsi="Times New Roman" w:cs="Times New Roman"/>
          <w:sz w:val="20"/>
          <w:szCs w:val="20"/>
        </w:rPr>
      </w:pPr>
    </w:p>
    <w:p w:rsidR="00046579" w:rsidRPr="00E715FA" w:rsidRDefault="00046579" w:rsidP="00046579">
      <w:pPr>
        <w:jc w:val="both"/>
        <w:rPr>
          <w:rFonts w:ascii="Times New Roman" w:eastAsia="TimesNewRoman" w:hAnsi="Times New Roman"/>
          <w:sz w:val="14"/>
          <w:szCs w:val="14"/>
          <w:lang w:eastAsia="en-GB"/>
        </w:rPr>
      </w:pPr>
    </w:p>
    <w:p w:rsidR="00BF2DF4" w:rsidRPr="00E715FA" w:rsidRDefault="00BF2DF4" w:rsidP="000518C2">
      <w:pPr>
        <w:pStyle w:val="NoSpacing"/>
        <w:jc w:val="both"/>
        <w:rPr>
          <w:rFonts w:ascii="Times New Roman" w:hAnsi="Times New Roman"/>
        </w:rPr>
        <w:sectPr w:rsidR="00BF2DF4" w:rsidRPr="00E715FA" w:rsidSect="00895131">
          <w:endnotePr>
            <w:numFmt w:val="decimal"/>
          </w:endnotePr>
          <w:type w:val="continuous"/>
          <w:pgSz w:w="12240" w:h="15840"/>
          <w:pgMar w:top="535" w:right="1134" w:bottom="1134" w:left="1134" w:header="284" w:footer="22" w:gutter="0"/>
          <w:cols w:space="397"/>
          <w:docGrid w:linePitch="272"/>
        </w:sectPr>
      </w:pPr>
    </w:p>
    <w:p w:rsidR="001453F5" w:rsidRPr="0002388B" w:rsidRDefault="001453F5" w:rsidP="001453F5">
      <w:pPr>
        <w:spacing w:line="276" w:lineRule="auto"/>
        <w:jc w:val="both"/>
        <w:rPr>
          <w:rFonts w:ascii="Times New Roman" w:hAnsi="Times New Roman"/>
          <w:sz w:val="18"/>
          <w:szCs w:val="18"/>
        </w:rPr>
      </w:pPr>
    </w:p>
    <w:p w:rsidR="00E367C5" w:rsidRDefault="00E367C5" w:rsidP="003D2E47">
      <w:pPr>
        <w:spacing w:line="276" w:lineRule="auto"/>
        <w:ind w:left="851" w:hanging="851"/>
        <w:jc w:val="both"/>
        <w:rPr>
          <w:rFonts w:ascii="Arial" w:hAnsi="Arial" w:cs="Arial"/>
          <w:b/>
        </w:rPr>
      </w:pPr>
      <w:bookmarkStart w:id="9" w:name="_Toc12899466"/>
    </w:p>
    <w:p w:rsidR="00995443" w:rsidRPr="005854AA" w:rsidRDefault="002E361C" w:rsidP="005854AA">
      <w:pPr>
        <w:spacing w:after="120"/>
        <w:ind w:left="851" w:hanging="851"/>
        <w:jc w:val="both"/>
        <w:rPr>
          <w:rFonts w:ascii="Times New Roman" w:hAnsi="Times New Roman"/>
          <w:bCs/>
        </w:rPr>
      </w:pPr>
      <w:r w:rsidRPr="005854AA">
        <w:rPr>
          <w:rFonts w:ascii="Times New Roman" w:hAnsi="Times New Roman"/>
          <w:bCs/>
        </w:rPr>
        <w:t>Table 10</w:t>
      </w:r>
      <w:r w:rsidR="00995443" w:rsidRPr="005854AA">
        <w:rPr>
          <w:rFonts w:ascii="Times New Roman" w:hAnsi="Times New Roman"/>
          <w:bCs/>
        </w:rPr>
        <w:t>: Pharmacokinetic profile of some of the best CNPs analogues d</w:t>
      </w:r>
      <w:r w:rsidR="008D59F9">
        <w:rPr>
          <w:rFonts w:ascii="Times New Roman" w:hAnsi="Times New Roman"/>
          <w:bCs/>
        </w:rPr>
        <w:t>esigned computed by QikProp</w:t>
      </w:r>
      <w:fldSimple w:instr=" NOTEREF _Ref145001275 \h  \* MERGEFORMAT ">
        <w:r w:rsidR="00993553" w:rsidRPr="008D59F9">
          <w:rPr>
            <w:rFonts w:ascii="Times New Roman" w:hAnsi="Times New Roman"/>
            <w:b/>
            <w:bCs/>
            <w:color w:val="8DB3E2" w:themeColor="text2" w:themeTint="66"/>
            <w:vertAlign w:val="superscript"/>
          </w:rPr>
          <w:t>26</w:t>
        </w:r>
      </w:fldSimple>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54"/>
        <w:gridCol w:w="561"/>
        <w:gridCol w:w="324"/>
        <w:gridCol w:w="416"/>
        <w:gridCol w:w="515"/>
        <w:gridCol w:w="496"/>
        <w:gridCol w:w="502"/>
        <w:gridCol w:w="505"/>
        <w:gridCol w:w="454"/>
        <w:gridCol w:w="542"/>
        <w:gridCol w:w="561"/>
        <w:gridCol w:w="619"/>
        <w:gridCol w:w="519"/>
        <w:gridCol w:w="721"/>
        <w:gridCol w:w="546"/>
        <w:gridCol w:w="401"/>
        <w:gridCol w:w="477"/>
        <w:gridCol w:w="625"/>
      </w:tblGrid>
      <w:tr w:rsidR="0023014A" w:rsidRPr="0011126F" w:rsidTr="0023014A">
        <w:trPr>
          <w:trHeight w:val="477"/>
          <w:jc w:val="center"/>
        </w:trPr>
        <w:tc>
          <w:tcPr>
            <w:tcW w:w="0" w:type="auto"/>
            <w:tcBorders>
              <w:bottom w:val="single" w:sz="4" w:space="0" w:color="auto"/>
            </w:tcBorders>
            <w:shd w:val="clear" w:color="auto" w:fill="F2F2F2"/>
            <w:vAlign w:val="center"/>
            <w:hideMark/>
          </w:tcPr>
          <w:p w:rsidR="0023014A" w:rsidRPr="0011126F" w:rsidRDefault="0023014A" w:rsidP="0023014A">
            <w:pPr>
              <w:jc w:val="center"/>
              <w:rPr>
                <w:rFonts w:ascii="Times New Roman" w:hAnsi="Times New Roman"/>
                <w:b/>
                <w:sz w:val="16"/>
                <w:szCs w:val="16"/>
                <w:lang w:val="en-GB"/>
              </w:rPr>
            </w:pPr>
            <w:r w:rsidRPr="0011126F">
              <w:rPr>
                <w:rFonts w:ascii="Times New Roman" w:hAnsi="Times New Roman"/>
                <w:b/>
                <w:sz w:val="16"/>
                <w:szCs w:val="16"/>
                <w:lang w:val="en-GB"/>
              </w:rPr>
              <w:t>CNPs </w:t>
            </w:r>
            <w:r w:rsidRPr="0011126F">
              <w:rPr>
                <w:rFonts w:ascii="Times New Roman" w:hAnsi="Times New Roman"/>
                <w:b/>
                <w:sz w:val="16"/>
                <w:szCs w:val="16"/>
                <w:vertAlign w:val="superscript"/>
                <w:lang w:val="en-GB"/>
              </w:rPr>
              <w:t>a</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sz w:val="16"/>
                <w:szCs w:val="16"/>
                <w:lang w:val="en-GB"/>
              </w:rPr>
              <w:t xml:space="preserve">#stars </w:t>
            </w:r>
            <w:r w:rsidRPr="0011126F">
              <w:rPr>
                <w:rFonts w:ascii="Times New Roman" w:hAnsi="Times New Roman"/>
                <w:b/>
                <w:bCs/>
                <w:sz w:val="16"/>
                <w:szCs w:val="16"/>
                <w:vertAlign w:val="superscript"/>
                <w:lang w:val="en-GB"/>
              </w:rPr>
              <w:t>b</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M</w:t>
            </w:r>
            <w:r w:rsidRPr="0011126F">
              <w:rPr>
                <w:rFonts w:ascii="Times New Roman" w:hAnsi="Times New Roman"/>
                <w:b/>
                <w:bCs/>
                <w:sz w:val="16"/>
                <w:szCs w:val="16"/>
                <w:vertAlign w:val="subscript"/>
                <w:lang w:val="en-GB"/>
              </w:rPr>
              <w:t>w</w:t>
            </w:r>
            <w:r w:rsidRPr="0011126F">
              <w:rPr>
                <w:rFonts w:ascii="Times New Roman" w:hAnsi="Times New Roman"/>
                <w:b/>
                <w:bCs/>
                <w:sz w:val="16"/>
                <w:szCs w:val="16"/>
                <w:vertAlign w:val="superscript"/>
                <w:lang w:val="en-GB"/>
              </w:rPr>
              <w:t>c</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S</w:t>
            </w:r>
            <w:r w:rsidRPr="0011126F">
              <w:rPr>
                <w:rFonts w:ascii="Times New Roman" w:hAnsi="Times New Roman"/>
                <w:b/>
                <w:bCs/>
                <w:sz w:val="16"/>
                <w:szCs w:val="16"/>
                <w:vertAlign w:val="subscript"/>
                <w:lang w:val="en-GB"/>
              </w:rPr>
              <w:t>mol</w:t>
            </w:r>
            <w:r w:rsidRPr="0011126F">
              <w:rPr>
                <w:rFonts w:ascii="Times New Roman" w:hAnsi="Times New Roman"/>
                <w:b/>
                <w:bCs/>
                <w:sz w:val="16"/>
                <w:szCs w:val="16"/>
                <w:vertAlign w:val="superscript"/>
                <w:lang w:val="en-GB"/>
              </w:rPr>
              <w:t>d</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S</w:t>
            </w:r>
            <w:r w:rsidRPr="0011126F">
              <w:rPr>
                <w:rFonts w:ascii="Times New Roman" w:hAnsi="Times New Roman"/>
                <w:b/>
                <w:bCs/>
                <w:sz w:val="16"/>
                <w:szCs w:val="16"/>
                <w:vertAlign w:val="subscript"/>
                <w:lang w:val="en-GB"/>
              </w:rPr>
              <w:t>mol,hfo</w:t>
            </w:r>
            <w:r w:rsidRPr="0011126F">
              <w:rPr>
                <w:rFonts w:ascii="Times New Roman" w:hAnsi="Times New Roman"/>
                <w:b/>
                <w:bCs/>
                <w:sz w:val="16"/>
                <w:szCs w:val="16"/>
                <w:vertAlign w:val="superscript"/>
                <w:lang w:val="en-GB"/>
              </w:rPr>
              <w:t>e</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V</w:t>
            </w:r>
            <w:r w:rsidRPr="0011126F">
              <w:rPr>
                <w:rFonts w:ascii="Times New Roman" w:hAnsi="Times New Roman"/>
                <w:b/>
                <w:bCs/>
                <w:sz w:val="16"/>
                <w:szCs w:val="16"/>
                <w:vertAlign w:val="subscript"/>
                <w:lang w:val="en-GB"/>
              </w:rPr>
              <w:t>mol</w:t>
            </w:r>
            <w:r w:rsidRPr="0011126F">
              <w:rPr>
                <w:rFonts w:ascii="Times New Roman" w:hAnsi="Times New Roman"/>
                <w:b/>
                <w:bCs/>
                <w:sz w:val="16"/>
                <w:szCs w:val="16"/>
                <w:vertAlign w:val="superscript"/>
                <w:lang w:val="en-GB"/>
              </w:rPr>
              <w:t>f</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 xml:space="preserve">RotB </w:t>
            </w:r>
            <w:r w:rsidRPr="0011126F">
              <w:rPr>
                <w:rFonts w:ascii="Times New Roman" w:hAnsi="Times New Roman"/>
                <w:b/>
                <w:bCs/>
                <w:sz w:val="16"/>
                <w:szCs w:val="16"/>
                <w:vertAlign w:val="superscript"/>
                <w:lang w:val="en-GB"/>
              </w:rPr>
              <w:t>g</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HB</w:t>
            </w:r>
            <w:r w:rsidRPr="0011126F">
              <w:rPr>
                <w:rFonts w:ascii="Times New Roman" w:hAnsi="Times New Roman"/>
                <w:b/>
                <w:bCs/>
                <w:sz w:val="16"/>
                <w:szCs w:val="16"/>
                <w:vertAlign w:val="subscript"/>
                <w:lang w:val="en-GB"/>
              </w:rPr>
              <w:t>don</w:t>
            </w:r>
            <w:r w:rsidRPr="0011126F">
              <w:rPr>
                <w:rFonts w:ascii="Times New Roman" w:hAnsi="Times New Roman"/>
                <w:b/>
                <w:bCs/>
                <w:sz w:val="16"/>
                <w:szCs w:val="16"/>
                <w:vertAlign w:val="superscript"/>
                <w:lang w:val="en-GB"/>
              </w:rPr>
              <w:t>h</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HB</w:t>
            </w:r>
            <w:r w:rsidRPr="0011126F">
              <w:rPr>
                <w:rFonts w:ascii="Times New Roman" w:hAnsi="Times New Roman"/>
                <w:b/>
                <w:bCs/>
                <w:sz w:val="16"/>
                <w:szCs w:val="16"/>
                <w:vertAlign w:val="subscript"/>
                <w:lang w:val="en-GB"/>
              </w:rPr>
              <w:t>acc</w:t>
            </w:r>
            <w:r w:rsidRPr="0011126F">
              <w:rPr>
                <w:rFonts w:ascii="Times New Roman" w:hAnsi="Times New Roman"/>
                <w:b/>
                <w:bCs/>
                <w:sz w:val="16"/>
                <w:szCs w:val="16"/>
                <w:vertAlign w:val="superscript"/>
                <w:lang w:val="en-GB"/>
              </w:rPr>
              <w:t>i</w:t>
            </w:r>
          </w:p>
        </w:tc>
        <w:tc>
          <w:tcPr>
            <w:tcW w:w="0" w:type="auto"/>
            <w:tcBorders>
              <w:bottom w:val="single" w:sz="4" w:space="0" w:color="auto"/>
            </w:tcBorders>
            <w:shd w:val="clear" w:color="auto" w:fill="F2F2F2"/>
            <w:vAlign w:val="center"/>
            <w:hideMark/>
          </w:tcPr>
          <w:p w:rsidR="0023014A" w:rsidRPr="0011126F" w:rsidRDefault="0023014A" w:rsidP="0023014A">
            <w:pPr>
              <w:autoSpaceDE w:val="0"/>
              <w:autoSpaceDN w:val="0"/>
              <w:adjustRightInd w:val="0"/>
              <w:jc w:val="center"/>
              <w:rPr>
                <w:rFonts w:ascii="Times New Roman" w:hAnsi="Times New Roman"/>
                <w:b/>
                <w:bCs/>
                <w:sz w:val="16"/>
                <w:szCs w:val="16"/>
                <w:lang w:val="en-GB"/>
              </w:rPr>
            </w:pPr>
            <w:r w:rsidRPr="0011126F">
              <w:rPr>
                <w:rFonts w:ascii="Times New Roman" w:hAnsi="Times New Roman"/>
                <w:b/>
                <w:bCs/>
                <w:iCs/>
                <w:sz w:val="16"/>
                <w:szCs w:val="16"/>
                <w:lang w:val="en-GB"/>
              </w:rPr>
              <w:t>logP</w:t>
            </w:r>
            <w:r w:rsidRPr="0011126F">
              <w:rPr>
                <w:rFonts w:ascii="Times New Roman" w:hAnsi="Times New Roman"/>
                <w:b/>
                <w:bCs/>
                <w:sz w:val="16"/>
                <w:szCs w:val="16"/>
                <w:vertAlign w:val="subscript"/>
                <w:lang w:val="en-GB"/>
              </w:rPr>
              <w:t>o/w</w:t>
            </w:r>
            <w:r w:rsidRPr="0011126F">
              <w:rPr>
                <w:rFonts w:ascii="Times New Roman" w:hAnsi="Times New Roman"/>
                <w:b/>
                <w:bCs/>
                <w:sz w:val="16"/>
                <w:szCs w:val="16"/>
                <w:vertAlign w:val="superscript"/>
                <w:lang w:val="en-GB"/>
              </w:rPr>
              <w:t>j</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sidRPr="005854AA">
              <w:rPr>
                <w:rFonts w:ascii="Times New Roman" w:hAnsi="Times New Roman"/>
                <w:b/>
                <w:bCs/>
                <w:iCs/>
                <w:sz w:val="16"/>
                <w:szCs w:val="16"/>
                <w:lang w:val="en-GB"/>
              </w:rPr>
              <w:t>logS</w:t>
            </w:r>
            <w:r w:rsidRPr="0023014A">
              <w:rPr>
                <w:rFonts w:ascii="Times New Roman" w:hAnsi="Times New Roman"/>
                <w:b/>
                <w:bCs/>
                <w:sz w:val="16"/>
                <w:szCs w:val="16"/>
                <w:vertAlign w:val="subscript"/>
                <w:lang w:val="en-GB"/>
              </w:rPr>
              <w:t>wat</w:t>
            </w:r>
            <w:r w:rsidRPr="005854AA">
              <w:rPr>
                <w:rFonts w:ascii="Times New Roman" w:hAnsi="Times New Roman"/>
                <w:b/>
                <w:bCs/>
                <w:sz w:val="16"/>
                <w:szCs w:val="16"/>
                <w:vertAlign w:val="superscript"/>
                <w:lang w:val="en-GB"/>
              </w:rPr>
              <w:t>k</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sidRPr="005854AA">
              <w:rPr>
                <w:rFonts w:ascii="Times New Roman" w:hAnsi="Times New Roman"/>
                <w:b/>
                <w:bCs/>
                <w:iCs/>
                <w:sz w:val="16"/>
                <w:szCs w:val="16"/>
                <w:lang w:val="en-GB"/>
              </w:rPr>
              <w:t>logK</w:t>
            </w:r>
            <w:r w:rsidRPr="0023014A">
              <w:rPr>
                <w:rFonts w:ascii="Times New Roman" w:hAnsi="Times New Roman"/>
                <w:b/>
                <w:bCs/>
                <w:sz w:val="16"/>
                <w:szCs w:val="16"/>
                <w:vertAlign w:val="subscript"/>
                <w:lang w:val="en-GB"/>
              </w:rPr>
              <w:t>HSA</w:t>
            </w:r>
            <w:r w:rsidRPr="005854AA">
              <w:rPr>
                <w:rFonts w:ascii="Times New Roman" w:hAnsi="Times New Roman"/>
                <w:b/>
                <w:bCs/>
                <w:sz w:val="16"/>
                <w:szCs w:val="16"/>
                <w:vertAlign w:val="superscript"/>
                <w:lang w:val="en-GB"/>
              </w:rPr>
              <w:t>l</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Pr>
                <w:rFonts w:ascii="Times New Roman" w:hAnsi="Times New Roman"/>
                <w:b/>
                <w:bCs/>
                <w:iCs/>
                <w:sz w:val="16"/>
                <w:szCs w:val="16"/>
                <w:lang w:val="en-GB"/>
              </w:rPr>
              <w:t>logB/B</w:t>
            </w:r>
            <w:r>
              <w:rPr>
                <w:rFonts w:ascii="Times New Roman" w:hAnsi="Times New Roman"/>
                <w:b/>
                <w:bCs/>
                <w:iCs/>
                <w:sz w:val="16"/>
                <w:szCs w:val="16"/>
                <w:lang w:val="en-GB"/>
              </w:rPr>
              <w:br/>
            </w:r>
            <w:r w:rsidRPr="005854AA">
              <w:rPr>
                <w:rFonts w:ascii="Times New Roman" w:hAnsi="Times New Roman"/>
                <w:b/>
                <w:bCs/>
                <w:sz w:val="16"/>
                <w:szCs w:val="16"/>
                <w:vertAlign w:val="superscript"/>
                <w:lang w:val="en-GB"/>
              </w:rPr>
              <w:t>m</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sidRPr="005854AA">
              <w:rPr>
                <w:rFonts w:ascii="Times New Roman" w:hAnsi="Times New Roman"/>
                <w:b/>
                <w:bCs/>
                <w:iCs/>
                <w:sz w:val="16"/>
                <w:szCs w:val="16"/>
                <w:lang w:val="en-GB"/>
              </w:rPr>
              <w:t>BIP</w:t>
            </w:r>
            <w:r w:rsidRPr="005854AA">
              <w:rPr>
                <w:rFonts w:ascii="Times New Roman" w:hAnsi="Times New Roman"/>
                <w:b/>
                <w:bCs/>
                <w:sz w:val="16"/>
                <w:szCs w:val="16"/>
                <w:lang w:val="en-GB"/>
              </w:rPr>
              <w:t xml:space="preserve">caco </w:t>
            </w:r>
            <w:r w:rsidRPr="005854AA">
              <w:rPr>
                <w:rFonts w:ascii="Times New Roman" w:hAnsi="Times New Roman"/>
                <w:b/>
                <w:bCs/>
                <w:sz w:val="16"/>
                <w:szCs w:val="16"/>
                <w:vertAlign w:val="superscript"/>
                <w:lang w:val="en-GB"/>
              </w:rPr>
              <w:t>n</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sidRPr="005854AA">
              <w:rPr>
                <w:rFonts w:ascii="Times New Roman" w:hAnsi="Times New Roman"/>
                <w:b/>
                <w:bCs/>
                <w:i/>
                <w:iCs/>
                <w:sz w:val="16"/>
                <w:szCs w:val="16"/>
                <w:lang w:val="en-GB"/>
              </w:rPr>
              <w:t xml:space="preserve">#meta </w:t>
            </w:r>
            <w:r w:rsidRPr="005854AA">
              <w:rPr>
                <w:rFonts w:ascii="Times New Roman" w:hAnsi="Times New Roman"/>
                <w:b/>
                <w:bCs/>
                <w:sz w:val="16"/>
                <w:szCs w:val="16"/>
                <w:vertAlign w:val="superscript"/>
                <w:lang w:val="en-GB"/>
              </w:rPr>
              <w:t>o</w:t>
            </w:r>
          </w:p>
        </w:tc>
        <w:tc>
          <w:tcPr>
            <w:tcW w:w="0" w:type="auto"/>
            <w:tcBorders>
              <w:bottom w:val="single" w:sz="4" w:space="0" w:color="auto"/>
            </w:tcBorders>
            <w:shd w:val="clear" w:color="auto" w:fill="F2F2F2"/>
          </w:tcPr>
          <w:p w:rsidR="0023014A" w:rsidRPr="005854AA" w:rsidRDefault="009A671C" w:rsidP="0023014A">
            <w:pPr>
              <w:autoSpaceDE w:val="0"/>
              <w:autoSpaceDN w:val="0"/>
              <w:adjustRightInd w:val="0"/>
              <w:jc w:val="center"/>
              <w:rPr>
                <w:rFonts w:ascii="Times New Roman" w:hAnsi="Times New Roman"/>
                <w:b/>
                <w:bCs/>
                <w:iCs/>
                <w:sz w:val="16"/>
                <w:szCs w:val="16"/>
                <w:lang w:val="en-GB"/>
              </w:rPr>
            </w:pPr>
            <m:oMath>
              <m:sSubSup>
                <m:sSubSupPr>
                  <m:ctrlPr>
                    <w:rPr>
                      <w:rFonts w:ascii="Cambria Math" w:hAnsi="Cambria Math"/>
                      <w:bCs/>
                      <w:i/>
                      <w:iCs/>
                      <w:sz w:val="14"/>
                      <w:szCs w:val="14"/>
                    </w:rPr>
                  </m:ctrlPr>
                </m:sSubSupPr>
                <m:e>
                  <m:r>
                    <m:rPr>
                      <m:sty m:val="p"/>
                    </m:rPr>
                    <w:rPr>
                      <w:rFonts w:ascii="Cambria Math" w:hAnsi="Cambria Math"/>
                      <w:sz w:val="14"/>
                      <w:szCs w:val="14"/>
                    </w:rPr>
                    <m:t>IC</m:t>
                  </m:r>
                </m:e>
                <m:sub>
                  <m:r>
                    <m:rPr>
                      <m:sty m:val="p"/>
                    </m:rPr>
                    <w:rPr>
                      <w:rFonts w:ascii="Cambria Math" w:hAnsi="Cambria Math"/>
                      <w:sz w:val="14"/>
                      <w:szCs w:val="14"/>
                    </w:rPr>
                    <m:t>50</m:t>
                  </m:r>
                </m:sub>
                <m:sup>
                  <m:r>
                    <m:rPr>
                      <m:sty m:val="p"/>
                    </m:rPr>
                    <w:rPr>
                      <w:rFonts w:ascii="Cambria Math" w:hAnsi="Cambria Math"/>
                      <w:sz w:val="14"/>
                      <w:szCs w:val="14"/>
                    </w:rPr>
                    <m:t>pre</m:t>
                  </m:r>
                </m:sup>
              </m:sSubSup>
            </m:oMath>
            <w:r w:rsidR="0023014A" w:rsidRPr="0023014A">
              <w:rPr>
                <w:rFonts w:ascii="Times New Roman" w:hAnsi="Times New Roman"/>
                <w:bCs/>
                <w:iCs/>
                <w:sz w:val="14"/>
                <w:szCs w:val="14"/>
                <w:vertAlign w:val="superscript"/>
              </w:rPr>
              <w:t>p</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sidRPr="005854AA">
              <w:rPr>
                <w:rFonts w:ascii="Times New Roman" w:hAnsi="Times New Roman"/>
                <w:b/>
                <w:bCs/>
                <w:iCs/>
                <w:sz w:val="16"/>
                <w:szCs w:val="16"/>
                <w:lang w:val="en-GB"/>
              </w:rPr>
              <w:t>HOA</w:t>
            </w:r>
            <w:r w:rsidRPr="005854AA">
              <w:rPr>
                <w:rFonts w:ascii="Times New Roman" w:hAnsi="Times New Roman"/>
                <w:b/>
                <w:bCs/>
                <w:sz w:val="16"/>
                <w:szCs w:val="16"/>
                <w:vertAlign w:val="superscript"/>
                <w:lang w:val="en-GB"/>
              </w:rPr>
              <w:t>q</w:t>
            </w:r>
          </w:p>
        </w:tc>
        <w:tc>
          <w:tcPr>
            <w:tcW w:w="0" w:type="auto"/>
            <w:tcBorders>
              <w:bottom w:val="single" w:sz="4" w:space="0" w:color="auto"/>
            </w:tcBorders>
            <w:shd w:val="clear" w:color="auto" w:fill="F2F2F2"/>
            <w:vAlign w:val="center"/>
          </w:tcPr>
          <w:p w:rsidR="0023014A" w:rsidRPr="005854AA" w:rsidRDefault="0023014A" w:rsidP="0023014A">
            <w:pPr>
              <w:autoSpaceDE w:val="0"/>
              <w:autoSpaceDN w:val="0"/>
              <w:adjustRightInd w:val="0"/>
              <w:jc w:val="center"/>
              <w:rPr>
                <w:rFonts w:ascii="Times New Roman" w:hAnsi="Times New Roman"/>
                <w:b/>
                <w:bCs/>
                <w:sz w:val="16"/>
                <w:szCs w:val="16"/>
                <w:lang w:val="en-GB"/>
              </w:rPr>
            </w:pPr>
            <w:r w:rsidRPr="005854AA">
              <w:rPr>
                <w:rFonts w:ascii="Times New Roman" w:hAnsi="Times New Roman"/>
                <w:b/>
                <w:bCs/>
                <w:iCs/>
                <w:sz w:val="16"/>
                <w:szCs w:val="16"/>
                <w:lang w:val="en-GB"/>
              </w:rPr>
              <w:t>%HOA</w:t>
            </w:r>
            <w:r w:rsidRPr="005854AA">
              <w:rPr>
                <w:rFonts w:ascii="Times New Roman" w:hAnsi="Times New Roman"/>
                <w:b/>
                <w:bCs/>
                <w:sz w:val="16"/>
                <w:szCs w:val="16"/>
                <w:vertAlign w:val="superscript"/>
                <w:lang w:val="en-GB"/>
              </w:rPr>
              <w:t>r</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1-15-38-48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499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635.3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204.7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1655.3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23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1-31-38-48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601.4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209.6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1610.7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3.106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tcPr>
          <w:p w:rsidR="0023014A" w:rsidRPr="005854AA" w:rsidRDefault="00505D05" w:rsidP="005854AA">
            <w:pPr>
              <w:jc w:val="center"/>
              <w:rPr>
                <w:rFonts w:ascii="Times New Roman" w:hAnsi="Times New Roman"/>
                <w:color w:val="000000"/>
                <w:sz w:val="16"/>
                <w:szCs w:val="16"/>
              </w:rPr>
            </w:pPr>
            <w:r w:rsidRPr="00505D05">
              <w:rPr>
                <w:rFonts w:ascii="Times New Roman" w:hAnsi="Times New Roman"/>
                <w:color w:val="000000"/>
                <w:sz w:val="16"/>
                <w:szCs w:val="16"/>
              </w:rPr>
              <w:t>63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1-15-38-56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737.1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129.1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1680.0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4.727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-7.2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147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37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1-15-39-52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500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664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137.7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1639.1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4.885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489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tcPr>
          <w:p w:rsidR="0023014A" w:rsidRPr="005854AA" w:rsidRDefault="00505D05" w:rsidP="005854AA">
            <w:pPr>
              <w:jc w:val="center"/>
              <w:rPr>
                <w:rFonts w:ascii="Times New Roman" w:hAnsi="Times New Roman"/>
                <w:color w:val="000000"/>
                <w:sz w:val="16"/>
                <w:szCs w:val="16"/>
              </w:rPr>
            </w:pPr>
            <w:r w:rsidRPr="00505D05">
              <w:rPr>
                <w:rFonts w:ascii="Times New Roman" w:hAnsi="Times New Roman"/>
                <w:color w:val="000000"/>
                <w:sz w:val="16"/>
                <w:szCs w:val="16"/>
              </w:rPr>
              <w:t>190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1-15-40-53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656.7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116.1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1581.9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4.241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195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505D05" w:rsidP="005854AA">
            <w:pPr>
              <w:jc w:val="center"/>
              <w:rPr>
                <w:rFonts w:ascii="Times New Roman" w:hAnsi="Times New Roman"/>
                <w:color w:val="000000"/>
                <w:sz w:val="16"/>
                <w:szCs w:val="16"/>
              </w:rPr>
            </w:pPr>
            <w:r w:rsidRPr="00505D05">
              <w:rPr>
                <w:rFonts w:ascii="Times New Roman" w:hAnsi="Times New Roman"/>
                <w:color w:val="000000"/>
                <w:sz w:val="16"/>
                <w:szCs w:val="16"/>
              </w:rPr>
              <w:t>150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86</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1-15-40-54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499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708.6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90.3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1640.1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4.778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343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26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87</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1-15-40-55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499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660.1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119.3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1626.4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4.504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182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96</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1-15-40-56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499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688.3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121.9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1665.0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4.71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172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27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62</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1-15-41-49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500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683.2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104.2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1633.2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4.72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935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23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98</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1-15-41-53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500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681.2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113.5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1642.1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3.41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172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25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94</w:t>
            </w:r>
          </w:p>
        </w:tc>
      </w:tr>
      <w:tr w:rsidR="0023014A" w:rsidRPr="0011126F" w:rsidTr="0023014A">
        <w:trPr>
          <w:trHeight w:val="69"/>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1-31-41-53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687.4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106.4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1611.1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4.17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195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01129D" w:rsidP="005854AA">
            <w:pPr>
              <w:jc w:val="center"/>
              <w:rPr>
                <w:rFonts w:ascii="Times New Roman" w:hAnsi="Times New Roman"/>
                <w:color w:val="000000"/>
                <w:sz w:val="16"/>
                <w:szCs w:val="16"/>
              </w:rPr>
            </w:pPr>
            <w:r>
              <w:rPr>
                <w:rFonts w:ascii="Times New Roman" w:hAnsi="Times New Roman"/>
                <w:color w:val="000000"/>
                <w:sz w:val="16"/>
                <w:szCs w:val="16"/>
              </w:rPr>
              <w:t>19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87</w:t>
            </w:r>
          </w:p>
        </w:tc>
      </w:tr>
      <w:tr w:rsidR="0023014A" w:rsidRPr="0011126F" w:rsidTr="0023014A">
        <w:trPr>
          <w:trHeight w:val="132"/>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Amodiaquine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334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603.2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131.7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1018.7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1689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Artemether</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298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490.6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465.5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901.7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5729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142"/>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Artemisinin</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282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456.6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380.6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848.4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1886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96</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Artesunate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384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644.1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465.1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1155.8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72</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Atovaquone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367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620.6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136.9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1099.8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917.5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Chloroquine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294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594.1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188.9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982.9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3718.1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Clindamycine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425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721.5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534.2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1307.3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139.2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77</w:t>
            </w:r>
          </w:p>
        </w:tc>
      </w:tr>
      <w:tr w:rsidR="0023014A" w:rsidRPr="0011126F" w:rsidTr="0023014A">
        <w:trPr>
          <w:trHeight w:val="60"/>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Dapsone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236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431.6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687.9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289.1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68.8</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Doxycycline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422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602.2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174.0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1104.2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17.3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20.8</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Halofantrine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470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785.4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160.2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1351.8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2844.1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165"/>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Lumefantrine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497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819.1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160.7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1437.5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4337.2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Mefloquine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362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533.1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925.1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-5.9</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0.5</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2903.1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Pamaquine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316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654.8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443.4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1148.1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1475.2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Primaquine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259</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528.1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242.7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909.6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371.3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85</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Proguanil</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238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478.2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125.3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768.6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834.6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86</w:t>
            </w:r>
          </w:p>
        </w:tc>
      </w:tr>
      <w:tr w:rsidR="0023014A" w:rsidRPr="0011126F" w:rsidTr="0023014A">
        <w:trPr>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Quinacrine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370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680.5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268.8</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1163.6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7</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5.6</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4435.7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100</w:t>
            </w:r>
          </w:p>
        </w:tc>
      </w:tr>
      <w:tr w:rsidR="0023014A" w:rsidRPr="0011126F" w:rsidTr="0023014A">
        <w:trPr>
          <w:trHeight w:val="177"/>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Quinine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324</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522</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301.0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990.1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0.1</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0.2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628.3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4</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3</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96</w:t>
            </w:r>
          </w:p>
        </w:tc>
      </w:tr>
      <w:tr w:rsidR="0023014A" w:rsidRPr="0011126F" w:rsidTr="0023014A">
        <w:trPr>
          <w:trHeight w:val="70"/>
          <w:jc w:val="center"/>
        </w:trPr>
        <w:tc>
          <w:tcPr>
            <w:tcW w:w="0" w:type="auto"/>
            <w:tcBorders>
              <w:top w:val="nil"/>
              <w:bottom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Sulfadoxine</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296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510.6</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152.3</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849.5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9.5</w:t>
            </w:r>
          </w:p>
        </w:tc>
        <w:tc>
          <w:tcPr>
            <w:tcW w:w="0" w:type="auto"/>
            <w:tcBorders>
              <w:top w:val="nil"/>
              <w:bottom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-0.8</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-1.7*</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213.4</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w:t>
            </w:r>
          </w:p>
        </w:tc>
        <w:tc>
          <w:tcPr>
            <w:tcW w:w="0" w:type="auto"/>
            <w:tcBorders>
              <w:top w:val="nil"/>
              <w:bottom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64</w:t>
            </w:r>
          </w:p>
        </w:tc>
      </w:tr>
      <w:tr w:rsidR="0023014A" w:rsidRPr="0011126F" w:rsidTr="0023014A">
        <w:trPr>
          <w:jc w:val="center"/>
        </w:trPr>
        <w:tc>
          <w:tcPr>
            <w:tcW w:w="0" w:type="auto"/>
            <w:tcBorders>
              <w:top w:val="nil"/>
            </w:tcBorders>
            <w:vAlign w:val="center"/>
            <w:hideMark/>
          </w:tcPr>
          <w:p w:rsidR="0023014A" w:rsidRPr="0011126F" w:rsidRDefault="0023014A" w:rsidP="005854AA">
            <w:pPr>
              <w:jc w:val="center"/>
              <w:rPr>
                <w:rFonts w:ascii="Times New Roman" w:hAnsi="Times New Roman"/>
                <w:sz w:val="16"/>
                <w:szCs w:val="16"/>
              </w:rPr>
            </w:pPr>
            <w:r w:rsidRPr="0011126F">
              <w:rPr>
                <w:rFonts w:ascii="Times New Roman" w:hAnsi="Times New Roman"/>
                <w:sz w:val="16"/>
                <w:szCs w:val="16"/>
              </w:rPr>
              <w:t>Tetracycline</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5</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422</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604.5</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173.1</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1111.8</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2</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0</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16</w:t>
            </w:r>
          </w:p>
        </w:tc>
        <w:tc>
          <w:tcPr>
            <w:tcW w:w="0" w:type="auto"/>
            <w:tcBorders>
              <w:top w:val="nil"/>
            </w:tcBorders>
            <w:vAlign w:val="center"/>
            <w:hideMark/>
          </w:tcPr>
          <w:p w:rsidR="0023014A" w:rsidRPr="0011126F" w:rsidRDefault="0023014A" w:rsidP="005854AA">
            <w:pPr>
              <w:jc w:val="center"/>
              <w:rPr>
                <w:rFonts w:ascii="Times New Roman" w:hAnsi="Times New Roman"/>
                <w:color w:val="000000"/>
                <w:sz w:val="16"/>
                <w:szCs w:val="16"/>
              </w:rPr>
            </w:pPr>
            <w:r w:rsidRPr="0011126F">
              <w:rPr>
                <w:rFonts w:ascii="Times New Roman" w:hAnsi="Times New Roman"/>
                <w:color w:val="000000"/>
                <w:sz w:val="16"/>
                <w:szCs w:val="16"/>
              </w:rPr>
              <w:t>-3.4*</w:t>
            </w: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-1.4</w:t>
            </w: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-2.5*</w:t>
            </w: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-2.6</w:t>
            </w: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6.8*</w:t>
            </w: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5</w:t>
            </w:r>
          </w:p>
        </w:tc>
        <w:tc>
          <w:tcPr>
            <w:tcW w:w="0" w:type="auto"/>
            <w:tcBorders>
              <w:top w:val="nil"/>
            </w:tcBorders>
          </w:tcPr>
          <w:p w:rsidR="0023014A" w:rsidRPr="005854AA" w:rsidRDefault="0023014A" w:rsidP="005854AA">
            <w:pPr>
              <w:jc w:val="center"/>
              <w:rPr>
                <w:rFonts w:ascii="Times New Roman" w:hAnsi="Times New Roman"/>
                <w:color w:val="000000"/>
                <w:sz w:val="16"/>
                <w:szCs w:val="16"/>
              </w:rPr>
            </w:pP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1</w:t>
            </w:r>
          </w:p>
        </w:tc>
        <w:tc>
          <w:tcPr>
            <w:tcW w:w="0" w:type="auto"/>
            <w:tcBorders>
              <w:top w:val="nil"/>
            </w:tcBorders>
            <w:vAlign w:val="center"/>
          </w:tcPr>
          <w:p w:rsidR="0023014A" w:rsidRPr="005854AA" w:rsidRDefault="0023014A" w:rsidP="005854AA">
            <w:pPr>
              <w:jc w:val="center"/>
              <w:rPr>
                <w:rFonts w:ascii="Times New Roman" w:hAnsi="Times New Roman"/>
                <w:color w:val="000000"/>
                <w:sz w:val="16"/>
                <w:szCs w:val="16"/>
              </w:rPr>
            </w:pPr>
            <w:r w:rsidRPr="005854AA">
              <w:rPr>
                <w:rFonts w:ascii="Times New Roman" w:hAnsi="Times New Roman"/>
                <w:color w:val="000000"/>
                <w:sz w:val="16"/>
                <w:szCs w:val="16"/>
              </w:rPr>
              <w:t>22</w:t>
            </w:r>
          </w:p>
        </w:tc>
      </w:tr>
    </w:tbl>
    <w:p w:rsidR="006746CA" w:rsidRPr="0056296A" w:rsidRDefault="006746CA" w:rsidP="005854AA">
      <w:pPr>
        <w:jc w:val="both"/>
        <w:rPr>
          <w:rFonts w:ascii="Times New Roman" w:hAnsi="Times New Roman"/>
          <w:sz w:val="14"/>
          <w:szCs w:val="14"/>
          <w:vertAlign w:val="subscript"/>
        </w:rPr>
      </w:pPr>
      <w:r w:rsidRPr="0056296A">
        <w:rPr>
          <w:rFonts w:ascii="Times New Roman" w:hAnsi="Times New Roman"/>
          <w:iCs/>
          <w:sz w:val="14"/>
          <w:szCs w:val="14"/>
          <w:vertAlign w:val="superscript"/>
        </w:rPr>
        <w:t xml:space="preserve">a </w:t>
      </w:r>
      <w:r w:rsidRPr="0056296A">
        <w:rPr>
          <w:rFonts w:ascii="Times New Roman" w:hAnsi="Times New Roman"/>
          <w:iCs/>
          <w:sz w:val="14"/>
          <w:szCs w:val="14"/>
        </w:rPr>
        <w:t>designed CNP analogs and known antimalarial agents</w:t>
      </w:r>
      <w:r w:rsidRPr="0056296A">
        <w:rPr>
          <w:rFonts w:ascii="Times New Roman" w:hAnsi="Times New Roman"/>
          <w:sz w:val="14"/>
          <w:szCs w:val="14"/>
        </w:rPr>
        <w:t xml:space="preserve">, </w:t>
      </w:r>
      <w:r w:rsidRPr="0056296A">
        <w:rPr>
          <w:rFonts w:ascii="Times New Roman" w:hAnsi="Times New Roman"/>
          <w:sz w:val="14"/>
          <w:szCs w:val="14"/>
          <w:vertAlign w:val="superscript"/>
        </w:rPr>
        <w:t>b</w:t>
      </w:r>
      <w:r w:rsidRPr="0056296A">
        <w:rPr>
          <w:rFonts w:ascii="Times New Roman" w:hAnsi="Times New Roman"/>
          <w:sz w:val="14"/>
          <w:szCs w:val="14"/>
        </w:rPr>
        <w:t xml:space="preserve"> drug likelihood, number of descriptors (24 out of a total of 49 calculated with QikProp, ver. 3.7, release 14) out of the interval for 95% of known drugs; </w:t>
      </w:r>
      <w:r w:rsidRPr="0056296A">
        <w:rPr>
          <w:rFonts w:ascii="Times New Roman" w:hAnsi="Times New Roman"/>
          <w:sz w:val="14"/>
          <w:szCs w:val="14"/>
          <w:vertAlign w:val="superscript"/>
        </w:rPr>
        <w:t>c</w:t>
      </w:r>
      <w:r w:rsidRPr="0056296A">
        <w:rPr>
          <w:rFonts w:ascii="Times New Roman" w:hAnsi="Times New Roman"/>
          <w:sz w:val="14"/>
          <w:szCs w:val="14"/>
        </w:rPr>
        <w:t xml:space="preserve"> molecular weight in g.mol</w:t>
      </w:r>
      <w:r w:rsidRPr="0056296A">
        <w:rPr>
          <w:rFonts w:ascii="Times New Roman" w:hAnsi="Times New Roman"/>
          <w:sz w:val="14"/>
          <w:szCs w:val="14"/>
          <w:vertAlign w:val="superscript"/>
        </w:rPr>
        <w:t>-1</w:t>
      </w:r>
      <w:r w:rsidRPr="0056296A">
        <w:rPr>
          <w:rFonts w:ascii="Times New Roman" w:hAnsi="Times New Roman"/>
          <w:sz w:val="14"/>
          <w:szCs w:val="14"/>
        </w:rPr>
        <w:t xml:space="preserve"> (range for 95% of drugs: 130 - 725 g.mol</w:t>
      </w:r>
      <w:r w:rsidRPr="0056296A">
        <w:rPr>
          <w:rFonts w:ascii="Times New Roman" w:hAnsi="Times New Roman"/>
          <w:sz w:val="14"/>
          <w:szCs w:val="14"/>
          <w:vertAlign w:val="superscript"/>
        </w:rPr>
        <w:t>-1</w:t>
      </w:r>
      <w:r w:rsidRPr="0056296A">
        <w:rPr>
          <w:rFonts w:ascii="Times New Roman" w:hAnsi="Times New Roman"/>
          <w:sz w:val="14"/>
          <w:szCs w:val="14"/>
        </w:rPr>
        <w:t>) [</w:t>
      </w:r>
      <w:fldSimple w:instr=" NOTEREF _Ref145001275 \h  \* MERGEFORMAT ">
        <w:r w:rsidR="0056296A" w:rsidRPr="0056296A">
          <w:rPr>
            <w:rFonts w:ascii="Times New Roman" w:hAnsi="Times New Roman"/>
            <w:sz w:val="14"/>
            <w:szCs w:val="14"/>
          </w:rPr>
          <w:t>26</w:t>
        </w:r>
      </w:fldSimple>
      <w:r w:rsidRPr="0056296A">
        <w:rPr>
          <w:rFonts w:ascii="Times New Roman" w:hAnsi="Times New Roman"/>
          <w:sz w:val="14"/>
          <w:szCs w:val="14"/>
        </w:rPr>
        <w:t xml:space="preserve">]; </w:t>
      </w:r>
      <w:r w:rsidRPr="0056296A">
        <w:rPr>
          <w:rFonts w:ascii="Times New Roman" w:hAnsi="Times New Roman"/>
          <w:sz w:val="14"/>
          <w:szCs w:val="14"/>
          <w:vertAlign w:val="superscript"/>
        </w:rPr>
        <w:t>d</w:t>
      </w:r>
      <w:r w:rsidRPr="0056296A">
        <w:rPr>
          <w:rFonts w:ascii="Times New Roman" w:hAnsi="Times New Roman"/>
          <w:sz w:val="14"/>
          <w:szCs w:val="14"/>
        </w:rPr>
        <w:t xml:space="preserve"> total molecular surface accessible to the solvent, in Å</w:t>
      </w:r>
      <w:r w:rsidRPr="0056296A">
        <w:rPr>
          <w:rFonts w:ascii="Times New Roman" w:hAnsi="Times New Roman"/>
          <w:sz w:val="14"/>
          <w:szCs w:val="14"/>
          <w:vertAlign w:val="superscript"/>
        </w:rPr>
        <w:t>2</w:t>
      </w:r>
      <w:r w:rsidRPr="0056296A">
        <w:rPr>
          <w:rFonts w:ascii="Times New Roman" w:hAnsi="Times New Roman"/>
          <w:sz w:val="14"/>
          <w:szCs w:val="14"/>
        </w:rPr>
        <w:t xml:space="preserve"> (radius probe 1.4 Å) (range for 95% of drugs: 300 - 1000 Å</w:t>
      </w:r>
      <w:r w:rsidRPr="0056296A">
        <w:rPr>
          <w:rFonts w:ascii="Times New Roman" w:hAnsi="Times New Roman"/>
          <w:sz w:val="14"/>
          <w:szCs w:val="14"/>
          <w:vertAlign w:val="superscript"/>
        </w:rPr>
        <w:t>2</w:t>
      </w:r>
      <w:r w:rsidRPr="0056296A">
        <w:rPr>
          <w:rFonts w:ascii="Times New Roman" w:hAnsi="Times New Roman"/>
          <w:sz w:val="14"/>
          <w:szCs w:val="14"/>
        </w:rPr>
        <w:t xml:space="preserve">); </w:t>
      </w:r>
      <w:r w:rsidRPr="0056296A">
        <w:rPr>
          <w:rFonts w:ascii="Times New Roman" w:hAnsi="Times New Roman"/>
          <w:sz w:val="14"/>
          <w:szCs w:val="14"/>
          <w:vertAlign w:val="superscript"/>
        </w:rPr>
        <w:t>e</w:t>
      </w:r>
      <w:r w:rsidRPr="0056296A">
        <w:rPr>
          <w:rFonts w:ascii="Times New Roman" w:hAnsi="Times New Roman"/>
          <w:sz w:val="14"/>
          <w:szCs w:val="14"/>
        </w:rPr>
        <w:t xml:space="preserve"> hydrophobic portion of the molecular surface accessible to the solvent, in Å</w:t>
      </w:r>
      <w:r w:rsidRPr="0056296A">
        <w:rPr>
          <w:rFonts w:ascii="Times New Roman" w:hAnsi="Times New Roman"/>
          <w:sz w:val="14"/>
          <w:szCs w:val="14"/>
          <w:vertAlign w:val="superscript"/>
        </w:rPr>
        <w:t>2</w:t>
      </w:r>
      <w:r w:rsidRPr="0056296A">
        <w:rPr>
          <w:rFonts w:ascii="Times New Roman" w:hAnsi="Times New Roman"/>
          <w:sz w:val="14"/>
          <w:szCs w:val="14"/>
        </w:rPr>
        <w:t xml:space="preserve"> (radius probe 1.4 Å) (range for 95% of drugs: 0 - 750 Å</w:t>
      </w:r>
      <w:r w:rsidRPr="0056296A">
        <w:rPr>
          <w:rFonts w:ascii="Times New Roman" w:hAnsi="Times New Roman"/>
          <w:sz w:val="14"/>
          <w:szCs w:val="14"/>
          <w:vertAlign w:val="superscript"/>
        </w:rPr>
        <w:t>2</w:t>
      </w:r>
      <w:r w:rsidRPr="0056296A">
        <w:rPr>
          <w:rFonts w:ascii="Times New Roman" w:hAnsi="Times New Roman"/>
          <w:sz w:val="14"/>
          <w:szCs w:val="14"/>
        </w:rPr>
        <w:t xml:space="preserve">); </w:t>
      </w:r>
      <w:r w:rsidRPr="0056296A">
        <w:rPr>
          <w:rFonts w:ascii="Times New Roman" w:hAnsi="Times New Roman"/>
          <w:sz w:val="14"/>
          <w:szCs w:val="14"/>
          <w:vertAlign w:val="superscript"/>
        </w:rPr>
        <w:t>f</w:t>
      </w:r>
      <w:r w:rsidRPr="0056296A">
        <w:rPr>
          <w:rFonts w:ascii="Times New Roman" w:hAnsi="Times New Roman"/>
          <w:sz w:val="14"/>
          <w:szCs w:val="14"/>
        </w:rPr>
        <w:t xml:space="preserve"> total volume of molecule surrounded by the molecular surface accessible to the solvent, in Å3 (radius probe 1.4 Å) (range for 95% of drugs: 500 - 2000 Å3); </w:t>
      </w:r>
      <w:r w:rsidRPr="0056296A">
        <w:rPr>
          <w:rFonts w:ascii="Times New Roman" w:hAnsi="Times New Roman"/>
          <w:sz w:val="14"/>
          <w:szCs w:val="14"/>
          <w:vertAlign w:val="superscript"/>
        </w:rPr>
        <w:t>g</w:t>
      </w:r>
      <w:r w:rsidRPr="0056296A">
        <w:rPr>
          <w:rFonts w:ascii="Times New Roman" w:hAnsi="Times New Roman"/>
          <w:sz w:val="14"/>
          <w:szCs w:val="14"/>
        </w:rPr>
        <w:t xml:space="preserve"> number of non-trivial single bonds (non-CX3), with non-prevented rotation (non-alkene, amide, ring with low number of links) (range for 95% of drugs: 0 - 15); </w:t>
      </w:r>
      <w:r w:rsidRPr="0056296A">
        <w:rPr>
          <w:rFonts w:ascii="Times New Roman" w:hAnsi="Times New Roman"/>
          <w:sz w:val="14"/>
          <w:szCs w:val="14"/>
          <w:vertAlign w:val="superscript"/>
        </w:rPr>
        <w:t>h</w:t>
      </w:r>
      <w:r w:rsidRPr="0056296A">
        <w:rPr>
          <w:rFonts w:ascii="Times New Roman" w:hAnsi="Times New Roman"/>
          <w:sz w:val="14"/>
          <w:szCs w:val="14"/>
        </w:rPr>
        <w:t xml:space="preserve"> estimated number of potential hydrogen bonds as a donor with water molecules in aqueous solution. It is an average that can be non-integer (interval for 95% of drugs: 0.0 - 6.0); </w:t>
      </w:r>
      <w:r w:rsidRPr="0056296A">
        <w:rPr>
          <w:rFonts w:ascii="Times New Roman" w:hAnsi="Times New Roman"/>
          <w:sz w:val="14"/>
          <w:szCs w:val="14"/>
          <w:vertAlign w:val="superscript"/>
        </w:rPr>
        <w:t>i</w:t>
      </w:r>
      <w:r w:rsidRPr="0056296A">
        <w:rPr>
          <w:rFonts w:ascii="Times New Roman" w:hAnsi="Times New Roman"/>
          <w:sz w:val="14"/>
          <w:szCs w:val="14"/>
        </w:rPr>
        <w:t xml:space="preserve"> estimated number of potential hydrogen bonds as acceptor with water molecules in aqueous solution. It is an average that can be non-integer (interval for 95% of drugs: 2.0 - 20.0); </w:t>
      </w:r>
      <w:r w:rsidRPr="00723F60">
        <w:rPr>
          <w:rFonts w:ascii="Times New Roman" w:hAnsi="Times New Roman"/>
          <w:sz w:val="14"/>
          <w:szCs w:val="14"/>
          <w:vertAlign w:val="superscript"/>
        </w:rPr>
        <w:t>j</w:t>
      </w:r>
      <w:r w:rsidRPr="0056296A">
        <w:rPr>
          <w:rFonts w:ascii="Times New Roman" w:hAnsi="Times New Roman"/>
          <w:sz w:val="14"/>
          <w:szCs w:val="14"/>
        </w:rPr>
        <w:t xml:space="preserve"> logarithm of the partitioning coefficient between the n-octanol/water phases (range for 95% of drugs: -2 - 6.5); </w:t>
      </w:r>
      <w:r w:rsidRPr="00723F60">
        <w:rPr>
          <w:rFonts w:ascii="Times New Roman" w:hAnsi="Times New Roman"/>
          <w:sz w:val="14"/>
          <w:szCs w:val="14"/>
          <w:vertAlign w:val="superscript"/>
        </w:rPr>
        <w:t>k</w:t>
      </w:r>
      <w:r w:rsidRPr="0056296A">
        <w:rPr>
          <w:rFonts w:ascii="Times New Roman" w:hAnsi="Times New Roman"/>
          <w:sz w:val="14"/>
          <w:szCs w:val="14"/>
        </w:rPr>
        <w:t xml:space="preserve"> logarithm of the aqueous solubility, log S. S in mol dm-3 it is the concentration of solute in a saturated solution in equilibrium with the crystal (range for 95% of drugs: -6.0 - 0.5); </w:t>
      </w:r>
      <w:r w:rsidRPr="00723F60">
        <w:rPr>
          <w:rFonts w:ascii="Times New Roman" w:hAnsi="Times New Roman"/>
          <w:sz w:val="14"/>
          <w:szCs w:val="14"/>
          <w:vertAlign w:val="superscript"/>
        </w:rPr>
        <w:t>l</w:t>
      </w:r>
      <w:r w:rsidRPr="0056296A">
        <w:rPr>
          <w:rFonts w:ascii="Times New Roman" w:hAnsi="Times New Roman"/>
          <w:sz w:val="14"/>
          <w:szCs w:val="14"/>
        </w:rPr>
        <w:t xml:space="preserve"> logarithm of the constant of attachment to human serum albumin (interval for 95% of drugs: -1.5 - 1.5); </w:t>
      </w:r>
      <w:r w:rsidRPr="00723F60">
        <w:rPr>
          <w:rFonts w:ascii="Times New Roman" w:hAnsi="Times New Roman"/>
          <w:sz w:val="14"/>
          <w:szCs w:val="14"/>
          <w:vertAlign w:val="superscript"/>
        </w:rPr>
        <w:t>m</w:t>
      </w:r>
      <w:r w:rsidRPr="0056296A">
        <w:rPr>
          <w:rFonts w:ascii="Times New Roman" w:hAnsi="Times New Roman"/>
          <w:sz w:val="14"/>
          <w:szCs w:val="14"/>
        </w:rPr>
        <w:t xml:space="preserve"> logarithm of the blood/brain partition coefficient. Note: QikProp forecasts for orally administered drugs for example, dopamine and serotonin are negative CNS because they are too polar to pass the blood-brain barrier (interval for 95% of drugs: -3.0 - 1.2); </w:t>
      </w:r>
      <w:r w:rsidRPr="00723F60">
        <w:rPr>
          <w:rFonts w:ascii="Times New Roman" w:hAnsi="Times New Roman"/>
          <w:sz w:val="14"/>
          <w:szCs w:val="14"/>
          <w:vertAlign w:val="superscript"/>
        </w:rPr>
        <w:t>n</w:t>
      </w:r>
      <w:r w:rsidRPr="0056296A">
        <w:rPr>
          <w:rFonts w:ascii="Times New Roman" w:hAnsi="Times New Roman"/>
          <w:sz w:val="14"/>
          <w:szCs w:val="14"/>
        </w:rPr>
        <w:t xml:space="preserve"> predictive apparent permeability of Caco-2 cells on the Boehringer-Ingelheim scale, in [nm/s] (interval for 95% of drugs: &lt; 25 low, &gt; 500 important); </w:t>
      </w:r>
      <w:r w:rsidRPr="00723F60">
        <w:rPr>
          <w:rFonts w:ascii="Times New Roman" w:hAnsi="Times New Roman"/>
          <w:sz w:val="14"/>
          <w:szCs w:val="14"/>
          <w:vertAlign w:val="superscript"/>
        </w:rPr>
        <w:t>o</w:t>
      </w:r>
      <w:r w:rsidRPr="0056296A">
        <w:rPr>
          <w:rFonts w:ascii="Times New Roman" w:hAnsi="Times New Roman"/>
          <w:sz w:val="14"/>
          <w:szCs w:val="14"/>
        </w:rPr>
        <w:t xml:space="preserve"> number of metabolic reactions (range for 95% of drugs: 1 - 8);</w:t>
      </w:r>
      <w:r w:rsidR="00723F60" w:rsidRPr="00D56486">
        <w:rPr>
          <w:rFonts w:cs="Arial"/>
          <w:color w:val="000000"/>
          <w:sz w:val="16"/>
          <w:szCs w:val="16"/>
          <w:vertAlign w:val="superscript"/>
        </w:rPr>
        <w:t>p</w:t>
      </w:r>
      <w:r w:rsidR="00723F60" w:rsidRPr="00EB518C">
        <w:rPr>
          <w:rFonts w:ascii="Times New Roman" w:hAnsi="Times New Roman"/>
          <w:color w:val="000000"/>
          <w:sz w:val="14"/>
          <w:szCs w:val="14"/>
        </w:rPr>
        <w:t xml:space="preserve">predicted inhibition </w:t>
      </w:r>
      <w:r w:rsidR="00723F60" w:rsidRPr="0023014A">
        <w:rPr>
          <w:rFonts w:ascii="Times New Roman" w:hAnsi="Times New Roman"/>
          <w:color w:val="000000"/>
          <w:sz w:val="14"/>
          <w:szCs w:val="14"/>
        </w:rPr>
        <w:t>constants</w:t>
      </w:r>
      <m:oMath>
        <m:sSubSup>
          <m:sSubSupPr>
            <m:ctrlPr>
              <w:rPr>
                <w:rFonts w:ascii="Cambria Math" w:hAnsi="Cambria Math"/>
                <w:bCs/>
                <w:i/>
                <w:iCs/>
                <w:sz w:val="14"/>
                <w:szCs w:val="14"/>
              </w:rPr>
            </m:ctrlPr>
          </m:sSubSupPr>
          <m:e>
            <m:r>
              <m:rPr>
                <m:sty m:val="p"/>
              </m:rPr>
              <w:rPr>
                <w:rFonts w:ascii="Cambria Math" w:hAnsi="Cambria Math"/>
                <w:sz w:val="14"/>
                <w:szCs w:val="14"/>
              </w:rPr>
              <m:t xml:space="preserve"> IC</m:t>
            </m:r>
          </m:e>
          <m:sub>
            <m:r>
              <m:rPr>
                <m:sty m:val="p"/>
              </m:rPr>
              <w:rPr>
                <w:rFonts w:ascii="Cambria Math" w:hAnsi="Cambria Math"/>
                <w:sz w:val="14"/>
                <w:szCs w:val="14"/>
              </w:rPr>
              <m:t>50</m:t>
            </m:r>
          </m:sub>
          <m:sup>
            <m:r>
              <m:rPr>
                <m:sty m:val="p"/>
              </m:rPr>
              <w:rPr>
                <w:rFonts w:ascii="Cambria Math" w:hAnsi="Cambria Math"/>
                <w:sz w:val="14"/>
                <w:szCs w:val="14"/>
              </w:rPr>
              <m:t>pre</m:t>
            </m:r>
          </m:sup>
        </m:sSubSup>
      </m:oMath>
      <w:r w:rsidR="0023014A">
        <w:rPr>
          <w:rFonts w:ascii="Times New Roman" w:hAnsi="Times New Roman"/>
          <w:bCs/>
          <w:iCs/>
          <w:sz w:val="14"/>
          <w:szCs w:val="14"/>
        </w:rPr>
        <w:t xml:space="preserve"> ,(pM)</w:t>
      </w:r>
      <w:r w:rsidR="0023014A" w:rsidRPr="0023014A">
        <w:rPr>
          <w:rFonts w:ascii="Times New Roman" w:hAnsi="Times New Roman"/>
          <w:color w:val="000000"/>
          <w:sz w:val="14"/>
          <w:szCs w:val="14"/>
        </w:rPr>
        <w:t xml:space="preserve">. </w:t>
      </w:r>
      <m:oMath>
        <m:sSubSup>
          <m:sSubSupPr>
            <m:ctrlPr>
              <w:rPr>
                <w:rFonts w:ascii="Cambria Math" w:hAnsi="Cambria Math"/>
                <w:bCs/>
                <w:i/>
                <w:iCs/>
                <w:sz w:val="14"/>
                <w:szCs w:val="14"/>
              </w:rPr>
            </m:ctrlPr>
          </m:sSubSupPr>
          <m:e>
            <m:r>
              <m:rPr>
                <m:sty m:val="p"/>
              </m:rPr>
              <w:rPr>
                <w:rFonts w:ascii="Cambria Math" w:hAnsi="Cambria Math"/>
                <w:sz w:val="14"/>
                <w:szCs w:val="14"/>
              </w:rPr>
              <m:t>IC</m:t>
            </m:r>
          </m:e>
          <m:sub>
            <m:r>
              <m:rPr>
                <m:sty m:val="p"/>
              </m:rPr>
              <w:rPr>
                <w:rFonts w:ascii="Cambria Math" w:hAnsi="Cambria Math"/>
                <w:sz w:val="14"/>
                <w:szCs w:val="14"/>
              </w:rPr>
              <m:t>50</m:t>
            </m:r>
          </m:sub>
          <m:sup>
            <m:r>
              <m:rPr>
                <m:sty m:val="p"/>
              </m:rPr>
              <w:rPr>
                <w:rFonts w:ascii="Cambria Math" w:hAnsi="Cambria Math"/>
                <w:sz w:val="14"/>
                <w:szCs w:val="14"/>
              </w:rPr>
              <m:t>pre</m:t>
            </m:r>
          </m:sup>
        </m:sSubSup>
      </m:oMath>
      <w:r w:rsidR="00723F60" w:rsidRPr="0023014A">
        <w:rPr>
          <w:rFonts w:ascii="Times New Roman" w:hAnsi="Times New Roman"/>
          <w:color w:val="000000"/>
          <w:sz w:val="14"/>
          <w:szCs w:val="14"/>
        </w:rPr>
        <w:t xml:space="preserve"> was</w:t>
      </w:r>
      <w:r w:rsidR="00723F60" w:rsidRPr="00EB518C">
        <w:rPr>
          <w:rFonts w:ascii="Times New Roman" w:hAnsi="Times New Roman"/>
          <w:color w:val="000000"/>
          <w:sz w:val="14"/>
          <w:szCs w:val="14"/>
        </w:rPr>
        <w:t xml:space="preserve"> predicted from computed </w:t>
      </w:r>
      <w:r w:rsidR="00723F60" w:rsidRPr="00EB518C">
        <w:rPr>
          <w:rFonts w:ascii="Times New Roman" w:hAnsi="Times New Roman"/>
          <w:sz w:val="14"/>
          <w:szCs w:val="14"/>
        </w:rPr>
        <w:t>ΔΔ</w:t>
      </w:r>
      <w:r w:rsidR="00723F60" w:rsidRPr="00EB518C">
        <w:rPr>
          <w:rFonts w:ascii="Times New Roman" w:hAnsi="Times New Roman"/>
          <w:color w:val="000000"/>
          <w:sz w:val="14"/>
          <w:szCs w:val="14"/>
        </w:rPr>
        <w:t>G</w:t>
      </w:r>
      <w:r w:rsidR="00723F60" w:rsidRPr="00EB518C">
        <w:rPr>
          <w:rFonts w:ascii="Times New Roman" w:hAnsi="Times New Roman"/>
          <w:color w:val="000000"/>
          <w:sz w:val="14"/>
          <w:szCs w:val="14"/>
          <w:vertAlign w:val="subscript"/>
        </w:rPr>
        <w:t>com</w:t>
      </w:r>
      <w:r w:rsidR="00723F60" w:rsidRPr="00EB518C">
        <w:rPr>
          <w:rFonts w:ascii="Times New Roman" w:hAnsi="Times New Roman"/>
          <w:color w:val="000000"/>
          <w:sz w:val="14"/>
          <w:szCs w:val="14"/>
        </w:rPr>
        <w:t xml:space="preserve"> using the regression Equation shown in Table </w:t>
      </w:r>
      <w:r w:rsidR="00EB518C" w:rsidRPr="00EB518C">
        <w:rPr>
          <w:rFonts w:ascii="Times New Roman" w:hAnsi="Times New Roman"/>
          <w:sz w:val="14"/>
          <w:szCs w:val="14"/>
        </w:rPr>
        <w:t>3</w:t>
      </w:r>
      <w:r w:rsidR="00723F60" w:rsidRPr="00723F60">
        <w:rPr>
          <w:rFonts w:ascii="Times New Roman" w:hAnsi="Times New Roman"/>
          <w:color w:val="000000"/>
          <w:sz w:val="16"/>
          <w:szCs w:val="16"/>
        </w:rPr>
        <w:t>;</w:t>
      </w:r>
      <w:r w:rsidRPr="00723F60">
        <w:rPr>
          <w:rFonts w:ascii="Times New Roman" w:hAnsi="Times New Roman"/>
          <w:sz w:val="14"/>
          <w:szCs w:val="14"/>
          <w:vertAlign w:val="superscript"/>
        </w:rPr>
        <w:t>q</w:t>
      </w:r>
      <w:r w:rsidRPr="0056296A">
        <w:rPr>
          <w:rFonts w:ascii="Times New Roman" w:hAnsi="Times New Roman"/>
          <w:sz w:val="14"/>
          <w:szCs w:val="14"/>
        </w:rPr>
        <w:t xml:space="preserve"> oral absorption by humans (1 - low, 2 - medium, 3 - high); </w:t>
      </w:r>
      <w:r w:rsidRPr="00723F60">
        <w:rPr>
          <w:rFonts w:ascii="Times New Roman" w:hAnsi="Times New Roman"/>
          <w:sz w:val="14"/>
          <w:szCs w:val="14"/>
          <w:vertAlign w:val="superscript"/>
        </w:rPr>
        <w:t>r</w:t>
      </w:r>
      <w:r w:rsidRPr="0056296A">
        <w:rPr>
          <w:rFonts w:ascii="Times New Roman" w:hAnsi="Times New Roman"/>
          <w:sz w:val="14"/>
          <w:szCs w:val="14"/>
        </w:rPr>
        <w:t xml:space="preserve"> percentage of oral absorption by humans appreciated at the gastrointestinal level (&lt;25% - low, &gt;80% high); (*) the stars indicate that a descriptor is out of the range for 95% of known drugs</w:t>
      </w:r>
      <w:r w:rsidRPr="0056296A">
        <w:rPr>
          <w:rFonts w:ascii="Times New Roman" w:hAnsi="Times New Roman"/>
          <w:sz w:val="14"/>
          <w:szCs w:val="14"/>
          <w:vertAlign w:val="subscript"/>
        </w:rPr>
        <w:t>.</w:t>
      </w:r>
    </w:p>
    <w:p w:rsidR="005A7AA1" w:rsidRPr="005854AA" w:rsidRDefault="005A7AA1" w:rsidP="005854AA">
      <w:pPr>
        <w:ind w:left="851" w:hanging="851"/>
        <w:jc w:val="both"/>
        <w:rPr>
          <w:rFonts w:ascii="Times New Roman" w:hAnsi="Times New Roman"/>
          <w:b/>
          <w:sz w:val="16"/>
          <w:szCs w:val="16"/>
        </w:rPr>
      </w:pPr>
    </w:p>
    <w:bookmarkEnd w:id="9"/>
    <w:p w:rsidR="00D63906" w:rsidRPr="00FB3A86" w:rsidRDefault="00D63906" w:rsidP="00D63906">
      <w:pPr>
        <w:pStyle w:val="Body"/>
        <w:spacing w:after="0"/>
        <w:rPr>
          <w:rFonts w:ascii="Arial" w:hAnsi="Arial" w:cs="Arial"/>
        </w:rPr>
      </w:pPr>
    </w:p>
    <w:p w:rsidR="00EA685F" w:rsidRDefault="00EA685F" w:rsidP="00D63906">
      <w:pPr>
        <w:pStyle w:val="AcknHead"/>
        <w:spacing w:after="0"/>
        <w:jc w:val="both"/>
        <w:rPr>
          <w:rFonts w:ascii="Times New Roman" w:hAnsi="Times New Roman"/>
        </w:rPr>
        <w:sectPr w:rsidR="00EA685F" w:rsidSect="00895131">
          <w:endnotePr>
            <w:numFmt w:val="decimal"/>
          </w:endnotePr>
          <w:type w:val="continuous"/>
          <w:pgSz w:w="12240" w:h="15840"/>
          <w:pgMar w:top="1134" w:right="1134" w:bottom="1134" w:left="1134" w:header="720" w:footer="1123" w:gutter="0"/>
          <w:cols w:space="720"/>
          <w:docGrid w:linePitch="272"/>
        </w:sectPr>
      </w:pPr>
    </w:p>
    <w:p w:rsidR="00D63906" w:rsidRPr="00EA685F" w:rsidRDefault="00D63906" w:rsidP="00D63906">
      <w:pPr>
        <w:pStyle w:val="AcknHead"/>
        <w:spacing w:after="0"/>
        <w:jc w:val="both"/>
        <w:rPr>
          <w:rFonts w:ascii="Times New Roman" w:hAnsi="Times New Roman"/>
        </w:rPr>
      </w:pPr>
      <w:r w:rsidRPr="00EA685F">
        <w:rPr>
          <w:rFonts w:ascii="Times New Roman" w:hAnsi="Times New Roman"/>
        </w:rPr>
        <w:lastRenderedPageBreak/>
        <w:t>AcknowledgEments</w:t>
      </w:r>
    </w:p>
    <w:p w:rsidR="00D63906" w:rsidRPr="00EA685F" w:rsidRDefault="00D63906" w:rsidP="00D63906">
      <w:pPr>
        <w:pStyle w:val="AcknHead"/>
        <w:spacing w:after="0"/>
        <w:jc w:val="both"/>
        <w:rPr>
          <w:rFonts w:ascii="Times New Roman" w:hAnsi="Times New Roman"/>
        </w:rPr>
      </w:pPr>
    </w:p>
    <w:p w:rsidR="00D63906" w:rsidRPr="00EA685F" w:rsidRDefault="00D63906" w:rsidP="00D63906">
      <w:pPr>
        <w:pStyle w:val="Body"/>
        <w:spacing w:after="0"/>
        <w:rPr>
          <w:rFonts w:ascii="Times New Roman" w:hAnsi="Times New Roman"/>
        </w:rPr>
      </w:pPr>
      <w:r w:rsidRPr="00EA685F">
        <w:rPr>
          <w:rFonts w:ascii="Times New Roman" w:hAnsi="Times New Roman"/>
        </w:rPr>
        <w:t>A brief acknowledgement section may be given after the conclusion section just before the references. The acknowledgments of people who provided assistance in manuscript preparation, funding for research, etc. should be listed in this section. All sources of funding should be declared as an acknowledgement. Authors should declare the role of funding agency, if any, in the study design, collection, analysis and interpretation of data; in the writing of the manuscript. If the study sponsors had no such involvement, the authors should so state.</w:t>
      </w:r>
    </w:p>
    <w:p w:rsidR="00D63906" w:rsidRPr="00EA685F" w:rsidRDefault="00D63906" w:rsidP="00D63906">
      <w:pPr>
        <w:rPr>
          <w:rFonts w:ascii="Times New Roman" w:hAnsi="Times New Roman"/>
        </w:rPr>
      </w:pPr>
    </w:p>
    <w:p w:rsidR="00D63906" w:rsidRPr="00315186" w:rsidRDefault="00D63906" w:rsidP="00D63906"/>
    <w:p w:rsidR="00D63906" w:rsidRPr="00EA685F" w:rsidRDefault="00E83D62" w:rsidP="00D63906">
      <w:pPr>
        <w:pStyle w:val="ReferHead"/>
        <w:spacing w:after="0"/>
        <w:jc w:val="both"/>
        <w:rPr>
          <w:rFonts w:ascii="Times New Roman" w:hAnsi="Times New Roman"/>
          <w:bCs/>
        </w:rPr>
      </w:pPr>
      <w:r w:rsidRPr="00EA685F">
        <w:rPr>
          <w:rFonts w:ascii="Times New Roman" w:hAnsi="Times New Roman"/>
          <w:bCs/>
        </w:rPr>
        <w:lastRenderedPageBreak/>
        <w:t>Competing interests</w:t>
      </w:r>
    </w:p>
    <w:p w:rsidR="00F97BD2" w:rsidRPr="00EA685F" w:rsidRDefault="00F97BD2" w:rsidP="00D63906">
      <w:pPr>
        <w:pStyle w:val="ReferHead"/>
        <w:spacing w:after="0"/>
        <w:jc w:val="both"/>
        <w:rPr>
          <w:rFonts w:ascii="Times New Roman" w:hAnsi="Times New Roman"/>
          <w:bCs/>
        </w:rPr>
      </w:pPr>
    </w:p>
    <w:p w:rsidR="00D63906" w:rsidRPr="00EA685F" w:rsidRDefault="00E83D62" w:rsidP="00D63906">
      <w:pPr>
        <w:pStyle w:val="ReferHead"/>
        <w:spacing w:after="0"/>
        <w:jc w:val="both"/>
        <w:rPr>
          <w:rStyle w:val="A1"/>
          <w:rFonts w:ascii="Times New Roman" w:hAnsi="Times New Roman"/>
          <w:b w:val="0"/>
          <w:caps w:val="0"/>
          <w:sz w:val="20"/>
          <w:szCs w:val="20"/>
        </w:rPr>
      </w:pPr>
      <w:r w:rsidRPr="00EA685F">
        <w:rPr>
          <w:rStyle w:val="A1"/>
          <w:rFonts w:ascii="Times New Roman" w:hAnsi="Times New Roman"/>
          <w:b w:val="0"/>
          <w:caps w:val="0"/>
          <w:sz w:val="20"/>
          <w:szCs w:val="20"/>
        </w:rPr>
        <w:t>The authors declare there is no conflict of interest in relation with the work presented herein.</w:t>
      </w:r>
    </w:p>
    <w:p w:rsidR="00E83D62" w:rsidRPr="00EA685F" w:rsidRDefault="00E83D62" w:rsidP="00D63906">
      <w:pPr>
        <w:pStyle w:val="ReferHead"/>
        <w:spacing w:after="0"/>
        <w:jc w:val="both"/>
        <w:rPr>
          <w:rFonts w:ascii="Times New Roman" w:hAnsi="Times New Roman"/>
          <w:b w:val="0"/>
          <w:caps w:val="0"/>
          <w:sz w:val="20"/>
        </w:rPr>
      </w:pPr>
    </w:p>
    <w:p w:rsidR="00D63906" w:rsidRPr="00EA685F" w:rsidRDefault="00D63906" w:rsidP="00D63906">
      <w:pPr>
        <w:pStyle w:val="ReferHead"/>
        <w:spacing w:after="0"/>
        <w:jc w:val="both"/>
        <w:rPr>
          <w:rFonts w:ascii="Times New Roman" w:hAnsi="Times New Roman"/>
          <w:bCs/>
        </w:rPr>
      </w:pPr>
      <w:r w:rsidRPr="00EA685F">
        <w:rPr>
          <w:rFonts w:ascii="Times New Roman" w:hAnsi="Times New Roman"/>
          <w:bCs/>
        </w:rPr>
        <w:t>Authors’ Contributions</w:t>
      </w:r>
    </w:p>
    <w:p w:rsidR="00E83D62" w:rsidRPr="00EA685F" w:rsidRDefault="00E83D62" w:rsidP="00D63906">
      <w:pPr>
        <w:pStyle w:val="ReferHead"/>
        <w:spacing w:after="0"/>
        <w:jc w:val="both"/>
        <w:rPr>
          <w:rFonts w:ascii="Times New Roman" w:hAnsi="Times New Roman"/>
          <w:bCs/>
          <w:sz w:val="20"/>
        </w:rPr>
      </w:pPr>
    </w:p>
    <w:p w:rsidR="00D63906" w:rsidRPr="00EA685F" w:rsidRDefault="00F97BD2" w:rsidP="00F97BD2">
      <w:pPr>
        <w:pStyle w:val="ReferHead"/>
        <w:spacing w:after="0"/>
        <w:jc w:val="both"/>
        <w:rPr>
          <w:rFonts w:ascii="Times New Roman" w:hAnsi="Times New Roman"/>
          <w:bCs/>
        </w:rPr>
      </w:pPr>
      <w:r w:rsidRPr="00EA685F">
        <w:rPr>
          <w:rFonts w:ascii="Times New Roman" w:eastAsiaTheme="minorHAnsi" w:hAnsi="Times New Roman"/>
          <w:b w:val="0"/>
          <w:iCs/>
          <w:caps w:val="0"/>
          <w:color w:val="000000"/>
          <w:sz w:val="20"/>
        </w:rPr>
        <w:t>This work was carried out in collaboration among all authors. All authors read and approved the final manuscript.</w:t>
      </w:r>
    </w:p>
    <w:p w:rsidR="00D63906" w:rsidRPr="00EA685F" w:rsidRDefault="00D63906" w:rsidP="00D63906">
      <w:pPr>
        <w:pStyle w:val="ReferHead"/>
        <w:spacing w:after="0"/>
        <w:jc w:val="both"/>
        <w:rPr>
          <w:rFonts w:ascii="Times New Roman" w:hAnsi="Times New Roman"/>
          <w:b w:val="0"/>
          <w:caps w:val="0"/>
          <w:sz w:val="20"/>
        </w:rPr>
      </w:pPr>
    </w:p>
    <w:p w:rsidR="00D63906" w:rsidRPr="00EA685F" w:rsidRDefault="00D63906" w:rsidP="00D63906">
      <w:pPr>
        <w:pStyle w:val="ReferHead"/>
        <w:spacing w:after="0"/>
        <w:jc w:val="both"/>
        <w:rPr>
          <w:rFonts w:ascii="Times New Roman" w:hAnsi="Times New Roman"/>
          <w:bCs/>
        </w:rPr>
      </w:pPr>
      <w:r w:rsidRPr="00EA685F">
        <w:rPr>
          <w:rFonts w:ascii="Times New Roman" w:hAnsi="Times New Roman"/>
          <w:bCs/>
        </w:rPr>
        <w:t xml:space="preserve">Consent </w:t>
      </w:r>
    </w:p>
    <w:p w:rsidR="00D63906" w:rsidRPr="00EA685F" w:rsidRDefault="00D63906" w:rsidP="00D63906">
      <w:pPr>
        <w:pStyle w:val="ReferHead"/>
        <w:spacing w:after="0"/>
        <w:jc w:val="both"/>
        <w:rPr>
          <w:rFonts w:ascii="Times New Roman" w:hAnsi="Times New Roman"/>
          <w:bCs/>
          <w:sz w:val="20"/>
        </w:rPr>
      </w:pPr>
    </w:p>
    <w:p w:rsidR="00D63906" w:rsidRPr="00EA685F" w:rsidRDefault="00E83D62" w:rsidP="00D63906">
      <w:pPr>
        <w:pStyle w:val="ReferHead"/>
        <w:spacing w:after="0"/>
        <w:jc w:val="both"/>
        <w:rPr>
          <w:rFonts w:ascii="Times New Roman" w:hAnsi="Times New Roman"/>
          <w:b w:val="0"/>
          <w:caps w:val="0"/>
          <w:sz w:val="20"/>
        </w:rPr>
      </w:pPr>
      <w:r w:rsidRPr="00EA685F">
        <w:rPr>
          <w:rFonts w:ascii="Times New Roman" w:hAnsi="Times New Roman"/>
          <w:b w:val="0"/>
          <w:caps w:val="0"/>
          <w:sz w:val="20"/>
        </w:rPr>
        <w:t>It is not applicable.</w:t>
      </w:r>
    </w:p>
    <w:p w:rsidR="00D63906" w:rsidRPr="00EA685F" w:rsidRDefault="00D63906" w:rsidP="00D63906">
      <w:pPr>
        <w:pStyle w:val="ReferHead"/>
        <w:spacing w:after="0"/>
        <w:jc w:val="both"/>
        <w:rPr>
          <w:rFonts w:ascii="Times New Roman" w:hAnsi="Times New Roman"/>
          <w:b w:val="0"/>
          <w:caps w:val="0"/>
          <w:sz w:val="20"/>
        </w:rPr>
      </w:pPr>
    </w:p>
    <w:p w:rsidR="00D63906" w:rsidRPr="00EA685F" w:rsidRDefault="00D63906" w:rsidP="00D63906">
      <w:pPr>
        <w:pStyle w:val="ReferHead"/>
        <w:spacing w:after="0"/>
        <w:jc w:val="both"/>
        <w:rPr>
          <w:rFonts w:ascii="Times New Roman" w:hAnsi="Times New Roman"/>
          <w:bCs/>
        </w:rPr>
      </w:pPr>
      <w:r w:rsidRPr="00EA685F">
        <w:rPr>
          <w:rFonts w:ascii="Times New Roman" w:hAnsi="Times New Roman"/>
          <w:bCs/>
        </w:rPr>
        <w:t xml:space="preserve">Ethical approval </w:t>
      </w:r>
    </w:p>
    <w:p w:rsidR="00D63906" w:rsidRPr="00EA685F" w:rsidRDefault="00D63906" w:rsidP="00D63906">
      <w:pPr>
        <w:pStyle w:val="ReferHead"/>
        <w:spacing w:after="0"/>
        <w:jc w:val="both"/>
        <w:rPr>
          <w:rFonts w:ascii="Times New Roman" w:hAnsi="Times New Roman"/>
          <w:bCs/>
          <w:sz w:val="20"/>
        </w:rPr>
      </w:pPr>
    </w:p>
    <w:p w:rsidR="00E83D62" w:rsidRPr="00EA685F" w:rsidRDefault="00E83D62" w:rsidP="00E83D62">
      <w:pPr>
        <w:pStyle w:val="ReferHead"/>
        <w:spacing w:after="0"/>
        <w:jc w:val="both"/>
        <w:rPr>
          <w:rFonts w:ascii="Times New Roman" w:hAnsi="Times New Roman"/>
          <w:b w:val="0"/>
          <w:caps w:val="0"/>
          <w:sz w:val="20"/>
        </w:rPr>
      </w:pPr>
      <w:r w:rsidRPr="00EA685F">
        <w:rPr>
          <w:rFonts w:ascii="Times New Roman" w:hAnsi="Times New Roman"/>
          <w:b w:val="0"/>
          <w:caps w:val="0"/>
          <w:sz w:val="20"/>
        </w:rPr>
        <w:t>It is not applicable.</w:t>
      </w:r>
    </w:p>
    <w:p w:rsidR="004A564C" w:rsidRPr="00EA685F" w:rsidRDefault="004A564C" w:rsidP="00D63906">
      <w:pPr>
        <w:pStyle w:val="Reference"/>
        <w:numPr>
          <w:ilvl w:val="0"/>
          <w:numId w:val="0"/>
        </w:numPr>
        <w:spacing w:line="240" w:lineRule="auto"/>
        <w:rPr>
          <w:rFonts w:ascii="Times New Roman" w:hAnsi="Times New Roman"/>
        </w:rPr>
      </w:pPr>
    </w:p>
    <w:p w:rsidR="00D63906" w:rsidRPr="00EA685F" w:rsidRDefault="00D63906" w:rsidP="00D63906">
      <w:pPr>
        <w:pStyle w:val="DefAcrHead"/>
        <w:spacing w:after="0"/>
        <w:jc w:val="both"/>
        <w:rPr>
          <w:rFonts w:ascii="Times New Roman" w:hAnsi="Times New Roman"/>
        </w:rPr>
      </w:pPr>
      <w:r w:rsidRPr="00EA685F">
        <w:rPr>
          <w:rFonts w:ascii="Times New Roman" w:hAnsi="Times New Roman"/>
        </w:rPr>
        <w:t>Definitions, Acronyms, Abbreviations</w:t>
      </w:r>
    </w:p>
    <w:p w:rsidR="000F4A59" w:rsidRPr="00EA685F" w:rsidRDefault="000F4A59" w:rsidP="00D63906">
      <w:pPr>
        <w:pStyle w:val="Body"/>
        <w:spacing w:after="0"/>
        <w:rPr>
          <w:rFonts w:ascii="Times New Roman" w:hAnsi="Times New Roman"/>
          <w:i/>
        </w:rPr>
      </w:pPr>
      <w:r w:rsidRPr="00EA685F">
        <w:rPr>
          <w:rFonts w:ascii="Times New Roman" w:hAnsi="Times New Roman"/>
          <w:i/>
        </w:rPr>
        <w:t>2D</w:t>
      </w:r>
      <w:r w:rsidR="004E1113" w:rsidRPr="00EA685F">
        <w:rPr>
          <w:rFonts w:ascii="Times New Roman" w:hAnsi="Times New Roman"/>
          <w:i/>
        </w:rPr>
        <w:t xml:space="preserve"> : Two dimensional</w:t>
      </w:r>
    </w:p>
    <w:p w:rsidR="000F4A59" w:rsidRPr="00EA685F" w:rsidRDefault="000F4A59" w:rsidP="00D63906">
      <w:pPr>
        <w:pStyle w:val="Body"/>
        <w:spacing w:after="0"/>
        <w:rPr>
          <w:rFonts w:ascii="Times New Roman" w:hAnsi="Times New Roman"/>
          <w:i/>
        </w:rPr>
      </w:pPr>
      <w:r w:rsidRPr="00EA685F">
        <w:rPr>
          <w:rFonts w:ascii="Times New Roman" w:hAnsi="Times New Roman"/>
          <w:i/>
        </w:rPr>
        <w:t>3D</w:t>
      </w:r>
      <w:r w:rsidR="004E1113" w:rsidRPr="00EA685F">
        <w:rPr>
          <w:rFonts w:ascii="Times New Roman" w:hAnsi="Times New Roman"/>
          <w:i/>
        </w:rPr>
        <w:t xml:space="preserve"> : Three dimensional</w:t>
      </w:r>
    </w:p>
    <w:p w:rsidR="000F4A59" w:rsidRPr="00EA685F" w:rsidRDefault="000F4A59" w:rsidP="00D63906">
      <w:pPr>
        <w:pStyle w:val="Body"/>
        <w:spacing w:after="0"/>
        <w:rPr>
          <w:rFonts w:ascii="Times New Roman" w:hAnsi="Times New Roman"/>
          <w:i/>
        </w:rPr>
      </w:pPr>
      <w:r w:rsidRPr="00EA685F">
        <w:rPr>
          <w:rFonts w:ascii="Times New Roman" w:hAnsi="Times New Roman"/>
          <w:i/>
        </w:rPr>
        <w:t>ACTs</w:t>
      </w:r>
      <w:r w:rsidR="004E1113" w:rsidRPr="00EA685F">
        <w:rPr>
          <w:rFonts w:ascii="Times New Roman" w:hAnsi="Times New Roman"/>
          <w:i/>
        </w:rPr>
        <w:t xml:space="preserve"> : Artemisinin-based Combination Therapies</w:t>
      </w:r>
    </w:p>
    <w:p w:rsidR="000F4A59" w:rsidRPr="00EA685F" w:rsidRDefault="000F4A59" w:rsidP="00D63906">
      <w:pPr>
        <w:pStyle w:val="Body"/>
        <w:spacing w:after="0"/>
        <w:rPr>
          <w:rFonts w:ascii="Times New Roman" w:hAnsi="Times New Roman"/>
          <w:i/>
        </w:rPr>
      </w:pPr>
      <w:r w:rsidRPr="00EA685F">
        <w:rPr>
          <w:rFonts w:ascii="Times New Roman" w:hAnsi="Times New Roman"/>
          <w:i/>
        </w:rPr>
        <w:t>ADME</w:t>
      </w:r>
      <w:r w:rsidR="002C49F2" w:rsidRPr="00EA685F">
        <w:rPr>
          <w:rFonts w:ascii="Times New Roman" w:hAnsi="Times New Roman"/>
          <w:i/>
        </w:rPr>
        <w:t xml:space="preserve"> : </w:t>
      </w:r>
      <w:r w:rsidR="002C49F2" w:rsidRPr="00EA685F">
        <w:rPr>
          <w:rFonts w:ascii="Times New Roman" w:hAnsi="Times New Roman"/>
          <w:i/>
          <w:iCs/>
        </w:rPr>
        <w:t>Absorption, distribution, metabolism, and excretion</w:t>
      </w:r>
    </w:p>
    <w:p w:rsidR="000F4A59" w:rsidRPr="00EA685F" w:rsidRDefault="000F4A59" w:rsidP="00D63906">
      <w:pPr>
        <w:pStyle w:val="Body"/>
        <w:spacing w:after="0"/>
        <w:rPr>
          <w:rFonts w:ascii="Times New Roman" w:hAnsi="Times New Roman"/>
          <w:i/>
          <w:lang w:val="fr-FR"/>
        </w:rPr>
      </w:pPr>
      <w:r w:rsidRPr="00EA685F">
        <w:rPr>
          <w:rFonts w:ascii="Times New Roman" w:hAnsi="Times New Roman"/>
          <w:i/>
          <w:lang w:val="fr-FR"/>
        </w:rPr>
        <w:t>ADPN</w:t>
      </w:r>
      <w:r w:rsidR="002C49F2" w:rsidRPr="00EA685F">
        <w:rPr>
          <w:rFonts w:ascii="Times New Roman" w:hAnsi="Times New Roman"/>
          <w:i/>
          <w:lang w:val="fr-FR"/>
        </w:rPr>
        <w:t xml:space="preserve"> : Azadipeptide</w:t>
      </w:r>
      <w:r w:rsidR="005436D7" w:rsidRPr="00EA685F">
        <w:rPr>
          <w:rFonts w:ascii="Times New Roman" w:hAnsi="Times New Roman"/>
          <w:i/>
          <w:lang w:val="fr-FR"/>
        </w:rPr>
        <w:t>s</w:t>
      </w:r>
      <w:r w:rsidR="002C49F2" w:rsidRPr="00EA685F">
        <w:rPr>
          <w:rFonts w:ascii="Times New Roman" w:hAnsi="Times New Roman"/>
          <w:i/>
          <w:lang w:val="fr-FR"/>
        </w:rPr>
        <w:t xml:space="preserve"> Nitrile</w:t>
      </w:r>
    </w:p>
    <w:p w:rsidR="000F4A59" w:rsidRPr="00EA685F" w:rsidRDefault="000F4A59" w:rsidP="00D63906">
      <w:pPr>
        <w:pStyle w:val="Body"/>
        <w:spacing w:after="0"/>
        <w:rPr>
          <w:rFonts w:ascii="Times New Roman" w:hAnsi="Times New Roman"/>
          <w:i/>
          <w:lang w:val="fr-FR"/>
        </w:rPr>
      </w:pPr>
      <w:r w:rsidRPr="00EA685F">
        <w:rPr>
          <w:rFonts w:ascii="Times New Roman" w:hAnsi="Times New Roman"/>
          <w:i/>
          <w:lang w:val="fr-FR"/>
        </w:rPr>
        <w:t>CNP</w:t>
      </w:r>
      <w:r w:rsidR="002C49F2" w:rsidRPr="00EA685F">
        <w:rPr>
          <w:rFonts w:ascii="Times New Roman" w:hAnsi="Times New Roman"/>
          <w:i/>
          <w:lang w:val="fr-FR"/>
        </w:rPr>
        <w:t xml:space="preserve"> : Carbonitrile</w:t>
      </w:r>
      <w:r w:rsidR="005436D7" w:rsidRPr="00EA685F">
        <w:rPr>
          <w:rFonts w:ascii="Times New Roman" w:hAnsi="Times New Roman"/>
          <w:i/>
          <w:lang w:val="fr-FR"/>
        </w:rPr>
        <w:t>s</w:t>
      </w:r>
      <w:r w:rsidR="002C49F2" w:rsidRPr="00EA685F">
        <w:rPr>
          <w:rFonts w:ascii="Times New Roman" w:hAnsi="Times New Roman"/>
          <w:i/>
          <w:lang w:val="fr-FR"/>
        </w:rPr>
        <w:t xml:space="preserve"> pyrimidine</w:t>
      </w:r>
    </w:p>
    <w:p w:rsidR="000F4A59" w:rsidRPr="00EA685F" w:rsidRDefault="004E1113" w:rsidP="00D63906">
      <w:pPr>
        <w:pStyle w:val="Body"/>
        <w:spacing w:after="0"/>
        <w:rPr>
          <w:rFonts w:ascii="Times New Roman" w:hAnsi="Times New Roman"/>
          <w:bCs/>
          <w:i/>
          <w:color w:val="000000"/>
        </w:rPr>
      </w:pPr>
      <w:r w:rsidRPr="00EA685F">
        <w:rPr>
          <w:rFonts w:ascii="Times New Roman" w:hAnsi="Times New Roman"/>
          <w:bCs/>
          <w:i/>
          <w:color w:val="000000"/>
        </w:rPr>
        <w:t>ΔΔGcom</w:t>
      </w:r>
      <w:r w:rsidR="002C49F2" w:rsidRPr="00EA685F">
        <w:rPr>
          <w:rFonts w:ascii="Times New Roman" w:hAnsi="Times New Roman"/>
          <w:bCs/>
          <w:i/>
          <w:color w:val="000000"/>
        </w:rPr>
        <w:t xml:space="preserve"> : </w:t>
      </w:r>
      <w:r w:rsidR="00C14944" w:rsidRPr="00EA685F">
        <w:rPr>
          <w:rFonts w:ascii="Times New Roman" w:hAnsi="Times New Roman"/>
          <w:i/>
          <w:iCs/>
        </w:rPr>
        <w:t>Relative complexation GFE</w:t>
      </w:r>
    </w:p>
    <w:p w:rsidR="004E1113" w:rsidRPr="00EA685F" w:rsidRDefault="004E1113" w:rsidP="00D63906">
      <w:pPr>
        <w:pStyle w:val="Body"/>
        <w:spacing w:after="0"/>
        <w:rPr>
          <w:rFonts w:ascii="Times New Roman" w:hAnsi="Times New Roman"/>
          <w:bCs/>
          <w:i/>
          <w:color w:val="000000"/>
        </w:rPr>
      </w:pPr>
      <w:r w:rsidRPr="00EA685F">
        <w:rPr>
          <w:rFonts w:ascii="Times New Roman" w:hAnsi="Times New Roman"/>
          <w:bCs/>
          <w:i/>
          <w:color w:val="000000"/>
        </w:rPr>
        <w:t>ΔΔH</w:t>
      </w:r>
      <w:r w:rsidRPr="00EA685F">
        <w:rPr>
          <w:rFonts w:ascii="Times New Roman" w:hAnsi="Times New Roman"/>
          <w:bCs/>
          <w:i/>
          <w:color w:val="000000"/>
          <w:vertAlign w:val="subscript"/>
        </w:rPr>
        <w:t>MM</w:t>
      </w:r>
      <w:r w:rsidR="002C49F2" w:rsidRPr="00EA685F">
        <w:rPr>
          <w:rFonts w:ascii="Times New Roman" w:hAnsi="Times New Roman"/>
          <w:bCs/>
          <w:i/>
          <w:color w:val="000000"/>
        </w:rPr>
        <w:t xml:space="preserve"> : </w:t>
      </w:r>
      <w:r w:rsidR="00C14944" w:rsidRPr="00EA685F">
        <w:rPr>
          <w:rStyle w:val="A1"/>
          <w:rFonts w:ascii="Times New Roman" w:hAnsi="Times New Roman"/>
          <w:i/>
          <w:sz w:val="20"/>
          <w:szCs w:val="20"/>
        </w:rPr>
        <w:t>Relative enthalpic contribution  GFE</w:t>
      </w:r>
    </w:p>
    <w:p w:rsidR="004E1113" w:rsidRPr="00EA685F" w:rsidRDefault="004E1113" w:rsidP="00D63906">
      <w:pPr>
        <w:pStyle w:val="Body"/>
        <w:spacing w:after="0"/>
        <w:rPr>
          <w:rFonts w:ascii="Times New Roman" w:hAnsi="Times New Roman"/>
          <w:bCs/>
          <w:i/>
          <w:color w:val="000000"/>
        </w:rPr>
      </w:pPr>
      <w:r w:rsidRPr="00EA685F">
        <w:rPr>
          <w:rFonts w:ascii="Times New Roman" w:hAnsi="Times New Roman"/>
          <w:bCs/>
          <w:i/>
          <w:color w:val="000000"/>
        </w:rPr>
        <w:t>ΔΔGsolv</w:t>
      </w:r>
      <w:r w:rsidR="00C14944" w:rsidRPr="00EA685F">
        <w:rPr>
          <w:rFonts w:ascii="Times New Roman" w:hAnsi="Times New Roman"/>
          <w:bCs/>
          <w:i/>
          <w:color w:val="000000"/>
        </w:rPr>
        <w:t xml:space="preserve"> : </w:t>
      </w:r>
      <w:r w:rsidR="00C14944" w:rsidRPr="00EA685F">
        <w:rPr>
          <w:rFonts w:ascii="Times New Roman" w:hAnsi="Times New Roman"/>
          <w:i/>
          <w:iCs/>
        </w:rPr>
        <w:t>Relative solvation GFE</w:t>
      </w:r>
    </w:p>
    <w:p w:rsidR="004E1113" w:rsidRPr="00EA685F" w:rsidRDefault="004E1113" w:rsidP="00D63906">
      <w:pPr>
        <w:pStyle w:val="Body"/>
        <w:spacing w:after="0"/>
        <w:rPr>
          <w:rFonts w:ascii="Times New Roman" w:hAnsi="Times New Roman"/>
          <w:i/>
          <w:lang w:val="fr-FR"/>
        </w:rPr>
      </w:pPr>
      <w:r w:rsidRPr="00EA685F">
        <w:rPr>
          <w:rFonts w:ascii="Times New Roman" w:hAnsi="Times New Roman"/>
          <w:bCs/>
          <w:i/>
          <w:color w:val="000000"/>
        </w:rPr>
        <w:t>ΔΔ</w:t>
      </w:r>
      <w:r w:rsidRPr="00EA685F">
        <w:rPr>
          <w:rFonts w:ascii="Times New Roman" w:hAnsi="Times New Roman"/>
          <w:bCs/>
          <w:i/>
          <w:color w:val="000000"/>
          <w:lang w:val="fr-FR"/>
        </w:rPr>
        <w:t>TSvib</w:t>
      </w:r>
      <w:r w:rsidR="00C14944" w:rsidRPr="00EA685F">
        <w:rPr>
          <w:rFonts w:ascii="Times New Roman" w:hAnsi="Times New Roman"/>
          <w:bCs/>
          <w:i/>
          <w:color w:val="000000"/>
          <w:lang w:val="fr-FR"/>
        </w:rPr>
        <w:t xml:space="preserve"> : </w:t>
      </w:r>
      <w:r w:rsidR="00C14944" w:rsidRPr="00EA685F">
        <w:rPr>
          <w:rStyle w:val="A1"/>
          <w:rFonts w:ascii="Times New Roman" w:hAnsi="Times New Roman"/>
          <w:i/>
          <w:sz w:val="20"/>
          <w:szCs w:val="20"/>
          <w:lang w:val="fr-FR"/>
        </w:rPr>
        <w:t>Relative vibrational entropy</w:t>
      </w:r>
    </w:p>
    <w:p w:rsidR="000F4A59" w:rsidRPr="00EA685F" w:rsidRDefault="000F4A59" w:rsidP="00D63906">
      <w:pPr>
        <w:pStyle w:val="Body"/>
        <w:spacing w:after="0"/>
        <w:rPr>
          <w:rFonts w:ascii="Times New Roman" w:hAnsi="Times New Roman"/>
          <w:i/>
          <w:lang w:val="fr-FR"/>
        </w:rPr>
      </w:pPr>
      <w:r w:rsidRPr="00EA685F">
        <w:rPr>
          <w:rFonts w:ascii="Times New Roman" w:hAnsi="Times New Roman"/>
          <w:i/>
          <w:lang w:val="fr-FR"/>
        </w:rPr>
        <w:t>E</w:t>
      </w:r>
      <w:r w:rsidR="00C14944" w:rsidRPr="00EA685F">
        <w:rPr>
          <w:rFonts w:ascii="Times New Roman" w:hAnsi="Times New Roman"/>
          <w:i/>
          <w:lang w:val="fr-FR"/>
        </w:rPr>
        <w:t>: Enzyme</w:t>
      </w:r>
    </w:p>
    <w:p w:rsidR="000F4A59" w:rsidRPr="00EA685F" w:rsidRDefault="000F4A59" w:rsidP="00D63906">
      <w:pPr>
        <w:pStyle w:val="Body"/>
        <w:spacing w:after="0"/>
        <w:rPr>
          <w:rFonts w:ascii="Times New Roman" w:hAnsi="Times New Roman"/>
          <w:i/>
        </w:rPr>
      </w:pPr>
      <w:r w:rsidRPr="00EA685F">
        <w:rPr>
          <w:rFonts w:ascii="Times New Roman" w:hAnsi="Times New Roman"/>
          <w:i/>
        </w:rPr>
        <w:t>Eint</w:t>
      </w:r>
      <w:r w:rsidR="00C14944" w:rsidRPr="00EA685F">
        <w:rPr>
          <w:rFonts w:ascii="Times New Roman" w:hAnsi="Times New Roman"/>
          <w:i/>
        </w:rPr>
        <w:t xml:space="preserve"> : Energy interaction</w:t>
      </w:r>
    </w:p>
    <w:p w:rsidR="004E1113" w:rsidRPr="00EA685F" w:rsidRDefault="004E1113" w:rsidP="00D63906">
      <w:pPr>
        <w:pStyle w:val="Body"/>
        <w:spacing w:after="0"/>
        <w:rPr>
          <w:rFonts w:ascii="Times New Roman" w:hAnsi="Times New Roman"/>
          <w:i/>
        </w:rPr>
      </w:pPr>
      <w:r w:rsidRPr="00EA685F">
        <w:rPr>
          <w:rFonts w:ascii="Times New Roman" w:hAnsi="Times New Roman"/>
          <w:i/>
        </w:rPr>
        <w:t>FP2 / FP3</w:t>
      </w:r>
      <w:r w:rsidR="00C14944" w:rsidRPr="00EA685F">
        <w:rPr>
          <w:rFonts w:ascii="Times New Roman" w:hAnsi="Times New Roman"/>
          <w:i/>
        </w:rPr>
        <w:t>: falcipain 2 / falcipain 3</w:t>
      </w:r>
    </w:p>
    <w:p w:rsidR="000F4A59" w:rsidRPr="00EA685F" w:rsidRDefault="000F4A59" w:rsidP="00D63906">
      <w:pPr>
        <w:pStyle w:val="Body"/>
        <w:spacing w:after="0"/>
        <w:rPr>
          <w:rFonts w:ascii="Times New Roman" w:hAnsi="Times New Roman"/>
          <w:i/>
        </w:rPr>
      </w:pPr>
      <w:r w:rsidRPr="00EA685F">
        <w:rPr>
          <w:rFonts w:ascii="Times New Roman" w:hAnsi="Times New Roman"/>
          <w:i/>
        </w:rPr>
        <w:t>GFE</w:t>
      </w:r>
      <w:r w:rsidR="00C14944" w:rsidRPr="00EA685F">
        <w:rPr>
          <w:rFonts w:ascii="Times New Roman" w:hAnsi="Times New Roman"/>
          <w:i/>
        </w:rPr>
        <w:t xml:space="preserve">: </w:t>
      </w:r>
      <w:r w:rsidR="00C14944" w:rsidRPr="00EA685F">
        <w:rPr>
          <w:rFonts w:ascii="Times New Roman" w:hAnsi="Times New Roman"/>
          <w:i/>
          <w:iCs/>
        </w:rPr>
        <w:t>Gibbs free energy</w:t>
      </w:r>
    </w:p>
    <w:p w:rsidR="004E1113" w:rsidRPr="00EA685F" w:rsidRDefault="004E1113" w:rsidP="00D63906">
      <w:pPr>
        <w:pStyle w:val="Body"/>
        <w:spacing w:after="0"/>
        <w:rPr>
          <w:rFonts w:ascii="Times New Roman" w:hAnsi="Times New Roman"/>
          <w:i/>
        </w:rPr>
      </w:pPr>
      <w:r w:rsidRPr="00EA685F">
        <w:rPr>
          <w:rFonts w:ascii="Times New Roman" w:hAnsi="Times New Roman"/>
          <w:i/>
        </w:rPr>
        <w:t>HYD_AL</w:t>
      </w:r>
      <w:r w:rsidR="00C77C3A" w:rsidRPr="00EA685F">
        <w:rPr>
          <w:rFonts w:ascii="Times New Roman" w:hAnsi="Times New Roman"/>
          <w:i/>
        </w:rPr>
        <w:t xml:space="preserve">: </w:t>
      </w:r>
      <w:r w:rsidR="00C77C3A" w:rsidRPr="00EA685F">
        <w:rPr>
          <w:rStyle w:val="A5"/>
          <w:rFonts w:ascii="Times New Roman" w:hAnsi="Times New Roman" w:cs="Times New Roman"/>
          <w:i/>
          <w:sz w:val="20"/>
          <w:szCs w:val="20"/>
        </w:rPr>
        <w:t>hydrophobic aliphatic</w:t>
      </w:r>
    </w:p>
    <w:p w:rsidR="004E1113" w:rsidRPr="00EA685F" w:rsidRDefault="004E1113" w:rsidP="00D63906">
      <w:pPr>
        <w:pStyle w:val="Body"/>
        <w:spacing w:after="0"/>
        <w:rPr>
          <w:rFonts w:ascii="Times New Roman" w:hAnsi="Times New Roman"/>
          <w:i/>
        </w:rPr>
      </w:pPr>
      <w:r w:rsidRPr="00EA685F">
        <w:rPr>
          <w:rFonts w:ascii="Times New Roman" w:hAnsi="Times New Roman"/>
          <w:i/>
        </w:rPr>
        <w:t>HBA</w:t>
      </w:r>
      <w:r w:rsidR="00C77C3A" w:rsidRPr="00EA685F">
        <w:rPr>
          <w:rFonts w:ascii="Times New Roman" w:hAnsi="Times New Roman"/>
          <w:i/>
        </w:rPr>
        <w:t xml:space="preserve"> : </w:t>
      </w:r>
      <w:r w:rsidR="00C77C3A" w:rsidRPr="00EA685F">
        <w:rPr>
          <w:rStyle w:val="A5"/>
          <w:rFonts w:ascii="Times New Roman" w:hAnsi="Times New Roman" w:cs="Times New Roman"/>
          <w:i/>
          <w:sz w:val="20"/>
          <w:szCs w:val="20"/>
        </w:rPr>
        <w:t>hydrogen-bond acceptor</w:t>
      </w:r>
    </w:p>
    <w:p w:rsidR="004E1113" w:rsidRPr="00EA685F" w:rsidRDefault="004E1113" w:rsidP="00D63906">
      <w:pPr>
        <w:pStyle w:val="Body"/>
        <w:spacing w:after="0"/>
        <w:rPr>
          <w:rFonts w:ascii="Times New Roman" w:hAnsi="Times New Roman"/>
          <w:i/>
        </w:rPr>
      </w:pPr>
      <w:r w:rsidRPr="00EA685F">
        <w:rPr>
          <w:rFonts w:ascii="Times New Roman" w:hAnsi="Times New Roman"/>
          <w:i/>
        </w:rPr>
        <w:t>HYD</w:t>
      </w:r>
      <w:r w:rsidR="00C77C3A" w:rsidRPr="00EA685F">
        <w:rPr>
          <w:rFonts w:ascii="Times New Roman" w:hAnsi="Times New Roman"/>
          <w:i/>
        </w:rPr>
        <w:t xml:space="preserve"> : </w:t>
      </w:r>
      <w:r w:rsidR="00C77C3A" w:rsidRPr="00EA685F">
        <w:rPr>
          <w:rStyle w:val="A5"/>
          <w:rFonts w:ascii="Times New Roman" w:hAnsi="Times New Roman" w:cs="Times New Roman"/>
          <w:i/>
          <w:sz w:val="20"/>
          <w:szCs w:val="20"/>
        </w:rPr>
        <w:t>hydrophobic</w:t>
      </w:r>
    </w:p>
    <w:p w:rsidR="004E1113" w:rsidRPr="00EA685F" w:rsidRDefault="004E1113" w:rsidP="00D63906">
      <w:pPr>
        <w:pStyle w:val="Body"/>
        <w:spacing w:after="0"/>
        <w:rPr>
          <w:rFonts w:ascii="Times New Roman" w:hAnsi="Times New Roman"/>
          <w:i/>
        </w:rPr>
      </w:pPr>
      <w:r w:rsidRPr="00EA685F">
        <w:rPr>
          <w:rFonts w:ascii="Times New Roman" w:hAnsi="Times New Roman"/>
          <w:i/>
        </w:rPr>
        <w:t>HOA</w:t>
      </w:r>
      <w:r w:rsidR="00C77C3A" w:rsidRPr="00EA685F">
        <w:rPr>
          <w:rFonts w:ascii="Times New Roman" w:hAnsi="Times New Roman"/>
          <w:i/>
        </w:rPr>
        <w:t xml:space="preserve"> : </w:t>
      </w:r>
      <w:r w:rsidR="00C77C3A" w:rsidRPr="00EA685F">
        <w:rPr>
          <w:rFonts w:ascii="Times New Roman" w:hAnsi="Times New Roman"/>
          <w:bCs/>
          <w:i/>
        </w:rPr>
        <w:t>human oral absorption</w:t>
      </w:r>
    </w:p>
    <w:p w:rsidR="004E1113" w:rsidRPr="00EA685F" w:rsidRDefault="004E1113" w:rsidP="00D63906">
      <w:pPr>
        <w:pStyle w:val="Body"/>
        <w:spacing w:after="0"/>
        <w:rPr>
          <w:rFonts w:ascii="Times New Roman" w:hAnsi="Times New Roman"/>
          <w:i/>
        </w:rPr>
      </w:pPr>
      <w:r w:rsidRPr="00EA685F">
        <w:rPr>
          <w:rFonts w:ascii="Times New Roman" w:hAnsi="Times New Roman"/>
          <w:i/>
        </w:rPr>
        <w:t>I</w:t>
      </w:r>
      <w:r w:rsidR="005019F7" w:rsidRPr="00EA685F">
        <w:rPr>
          <w:rFonts w:ascii="Times New Roman" w:hAnsi="Times New Roman"/>
          <w:i/>
        </w:rPr>
        <w:t xml:space="preserve"> : Inhibitor</w:t>
      </w:r>
    </w:p>
    <w:p w:rsidR="004E1113" w:rsidRPr="00EA685F" w:rsidRDefault="004E1113" w:rsidP="00D63906">
      <w:pPr>
        <w:pStyle w:val="Body"/>
        <w:spacing w:after="0"/>
        <w:rPr>
          <w:rFonts w:ascii="Times New Roman" w:hAnsi="Times New Roman"/>
          <w:i/>
        </w:rPr>
      </w:pPr>
      <w:r w:rsidRPr="00EA685F">
        <w:rPr>
          <w:rFonts w:ascii="Times New Roman" w:hAnsi="Times New Roman"/>
          <w:i/>
        </w:rPr>
        <w:t>MM</w:t>
      </w:r>
      <w:r w:rsidR="005019F7" w:rsidRPr="00EA685F">
        <w:rPr>
          <w:rFonts w:ascii="Times New Roman" w:hAnsi="Times New Roman"/>
          <w:i/>
        </w:rPr>
        <w:t xml:space="preserve"> : Mechanic molecular</w:t>
      </w:r>
    </w:p>
    <w:p w:rsidR="004E1113" w:rsidRPr="00EA685F" w:rsidRDefault="004E1113" w:rsidP="00D63906">
      <w:pPr>
        <w:pStyle w:val="Body"/>
        <w:spacing w:after="0"/>
        <w:rPr>
          <w:rFonts w:ascii="Times New Roman" w:hAnsi="Times New Roman"/>
          <w:i/>
        </w:rPr>
      </w:pPr>
      <w:r w:rsidRPr="00EA685F">
        <w:rPr>
          <w:rFonts w:ascii="Times New Roman" w:hAnsi="Times New Roman"/>
          <w:i/>
        </w:rPr>
        <w:t>MM-PB</w:t>
      </w:r>
      <w:r w:rsidR="005019F7" w:rsidRPr="00EA685F">
        <w:rPr>
          <w:rFonts w:ascii="Times New Roman" w:hAnsi="Times New Roman"/>
          <w:i/>
        </w:rPr>
        <w:t xml:space="preserve"> : Mechanic molecular – Poisson Boltzmann</w:t>
      </w:r>
    </w:p>
    <w:p w:rsidR="004E1113" w:rsidRPr="00EA685F" w:rsidRDefault="004E1113" w:rsidP="00D63906">
      <w:pPr>
        <w:pStyle w:val="Body"/>
        <w:spacing w:after="0"/>
        <w:rPr>
          <w:rFonts w:ascii="Times New Roman" w:hAnsi="Times New Roman"/>
          <w:i/>
        </w:rPr>
      </w:pPr>
      <w:r w:rsidRPr="00EA685F">
        <w:rPr>
          <w:rFonts w:ascii="Times New Roman" w:hAnsi="Times New Roman"/>
          <w:i/>
        </w:rPr>
        <w:t>PBD</w:t>
      </w:r>
      <w:r w:rsidR="005019F7" w:rsidRPr="00EA685F">
        <w:rPr>
          <w:rFonts w:ascii="Times New Roman" w:hAnsi="Times New Roman"/>
          <w:i/>
        </w:rPr>
        <w:t xml:space="preserve"> : Protein Data Bank</w:t>
      </w:r>
    </w:p>
    <w:p w:rsidR="002C49F2" w:rsidRPr="00EA685F" w:rsidRDefault="002C49F2" w:rsidP="00D63906">
      <w:pPr>
        <w:pStyle w:val="Body"/>
        <w:spacing w:after="0"/>
        <w:rPr>
          <w:rFonts w:ascii="Times New Roman" w:hAnsi="Times New Roman"/>
          <w:i/>
        </w:rPr>
      </w:pPr>
      <w:r w:rsidRPr="00EA685F">
        <w:rPr>
          <w:rFonts w:ascii="Times New Roman" w:hAnsi="Times New Roman"/>
          <w:i/>
        </w:rPr>
        <w:t>pfFP2</w:t>
      </w:r>
      <w:r w:rsidR="005019F7" w:rsidRPr="00EA685F">
        <w:rPr>
          <w:rFonts w:ascii="Times New Roman" w:hAnsi="Times New Roman"/>
          <w:i/>
        </w:rPr>
        <w:t xml:space="preserve"> : </w:t>
      </w:r>
      <w:r w:rsidR="00A316A0" w:rsidRPr="00EA685F">
        <w:rPr>
          <w:rFonts w:ascii="Times New Roman" w:hAnsi="Times New Roman"/>
          <w:i/>
        </w:rPr>
        <w:t>falcipain 2 of Plasmodium falciparum</w:t>
      </w:r>
    </w:p>
    <w:p w:rsidR="004E1113" w:rsidRPr="00EA685F" w:rsidRDefault="004E1113" w:rsidP="00D63906">
      <w:pPr>
        <w:pStyle w:val="Body"/>
        <w:spacing w:after="0"/>
        <w:rPr>
          <w:rFonts w:ascii="Times New Roman" w:hAnsi="Times New Roman"/>
          <w:i/>
        </w:rPr>
      </w:pPr>
      <w:r w:rsidRPr="00EA685F">
        <w:rPr>
          <w:rFonts w:ascii="Times New Roman" w:hAnsi="Times New Roman"/>
          <w:i/>
        </w:rPr>
        <w:t>PH4 3D QSAR</w:t>
      </w:r>
      <w:r w:rsidR="00A316A0" w:rsidRPr="00EA685F">
        <w:rPr>
          <w:rFonts w:ascii="Times New Roman" w:hAnsi="Times New Roman"/>
          <w:i/>
        </w:rPr>
        <w:t xml:space="preserve"> : Pharmacophore three dimensional quantitative structure activity relationship</w:t>
      </w:r>
    </w:p>
    <w:p w:rsidR="004E1113" w:rsidRPr="00EA685F" w:rsidRDefault="004E1113" w:rsidP="00D63906">
      <w:pPr>
        <w:pStyle w:val="Body"/>
        <w:spacing w:after="0"/>
        <w:rPr>
          <w:rFonts w:ascii="Times New Roman" w:hAnsi="Times New Roman"/>
          <w:i/>
        </w:rPr>
      </w:pPr>
      <w:r w:rsidRPr="00EA685F">
        <w:rPr>
          <w:rFonts w:ascii="Times New Roman" w:hAnsi="Times New Roman"/>
          <w:i/>
        </w:rPr>
        <w:t>QSAR</w:t>
      </w:r>
      <w:r w:rsidR="00A316A0" w:rsidRPr="00EA685F">
        <w:rPr>
          <w:rFonts w:ascii="Times New Roman" w:hAnsi="Times New Roman"/>
          <w:i/>
        </w:rPr>
        <w:t xml:space="preserve"> : Quantitative structure activity relationship</w:t>
      </w:r>
    </w:p>
    <w:p w:rsidR="005436D7" w:rsidRPr="00EA685F" w:rsidRDefault="005436D7" w:rsidP="00D63906">
      <w:pPr>
        <w:pStyle w:val="Body"/>
        <w:spacing w:after="0"/>
        <w:rPr>
          <w:rFonts w:ascii="Times New Roman" w:hAnsi="Times New Roman"/>
          <w:i/>
        </w:rPr>
      </w:pPr>
      <w:r w:rsidRPr="00EA685F">
        <w:rPr>
          <w:rFonts w:ascii="Times New Roman" w:hAnsi="Times New Roman"/>
          <w:i/>
        </w:rPr>
        <w:t xml:space="preserve">RMSD: </w:t>
      </w:r>
    </w:p>
    <w:p w:rsidR="004E1113" w:rsidRPr="00EA685F" w:rsidRDefault="004E1113" w:rsidP="00D63906">
      <w:pPr>
        <w:pStyle w:val="Body"/>
        <w:spacing w:after="0"/>
        <w:rPr>
          <w:rFonts w:ascii="Times New Roman" w:hAnsi="Times New Roman"/>
          <w:i/>
        </w:rPr>
      </w:pPr>
      <w:r w:rsidRPr="00EA685F">
        <w:rPr>
          <w:rFonts w:ascii="Times New Roman" w:hAnsi="Times New Roman"/>
          <w:i/>
        </w:rPr>
        <w:t>SAR</w:t>
      </w:r>
      <w:r w:rsidR="00A316A0" w:rsidRPr="00EA685F">
        <w:rPr>
          <w:rFonts w:ascii="Times New Roman" w:hAnsi="Times New Roman"/>
          <w:i/>
        </w:rPr>
        <w:t xml:space="preserve"> : Structure activity relationship</w:t>
      </w:r>
    </w:p>
    <w:p w:rsidR="004E1113" w:rsidRPr="00EA685F" w:rsidRDefault="004E1113" w:rsidP="00D63906">
      <w:pPr>
        <w:pStyle w:val="Body"/>
        <w:spacing w:after="0"/>
        <w:rPr>
          <w:rFonts w:ascii="Times New Roman" w:hAnsi="Times New Roman"/>
          <w:i/>
        </w:rPr>
      </w:pPr>
      <w:r w:rsidRPr="00EA685F">
        <w:rPr>
          <w:rFonts w:ascii="Times New Roman" w:hAnsi="Times New Roman"/>
          <w:i/>
        </w:rPr>
        <w:t>SBDD</w:t>
      </w:r>
      <w:r w:rsidR="00A316A0" w:rsidRPr="00EA685F">
        <w:rPr>
          <w:rFonts w:ascii="Times New Roman" w:hAnsi="Times New Roman"/>
          <w:i/>
        </w:rPr>
        <w:t xml:space="preserve"> : Structure – based drug design</w:t>
      </w:r>
    </w:p>
    <w:p w:rsidR="004E1113" w:rsidRPr="00EA685F" w:rsidRDefault="004E1113" w:rsidP="00D63906">
      <w:pPr>
        <w:pStyle w:val="Body"/>
        <w:spacing w:after="0"/>
        <w:rPr>
          <w:rFonts w:ascii="Times New Roman" w:hAnsi="Times New Roman"/>
          <w:i/>
        </w:rPr>
      </w:pPr>
      <w:r w:rsidRPr="00EA685F">
        <w:rPr>
          <w:rFonts w:ascii="Times New Roman" w:hAnsi="Times New Roman"/>
          <w:i/>
        </w:rPr>
        <w:t>VL</w:t>
      </w:r>
      <w:r w:rsidR="00A316A0" w:rsidRPr="00EA685F">
        <w:rPr>
          <w:rFonts w:ascii="Times New Roman" w:hAnsi="Times New Roman"/>
          <w:i/>
        </w:rPr>
        <w:t xml:space="preserve"> : Virtual Library</w:t>
      </w:r>
    </w:p>
    <w:p w:rsidR="004E1113" w:rsidRPr="00EA685F" w:rsidRDefault="004E1113" w:rsidP="00D63906">
      <w:pPr>
        <w:pStyle w:val="Body"/>
        <w:spacing w:after="0"/>
        <w:rPr>
          <w:rFonts w:ascii="Times New Roman" w:hAnsi="Times New Roman"/>
          <w:i/>
        </w:rPr>
      </w:pPr>
      <w:r w:rsidRPr="00EA685F">
        <w:rPr>
          <w:rFonts w:ascii="Times New Roman" w:hAnsi="Times New Roman"/>
          <w:i/>
        </w:rPr>
        <w:t>WHO</w:t>
      </w:r>
      <w:r w:rsidR="00A316A0" w:rsidRPr="00EA685F">
        <w:rPr>
          <w:rFonts w:ascii="Times New Roman" w:hAnsi="Times New Roman"/>
          <w:i/>
        </w:rPr>
        <w:t xml:space="preserve"> : World Health Organization</w:t>
      </w:r>
    </w:p>
    <w:p w:rsidR="00D63906" w:rsidRPr="00EA685F" w:rsidRDefault="00D63906" w:rsidP="00D63906">
      <w:pPr>
        <w:pStyle w:val="Body"/>
        <w:spacing w:after="0"/>
        <w:rPr>
          <w:rFonts w:ascii="Times New Roman" w:hAnsi="Times New Roman"/>
        </w:rPr>
      </w:pPr>
    </w:p>
    <w:p w:rsidR="00D63906" w:rsidRPr="00EA685F" w:rsidRDefault="00D63906" w:rsidP="00D63906">
      <w:pPr>
        <w:pStyle w:val="Appendix"/>
        <w:spacing w:after="0"/>
        <w:jc w:val="both"/>
        <w:rPr>
          <w:rFonts w:ascii="Times New Roman" w:hAnsi="Times New Roman"/>
        </w:rPr>
      </w:pPr>
      <w:r w:rsidRPr="00EA685F">
        <w:rPr>
          <w:rFonts w:ascii="Times New Roman" w:hAnsi="Times New Roman"/>
        </w:rPr>
        <w:t>APPENDIX</w:t>
      </w:r>
    </w:p>
    <w:p w:rsidR="009D563D" w:rsidRPr="00EA685F" w:rsidRDefault="009D563D" w:rsidP="00D63906">
      <w:pPr>
        <w:pStyle w:val="Appendix"/>
        <w:spacing w:after="0"/>
        <w:jc w:val="both"/>
        <w:rPr>
          <w:rFonts w:ascii="Times New Roman" w:hAnsi="Times New Roman"/>
          <w:sz w:val="20"/>
        </w:rPr>
      </w:pPr>
    </w:p>
    <w:p w:rsidR="009D563D" w:rsidRPr="00EA685F" w:rsidRDefault="009D563D" w:rsidP="00D63906">
      <w:pPr>
        <w:pStyle w:val="Appendix"/>
        <w:spacing w:after="0"/>
        <w:jc w:val="both"/>
        <w:rPr>
          <w:rFonts w:ascii="Times New Roman" w:hAnsi="Times New Roman"/>
          <w:sz w:val="20"/>
        </w:rPr>
      </w:pPr>
    </w:p>
    <w:p w:rsidR="009D563D" w:rsidRPr="00EA685F" w:rsidRDefault="00097216" w:rsidP="00C55BBC">
      <w:pPr>
        <w:pStyle w:val="ReferHead"/>
        <w:spacing w:after="0"/>
        <w:jc w:val="both"/>
        <w:rPr>
          <w:rFonts w:ascii="Times New Roman" w:hAnsi="Times New Roman"/>
        </w:rPr>
        <w:sectPr w:rsidR="009D563D" w:rsidRPr="00EA685F" w:rsidSect="00895131">
          <w:endnotePr>
            <w:numFmt w:val="decimal"/>
          </w:endnotePr>
          <w:type w:val="continuous"/>
          <w:pgSz w:w="12240" w:h="15840"/>
          <w:pgMar w:top="1134" w:right="1134" w:bottom="1134" w:left="1134" w:header="720" w:footer="1123" w:gutter="0"/>
          <w:cols w:space="720"/>
          <w:docGrid w:linePitch="272"/>
        </w:sectPr>
      </w:pPr>
      <w:r w:rsidRPr="00EA685F">
        <w:rPr>
          <w:rFonts w:ascii="Times New Roman" w:hAnsi="Times New Roman"/>
        </w:rPr>
        <w:t>ReferenceS</w:t>
      </w:r>
    </w:p>
    <w:p w:rsidR="00EA7D48" w:rsidRPr="00EA685F" w:rsidRDefault="00EA7D48">
      <w:pPr>
        <w:rPr>
          <w:rFonts w:ascii="Times New Roman" w:hAnsi="Times New Roman"/>
        </w:rPr>
      </w:pPr>
    </w:p>
    <w:p w:rsidR="00895131" w:rsidRPr="00EA685F" w:rsidRDefault="00895131">
      <w:pPr>
        <w:rPr>
          <w:rFonts w:ascii="Times New Roman" w:hAnsi="Times New Roman"/>
        </w:rPr>
      </w:pPr>
    </w:p>
    <w:sectPr w:rsidR="00895131" w:rsidRPr="00EA685F" w:rsidSect="00895131">
      <w:type w:val="continuous"/>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C7" w:rsidRDefault="000571C7" w:rsidP="00946928">
      <w:r>
        <w:separator/>
      </w:r>
    </w:p>
  </w:endnote>
  <w:endnote w:type="continuationSeparator" w:id="1">
    <w:p w:rsidR="000571C7" w:rsidRDefault="000571C7" w:rsidP="00946928">
      <w:r>
        <w:continuationSeparator/>
      </w:r>
    </w:p>
  </w:endnote>
  <w:endnote w:id="2">
    <w:p w:rsidR="00890CC9" w:rsidRPr="001603CC" w:rsidRDefault="00890CC9" w:rsidP="00895131">
      <w:pPr>
        <w:pStyle w:val="EndnoteText"/>
        <w:spacing w:after="0" w:line="240" w:lineRule="auto"/>
        <w:ind w:left="426" w:hanging="426"/>
        <w:jc w:val="both"/>
        <w:rPr>
          <w:rFonts w:ascii="Times New Roman" w:hAnsi="Times New Roman"/>
          <w:i/>
          <w:sz w:val="18"/>
          <w:szCs w:val="18"/>
          <w:u w:val="single"/>
          <w:lang w:val="en-US"/>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lang w:val="en-US"/>
        </w:rPr>
        <w:t xml:space="preserve">. </w:t>
      </w:r>
      <w:r w:rsidRPr="001603CC">
        <w:rPr>
          <w:rFonts w:ascii="Times New Roman" w:hAnsi="Times New Roman"/>
          <w:sz w:val="18"/>
          <w:szCs w:val="18"/>
          <w:lang w:val="en-US"/>
        </w:rPr>
        <w:tab/>
        <w:t xml:space="preserve">Wongsrichanalai C, Meshnick SR. Declining artesunate–mefloquine efficacy against falciparum malaria on the Cambodia–Thailand border. </w:t>
      </w:r>
      <w:r w:rsidRPr="001603CC">
        <w:rPr>
          <w:rFonts w:ascii="Times New Roman" w:hAnsi="Times New Roman"/>
          <w:i/>
          <w:iCs/>
          <w:sz w:val="18"/>
          <w:szCs w:val="18"/>
          <w:lang w:val="en-US"/>
        </w:rPr>
        <w:t>Emerg Infect Dis</w:t>
      </w:r>
      <w:r w:rsidRPr="001603CC">
        <w:rPr>
          <w:rFonts w:ascii="Times New Roman" w:hAnsi="Times New Roman"/>
          <w:sz w:val="18"/>
          <w:szCs w:val="18"/>
          <w:lang w:val="en-US"/>
        </w:rPr>
        <w:t xml:space="preserve">. 2008;14(5):716–719. </w:t>
      </w:r>
      <w:hyperlink r:id="rId1" w:history="1">
        <w:r w:rsidRPr="001603CC">
          <w:rPr>
            <w:rStyle w:val="Hyperlink"/>
            <w:rFonts w:ascii="Times New Roman" w:hAnsi="Times New Roman"/>
            <w:i/>
            <w:color w:val="548DD4" w:themeColor="text2" w:themeTint="99"/>
            <w:sz w:val="18"/>
            <w:szCs w:val="18"/>
            <w:u w:val="none"/>
            <w:lang w:val="en-US"/>
          </w:rPr>
          <w:t>https://doi.org/</w:t>
        </w:r>
        <w:r w:rsidRPr="001603CC">
          <w:rPr>
            <w:rStyle w:val="Hyperlink"/>
            <w:rFonts w:ascii="Times New Roman" w:hAnsi="Times New Roman"/>
            <w:i/>
            <w:color w:val="548DD4" w:themeColor="text2" w:themeTint="99"/>
            <w:sz w:val="18"/>
            <w:szCs w:val="18"/>
            <w:u w:val="none"/>
            <w:shd w:val="clear" w:color="auto" w:fill="FFFFFF"/>
            <w:lang w:val="en-US"/>
          </w:rPr>
          <w:t>10.3201/eid1405.071601</w:t>
        </w:r>
      </w:hyperlink>
    </w:p>
    <w:p w:rsidR="00890CC9" w:rsidRPr="001603CC" w:rsidRDefault="00890CC9" w:rsidP="00895131">
      <w:pPr>
        <w:pStyle w:val="EndnoteText"/>
        <w:spacing w:after="0" w:line="240" w:lineRule="auto"/>
        <w:ind w:left="426" w:hanging="426"/>
        <w:jc w:val="both"/>
        <w:rPr>
          <w:rFonts w:ascii="Times New Roman" w:hAnsi="Times New Roman"/>
          <w:i/>
          <w:sz w:val="18"/>
          <w:szCs w:val="18"/>
          <w:u w:val="single"/>
          <w:lang w:val="en-US"/>
        </w:rPr>
      </w:pPr>
    </w:p>
  </w:endnote>
  <w:endnote w:id="3">
    <w:p w:rsidR="00890CC9" w:rsidRPr="001603CC" w:rsidRDefault="00890CC9" w:rsidP="00895131">
      <w:pPr>
        <w:pStyle w:val="EndnoteText"/>
        <w:spacing w:after="0" w:line="240" w:lineRule="auto"/>
        <w:ind w:left="426" w:hanging="426"/>
        <w:jc w:val="both"/>
        <w:rPr>
          <w:rFonts w:ascii="Times New Roman" w:hAnsi="Times New Roman"/>
          <w:sz w:val="18"/>
          <w:szCs w:val="18"/>
          <w:lang w:val="en-US"/>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lang w:val="en-US"/>
        </w:rPr>
        <w:t xml:space="preserve">. </w:t>
      </w:r>
      <w:r w:rsidRPr="001603CC">
        <w:rPr>
          <w:rFonts w:ascii="Times New Roman" w:hAnsi="Times New Roman"/>
          <w:sz w:val="18"/>
          <w:szCs w:val="18"/>
          <w:lang w:val="en-US"/>
        </w:rPr>
        <w:tab/>
      </w:r>
      <w:hyperlink r:id="rId2" w:history="1">
        <w:r w:rsidRPr="001603CC">
          <w:rPr>
            <w:rStyle w:val="Hyperlink"/>
            <w:rFonts w:ascii="Times New Roman" w:hAnsi="Times New Roman"/>
            <w:i/>
            <w:color w:val="8DB3E2" w:themeColor="text2" w:themeTint="66"/>
            <w:sz w:val="18"/>
            <w:szCs w:val="18"/>
            <w:u w:val="none"/>
            <w:lang w:val="en-US"/>
          </w:rPr>
          <w:t>World malaria report 2022. Geneva: World Health Organization; 2022. Licence: CC BY-NC-SA 3.0 IGO.</w:t>
        </w:r>
      </w:hyperlink>
    </w:p>
    <w:p w:rsidR="00890CC9" w:rsidRPr="001603CC" w:rsidRDefault="00890CC9" w:rsidP="00895131">
      <w:pPr>
        <w:pStyle w:val="EndnoteText"/>
        <w:spacing w:after="0" w:line="240" w:lineRule="auto"/>
        <w:ind w:left="426" w:hanging="426"/>
        <w:jc w:val="both"/>
        <w:rPr>
          <w:rFonts w:ascii="Times New Roman" w:hAnsi="Times New Roman"/>
          <w:sz w:val="18"/>
          <w:szCs w:val="18"/>
          <w:lang w:val="en-US"/>
        </w:rPr>
      </w:pPr>
    </w:p>
  </w:endnote>
  <w:endnote w:id="4">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Hyde JE. Drug–resistant malaria–an insight. </w:t>
      </w:r>
      <w:r w:rsidRPr="001603CC">
        <w:rPr>
          <w:rFonts w:ascii="Times New Roman" w:hAnsi="Times New Roman" w:cs="Times New Roman"/>
          <w:i/>
          <w:iCs/>
          <w:sz w:val="18"/>
          <w:szCs w:val="18"/>
          <w:lang w:val="en-US"/>
        </w:rPr>
        <w:t>FEBS J</w:t>
      </w:r>
      <w:r w:rsidRPr="001603CC">
        <w:rPr>
          <w:rFonts w:ascii="Times New Roman" w:hAnsi="Times New Roman" w:cs="Times New Roman"/>
          <w:sz w:val="18"/>
          <w:szCs w:val="18"/>
          <w:lang w:val="en-US"/>
        </w:rPr>
        <w:t xml:space="preserve">. 2007;274(18):4688– 4698. </w:t>
      </w:r>
      <w:hyperlink r:id="rId3" w:history="1">
        <w:r w:rsidRPr="001603CC">
          <w:rPr>
            <w:rStyle w:val="Hyperlink"/>
            <w:rFonts w:ascii="Times New Roman" w:hAnsi="Times New Roman"/>
            <w:i/>
            <w:color w:val="548DD4" w:themeColor="text2" w:themeTint="99"/>
            <w:sz w:val="18"/>
            <w:szCs w:val="18"/>
            <w:u w:val="none"/>
            <w:lang w:val="en-US"/>
          </w:rPr>
          <w:t>https://</w:t>
        </w:r>
        <w:r w:rsidRPr="001603CC">
          <w:rPr>
            <w:rStyle w:val="Hyperlink"/>
            <w:rFonts w:ascii="Times New Roman" w:hAnsi="Times New Roman"/>
            <w:i/>
            <w:color w:val="548DD4" w:themeColor="text2" w:themeTint="99"/>
            <w:sz w:val="18"/>
            <w:szCs w:val="18"/>
            <w:u w:val="none"/>
            <w:shd w:val="clear" w:color="auto" w:fill="FFFFFF"/>
            <w:lang w:val="en-US"/>
          </w:rPr>
          <w:t>doi.org/</w:t>
        </w:r>
      </w:hyperlink>
      <w:hyperlink r:id="rId4" w:tgtFrame="_blank" w:history="1">
        <w:r w:rsidRPr="001603CC">
          <w:rPr>
            <w:rStyle w:val="Hyperlink"/>
            <w:rFonts w:ascii="Times New Roman" w:hAnsi="Times New Roman"/>
            <w:i/>
            <w:color w:val="548DD4" w:themeColor="text2" w:themeTint="99"/>
            <w:sz w:val="18"/>
            <w:szCs w:val="18"/>
            <w:u w:val="none"/>
            <w:lang w:val="en-US"/>
          </w:rPr>
          <w:t>10.1111/j.1742-4658.2007.05999.x</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5">
    <w:p w:rsidR="00890CC9" w:rsidRPr="001603CC" w:rsidRDefault="00890CC9" w:rsidP="00895131">
      <w:pPr>
        <w:autoSpaceDE w:val="0"/>
        <w:autoSpaceDN w:val="0"/>
        <w:adjustRightInd w:val="0"/>
        <w:ind w:left="426" w:hanging="426"/>
        <w:jc w:val="both"/>
        <w:rPr>
          <w:rFonts w:ascii="Times New Roman" w:hAnsi="Times New Roman"/>
          <w:color w:val="000000"/>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000000"/>
          <w:sz w:val="18"/>
          <w:szCs w:val="18"/>
        </w:rPr>
        <w:t xml:space="preserve">Sutherland, C. J.; Lansdell, P. L.; Sanders, M.; Muwanguzi, J.; van Schalkwyk, D. A.; Kaur, H. et al. pfk13-Independent treatment failure in four imported cases of Plasmodium falciparum malaria treated with artemether lumefantrine in the united kingdom. Antimicrob. Agents Chemother. 2017, 61, No. e02382. </w:t>
      </w:r>
      <w:hyperlink r:id="rId5" w:history="1">
        <w:r w:rsidRPr="001603CC">
          <w:rPr>
            <w:rStyle w:val="Hyperlink"/>
            <w:rFonts w:ascii="Times New Roman" w:hAnsi="Times New Roman"/>
            <w:i/>
            <w:color w:val="548DD4" w:themeColor="text2" w:themeTint="99"/>
            <w:sz w:val="18"/>
            <w:szCs w:val="18"/>
          </w:rPr>
          <w:t>https://doi.org/10.1128/aac.02382-16</w:t>
        </w:r>
      </w:hyperlink>
    </w:p>
    <w:p w:rsidR="00890CC9" w:rsidRPr="001603CC" w:rsidRDefault="00890CC9" w:rsidP="00895131">
      <w:pPr>
        <w:autoSpaceDE w:val="0"/>
        <w:autoSpaceDN w:val="0"/>
        <w:adjustRightInd w:val="0"/>
        <w:ind w:left="426" w:hanging="426"/>
        <w:jc w:val="both"/>
        <w:rPr>
          <w:rFonts w:ascii="Times New Roman" w:hAnsi="Times New Roman"/>
          <w:color w:val="000000"/>
          <w:sz w:val="18"/>
          <w:szCs w:val="18"/>
        </w:rPr>
      </w:pPr>
    </w:p>
  </w:endnote>
  <w:endnote w:id="6">
    <w:p w:rsidR="00890CC9" w:rsidRPr="001603CC" w:rsidRDefault="00890CC9" w:rsidP="00895131">
      <w:pPr>
        <w:autoSpaceDE w:val="0"/>
        <w:autoSpaceDN w:val="0"/>
        <w:adjustRightInd w:val="0"/>
        <w:ind w:left="426" w:hanging="426"/>
        <w:jc w:val="both"/>
        <w:rPr>
          <w:rFonts w:ascii="Times New Roman" w:hAnsi="Times New Roman"/>
          <w:color w:val="548DD4" w:themeColor="text2" w:themeTint="99"/>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000000"/>
          <w:sz w:val="18"/>
          <w:szCs w:val="18"/>
        </w:rPr>
        <w:t xml:space="preserve">Ashley, E. A.; Dhorda, M.; Fairhurst, R. M.; Amaratunga, C.; Lim, P.; Suon, S et al.. Spread of artemisinin resistance in Plasmodium falciparum malaria. N. Engl. J. Med. 2014, 371, 411-423. </w:t>
      </w:r>
      <w:hyperlink r:id="rId6" w:history="1">
        <w:r w:rsidRPr="001603CC">
          <w:rPr>
            <w:rStyle w:val="Hyperlink"/>
            <w:rFonts w:ascii="Times New Roman" w:hAnsi="Times New Roman"/>
            <w:i/>
            <w:color w:val="548DD4" w:themeColor="text2" w:themeTint="99"/>
            <w:sz w:val="18"/>
            <w:szCs w:val="18"/>
            <w:u w:val="none"/>
          </w:rPr>
          <w:t>https://doi.org/</w:t>
        </w:r>
        <w:r w:rsidRPr="001603CC">
          <w:rPr>
            <w:rStyle w:val="Hyperlink"/>
            <w:rFonts w:ascii="Times New Roman" w:hAnsi="Times New Roman"/>
            <w:i/>
            <w:color w:val="548DD4" w:themeColor="text2" w:themeTint="99"/>
            <w:sz w:val="18"/>
            <w:szCs w:val="18"/>
            <w:u w:val="none"/>
            <w:shd w:val="clear" w:color="auto" w:fill="FFFFFF"/>
          </w:rPr>
          <w:t>10.1056/NEJMoa1314981</w:t>
        </w:r>
      </w:hyperlink>
      <w:r w:rsidRPr="001603CC">
        <w:rPr>
          <w:rFonts w:ascii="Times New Roman" w:hAnsi="Times New Roman"/>
          <w:i/>
          <w:color w:val="548DD4" w:themeColor="text2" w:themeTint="99"/>
          <w:sz w:val="18"/>
          <w:szCs w:val="18"/>
          <w:shd w:val="clear" w:color="auto" w:fill="FFFFFF"/>
        </w:rPr>
        <w:t>.</w:t>
      </w:r>
    </w:p>
    <w:p w:rsidR="00890CC9" w:rsidRPr="001603CC" w:rsidRDefault="00890CC9" w:rsidP="00895131">
      <w:pPr>
        <w:autoSpaceDE w:val="0"/>
        <w:autoSpaceDN w:val="0"/>
        <w:adjustRightInd w:val="0"/>
        <w:ind w:left="426" w:hanging="426"/>
        <w:jc w:val="both"/>
        <w:rPr>
          <w:rFonts w:ascii="Times New Roman" w:hAnsi="Times New Roman"/>
          <w:color w:val="000000"/>
          <w:sz w:val="18"/>
          <w:szCs w:val="18"/>
        </w:rPr>
      </w:pPr>
    </w:p>
  </w:endnote>
  <w:endnote w:id="7">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Wongsrichanalai C, Meshnick SR. Declining artesunate–mefloquine efficacy against falciparum malaria on the Cambodia–Thailand border. </w:t>
      </w:r>
      <w:r w:rsidRPr="001603CC">
        <w:rPr>
          <w:rFonts w:ascii="Times New Roman" w:hAnsi="Times New Roman" w:cs="Times New Roman"/>
          <w:i/>
          <w:iCs/>
          <w:sz w:val="18"/>
          <w:szCs w:val="18"/>
          <w:lang w:val="en-US"/>
        </w:rPr>
        <w:t>Emerg Infect Dis</w:t>
      </w:r>
      <w:r w:rsidRPr="001603CC">
        <w:rPr>
          <w:rFonts w:ascii="Times New Roman" w:hAnsi="Times New Roman" w:cs="Times New Roman"/>
          <w:sz w:val="18"/>
          <w:szCs w:val="18"/>
          <w:lang w:val="en-US"/>
        </w:rPr>
        <w:t xml:space="preserve">. 2008;14(5):716–719. </w:t>
      </w:r>
      <w:hyperlink r:id="rId7" w:history="1">
        <w:r w:rsidRPr="001603CC">
          <w:rPr>
            <w:rStyle w:val="Hyperlink"/>
            <w:rFonts w:ascii="Times New Roman" w:hAnsi="Times New Roman"/>
            <w:i/>
            <w:color w:val="548DD4" w:themeColor="text2" w:themeTint="99"/>
            <w:sz w:val="18"/>
            <w:szCs w:val="18"/>
            <w:u w:val="none"/>
            <w:lang w:val="en-US"/>
          </w:rPr>
          <w:t>https://doi.org/</w:t>
        </w:r>
        <w:r w:rsidRPr="001603CC">
          <w:rPr>
            <w:rStyle w:val="Hyperlink"/>
            <w:rFonts w:ascii="Times New Roman" w:hAnsi="Times New Roman"/>
            <w:i/>
            <w:color w:val="548DD4" w:themeColor="text2" w:themeTint="99"/>
            <w:sz w:val="18"/>
            <w:szCs w:val="18"/>
            <w:u w:val="none"/>
            <w:shd w:val="clear" w:color="auto" w:fill="FFFFFF"/>
            <w:lang w:val="en-US"/>
          </w:rPr>
          <w:t>10.3201/eid1405.071601</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8">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Dondorp AM, Nosten F, Yi P, </w:t>
      </w:r>
      <w:r w:rsidRPr="001603CC">
        <w:rPr>
          <w:rFonts w:ascii="Times New Roman" w:hAnsi="Times New Roman" w:cs="Times New Roman"/>
          <w:i/>
          <w:sz w:val="18"/>
          <w:szCs w:val="18"/>
          <w:lang w:val="en-US"/>
        </w:rPr>
        <w:t>et al</w:t>
      </w:r>
      <w:r w:rsidRPr="001603CC">
        <w:rPr>
          <w:rFonts w:ascii="Times New Roman" w:hAnsi="Times New Roman" w:cs="Times New Roman"/>
          <w:sz w:val="18"/>
          <w:szCs w:val="18"/>
          <w:lang w:val="en-US"/>
        </w:rPr>
        <w:t xml:space="preserve">. Artemisinin resistance in </w:t>
      </w:r>
      <w:r w:rsidRPr="001603CC">
        <w:rPr>
          <w:rFonts w:ascii="Times New Roman" w:hAnsi="Times New Roman" w:cs="Times New Roman"/>
          <w:i/>
          <w:iCs/>
          <w:sz w:val="18"/>
          <w:szCs w:val="18"/>
          <w:lang w:val="en-US"/>
        </w:rPr>
        <w:t xml:space="preserve">Plasmodium falciparum </w:t>
      </w:r>
      <w:r w:rsidRPr="001603CC">
        <w:rPr>
          <w:rFonts w:ascii="Times New Roman" w:hAnsi="Times New Roman" w:cs="Times New Roman"/>
          <w:sz w:val="18"/>
          <w:szCs w:val="18"/>
          <w:lang w:val="en-US"/>
        </w:rPr>
        <w:t xml:space="preserve">malaria. </w:t>
      </w:r>
      <w:r w:rsidRPr="001603CC">
        <w:rPr>
          <w:rFonts w:ascii="Times New Roman" w:hAnsi="Times New Roman" w:cs="Times New Roman"/>
          <w:i/>
          <w:iCs/>
          <w:sz w:val="18"/>
          <w:szCs w:val="18"/>
          <w:lang w:val="en-US"/>
        </w:rPr>
        <w:t>Eng J Med</w:t>
      </w:r>
      <w:r w:rsidRPr="001603CC">
        <w:rPr>
          <w:rFonts w:ascii="Times New Roman" w:hAnsi="Times New Roman" w:cs="Times New Roman"/>
          <w:sz w:val="18"/>
          <w:szCs w:val="18"/>
          <w:lang w:val="en-US"/>
        </w:rPr>
        <w:t xml:space="preserve">. 2009;361(15):455–467. </w:t>
      </w:r>
      <w:hyperlink r:id="rId8" w:history="1">
        <w:r w:rsidRPr="001603CC">
          <w:rPr>
            <w:rStyle w:val="Hyperlink"/>
            <w:rFonts w:ascii="Times New Roman" w:hAnsi="Times New Roman" w:cs="Times New Roman"/>
            <w:i/>
            <w:color w:val="548DD4" w:themeColor="text2" w:themeTint="99"/>
            <w:sz w:val="18"/>
            <w:szCs w:val="18"/>
            <w:u w:val="none"/>
            <w:lang w:val="en-US"/>
          </w:rPr>
          <w:t>https://doi.org/10.1056/NEJMoa0808859</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9">
    <w:p w:rsidR="00890CC9" w:rsidRPr="001603CC" w:rsidRDefault="00890CC9" w:rsidP="00895131">
      <w:pPr>
        <w:pStyle w:val="Default"/>
        <w:ind w:left="426" w:hanging="426"/>
        <w:jc w:val="both"/>
        <w:rPr>
          <w:rFonts w:ascii="Times New Roman" w:hAnsi="Times New Roman" w:cs="Times New Roman"/>
          <w:i/>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Garcia Linares GE, Rodriguez JB. Current Status and Progresses Made in Malaria Chemotherapy. </w:t>
      </w:r>
      <w:r w:rsidRPr="001603CC">
        <w:rPr>
          <w:rFonts w:ascii="Times New Roman" w:hAnsi="Times New Roman" w:cs="Times New Roman"/>
          <w:i/>
          <w:iCs/>
          <w:sz w:val="18"/>
          <w:szCs w:val="18"/>
          <w:lang w:val="en-US"/>
        </w:rPr>
        <w:t>Curr Med Chem</w:t>
      </w:r>
      <w:r w:rsidRPr="001603CC">
        <w:rPr>
          <w:rFonts w:ascii="Times New Roman" w:hAnsi="Times New Roman" w:cs="Times New Roman"/>
          <w:sz w:val="18"/>
          <w:szCs w:val="18"/>
          <w:lang w:val="en-US"/>
        </w:rPr>
        <w:t xml:space="preserve">. 2007;14(3): 289–314. </w:t>
      </w:r>
      <w:hyperlink r:id="rId9" w:history="1">
        <w:r w:rsidRPr="001603CC">
          <w:rPr>
            <w:rStyle w:val="Hyperlink"/>
            <w:rFonts w:ascii="Times New Roman" w:hAnsi="Times New Roman" w:cs="Times New Roman"/>
            <w:i/>
            <w:color w:val="548DD4" w:themeColor="text2" w:themeTint="99"/>
            <w:sz w:val="18"/>
            <w:szCs w:val="18"/>
            <w:u w:val="none"/>
            <w:lang w:val="en-US"/>
          </w:rPr>
          <w:t>https://doi.org/10.2174/092986707779941096</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10">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Juliane Wunderlich, Petra Rohrbach, John Pius Dalton. The malaria digestive vacuole. </w:t>
      </w:r>
      <w:r w:rsidRPr="001603CC">
        <w:rPr>
          <w:rFonts w:ascii="Times New Roman" w:hAnsi="Times New Roman" w:cs="Times New Roman"/>
          <w:i/>
          <w:iCs/>
          <w:sz w:val="18"/>
          <w:szCs w:val="18"/>
          <w:lang w:val="en-US"/>
        </w:rPr>
        <w:t xml:space="preserve">Front Biosci. </w:t>
      </w:r>
      <w:r w:rsidRPr="001603CC">
        <w:rPr>
          <w:rFonts w:ascii="Times New Roman" w:hAnsi="Times New Roman" w:cs="Times New Roman"/>
          <w:sz w:val="18"/>
          <w:szCs w:val="18"/>
          <w:lang w:val="en-US"/>
        </w:rPr>
        <w:t xml:space="preserve">2012;4:1424–1448. </w:t>
      </w:r>
      <w:hyperlink r:id="rId10" w:history="1">
        <w:r w:rsidRPr="001603CC">
          <w:rPr>
            <w:rStyle w:val="Hyperlink"/>
            <w:rFonts w:ascii="Times New Roman" w:hAnsi="Times New Roman" w:cs="Times New Roman"/>
            <w:i/>
            <w:color w:val="548DD4" w:themeColor="text2" w:themeTint="99"/>
            <w:sz w:val="18"/>
            <w:szCs w:val="18"/>
            <w:u w:val="none"/>
            <w:lang w:val="en-US"/>
          </w:rPr>
          <w:t>https://doi.org/10.2741/s344</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11">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Rosenthal PJ. </w:t>
      </w:r>
      <w:r w:rsidRPr="001603CC">
        <w:rPr>
          <w:rFonts w:ascii="Times New Roman" w:hAnsi="Times New Roman" w:cs="Times New Roman"/>
          <w:i/>
          <w:iCs/>
          <w:sz w:val="18"/>
          <w:szCs w:val="18"/>
          <w:lang w:val="en-US"/>
        </w:rPr>
        <w:t xml:space="preserve">Protease Inhibitors. </w:t>
      </w:r>
      <w:r w:rsidRPr="001603CC">
        <w:rPr>
          <w:rFonts w:ascii="Times New Roman" w:hAnsi="Times New Roman" w:cs="Times New Roman"/>
          <w:sz w:val="18"/>
          <w:szCs w:val="18"/>
          <w:lang w:val="en-US"/>
        </w:rPr>
        <w:t xml:space="preserve">In: Antiparasitic Chemotherapy: Mechanisms of Action, Resistance, and New Directions in Drug Discovery. New York: Springer; 2001:325–345. </w:t>
      </w:r>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12">
    <w:p w:rsidR="00890CC9" w:rsidRPr="001603CC" w:rsidRDefault="00890CC9" w:rsidP="00895131">
      <w:pPr>
        <w:pStyle w:val="Default"/>
        <w:ind w:left="426" w:hanging="426"/>
        <w:jc w:val="both"/>
        <w:rPr>
          <w:rFonts w:ascii="Times New Roman" w:hAnsi="Times New Roman" w:cs="Times New Roman"/>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Esmel A, Keita M, Megnassan E, et al. Insight into binding mode of nitrile inhibitors of </w:t>
      </w:r>
      <w:r w:rsidRPr="001603CC">
        <w:rPr>
          <w:rFonts w:ascii="Times New Roman" w:hAnsi="Times New Roman" w:cs="Times New Roman"/>
          <w:i/>
          <w:iCs/>
          <w:sz w:val="18"/>
          <w:szCs w:val="18"/>
          <w:lang w:val="en-US"/>
        </w:rPr>
        <w:t xml:space="preserve">Plasmodium falciparum </w:t>
      </w:r>
      <w:r w:rsidRPr="001603CC">
        <w:rPr>
          <w:rFonts w:ascii="Times New Roman" w:hAnsi="Times New Roman" w:cs="Times New Roman"/>
          <w:sz w:val="18"/>
          <w:szCs w:val="18"/>
          <w:lang w:val="en-US"/>
        </w:rPr>
        <w:t xml:space="preserve">Falcipain–3, QSAR and Pharmacophore models, virtual design of new analogues with favorable pharmacokinetic profiles. </w:t>
      </w:r>
      <w:r w:rsidRPr="001603CC">
        <w:rPr>
          <w:rFonts w:ascii="Times New Roman" w:hAnsi="Times New Roman" w:cs="Times New Roman"/>
          <w:i/>
          <w:iCs/>
          <w:sz w:val="18"/>
          <w:szCs w:val="18"/>
          <w:lang w:val="en-US"/>
        </w:rPr>
        <w:t>J Comput Chem Molec Model</w:t>
      </w:r>
      <w:r w:rsidRPr="001603CC">
        <w:rPr>
          <w:rFonts w:ascii="Times New Roman" w:hAnsi="Times New Roman" w:cs="Times New Roman"/>
          <w:sz w:val="18"/>
          <w:szCs w:val="18"/>
          <w:lang w:val="en-US"/>
        </w:rPr>
        <w:t xml:space="preserve">. 2017;2–1:1–21. </w:t>
      </w:r>
      <w:hyperlink r:id="rId11" w:history="1">
        <w:r w:rsidRPr="001603CC">
          <w:rPr>
            <w:rStyle w:val="Hyperlink"/>
            <w:rFonts w:ascii="Times New Roman" w:hAnsi="Times New Roman" w:cs="Times New Roman"/>
            <w:i/>
            <w:color w:val="548DD4" w:themeColor="text2" w:themeTint="99"/>
            <w:sz w:val="18"/>
            <w:szCs w:val="18"/>
            <w:u w:val="none"/>
            <w:lang w:val="en-US"/>
          </w:rPr>
          <w:t>http://dx.doi.org/10.25177/JCMP.2.1.5</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13">
    <w:p w:rsidR="00890CC9" w:rsidRPr="001603CC" w:rsidRDefault="00890CC9" w:rsidP="00895131">
      <w:pPr>
        <w:autoSpaceDE w:val="0"/>
        <w:autoSpaceDN w:val="0"/>
        <w:adjustRightInd w:val="0"/>
        <w:ind w:left="426" w:hanging="426"/>
        <w:jc w:val="both"/>
        <w:rPr>
          <w:rFonts w:ascii="Times New Roman" w:eastAsia="ArialMT" w:hAnsi="Times New Roman"/>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w:t>
      </w:r>
      <w:r w:rsidRPr="001603CC">
        <w:rPr>
          <w:rFonts w:ascii="Times New Roman" w:hAnsi="Times New Roman"/>
          <w:sz w:val="18"/>
          <w:szCs w:val="18"/>
        </w:rPr>
        <w:tab/>
      </w:r>
      <w:r w:rsidRPr="001603CC">
        <w:rPr>
          <w:rFonts w:ascii="Times New Roman" w:eastAsia="ArialMT" w:hAnsi="Times New Roman"/>
          <w:sz w:val="18"/>
          <w:szCs w:val="18"/>
        </w:rPr>
        <w:t xml:space="preserve">Francis SE, Sullivan DJ Jr, Goldberg DE (1997) Hemoglobin metabolism in the malaria parasite Plasmodium falciparum. Annu Rev Microbiol 51: 97-123. </w:t>
      </w:r>
      <w:hyperlink r:id="rId12" w:history="1">
        <w:r w:rsidRPr="001603CC">
          <w:rPr>
            <w:rStyle w:val="Hyperlink"/>
            <w:rFonts w:ascii="Times New Roman" w:eastAsia="ArialMT" w:hAnsi="Times New Roman"/>
            <w:i/>
            <w:color w:val="548DD4" w:themeColor="text2" w:themeTint="99"/>
            <w:sz w:val="18"/>
            <w:szCs w:val="18"/>
            <w:u w:val="none"/>
          </w:rPr>
          <w:t>https://doi.org/10.1146/annurev.micro.51.1.97</w:t>
        </w:r>
      </w:hyperlink>
    </w:p>
    <w:p w:rsidR="00890CC9" w:rsidRPr="001603CC" w:rsidRDefault="00890CC9" w:rsidP="00895131">
      <w:pPr>
        <w:autoSpaceDE w:val="0"/>
        <w:autoSpaceDN w:val="0"/>
        <w:adjustRightInd w:val="0"/>
        <w:ind w:left="426" w:hanging="426"/>
        <w:jc w:val="both"/>
        <w:rPr>
          <w:rFonts w:ascii="Times New Roman" w:eastAsia="ArialMT" w:hAnsi="Times New Roman"/>
          <w:sz w:val="18"/>
          <w:szCs w:val="18"/>
        </w:rPr>
      </w:pPr>
    </w:p>
  </w:endnote>
  <w:endnote w:id="14">
    <w:p w:rsidR="00890CC9" w:rsidRPr="001603CC" w:rsidRDefault="00890CC9" w:rsidP="00895131">
      <w:pPr>
        <w:autoSpaceDE w:val="0"/>
        <w:autoSpaceDN w:val="0"/>
        <w:adjustRightInd w:val="0"/>
        <w:ind w:left="426" w:hanging="426"/>
        <w:jc w:val="both"/>
        <w:rPr>
          <w:rFonts w:ascii="Times New Roman" w:eastAsia="ArialMT" w:hAnsi="Times New Roman"/>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212121"/>
          <w:sz w:val="18"/>
          <w:szCs w:val="18"/>
          <w:shd w:val="clear" w:color="auto" w:fill="FFFFFF"/>
        </w:rPr>
        <w:t xml:space="preserve">Rosenthal PJ. Hydrolysis of erythrocyte proteins by proteases of malaria parasites. Curr Opin Hematol. 2002 Mar;9(2):140-5. </w:t>
      </w:r>
      <w:hyperlink r:id="rId13" w:history="1">
        <w:r w:rsidRPr="001603CC">
          <w:rPr>
            <w:rStyle w:val="Hyperlink"/>
            <w:rFonts w:ascii="Times New Roman" w:hAnsi="Times New Roman"/>
            <w:i/>
            <w:color w:val="548DD4" w:themeColor="text2" w:themeTint="99"/>
            <w:sz w:val="18"/>
            <w:szCs w:val="18"/>
            <w:u w:val="none"/>
            <w:shd w:val="clear" w:color="auto" w:fill="FFFFFF"/>
          </w:rPr>
          <w:t>https://doi.org/10.1097/00062752-200203000-00010</w:t>
        </w:r>
      </w:hyperlink>
    </w:p>
  </w:endnote>
  <w:endnote w:id="15">
    <w:p w:rsidR="00890CC9" w:rsidRPr="001603CC" w:rsidRDefault="00890CC9" w:rsidP="00895131">
      <w:pPr>
        <w:autoSpaceDE w:val="0"/>
        <w:autoSpaceDN w:val="0"/>
        <w:adjustRightInd w:val="0"/>
        <w:ind w:left="426" w:hanging="426"/>
        <w:jc w:val="both"/>
        <w:rPr>
          <w:rFonts w:ascii="Times New Roman" w:eastAsia="ArialMT" w:hAnsi="Times New Roman"/>
          <w:i/>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212121"/>
          <w:sz w:val="18"/>
          <w:szCs w:val="18"/>
          <w:shd w:val="clear" w:color="auto" w:fill="FFFFFF"/>
        </w:rPr>
        <w:t xml:space="preserve">Goldberg DE, Slater AF, Cerami A, Henderson GB. Hemoglobin degradation in the malaria parasite Plasmodium falciparum: an ordered process in a unique organelle. Proc Natl Acad Sci U S A. 1990 Apr;87(8):2931-5. </w:t>
      </w:r>
      <w:hyperlink r:id="rId14" w:history="1">
        <w:r w:rsidRPr="001603CC">
          <w:rPr>
            <w:rStyle w:val="Hyperlink"/>
            <w:rFonts w:ascii="Times New Roman" w:hAnsi="Times New Roman"/>
            <w:i/>
            <w:color w:val="548DD4" w:themeColor="text2" w:themeTint="99"/>
            <w:sz w:val="18"/>
            <w:szCs w:val="18"/>
            <w:u w:val="none"/>
            <w:shd w:val="clear" w:color="auto" w:fill="FFFFFF"/>
          </w:rPr>
          <w:t>https://doi.org/10.1073/pnas.87.8.2931</w:t>
        </w:r>
      </w:hyperlink>
    </w:p>
    <w:p w:rsidR="00890CC9" w:rsidRPr="001603CC" w:rsidRDefault="00890CC9" w:rsidP="00895131">
      <w:pPr>
        <w:autoSpaceDE w:val="0"/>
        <w:autoSpaceDN w:val="0"/>
        <w:adjustRightInd w:val="0"/>
        <w:ind w:left="426" w:hanging="426"/>
        <w:jc w:val="both"/>
        <w:rPr>
          <w:rFonts w:ascii="Times New Roman" w:eastAsia="ArialMT" w:hAnsi="Times New Roman"/>
          <w:sz w:val="18"/>
          <w:szCs w:val="18"/>
        </w:rPr>
      </w:pPr>
    </w:p>
  </w:endnote>
  <w:endnote w:id="16">
    <w:p w:rsidR="00890CC9" w:rsidRPr="001603CC" w:rsidRDefault="00890CC9" w:rsidP="00895131">
      <w:pPr>
        <w:autoSpaceDE w:val="0"/>
        <w:autoSpaceDN w:val="0"/>
        <w:adjustRightInd w:val="0"/>
        <w:ind w:left="426" w:hanging="426"/>
        <w:jc w:val="both"/>
        <w:rPr>
          <w:rFonts w:ascii="Times New Roman" w:eastAsia="ArialMT" w:hAnsi="Times New Roman"/>
          <w:color w:val="548DD4" w:themeColor="text2" w:themeTint="99"/>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212121"/>
          <w:sz w:val="18"/>
          <w:szCs w:val="18"/>
          <w:shd w:val="clear" w:color="auto" w:fill="FFFFFF"/>
        </w:rPr>
        <w:t xml:space="preserve">Kerr ID, Lee JH, Pandey KC, Harrison A, Sajid M, Rosenthal PJ, Brinen LS. Structures of falcipain-2 and falcipain-3 bound to small molecule inhibitors: implications for substrate specificity. J Med Chem. 2009 Feb 12;52(3):852-7. </w:t>
      </w:r>
      <w:hyperlink r:id="rId15" w:history="1">
        <w:r w:rsidRPr="001603CC">
          <w:rPr>
            <w:rStyle w:val="Hyperlink"/>
            <w:rFonts w:ascii="Times New Roman" w:hAnsi="Times New Roman"/>
            <w:i/>
            <w:color w:val="548DD4" w:themeColor="text2" w:themeTint="99"/>
            <w:sz w:val="18"/>
            <w:szCs w:val="18"/>
            <w:u w:val="none"/>
            <w:shd w:val="clear" w:color="auto" w:fill="FFFFFF"/>
          </w:rPr>
          <w:t>https://doi.org/10.1021%2Fjm8013663</w:t>
        </w:r>
      </w:hyperlink>
    </w:p>
    <w:p w:rsidR="00890CC9" w:rsidRPr="001603CC" w:rsidRDefault="00890CC9" w:rsidP="00895131">
      <w:pPr>
        <w:autoSpaceDE w:val="0"/>
        <w:autoSpaceDN w:val="0"/>
        <w:adjustRightInd w:val="0"/>
        <w:ind w:left="426" w:hanging="426"/>
        <w:jc w:val="both"/>
        <w:rPr>
          <w:rFonts w:ascii="Times New Roman" w:eastAsia="ArialMT" w:hAnsi="Times New Roman"/>
          <w:sz w:val="18"/>
          <w:szCs w:val="18"/>
        </w:rPr>
      </w:pPr>
    </w:p>
  </w:endnote>
  <w:endnote w:id="17">
    <w:p w:rsidR="00890CC9" w:rsidRPr="001603CC" w:rsidRDefault="00890CC9" w:rsidP="00895131">
      <w:pPr>
        <w:pStyle w:val="Default"/>
        <w:ind w:left="426" w:hanging="426"/>
        <w:jc w:val="both"/>
        <w:rPr>
          <w:rFonts w:ascii="Times New Roman" w:hAnsi="Times New Roman" w:cs="Times New Roman"/>
          <w:i/>
          <w:sz w:val="18"/>
          <w:szCs w:val="18"/>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Rosenthal PJ, McKerrow JH, Aikawa M, et al. A malarial cysteine proteinase is necessary for hemoglobin degradation by </w:t>
      </w:r>
      <w:r w:rsidRPr="001603CC">
        <w:rPr>
          <w:rFonts w:ascii="Times New Roman" w:hAnsi="Times New Roman" w:cs="Times New Roman"/>
          <w:i/>
          <w:iCs/>
          <w:sz w:val="18"/>
          <w:szCs w:val="18"/>
          <w:lang w:val="en-US"/>
        </w:rPr>
        <w:t>Plasmodium falciparum</w:t>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rPr>
        <w:t xml:space="preserve">J Clin Invest. 1988;82(5):1560–1566. </w:t>
      </w:r>
      <w:hyperlink r:id="rId16" w:history="1">
        <w:r w:rsidRPr="001603CC">
          <w:rPr>
            <w:rStyle w:val="Hyperlink"/>
            <w:rFonts w:ascii="Times New Roman" w:hAnsi="Times New Roman" w:cs="Times New Roman"/>
            <w:i/>
            <w:color w:val="548DD4" w:themeColor="text2" w:themeTint="99"/>
            <w:sz w:val="18"/>
            <w:szCs w:val="18"/>
            <w:u w:val="none"/>
          </w:rPr>
          <w:t>https://doi.org/10.1172/jci113766</w:t>
        </w:r>
      </w:hyperlink>
    </w:p>
    <w:p w:rsidR="00890CC9" w:rsidRPr="001603CC" w:rsidRDefault="00890CC9" w:rsidP="00895131">
      <w:pPr>
        <w:pStyle w:val="Default"/>
        <w:ind w:left="426" w:hanging="426"/>
        <w:jc w:val="both"/>
        <w:rPr>
          <w:rFonts w:ascii="Times New Roman" w:hAnsi="Times New Roman" w:cs="Times New Roman"/>
          <w:sz w:val="18"/>
          <w:szCs w:val="18"/>
        </w:rPr>
      </w:pPr>
    </w:p>
  </w:endnote>
  <w:endnote w:id="18">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rPr>
        <w:t xml:space="preserve">. </w:t>
      </w:r>
      <w:r w:rsidRPr="001603CC">
        <w:rPr>
          <w:rFonts w:ascii="Times New Roman" w:hAnsi="Times New Roman" w:cs="Times New Roman"/>
          <w:sz w:val="18"/>
          <w:szCs w:val="18"/>
        </w:rPr>
        <w:tab/>
        <w:t xml:space="preserve">Gamboa de Dominguez N D, Rosenthal PJ. </w:t>
      </w:r>
      <w:r w:rsidRPr="001603CC">
        <w:rPr>
          <w:rFonts w:ascii="Times New Roman" w:hAnsi="Times New Roman" w:cs="Times New Roman"/>
          <w:sz w:val="18"/>
          <w:szCs w:val="18"/>
          <w:lang w:val="en-US"/>
        </w:rPr>
        <w:t xml:space="preserve">Cysteine proteinase inhibitors block early steps in hemoglobin degradation by cultured malaria parasites. </w:t>
      </w:r>
      <w:r w:rsidRPr="001603CC">
        <w:rPr>
          <w:rFonts w:ascii="Times New Roman" w:hAnsi="Times New Roman" w:cs="Times New Roman"/>
          <w:i/>
          <w:iCs/>
          <w:sz w:val="18"/>
          <w:szCs w:val="18"/>
          <w:lang w:val="en-US"/>
        </w:rPr>
        <w:t>Blood</w:t>
      </w:r>
      <w:r w:rsidRPr="001603CC">
        <w:rPr>
          <w:rFonts w:ascii="Times New Roman" w:hAnsi="Times New Roman" w:cs="Times New Roman"/>
          <w:sz w:val="18"/>
          <w:szCs w:val="18"/>
          <w:lang w:val="en-US"/>
        </w:rPr>
        <w:t xml:space="preserve">. 1996;87:4448–4454. </w:t>
      </w:r>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19">
    <w:p w:rsidR="00890CC9" w:rsidRPr="001603CC" w:rsidRDefault="00890CC9" w:rsidP="00895131">
      <w:pPr>
        <w:pStyle w:val="Default"/>
        <w:ind w:left="426" w:hanging="426"/>
        <w:jc w:val="both"/>
        <w:rPr>
          <w:rFonts w:ascii="Times New Roman" w:hAnsi="Times New Roman" w:cs="Times New Roman"/>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Boris, D. B., Fidele, N.-K., Luc, C. O. O., &amp; Eugene, M. (2016). Targeting Cysteine Proteases from Plasmodium falciparum: A General Overview, Rational Drug Design and Computational Approaches for Drug Discovery. </w:t>
      </w:r>
      <w:r w:rsidRPr="001603CC">
        <w:rPr>
          <w:rFonts w:ascii="Times New Roman" w:hAnsi="Times New Roman" w:cs="Times New Roman"/>
          <w:i/>
          <w:iCs/>
          <w:sz w:val="18"/>
          <w:szCs w:val="18"/>
          <w:lang w:val="en-US"/>
        </w:rPr>
        <w:t>Current Drug Targets, 17</w:t>
      </w:r>
      <w:r w:rsidRPr="001603CC">
        <w:rPr>
          <w:rFonts w:ascii="Times New Roman" w:hAnsi="Times New Roman" w:cs="Times New Roman"/>
          <w:sz w:val="18"/>
          <w:szCs w:val="18"/>
          <w:lang w:val="en-US"/>
        </w:rPr>
        <w:t xml:space="preserve">, 1-26. </w:t>
      </w:r>
      <w:hyperlink r:id="rId17" w:history="1">
        <w:r w:rsidRPr="001603CC">
          <w:rPr>
            <w:rStyle w:val="Hyperlink"/>
            <w:rFonts w:ascii="Times New Roman" w:hAnsi="Times New Roman" w:cs="Times New Roman"/>
            <w:i/>
            <w:color w:val="548DD4" w:themeColor="text2" w:themeTint="99"/>
            <w:sz w:val="18"/>
            <w:szCs w:val="18"/>
            <w:u w:val="none"/>
            <w:lang w:val="en-US"/>
          </w:rPr>
          <w:t>http://dx.doi.org/10.2174/1389450117666161221122432</w:t>
        </w:r>
      </w:hyperlink>
      <w:r w:rsidRPr="001603CC">
        <w:rPr>
          <w:rFonts w:ascii="Times New Roman" w:hAnsi="Times New Roman" w:cs="Times New Roman"/>
          <w:i/>
          <w:color w:val="548DD4" w:themeColor="text2" w:themeTint="99"/>
          <w:sz w:val="18"/>
          <w:szCs w:val="18"/>
          <w:lang w:val="en-US"/>
        </w:rPr>
        <w:t>.</w:t>
      </w:r>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20">
    <w:p w:rsidR="00890CC9" w:rsidRPr="001603CC" w:rsidRDefault="00890CC9" w:rsidP="00895131">
      <w:pPr>
        <w:autoSpaceDE w:val="0"/>
        <w:autoSpaceDN w:val="0"/>
        <w:adjustRightInd w:val="0"/>
        <w:ind w:left="426" w:hanging="426"/>
        <w:jc w:val="both"/>
        <w:rPr>
          <w:rFonts w:ascii="Times New Roman" w:eastAsia="ArialMT" w:hAnsi="Times New Roman"/>
          <w:i/>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212121"/>
          <w:sz w:val="18"/>
          <w:szCs w:val="18"/>
          <w:shd w:val="clear" w:color="auto" w:fill="FFFFFF"/>
        </w:rPr>
        <w:t xml:space="preserve">Bekono BD, Ntie-Kang F, Owono Owono LC, Megnassan E. Targeting Cysteine Proteases from Plasmodium falciparum: A General Overview, Rational Drug Design and Computational Approaches for Drug Discovery. Curr Drug Targets. 2018;19(5):501-526. </w:t>
      </w:r>
      <w:hyperlink r:id="rId18" w:history="1">
        <w:r w:rsidRPr="001603CC">
          <w:rPr>
            <w:rStyle w:val="Hyperlink"/>
            <w:rFonts w:ascii="Times New Roman" w:hAnsi="Times New Roman"/>
            <w:i/>
            <w:color w:val="548DD4" w:themeColor="text2" w:themeTint="99"/>
            <w:sz w:val="18"/>
            <w:szCs w:val="18"/>
            <w:u w:val="none"/>
            <w:shd w:val="clear" w:color="auto" w:fill="FFFFFF"/>
          </w:rPr>
          <w:t>https://doi.org/10.2174/1389450117666161221122432</w:t>
        </w:r>
      </w:hyperlink>
    </w:p>
    <w:p w:rsidR="00890CC9" w:rsidRPr="001603CC" w:rsidRDefault="00890CC9" w:rsidP="00895131">
      <w:pPr>
        <w:autoSpaceDE w:val="0"/>
        <w:autoSpaceDN w:val="0"/>
        <w:adjustRightInd w:val="0"/>
        <w:ind w:left="426" w:hanging="426"/>
        <w:jc w:val="both"/>
        <w:rPr>
          <w:rFonts w:ascii="Times New Roman" w:eastAsia="ArialMT" w:hAnsi="Times New Roman"/>
          <w:sz w:val="18"/>
          <w:szCs w:val="18"/>
        </w:rPr>
      </w:pPr>
    </w:p>
  </w:endnote>
  <w:endnote w:id="21">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Cotereon JM, Catterick D, Castro J, et al. Falcipain Inhibitors: Optimization Studies of the 2–Pyrimidine–carbonitrile Lead Series. </w:t>
      </w:r>
      <w:r w:rsidRPr="001603CC">
        <w:rPr>
          <w:rFonts w:ascii="Times New Roman" w:hAnsi="Times New Roman" w:cs="Times New Roman"/>
          <w:i/>
          <w:iCs/>
          <w:sz w:val="18"/>
          <w:szCs w:val="18"/>
          <w:lang w:val="en-US"/>
        </w:rPr>
        <w:t>J Med Chem</w:t>
      </w:r>
      <w:r w:rsidRPr="001603CC">
        <w:rPr>
          <w:rFonts w:ascii="Times New Roman" w:hAnsi="Times New Roman" w:cs="Times New Roman"/>
          <w:sz w:val="18"/>
          <w:szCs w:val="18"/>
          <w:lang w:val="en-US"/>
        </w:rPr>
        <w:t xml:space="preserve">. 2010;53(16):6129–6152. </w:t>
      </w:r>
      <w:hyperlink r:id="rId19" w:history="1">
        <w:r w:rsidRPr="001603CC">
          <w:rPr>
            <w:rStyle w:val="Hyperlink"/>
            <w:rFonts w:ascii="Times New Roman" w:hAnsi="Times New Roman" w:cs="Times New Roman"/>
            <w:i/>
            <w:color w:val="548DD4" w:themeColor="text2" w:themeTint="99"/>
            <w:sz w:val="18"/>
            <w:szCs w:val="18"/>
            <w:u w:val="none"/>
            <w:lang w:val="en-US"/>
          </w:rPr>
          <w:t>http://dx.doi.org/10.1021/jm101228f</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22">
    <w:p w:rsidR="00890CC9" w:rsidRPr="001603CC" w:rsidRDefault="00890CC9" w:rsidP="00895131">
      <w:pPr>
        <w:pStyle w:val="EndnoteText"/>
        <w:spacing w:after="0" w:line="240" w:lineRule="auto"/>
        <w:ind w:left="426" w:hanging="426"/>
        <w:jc w:val="both"/>
        <w:rPr>
          <w:rFonts w:ascii="Times New Roman" w:hAnsi="Times New Roman"/>
          <w:color w:val="000000"/>
          <w:sz w:val="18"/>
          <w:szCs w:val="18"/>
          <w:lang w:val="en-US" w:eastAsia="fr-FR"/>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lang w:val="en-US"/>
        </w:rPr>
        <w:t xml:space="preserve">. </w:t>
      </w:r>
      <w:r w:rsidRPr="001603CC">
        <w:rPr>
          <w:rFonts w:ascii="Times New Roman" w:hAnsi="Times New Roman"/>
          <w:sz w:val="18"/>
          <w:szCs w:val="18"/>
          <w:lang w:val="en-US"/>
        </w:rPr>
        <w:tab/>
      </w:r>
      <w:r w:rsidRPr="001603CC">
        <w:rPr>
          <w:rFonts w:ascii="Times New Roman" w:hAnsi="Times New Roman"/>
          <w:color w:val="000000"/>
          <w:sz w:val="18"/>
          <w:szCs w:val="18"/>
          <w:lang w:val="en-US" w:eastAsia="fr-FR"/>
        </w:rPr>
        <w:t xml:space="preserve">R. Löser et al. Interaction of papain-like cysteine proteases with dipeptide-derived nitriles. </w:t>
      </w:r>
      <w:r w:rsidRPr="001603CC">
        <w:rPr>
          <w:rFonts w:ascii="Times New Roman" w:hAnsi="Times New Roman"/>
          <w:i/>
          <w:iCs/>
          <w:color w:val="000000"/>
          <w:sz w:val="18"/>
          <w:szCs w:val="18"/>
          <w:lang w:val="en-US" w:eastAsia="fr-FR"/>
        </w:rPr>
        <w:t>Journal of Medicinal Chemistry</w:t>
      </w:r>
      <w:r w:rsidRPr="001603CC">
        <w:rPr>
          <w:rFonts w:ascii="Times New Roman" w:hAnsi="Times New Roman"/>
          <w:color w:val="000000"/>
          <w:sz w:val="18"/>
          <w:szCs w:val="18"/>
          <w:lang w:val="en-US" w:eastAsia="fr-FR"/>
        </w:rPr>
        <w:t xml:space="preserve">, 48(24) :7688–7707, 2005. </w:t>
      </w:r>
      <w:hyperlink r:id="rId20" w:history="1">
        <w:r w:rsidRPr="001603CC">
          <w:rPr>
            <w:rStyle w:val="Hyperlink"/>
            <w:rFonts w:ascii="Times New Roman" w:hAnsi="Times New Roman"/>
            <w:i/>
            <w:color w:val="548DD4" w:themeColor="text2" w:themeTint="99"/>
            <w:sz w:val="18"/>
            <w:szCs w:val="18"/>
            <w:u w:val="none"/>
            <w:lang w:val="en-US" w:eastAsia="fr-FR"/>
          </w:rPr>
          <w:t>https://doi.org/10.1021/jm050686b</w:t>
        </w:r>
      </w:hyperlink>
    </w:p>
    <w:p w:rsidR="00890CC9" w:rsidRPr="001603CC" w:rsidRDefault="00890CC9" w:rsidP="00895131">
      <w:pPr>
        <w:pStyle w:val="EndnoteText"/>
        <w:spacing w:after="0" w:line="240" w:lineRule="auto"/>
        <w:ind w:left="426" w:hanging="426"/>
        <w:jc w:val="both"/>
        <w:rPr>
          <w:rFonts w:ascii="Times New Roman" w:hAnsi="Times New Roman"/>
          <w:color w:val="000000"/>
          <w:sz w:val="18"/>
          <w:szCs w:val="18"/>
          <w:lang w:val="en-US" w:eastAsia="fr-FR"/>
        </w:rPr>
      </w:pPr>
    </w:p>
  </w:endnote>
  <w:endnote w:id="23">
    <w:p w:rsidR="00890CC9" w:rsidRPr="001603CC" w:rsidRDefault="00890CC9" w:rsidP="00895131">
      <w:pPr>
        <w:pStyle w:val="EndnoteText"/>
        <w:tabs>
          <w:tab w:val="left" w:pos="0"/>
        </w:tabs>
        <w:spacing w:after="0" w:line="240" w:lineRule="auto"/>
        <w:ind w:left="426" w:hanging="426"/>
        <w:jc w:val="both"/>
        <w:rPr>
          <w:rFonts w:ascii="Times New Roman" w:hAnsi="Times New Roman"/>
          <w:color w:val="548DD4" w:themeColor="text2" w:themeTint="99"/>
          <w:sz w:val="18"/>
          <w:szCs w:val="18"/>
          <w:lang w:val="en-US"/>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lang w:val="en-US"/>
        </w:rPr>
        <w:t xml:space="preserve">. </w:t>
      </w:r>
      <w:r w:rsidRPr="001603CC">
        <w:rPr>
          <w:rFonts w:ascii="Times New Roman" w:hAnsi="Times New Roman"/>
          <w:sz w:val="18"/>
          <w:szCs w:val="18"/>
          <w:lang w:val="en-US"/>
        </w:rPr>
        <w:tab/>
      </w:r>
      <w:r w:rsidRPr="001603CC">
        <w:rPr>
          <w:rFonts w:ascii="Times New Roman" w:hAnsi="Times New Roman"/>
          <w:sz w:val="18"/>
          <w:szCs w:val="18"/>
          <w:lang w:val="en-US" w:eastAsia="fr-FR"/>
        </w:rPr>
        <w:t xml:space="preserve">Reik Löser , Jiri Gut, Philip J. et al. Antimalarial activity of azadipeptides nitriles. </w:t>
      </w:r>
      <w:r w:rsidRPr="001603CC">
        <w:rPr>
          <w:rFonts w:ascii="Times New Roman" w:hAnsi="Times New Roman"/>
          <w:i/>
          <w:iCs/>
          <w:sz w:val="18"/>
          <w:szCs w:val="18"/>
          <w:lang w:val="en-US" w:eastAsia="fr-FR"/>
        </w:rPr>
        <w:t>Bioorganic &amp; Medicinal Chemistry Letters</w:t>
      </w:r>
      <w:r w:rsidRPr="001603CC">
        <w:rPr>
          <w:rFonts w:ascii="Times New Roman" w:hAnsi="Times New Roman"/>
          <w:sz w:val="18"/>
          <w:szCs w:val="18"/>
          <w:lang w:val="en-US" w:eastAsia="fr-FR"/>
        </w:rPr>
        <w:t>. 2010; 20 (1):252–255.</w:t>
      </w:r>
      <w:hyperlink r:id="rId21" w:history="1">
        <w:r w:rsidRPr="001603CC">
          <w:rPr>
            <w:rStyle w:val="Hyperlink"/>
            <w:rFonts w:ascii="Times New Roman" w:hAnsi="Times New Roman"/>
            <w:i/>
            <w:color w:val="548DD4" w:themeColor="text2" w:themeTint="99"/>
            <w:sz w:val="18"/>
            <w:szCs w:val="18"/>
            <w:u w:val="none"/>
            <w:lang w:val="en-US"/>
          </w:rPr>
          <w:t>https://doi.org/10.1016/j.bmcl.2009.10.122</w:t>
        </w:r>
      </w:hyperlink>
    </w:p>
    <w:p w:rsidR="00890CC9" w:rsidRPr="001603CC" w:rsidRDefault="00890CC9" w:rsidP="00895131">
      <w:pPr>
        <w:pStyle w:val="EndnoteText"/>
        <w:tabs>
          <w:tab w:val="left" w:pos="0"/>
        </w:tabs>
        <w:spacing w:after="0" w:line="240" w:lineRule="auto"/>
        <w:ind w:left="426" w:hanging="426"/>
        <w:jc w:val="both"/>
        <w:rPr>
          <w:rFonts w:ascii="Times New Roman" w:hAnsi="Times New Roman"/>
          <w:sz w:val="18"/>
          <w:szCs w:val="18"/>
          <w:lang w:val="en-US"/>
        </w:rPr>
      </w:pPr>
    </w:p>
  </w:endnote>
  <w:endnote w:id="24">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Ettari R, Bova F, Zappala M, et al. Falcipain–2 inhibitors. </w:t>
      </w:r>
      <w:r w:rsidRPr="001603CC">
        <w:rPr>
          <w:rFonts w:ascii="Times New Roman" w:hAnsi="Times New Roman" w:cs="Times New Roman"/>
          <w:i/>
          <w:iCs/>
          <w:sz w:val="18"/>
          <w:szCs w:val="18"/>
          <w:lang w:val="en-US"/>
        </w:rPr>
        <w:t>Medicinal Research Reviews</w:t>
      </w:r>
      <w:r w:rsidRPr="001603CC">
        <w:rPr>
          <w:rFonts w:ascii="Times New Roman" w:hAnsi="Times New Roman" w:cs="Times New Roman"/>
          <w:sz w:val="18"/>
          <w:szCs w:val="18"/>
          <w:lang w:val="en-US"/>
        </w:rPr>
        <w:t xml:space="preserve">. 2010;30(1):136–167. </w:t>
      </w:r>
      <w:hyperlink r:id="rId22" w:history="1">
        <w:r w:rsidRPr="001603CC">
          <w:rPr>
            <w:rStyle w:val="Hyperlink"/>
            <w:rFonts w:ascii="Times New Roman" w:hAnsi="Times New Roman" w:cs="Times New Roman"/>
            <w:i/>
            <w:color w:val="548DD4" w:themeColor="text2" w:themeTint="99"/>
            <w:sz w:val="18"/>
            <w:szCs w:val="18"/>
            <w:u w:val="none"/>
            <w:lang w:val="en-US"/>
          </w:rPr>
          <w:t>https://doi.org/10.1002/med.20163</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25">
    <w:p w:rsidR="00890CC9" w:rsidRPr="001603CC" w:rsidRDefault="00890CC9" w:rsidP="00895131">
      <w:pPr>
        <w:autoSpaceDE w:val="0"/>
        <w:autoSpaceDN w:val="0"/>
        <w:adjustRightInd w:val="0"/>
        <w:ind w:left="426" w:hanging="426"/>
        <w:jc w:val="both"/>
        <w:rPr>
          <w:rFonts w:ascii="Times New Roman" w:hAnsi="Times New Roman"/>
          <w:i/>
          <w:color w:val="548DD4" w:themeColor="text2" w:themeTint="99"/>
          <w:sz w:val="18"/>
          <w:szCs w:val="18"/>
          <w:lang w:eastAsia="fr-FR"/>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r w:rsidRPr="001603CC">
        <w:rPr>
          <w:rFonts w:ascii="Times New Roman" w:hAnsi="Times New Roman"/>
          <w:color w:val="000000"/>
          <w:sz w:val="18"/>
          <w:szCs w:val="18"/>
          <w:lang w:eastAsia="fr-FR"/>
        </w:rPr>
        <w:t xml:space="preserve">K. Singh et al. Pyrimidine-based antimalarials : design strategies and antiplasmodial effects. </w:t>
      </w:r>
      <w:r w:rsidRPr="001603CC">
        <w:rPr>
          <w:rFonts w:ascii="Times New Roman" w:hAnsi="Times New Roman"/>
          <w:i/>
          <w:iCs/>
          <w:color w:val="000000"/>
          <w:sz w:val="18"/>
          <w:szCs w:val="18"/>
          <w:lang w:eastAsia="fr-FR"/>
        </w:rPr>
        <w:t>Med. Chem. Commun.</w:t>
      </w:r>
      <w:r w:rsidRPr="001603CC">
        <w:rPr>
          <w:rFonts w:ascii="Times New Roman" w:hAnsi="Times New Roman"/>
          <w:color w:val="000000"/>
          <w:sz w:val="18"/>
          <w:szCs w:val="18"/>
          <w:lang w:eastAsia="fr-FR"/>
        </w:rPr>
        <w:t xml:space="preserve">, 7 :749–768, 2016. </w:t>
      </w:r>
      <w:hyperlink r:id="rId23" w:history="1">
        <w:r w:rsidRPr="001603CC">
          <w:rPr>
            <w:rStyle w:val="Hyperlink"/>
            <w:rFonts w:ascii="Times New Roman" w:hAnsi="Times New Roman"/>
            <w:i/>
            <w:color w:val="548DD4" w:themeColor="text2" w:themeTint="99"/>
            <w:sz w:val="18"/>
            <w:szCs w:val="18"/>
            <w:u w:val="none"/>
            <w:lang w:eastAsia="fr-FR"/>
          </w:rPr>
          <w:t>https://doi.org/10.1039/C6MD00084C</w:t>
        </w:r>
      </w:hyperlink>
    </w:p>
    <w:p w:rsidR="00890CC9" w:rsidRPr="001603CC" w:rsidRDefault="00890CC9" w:rsidP="00895131">
      <w:pPr>
        <w:autoSpaceDE w:val="0"/>
        <w:autoSpaceDN w:val="0"/>
        <w:adjustRightInd w:val="0"/>
        <w:ind w:left="426" w:hanging="426"/>
        <w:jc w:val="both"/>
        <w:rPr>
          <w:rFonts w:ascii="Times New Roman" w:hAnsi="Times New Roman"/>
          <w:color w:val="000000"/>
          <w:sz w:val="18"/>
          <w:szCs w:val="18"/>
          <w:lang w:eastAsia="fr-FR"/>
        </w:rPr>
      </w:pPr>
    </w:p>
  </w:endnote>
  <w:endnote w:id="26">
    <w:p w:rsidR="00890CC9" w:rsidRPr="001603CC" w:rsidRDefault="00890CC9" w:rsidP="00895131">
      <w:pPr>
        <w:pStyle w:val="EndnoteText"/>
        <w:spacing w:after="0" w:line="240" w:lineRule="auto"/>
        <w:ind w:left="426" w:hanging="426"/>
        <w:jc w:val="both"/>
        <w:rPr>
          <w:rFonts w:ascii="Times New Roman" w:hAnsi="Times New Roman"/>
          <w:i/>
          <w:color w:val="548DD4" w:themeColor="text2" w:themeTint="99"/>
          <w:sz w:val="18"/>
          <w:szCs w:val="18"/>
          <w:lang w:val="en-US"/>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lang w:val="en-US"/>
        </w:rPr>
        <w:t xml:space="preserve">. </w:t>
      </w:r>
      <w:r w:rsidRPr="001603CC">
        <w:rPr>
          <w:rFonts w:ascii="Times New Roman" w:hAnsi="Times New Roman"/>
          <w:sz w:val="18"/>
          <w:szCs w:val="18"/>
          <w:lang w:val="en-US"/>
        </w:rPr>
        <w:tab/>
      </w:r>
      <w:r w:rsidRPr="001603CC">
        <w:rPr>
          <w:rFonts w:ascii="Times New Roman" w:hAnsi="Times New Roman"/>
          <w:color w:val="000000"/>
          <w:sz w:val="18"/>
          <w:szCs w:val="18"/>
          <w:lang w:val="en-US"/>
        </w:rPr>
        <w:t xml:space="preserve">Fagnidi YKH, Toi B, Megnassan E, et al. </w:t>
      </w:r>
      <w:r w:rsidRPr="001603CC">
        <w:rPr>
          <w:rFonts w:ascii="Times New Roman" w:hAnsi="Times New Roman"/>
          <w:i/>
          <w:iCs/>
          <w:color w:val="000000"/>
          <w:sz w:val="18"/>
          <w:szCs w:val="18"/>
          <w:lang w:val="en-US"/>
        </w:rPr>
        <w:t xml:space="preserve">In silico </w:t>
      </w:r>
      <w:r w:rsidRPr="001603CC">
        <w:rPr>
          <w:rFonts w:ascii="Times New Roman" w:hAnsi="Times New Roman"/>
          <w:color w:val="000000"/>
          <w:sz w:val="18"/>
          <w:szCs w:val="18"/>
          <w:lang w:val="en-US"/>
        </w:rPr>
        <w:t xml:space="preserve">design of </w:t>
      </w:r>
      <w:r w:rsidRPr="001603CC">
        <w:rPr>
          <w:rFonts w:ascii="Times New Roman" w:hAnsi="Times New Roman"/>
          <w:i/>
          <w:iCs/>
          <w:color w:val="000000"/>
          <w:sz w:val="18"/>
          <w:szCs w:val="18"/>
          <w:lang w:val="en-US"/>
        </w:rPr>
        <w:t xml:space="preserve">Plasmodium falciparum </w:t>
      </w:r>
      <w:r w:rsidRPr="001603CC">
        <w:rPr>
          <w:rFonts w:ascii="Times New Roman" w:hAnsi="Times New Roman"/>
          <w:color w:val="000000"/>
          <w:sz w:val="18"/>
          <w:szCs w:val="18"/>
          <w:lang w:val="en-US"/>
        </w:rPr>
        <w:t xml:space="preserve">cysteine protease falcipain 2 inhibitors with favorable pharmacokinetic profile. </w:t>
      </w:r>
      <w:r w:rsidRPr="001603CC">
        <w:rPr>
          <w:rFonts w:ascii="Times New Roman" w:hAnsi="Times New Roman"/>
          <w:i/>
          <w:iCs/>
          <w:color w:val="000000"/>
          <w:sz w:val="18"/>
          <w:szCs w:val="18"/>
          <w:lang w:val="en-US"/>
        </w:rPr>
        <w:t xml:space="preserve">J Anal Pharm Res. </w:t>
      </w:r>
      <w:r w:rsidRPr="001603CC">
        <w:rPr>
          <w:rFonts w:ascii="Times New Roman" w:hAnsi="Times New Roman"/>
          <w:color w:val="000000"/>
          <w:sz w:val="18"/>
          <w:szCs w:val="18"/>
          <w:lang w:val="en-US"/>
        </w:rPr>
        <w:t xml:space="preserve">2018;7(3):298‒309. </w:t>
      </w:r>
      <w:hyperlink r:id="rId24" w:history="1">
        <w:r w:rsidRPr="001603CC">
          <w:rPr>
            <w:rStyle w:val="Hyperlink"/>
            <w:rFonts w:ascii="Times New Roman" w:hAnsi="Times New Roman"/>
            <w:i/>
            <w:color w:val="548DD4" w:themeColor="text2" w:themeTint="99"/>
            <w:sz w:val="18"/>
            <w:szCs w:val="18"/>
            <w:u w:val="none"/>
            <w:lang w:val="en-US"/>
          </w:rPr>
          <w:t>https://doi.org/10.15406/japlr.2018.07.00244</w:t>
        </w:r>
      </w:hyperlink>
    </w:p>
    <w:p w:rsidR="00890CC9" w:rsidRPr="001603CC" w:rsidRDefault="00890CC9" w:rsidP="00895131">
      <w:pPr>
        <w:pStyle w:val="EndnoteText"/>
        <w:spacing w:after="0" w:line="240" w:lineRule="auto"/>
        <w:ind w:left="426" w:hanging="426"/>
        <w:jc w:val="both"/>
        <w:rPr>
          <w:rFonts w:ascii="Times New Roman" w:hAnsi="Times New Roman"/>
          <w:color w:val="000000"/>
          <w:sz w:val="18"/>
          <w:szCs w:val="18"/>
          <w:lang w:val="en-US"/>
        </w:rPr>
      </w:pPr>
    </w:p>
  </w:endnote>
  <w:endnote w:id="27">
    <w:p w:rsidR="00890CC9" w:rsidRPr="001603CC" w:rsidRDefault="00890CC9" w:rsidP="00895131">
      <w:pPr>
        <w:autoSpaceDE w:val="0"/>
        <w:autoSpaceDN w:val="0"/>
        <w:adjustRightInd w:val="0"/>
        <w:ind w:left="426" w:hanging="426"/>
        <w:jc w:val="both"/>
        <w:rPr>
          <w:rFonts w:ascii="Times New Roman" w:eastAsia="TimesNewRoman" w:hAnsi="Times New Roman"/>
          <w:color w:val="548DD4" w:themeColor="text2" w:themeTint="99"/>
          <w:sz w:val="18"/>
          <w:szCs w:val="18"/>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rPr>
        <w:t xml:space="preserve">. </w:t>
      </w:r>
      <w:r w:rsidRPr="001603CC">
        <w:rPr>
          <w:rFonts w:ascii="Times New Roman" w:hAnsi="Times New Roman"/>
          <w:sz w:val="18"/>
          <w:szCs w:val="18"/>
        </w:rPr>
        <w:tab/>
      </w:r>
      <w:hyperlink r:id="rId25" w:history="1">
        <w:r w:rsidRPr="001603CC">
          <w:rPr>
            <w:rFonts w:ascii="Times New Roman" w:eastAsia="TimesNewRoman" w:hAnsi="Times New Roman"/>
            <w:i/>
            <w:color w:val="8DB3E2" w:themeColor="text2" w:themeTint="66"/>
            <w:sz w:val="18"/>
            <w:szCs w:val="18"/>
          </w:rPr>
          <w:t>QikProp, version 3.7, release 14, X Schrodinger, LLC, New York, NY, 2014</w:t>
        </w:r>
        <w:r w:rsidRPr="001603CC">
          <w:rPr>
            <w:rStyle w:val="Hyperlink"/>
            <w:rFonts w:ascii="Times New Roman" w:eastAsia="TimesNewRoman" w:hAnsi="Times New Roman"/>
            <w:i/>
            <w:color w:val="8DB3E2" w:themeColor="text2" w:themeTint="66"/>
            <w:sz w:val="18"/>
            <w:szCs w:val="18"/>
            <w:u w:val="none"/>
          </w:rPr>
          <w:t>.</w:t>
        </w:r>
      </w:hyperlink>
    </w:p>
    <w:p w:rsidR="00890CC9" w:rsidRPr="001603CC" w:rsidRDefault="00890CC9" w:rsidP="00895131">
      <w:pPr>
        <w:autoSpaceDE w:val="0"/>
        <w:autoSpaceDN w:val="0"/>
        <w:adjustRightInd w:val="0"/>
        <w:ind w:left="426" w:hanging="426"/>
        <w:jc w:val="both"/>
        <w:rPr>
          <w:rFonts w:ascii="Times New Roman" w:eastAsia="TimesNewRoman" w:hAnsi="Times New Roman"/>
          <w:sz w:val="18"/>
          <w:szCs w:val="18"/>
        </w:rPr>
      </w:pPr>
    </w:p>
  </w:endnote>
  <w:endnote w:id="28">
    <w:p w:rsidR="00890CC9" w:rsidRPr="001603CC" w:rsidRDefault="00890CC9" w:rsidP="00895131">
      <w:pPr>
        <w:pStyle w:val="EndnoteText"/>
        <w:spacing w:after="0" w:line="240" w:lineRule="auto"/>
        <w:ind w:left="426" w:hanging="426"/>
        <w:jc w:val="both"/>
        <w:rPr>
          <w:rFonts w:ascii="Times New Roman" w:hAnsi="Times New Roman"/>
          <w:i/>
          <w:color w:val="548DD4" w:themeColor="text2" w:themeTint="99"/>
          <w:sz w:val="18"/>
          <w:szCs w:val="18"/>
          <w:lang w:val="en-US"/>
        </w:rPr>
      </w:pPr>
      <w:r w:rsidRPr="001603CC">
        <w:rPr>
          <w:rStyle w:val="EndnoteReference"/>
          <w:rFonts w:ascii="Times New Roman" w:hAnsi="Times New Roman"/>
          <w:sz w:val="18"/>
          <w:szCs w:val="18"/>
          <w:vertAlign w:val="baseline"/>
        </w:rPr>
        <w:endnoteRef/>
      </w:r>
      <w:r w:rsidRPr="001603CC">
        <w:rPr>
          <w:rFonts w:ascii="Times New Roman" w:hAnsi="Times New Roman"/>
          <w:sz w:val="18"/>
          <w:szCs w:val="18"/>
          <w:lang w:val="en-US"/>
        </w:rPr>
        <w:t xml:space="preserve">. </w:t>
      </w:r>
      <w:r w:rsidRPr="001603CC">
        <w:rPr>
          <w:rFonts w:ascii="Times New Roman" w:hAnsi="Times New Roman"/>
          <w:sz w:val="18"/>
          <w:szCs w:val="18"/>
          <w:lang w:val="en-US"/>
        </w:rPr>
        <w:tab/>
      </w:r>
      <w:hyperlink r:id="rId26" w:history="1">
        <w:r w:rsidRPr="001603CC">
          <w:rPr>
            <w:rStyle w:val="Hyperlink"/>
            <w:rFonts w:ascii="Times New Roman" w:hAnsi="Times New Roman"/>
            <w:i/>
            <w:color w:val="548DD4" w:themeColor="text2" w:themeTint="99"/>
            <w:sz w:val="18"/>
            <w:szCs w:val="18"/>
            <w:u w:val="none"/>
            <w:lang w:val="en-US"/>
          </w:rPr>
          <w:t>Discovery Studio molecular modeling and simulation pro</w:t>
        </w:r>
        <w:r w:rsidRPr="001603CC">
          <w:rPr>
            <w:rStyle w:val="Hyperlink"/>
            <w:rFonts w:ascii="Times New Roman" w:hAnsi="Times New Roman"/>
            <w:i/>
            <w:color w:val="548DD4" w:themeColor="text2" w:themeTint="99"/>
            <w:sz w:val="18"/>
            <w:szCs w:val="18"/>
            <w:u w:val="none"/>
            <w:lang w:val="en-US"/>
          </w:rPr>
          <w:softHyphen/>
          <w:t>gram, version 2.5, Accelrys, Inc., San Diego, CA, 2009, California</w:t>
        </w:r>
      </w:hyperlink>
    </w:p>
    <w:p w:rsidR="00890CC9" w:rsidRPr="001603CC" w:rsidRDefault="00890CC9" w:rsidP="00895131">
      <w:pPr>
        <w:pStyle w:val="EndnoteText"/>
        <w:spacing w:after="0" w:line="240" w:lineRule="auto"/>
        <w:ind w:left="426" w:hanging="426"/>
        <w:jc w:val="both"/>
        <w:rPr>
          <w:rFonts w:ascii="Times New Roman" w:hAnsi="Times New Roman"/>
          <w:sz w:val="18"/>
          <w:szCs w:val="18"/>
          <w:lang w:val="en-US"/>
        </w:rPr>
      </w:pPr>
    </w:p>
  </w:endnote>
  <w:endnote w:id="29">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rPr>
        <w:t xml:space="preserve">. </w:t>
      </w:r>
      <w:r w:rsidRPr="001603CC">
        <w:rPr>
          <w:rFonts w:ascii="Times New Roman" w:hAnsi="Times New Roman" w:cs="Times New Roman"/>
          <w:sz w:val="18"/>
          <w:szCs w:val="18"/>
        </w:rPr>
        <w:tab/>
        <w:t xml:space="preserve">Kouassi AF, Kone M, Keita M, et al. </w:t>
      </w:r>
      <w:r w:rsidRPr="001603CC">
        <w:rPr>
          <w:rFonts w:ascii="Times New Roman" w:hAnsi="Times New Roman" w:cs="Times New Roman"/>
          <w:sz w:val="18"/>
          <w:szCs w:val="18"/>
          <w:lang w:val="en-US"/>
        </w:rPr>
        <w:t xml:space="preserve">Computer–Aided Design of Orally Bioavailable Pyrrolidine Carboxamide Inhibitors of Enoyl–Acyl Carrier Protein Reductase of </w:t>
      </w:r>
      <w:r w:rsidRPr="001603CC">
        <w:rPr>
          <w:rFonts w:ascii="Times New Roman" w:hAnsi="Times New Roman" w:cs="Times New Roman"/>
          <w:i/>
          <w:iCs/>
          <w:sz w:val="18"/>
          <w:szCs w:val="18"/>
          <w:lang w:val="en-US"/>
        </w:rPr>
        <w:t xml:space="preserve">Mycobacterium tuberculosis </w:t>
      </w:r>
      <w:r w:rsidRPr="001603CC">
        <w:rPr>
          <w:rFonts w:ascii="Times New Roman" w:hAnsi="Times New Roman" w:cs="Times New Roman"/>
          <w:sz w:val="18"/>
          <w:szCs w:val="18"/>
          <w:lang w:val="en-US"/>
        </w:rPr>
        <w:t xml:space="preserve">with Favorable Pharmacokinetic Profiles. </w:t>
      </w:r>
      <w:r w:rsidRPr="001603CC">
        <w:rPr>
          <w:rFonts w:ascii="Times New Roman" w:hAnsi="Times New Roman" w:cs="Times New Roman"/>
          <w:i/>
          <w:iCs/>
          <w:sz w:val="18"/>
          <w:szCs w:val="18"/>
          <w:lang w:val="en-US"/>
        </w:rPr>
        <w:t>Int J Mol Sci</w:t>
      </w:r>
      <w:r w:rsidRPr="001603CC">
        <w:rPr>
          <w:rFonts w:ascii="Times New Roman" w:hAnsi="Times New Roman" w:cs="Times New Roman"/>
          <w:sz w:val="18"/>
          <w:szCs w:val="18"/>
          <w:lang w:val="en-US"/>
        </w:rPr>
        <w:t xml:space="preserve">. 2015;16(12):29744–29771. </w:t>
      </w:r>
      <w:hyperlink r:id="rId27" w:history="1">
        <w:r w:rsidRPr="001603CC">
          <w:rPr>
            <w:rStyle w:val="Hyperlink"/>
            <w:rFonts w:ascii="Times New Roman" w:hAnsi="Times New Roman" w:cs="Times New Roman"/>
            <w:i/>
            <w:color w:val="548DD4" w:themeColor="text2" w:themeTint="99"/>
            <w:sz w:val="18"/>
            <w:szCs w:val="18"/>
            <w:u w:val="none"/>
            <w:lang w:val="en-US"/>
          </w:rPr>
          <w:t>https://doi.org/10.3390/ijms161226196</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0">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Keita M, Kumar A, Dali B, et al. Quantitative structure–activity relationships and design of thymine–like inhibitors of thymidine monophosphate kinase of </w:t>
      </w:r>
      <w:r w:rsidRPr="001603CC">
        <w:rPr>
          <w:rFonts w:ascii="Times New Roman" w:hAnsi="Times New Roman" w:cs="Times New Roman"/>
          <w:i/>
          <w:iCs/>
          <w:sz w:val="18"/>
          <w:szCs w:val="18"/>
          <w:lang w:val="en-US"/>
        </w:rPr>
        <w:t xml:space="preserve">Mycobacterium tuberculosis </w:t>
      </w:r>
      <w:r w:rsidRPr="001603CC">
        <w:rPr>
          <w:rFonts w:ascii="Times New Roman" w:hAnsi="Times New Roman" w:cs="Times New Roman"/>
          <w:sz w:val="18"/>
          <w:szCs w:val="18"/>
          <w:lang w:val="en-US"/>
        </w:rPr>
        <w:t xml:space="preserve">with favourable pharmacokinetic profiles. </w:t>
      </w:r>
      <w:r w:rsidRPr="001603CC">
        <w:rPr>
          <w:rFonts w:ascii="Times New Roman" w:hAnsi="Times New Roman" w:cs="Times New Roman"/>
          <w:i/>
          <w:iCs/>
          <w:sz w:val="18"/>
          <w:szCs w:val="18"/>
          <w:lang w:val="en-US"/>
        </w:rPr>
        <w:t>RSC Advances</w:t>
      </w:r>
      <w:r w:rsidRPr="001603CC">
        <w:rPr>
          <w:rFonts w:ascii="Times New Roman" w:hAnsi="Times New Roman" w:cs="Times New Roman"/>
          <w:sz w:val="18"/>
          <w:szCs w:val="18"/>
          <w:lang w:val="en-US"/>
        </w:rPr>
        <w:t xml:space="preserve">. 2014;4(99):55853–55866. </w:t>
      </w:r>
      <w:hyperlink r:id="rId28" w:history="1">
        <w:r w:rsidRPr="001603CC">
          <w:rPr>
            <w:rStyle w:val="Hyperlink"/>
            <w:rFonts w:ascii="Times New Roman" w:hAnsi="Times New Roman" w:cs="Times New Roman"/>
            <w:i/>
            <w:color w:val="548DD4" w:themeColor="text2" w:themeTint="99"/>
            <w:sz w:val="18"/>
            <w:szCs w:val="18"/>
            <w:u w:val="none"/>
            <w:lang w:val="en-US"/>
          </w:rPr>
          <w:t>https://doi.org/10.1039/C4RA06917J</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1">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Dugas H. Basic principles in molecular modeling, theoretical and practical aspects. 4th ed, University of Montreal Bookstore; 1996. </w:t>
      </w:r>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2">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w:t>
      </w:r>
      <w:r w:rsidRPr="001603CC">
        <w:rPr>
          <w:rFonts w:ascii="Times New Roman" w:hAnsi="Times New Roman" w:cs="Times New Roman"/>
          <w:sz w:val="18"/>
          <w:szCs w:val="18"/>
          <w:lang w:val="en-US"/>
        </w:rPr>
        <w:tab/>
        <w:t xml:space="preserve">Bartol J, Comba P, Melter M, Zimmer M. Conformational searching of transition metal compounds. J Comput Chem. 1999; 20(14):1549-58. </w:t>
      </w:r>
      <w:hyperlink r:id="rId29" w:history="1">
        <w:r w:rsidRPr="001603CC">
          <w:rPr>
            <w:rStyle w:val="Hyperlink"/>
            <w:rFonts w:ascii="Times New Roman" w:hAnsi="Times New Roman" w:cs="Times New Roman"/>
            <w:i/>
            <w:color w:val="548DD4" w:themeColor="text2" w:themeTint="99"/>
            <w:sz w:val="18"/>
            <w:szCs w:val="18"/>
            <w:u w:val="none"/>
            <w:lang w:val="en-US"/>
          </w:rPr>
          <w:t>https://doi.org/10.1002/(sici)1096-987x(19991115)20:14%3C1549::aid-jcc8%3E3.0.co;2-f</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3">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Gilson MK, Honig B. The inclusion of electrostatic hydration energies in molecular mechanics calculations. </w:t>
      </w:r>
      <w:r w:rsidRPr="001603CC">
        <w:rPr>
          <w:rFonts w:ascii="Times New Roman" w:hAnsi="Times New Roman" w:cs="Times New Roman"/>
          <w:i/>
          <w:iCs/>
          <w:sz w:val="18"/>
          <w:szCs w:val="18"/>
          <w:lang w:val="en-US"/>
        </w:rPr>
        <w:t>J Comput Aided Mol Des</w:t>
      </w:r>
      <w:r w:rsidRPr="001603CC">
        <w:rPr>
          <w:rFonts w:ascii="Times New Roman" w:hAnsi="Times New Roman" w:cs="Times New Roman"/>
          <w:sz w:val="18"/>
          <w:szCs w:val="18"/>
          <w:lang w:val="en-US"/>
        </w:rPr>
        <w:t xml:space="preserve">. 1991;5(1):5–20. </w:t>
      </w:r>
      <w:hyperlink r:id="rId30" w:history="1">
        <w:r w:rsidRPr="001603CC">
          <w:rPr>
            <w:rStyle w:val="Hyperlink"/>
            <w:rFonts w:ascii="Times New Roman" w:hAnsi="Times New Roman" w:cs="Times New Roman"/>
            <w:i/>
            <w:color w:val="548DD4" w:themeColor="text2" w:themeTint="99"/>
            <w:sz w:val="18"/>
            <w:szCs w:val="18"/>
            <w:u w:val="none"/>
            <w:lang w:val="en-US"/>
          </w:rPr>
          <w:t>https://doi.org/10.1007/bf00173467</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4">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w:t>
      </w:r>
      <w:r w:rsidRPr="001603CC">
        <w:rPr>
          <w:rFonts w:ascii="Times New Roman" w:hAnsi="Times New Roman" w:cs="Times New Roman"/>
          <w:sz w:val="18"/>
          <w:szCs w:val="18"/>
          <w:lang w:val="en-US"/>
        </w:rPr>
        <w:tab/>
        <w:t xml:space="preserve">Rocchia W, Sridharan S, Nicholls A, et al. Rapid grid–based construction of the molecular surface and the use of induced surface charge to calculate reaction field energies: Applications to the molecular systems and geometric objects. </w:t>
      </w:r>
      <w:r w:rsidRPr="001603CC">
        <w:rPr>
          <w:rFonts w:ascii="Times New Roman" w:hAnsi="Times New Roman" w:cs="Times New Roman"/>
          <w:i/>
          <w:iCs/>
          <w:sz w:val="18"/>
          <w:szCs w:val="18"/>
          <w:lang w:val="en-US"/>
        </w:rPr>
        <w:t>J Comput Chem</w:t>
      </w:r>
      <w:r w:rsidRPr="001603CC">
        <w:rPr>
          <w:rFonts w:ascii="Times New Roman" w:hAnsi="Times New Roman" w:cs="Times New Roman"/>
          <w:sz w:val="18"/>
          <w:szCs w:val="18"/>
          <w:lang w:val="en-US"/>
        </w:rPr>
        <w:t xml:space="preserve">.2002;23(1):128–137. </w:t>
      </w:r>
      <w:hyperlink r:id="rId31" w:history="1">
        <w:r w:rsidRPr="001603CC">
          <w:rPr>
            <w:rStyle w:val="Hyperlink"/>
            <w:rFonts w:ascii="Times New Roman" w:hAnsi="Times New Roman" w:cs="Times New Roman"/>
            <w:i/>
            <w:color w:val="548DD4" w:themeColor="text2" w:themeTint="99"/>
            <w:sz w:val="18"/>
            <w:szCs w:val="18"/>
            <w:u w:val="none"/>
            <w:lang w:val="en-US"/>
          </w:rPr>
          <w:t>https://doi.org/10.1002/jcc.1161</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5">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w:t>
      </w:r>
      <w:r w:rsidRPr="001603CC">
        <w:rPr>
          <w:rFonts w:ascii="Times New Roman" w:hAnsi="Times New Roman" w:cs="Times New Roman"/>
          <w:sz w:val="18"/>
          <w:szCs w:val="18"/>
          <w:lang w:val="en-US"/>
        </w:rPr>
        <w:tab/>
      </w:r>
      <w:hyperlink r:id="rId32" w:history="1">
        <w:r w:rsidRPr="001603CC">
          <w:rPr>
            <w:rStyle w:val="Hyperlink"/>
            <w:rFonts w:ascii="Times New Roman" w:hAnsi="Times New Roman" w:cs="Times New Roman"/>
            <w:i/>
            <w:iCs/>
            <w:color w:val="548DD4" w:themeColor="text2" w:themeTint="99"/>
            <w:sz w:val="18"/>
            <w:szCs w:val="18"/>
            <w:u w:val="none"/>
            <w:lang w:val="en-US"/>
          </w:rPr>
          <w:t>Discovery Studio Molecular Modeling and Simulation Software</w:t>
        </w:r>
        <w:r w:rsidRPr="001603CC">
          <w:rPr>
            <w:rStyle w:val="Hyperlink"/>
            <w:rFonts w:ascii="Times New Roman" w:hAnsi="Times New Roman" w:cs="Times New Roman"/>
            <w:i/>
            <w:color w:val="548DD4" w:themeColor="text2" w:themeTint="99"/>
            <w:sz w:val="18"/>
            <w:szCs w:val="18"/>
            <w:u w:val="none"/>
            <w:lang w:val="en-US"/>
          </w:rPr>
          <w:t>. USA: San Diego; 2009.</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6">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w:t>
      </w:r>
      <w:r w:rsidRPr="001603CC">
        <w:rPr>
          <w:rFonts w:ascii="Times New Roman" w:hAnsi="Times New Roman" w:cs="Times New Roman"/>
          <w:sz w:val="18"/>
          <w:szCs w:val="18"/>
          <w:lang w:val="en-US"/>
        </w:rPr>
        <w:tab/>
      </w:r>
      <w:hyperlink r:id="rId33" w:history="1">
        <w:r w:rsidRPr="001603CC">
          <w:rPr>
            <w:rStyle w:val="Hyperlink"/>
            <w:rFonts w:ascii="Times New Roman" w:hAnsi="Times New Roman" w:cs="Times New Roman"/>
            <w:i/>
            <w:color w:val="548DD4" w:themeColor="text2" w:themeTint="99"/>
            <w:sz w:val="18"/>
            <w:szCs w:val="18"/>
            <w:u w:val="none"/>
            <w:lang w:val="en-US"/>
          </w:rPr>
          <w:t>Böttcher CJF. Theory of electric polarization. Amsterdam, The Netherlands: Elsevier; 1973.</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7">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w:t>
      </w:r>
      <w:r w:rsidRPr="001603CC">
        <w:rPr>
          <w:rFonts w:ascii="Times New Roman" w:hAnsi="Times New Roman" w:cs="Times New Roman"/>
          <w:sz w:val="18"/>
          <w:szCs w:val="18"/>
          <w:lang w:val="en-US"/>
        </w:rPr>
        <w:tab/>
        <w:t xml:space="preserve">Duffy EM, Jorgensen WL. Prediction of properties from simulations: Free energies of solvation in hexadecane, octanol, and water. </w:t>
      </w:r>
      <w:r w:rsidRPr="001603CC">
        <w:rPr>
          <w:rFonts w:ascii="Times New Roman" w:hAnsi="Times New Roman" w:cs="Times New Roman"/>
          <w:i/>
          <w:iCs/>
          <w:sz w:val="18"/>
          <w:szCs w:val="18"/>
          <w:lang w:val="en-US"/>
        </w:rPr>
        <w:t>J Am Chem Soc</w:t>
      </w:r>
      <w:r w:rsidRPr="001603CC">
        <w:rPr>
          <w:rFonts w:ascii="Times New Roman" w:hAnsi="Times New Roman" w:cs="Times New Roman"/>
          <w:sz w:val="18"/>
          <w:szCs w:val="18"/>
          <w:lang w:val="en-US"/>
        </w:rPr>
        <w:t xml:space="preserve">. 2000;122:2878–2888. </w:t>
      </w:r>
      <w:hyperlink r:id="rId34" w:history="1">
        <w:r w:rsidRPr="001603CC">
          <w:rPr>
            <w:rStyle w:val="Hyperlink"/>
            <w:rFonts w:ascii="Times New Roman" w:hAnsi="Times New Roman" w:cs="Times New Roman"/>
            <w:i/>
            <w:color w:val="548DD4" w:themeColor="text2" w:themeTint="99"/>
            <w:sz w:val="18"/>
            <w:szCs w:val="18"/>
            <w:u w:val="none"/>
            <w:lang w:val="en-US"/>
          </w:rPr>
          <w:t>https://doi.org/10.1021/ja993663t</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8">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Jorgensen WL, Duffy EM. Prediction of drug solubility from Monte Carlo simulations. </w:t>
      </w:r>
      <w:r w:rsidRPr="001603CC">
        <w:rPr>
          <w:rFonts w:ascii="Times New Roman" w:hAnsi="Times New Roman" w:cs="Times New Roman"/>
          <w:i/>
          <w:iCs/>
          <w:sz w:val="18"/>
          <w:szCs w:val="18"/>
          <w:lang w:val="en-US"/>
        </w:rPr>
        <w:t>Bioorg Med Chem Lett</w:t>
      </w:r>
      <w:r w:rsidRPr="001603CC">
        <w:rPr>
          <w:rFonts w:ascii="Times New Roman" w:hAnsi="Times New Roman" w:cs="Times New Roman"/>
          <w:sz w:val="18"/>
          <w:szCs w:val="18"/>
          <w:lang w:val="en-US"/>
        </w:rPr>
        <w:t xml:space="preserve">. 2000;10(11):1155–1158. </w:t>
      </w:r>
      <w:hyperlink r:id="rId35" w:history="1">
        <w:r w:rsidRPr="001603CC">
          <w:rPr>
            <w:rStyle w:val="Hyperlink"/>
            <w:rFonts w:ascii="Times New Roman" w:hAnsi="Times New Roman" w:cs="Times New Roman"/>
            <w:i/>
            <w:color w:val="548DD4" w:themeColor="text2" w:themeTint="99"/>
            <w:sz w:val="18"/>
            <w:szCs w:val="18"/>
            <w:u w:val="none"/>
            <w:lang w:val="en-US"/>
          </w:rPr>
          <w:t>https://doi.org/10.1016/s0960-894x(00)00172-4</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39">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Jorgensen WL, Duffy EM. Prediction of drug solubility from structure. </w:t>
      </w:r>
      <w:r w:rsidRPr="001603CC">
        <w:rPr>
          <w:rFonts w:ascii="Times New Roman" w:hAnsi="Times New Roman" w:cs="Times New Roman"/>
          <w:i/>
          <w:iCs/>
          <w:sz w:val="18"/>
          <w:szCs w:val="18"/>
          <w:lang w:val="en-US"/>
        </w:rPr>
        <w:t>Adv Drug Deliv Rev</w:t>
      </w:r>
      <w:r w:rsidRPr="001603CC">
        <w:rPr>
          <w:rFonts w:ascii="Times New Roman" w:hAnsi="Times New Roman" w:cs="Times New Roman"/>
          <w:sz w:val="18"/>
          <w:szCs w:val="18"/>
          <w:lang w:val="en-US"/>
        </w:rPr>
        <w:t>. 2002;54(3):355–366</w:t>
      </w:r>
      <w:r w:rsidRPr="001603CC">
        <w:rPr>
          <w:rFonts w:ascii="Times New Roman" w:hAnsi="Times New Roman" w:cs="Times New Roman"/>
          <w:i/>
          <w:color w:val="548DD4" w:themeColor="text2" w:themeTint="99"/>
          <w:sz w:val="18"/>
          <w:szCs w:val="18"/>
          <w:lang w:val="en-US"/>
        </w:rPr>
        <w:t xml:space="preserve">. </w:t>
      </w:r>
      <w:hyperlink r:id="rId36" w:history="1">
        <w:r w:rsidRPr="001603CC">
          <w:rPr>
            <w:rStyle w:val="Hyperlink"/>
            <w:rFonts w:ascii="Times New Roman" w:hAnsi="Times New Roman" w:cs="Times New Roman"/>
            <w:i/>
            <w:color w:val="548DD4" w:themeColor="text2" w:themeTint="99"/>
            <w:sz w:val="18"/>
            <w:szCs w:val="18"/>
            <w:u w:val="none"/>
            <w:lang w:val="en-US"/>
          </w:rPr>
          <w:t>https://doi.org/10.1016/s0169-409x(02)00008-x</w:t>
        </w:r>
      </w:hyperlink>
    </w:p>
    <w:p w:rsidR="00890CC9" w:rsidRPr="001603CC" w:rsidRDefault="00890CC9" w:rsidP="00895131">
      <w:pPr>
        <w:pStyle w:val="Default"/>
        <w:ind w:left="426" w:hanging="426"/>
        <w:jc w:val="both"/>
        <w:rPr>
          <w:rFonts w:ascii="Times New Roman" w:hAnsi="Times New Roman" w:cs="Times New Roman"/>
          <w:sz w:val="18"/>
          <w:szCs w:val="18"/>
          <w:lang w:val="en-US"/>
        </w:rPr>
      </w:pPr>
    </w:p>
  </w:endnote>
  <w:endnote w:id="40">
    <w:p w:rsidR="00890CC9" w:rsidRPr="001603CC" w:rsidRDefault="00890CC9" w:rsidP="00895131">
      <w:pPr>
        <w:pStyle w:val="Default"/>
        <w:ind w:left="426" w:hanging="426"/>
        <w:jc w:val="both"/>
        <w:rPr>
          <w:rFonts w:ascii="Times New Roman" w:hAnsi="Times New Roman" w:cs="Times New Roman"/>
          <w:i/>
          <w:color w:val="548DD4" w:themeColor="text2" w:themeTint="99"/>
          <w:sz w:val="18"/>
          <w:szCs w:val="18"/>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Frecer V, Miertuš S. Polarizable continuum model of solvation for biopolymers. </w:t>
      </w:r>
      <w:r w:rsidRPr="001603CC">
        <w:rPr>
          <w:rFonts w:ascii="Times New Roman" w:hAnsi="Times New Roman" w:cs="Times New Roman"/>
          <w:sz w:val="18"/>
          <w:szCs w:val="18"/>
        </w:rPr>
        <w:t xml:space="preserve">Int J Quantum Chem. 1992;42(5):1449-68. </w:t>
      </w:r>
      <w:hyperlink r:id="rId37" w:history="1">
        <w:r w:rsidRPr="001603CC">
          <w:rPr>
            <w:rStyle w:val="Hyperlink"/>
            <w:rFonts w:ascii="Times New Roman" w:hAnsi="Times New Roman" w:cs="Times New Roman"/>
            <w:i/>
            <w:color w:val="548DD4" w:themeColor="text2" w:themeTint="99"/>
            <w:sz w:val="18"/>
            <w:szCs w:val="18"/>
            <w:u w:val="none"/>
          </w:rPr>
          <w:t>https://doi.org/10.1002/qua.560420520</w:t>
        </w:r>
      </w:hyperlink>
    </w:p>
    <w:p w:rsidR="00890CC9" w:rsidRPr="001603CC" w:rsidRDefault="00890CC9" w:rsidP="00895131">
      <w:pPr>
        <w:pStyle w:val="Default"/>
        <w:ind w:left="426" w:hanging="426"/>
        <w:jc w:val="both"/>
        <w:rPr>
          <w:rFonts w:ascii="Times New Roman" w:hAnsi="Times New Roman" w:cs="Times New Roman"/>
          <w:sz w:val="18"/>
          <w:szCs w:val="18"/>
        </w:rPr>
      </w:pPr>
    </w:p>
  </w:endnote>
  <w:endnote w:id="41">
    <w:p w:rsidR="00890CC9" w:rsidRPr="00895131" w:rsidRDefault="00890CC9" w:rsidP="00895131">
      <w:pPr>
        <w:pStyle w:val="Default"/>
        <w:ind w:left="426" w:hanging="426"/>
        <w:jc w:val="both"/>
        <w:rPr>
          <w:rStyle w:val="EndnoteReference"/>
          <w:rFonts w:ascii="Times New Roman" w:hAnsi="Times New Roman" w:cs="Times New Roman"/>
          <w:i/>
          <w:color w:val="548DD4" w:themeColor="text2" w:themeTint="99"/>
          <w:sz w:val="18"/>
          <w:szCs w:val="18"/>
          <w:vertAlign w:val="baseline"/>
        </w:rPr>
      </w:pPr>
      <w:r w:rsidRPr="001603CC">
        <w:rPr>
          <w:rStyle w:val="EndnoteReference"/>
          <w:rFonts w:ascii="Times New Roman" w:hAnsi="Times New Roman" w:cs="Times New Roman"/>
          <w:sz w:val="18"/>
          <w:szCs w:val="18"/>
          <w:vertAlign w:val="baseline"/>
        </w:rPr>
        <w:endnoteRef/>
      </w:r>
      <w:r w:rsidRPr="001603CC">
        <w:rPr>
          <w:rStyle w:val="EndnoteReference"/>
          <w:rFonts w:ascii="Times New Roman" w:hAnsi="Times New Roman" w:cs="Times New Roman"/>
          <w:sz w:val="18"/>
          <w:szCs w:val="18"/>
          <w:vertAlign w:val="baseline"/>
        </w:rPr>
        <w:tab/>
        <w:t xml:space="preserve">Allangba K. N. P. G., Keita M.,Kre N’Guessan R., Megnassan E., Vladimir F., Miertus S. Virtual design of novel Plasmodium falciparum cysteine protease falcipain-2 hybrid lactone–chalcone and isatin–chalcone inhibitors probing the S2 active site pocket, Journal of Enzyme Inhibition and Medicinal Chemistry, 2019, 34:1, 547-561. </w:t>
      </w:r>
      <w:hyperlink r:id="rId38" w:history="1">
        <w:r w:rsidRPr="001603CC">
          <w:rPr>
            <w:rStyle w:val="Hyperlink"/>
            <w:rFonts w:ascii="Times New Roman" w:hAnsi="Times New Roman" w:cs="Times New Roman"/>
            <w:i/>
            <w:color w:val="548DD4" w:themeColor="text2" w:themeTint="99"/>
            <w:sz w:val="18"/>
            <w:szCs w:val="18"/>
            <w:u w:val="none"/>
          </w:rPr>
          <w:t>https://doi.org/10.1080/14756366.2018.1564288</w:t>
        </w:r>
      </w:hyperlink>
    </w:p>
  </w:endnote>
  <w:endnote w:id="42">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Krovat EM, Frühwirth KH, Langer T. Pharmacophore identification, </w:t>
      </w:r>
      <w:r w:rsidRPr="001603CC">
        <w:rPr>
          <w:rFonts w:ascii="Times New Roman" w:hAnsi="Times New Roman" w:cs="Times New Roman"/>
          <w:i/>
          <w:iCs/>
          <w:sz w:val="18"/>
          <w:szCs w:val="18"/>
          <w:lang w:val="en-US"/>
        </w:rPr>
        <w:t xml:space="preserve">in silico  </w:t>
      </w:r>
      <w:r w:rsidRPr="001603CC">
        <w:rPr>
          <w:rFonts w:ascii="Times New Roman" w:hAnsi="Times New Roman" w:cs="Times New Roman"/>
          <w:sz w:val="18"/>
          <w:szCs w:val="18"/>
          <w:lang w:val="en-US"/>
        </w:rPr>
        <w:t xml:space="preserve">screening, and virtual library design for inhibitors of the human factor Xa. </w:t>
      </w:r>
      <w:r w:rsidRPr="001603CC">
        <w:rPr>
          <w:rFonts w:ascii="Times New Roman" w:hAnsi="Times New Roman" w:cs="Times New Roman"/>
          <w:i/>
          <w:sz w:val="18"/>
          <w:szCs w:val="18"/>
          <w:lang w:val="en-US"/>
        </w:rPr>
        <w:t>J Chem Inf Model.</w:t>
      </w:r>
      <w:r w:rsidRPr="001603CC">
        <w:rPr>
          <w:rFonts w:ascii="Times New Roman" w:hAnsi="Times New Roman" w:cs="Times New Roman"/>
          <w:sz w:val="18"/>
          <w:szCs w:val="18"/>
          <w:lang w:val="en-US"/>
        </w:rPr>
        <w:t xml:space="preserve"> 2005;45(1):146-59.</w:t>
      </w:r>
      <w:hyperlink r:id="rId39" w:history="1">
        <w:r w:rsidRPr="001603CC">
          <w:rPr>
            <w:rStyle w:val="Hyperlink"/>
            <w:rFonts w:ascii="Times New Roman" w:hAnsi="Times New Roman" w:cs="Times New Roman"/>
            <w:i/>
            <w:iCs/>
            <w:color w:val="548DD4" w:themeColor="text2" w:themeTint="99"/>
            <w:sz w:val="18"/>
            <w:szCs w:val="18"/>
            <w:u w:val="none"/>
            <w:lang w:val="en-US"/>
          </w:rPr>
          <w:t>https://doi.org/10.1021/ci049778k</w:t>
        </w:r>
      </w:hyperlink>
    </w:p>
  </w:endnote>
  <w:endnote w:id="43">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 xml:space="preserve">. </w:t>
      </w:r>
      <w:r w:rsidRPr="001603CC">
        <w:rPr>
          <w:rFonts w:ascii="Times New Roman" w:hAnsi="Times New Roman" w:cs="Times New Roman"/>
          <w:sz w:val="18"/>
          <w:szCs w:val="18"/>
          <w:lang w:val="en-US"/>
        </w:rPr>
        <w:tab/>
        <w:t xml:space="preserve">Freire E. Do enthalpy and entropy distinguish first in class from best in class? </w:t>
      </w:r>
      <w:r w:rsidRPr="001603CC">
        <w:rPr>
          <w:rFonts w:ascii="Times New Roman" w:hAnsi="Times New Roman" w:cs="Times New Roman"/>
          <w:i/>
          <w:iCs/>
          <w:sz w:val="18"/>
          <w:szCs w:val="18"/>
          <w:lang w:val="en-US"/>
        </w:rPr>
        <w:t xml:space="preserve">Drug Discov Today. </w:t>
      </w:r>
      <w:r w:rsidRPr="001603CC">
        <w:rPr>
          <w:rFonts w:ascii="Times New Roman" w:hAnsi="Times New Roman" w:cs="Times New Roman"/>
          <w:sz w:val="18"/>
          <w:szCs w:val="18"/>
          <w:lang w:val="en-US"/>
        </w:rPr>
        <w:t xml:space="preserve">2008;13(19-20):869–874. </w:t>
      </w:r>
      <w:hyperlink r:id="rId40" w:history="1">
        <w:r w:rsidRPr="001603CC">
          <w:rPr>
            <w:rStyle w:val="Hyperlink"/>
            <w:rFonts w:ascii="Times New Roman" w:hAnsi="Times New Roman" w:cs="Times New Roman"/>
            <w:i/>
            <w:color w:val="548DD4" w:themeColor="text2" w:themeTint="99"/>
            <w:sz w:val="18"/>
            <w:szCs w:val="18"/>
            <w:u w:val="none"/>
            <w:lang w:val="en-US"/>
          </w:rPr>
          <w:t>https://doi.org/10.1016/j.drudis.2008.07.005</w:t>
        </w:r>
      </w:hyperlink>
    </w:p>
  </w:endnote>
  <w:endnote w:id="44">
    <w:p w:rsidR="00890CC9" w:rsidRPr="001603CC" w:rsidRDefault="00890CC9" w:rsidP="00895131">
      <w:pPr>
        <w:pStyle w:val="Default"/>
        <w:ind w:left="426" w:hanging="426"/>
        <w:jc w:val="both"/>
        <w:rPr>
          <w:rFonts w:ascii="Times New Roman" w:hAnsi="Times New Roman" w:cs="Times New Roman"/>
          <w:sz w:val="18"/>
          <w:szCs w:val="18"/>
          <w:lang w:val="en-US"/>
        </w:rPr>
      </w:pPr>
      <w:r w:rsidRPr="001603CC">
        <w:rPr>
          <w:rStyle w:val="EndnoteReference"/>
          <w:rFonts w:ascii="Times New Roman" w:hAnsi="Times New Roman" w:cs="Times New Roman"/>
          <w:sz w:val="18"/>
          <w:szCs w:val="18"/>
          <w:vertAlign w:val="baseline"/>
        </w:rPr>
        <w:endnoteRef/>
      </w:r>
      <w:r w:rsidRPr="001603CC">
        <w:rPr>
          <w:rFonts w:ascii="Times New Roman" w:hAnsi="Times New Roman" w:cs="Times New Roman"/>
          <w:sz w:val="18"/>
          <w:szCs w:val="18"/>
          <w:lang w:val="en-US"/>
        </w:rPr>
        <w:t>.</w:t>
      </w:r>
      <w:r w:rsidRPr="001603CC">
        <w:rPr>
          <w:rFonts w:ascii="Times New Roman" w:hAnsi="Times New Roman" w:cs="Times New Roman"/>
          <w:sz w:val="18"/>
          <w:szCs w:val="18"/>
          <w:lang w:val="en-US"/>
        </w:rPr>
        <w:tab/>
        <w:t xml:space="preserve">N’Guessan H, Megnassan E. </w:t>
      </w:r>
      <w:r w:rsidRPr="001603CC">
        <w:rPr>
          <w:rFonts w:ascii="Times New Roman" w:hAnsi="Times New Roman" w:cs="Times New Roman"/>
          <w:i/>
          <w:iCs/>
          <w:sz w:val="18"/>
          <w:szCs w:val="18"/>
          <w:lang w:val="en-US"/>
        </w:rPr>
        <w:t xml:space="preserve">In silico </w:t>
      </w:r>
      <w:r w:rsidRPr="001603CC">
        <w:rPr>
          <w:rFonts w:ascii="Times New Roman" w:hAnsi="Times New Roman" w:cs="Times New Roman"/>
          <w:sz w:val="18"/>
          <w:szCs w:val="18"/>
          <w:lang w:val="en-US"/>
        </w:rPr>
        <w:t xml:space="preserve">Design of Phosphonic Arginine and Hydroxamic Acid Inhibitors of </w:t>
      </w:r>
      <w:r w:rsidRPr="001603CC">
        <w:rPr>
          <w:rFonts w:ascii="Times New Roman" w:hAnsi="Times New Roman" w:cs="Times New Roman"/>
          <w:i/>
          <w:iCs/>
          <w:sz w:val="18"/>
          <w:szCs w:val="18"/>
          <w:lang w:val="en-US"/>
        </w:rPr>
        <w:t xml:space="preserve">Plasmodium falciparum </w:t>
      </w:r>
      <w:r w:rsidRPr="001603CC">
        <w:rPr>
          <w:rFonts w:ascii="Times New Roman" w:hAnsi="Times New Roman" w:cs="Times New Roman"/>
          <w:sz w:val="18"/>
          <w:szCs w:val="18"/>
          <w:lang w:val="en-US"/>
        </w:rPr>
        <w:t xml:space="preserve">M17 Leucyl Aminopeptidase with Favorable Pharmacokinetic Profile. </w:t>
      </w:r>
      <w:r w:rsidRPr="001603CC">
        <w:rPr>
          <w:rFonts w:ascii="Times New Roman" w:hAnsi="Times New Roman" w:cs="Times New Roman"/>
          <w:i/>
          <w:iCs/>
          <w:sz w:val="18"/>
          <w:szCs w:val="18"/>
          <w:lang w:val="en-US"/>
        </w:rPr>
        <w:t>J Drug Design Med Chem</w:t>
      </w:r>
      <w:r w:rsidRPr="001603CC">
        <w:rPr>
          <w:rFonts w:ascii="Times New Roman" w:hAnsi="Times New Roman" w:cs="Times New Roman"/>
          <w:sz w:val="18"/>
          <w:szCs w:val="18"/>
          <w:lang w:val="en-US"/>
        </w:rPr>
        <w:t xml:space="preserve">. 2017;3(6):98–125. </w:t>
      </w:r>
      <w:hyperlink r:id="rId41" w:history="1">
        <w:r w:rsidRPr="001603CC">
          <w:rPr>
            <w:rStyle w:val="Hyperlink"/>
            <w:rFonts w:ascii="Times New Roman" w:hAnsi="Times New Roman" w:cs="Times New Roman"/>
            <w:i/>
            <w:color w:val="548DD4" w:themeColor="text2" w:themeTint="99"/>
            <w:sz w:val="18"/>
            <w:szCs w:val="18"/>
            <w:u w:val="none"/>
            <w:lang w:val="en-US"/>
          </w:rPr>
          <w:t>http://dx.doi.org/10.11648/j.jddmc.20170306.13</w:t>
        </w:r>
      </w:hyperlink>
    </w:p>
    <w:p w:rsidR="00890CC9" w:rsidRPr="001603CC" w:rsidRDefault="00890CC9" w:rsidP="008A7C25">
      <w:pPr>
        <w:pStyle w:val="EndnoteText"/>
        <w:spacing w:after="0"/>
        <w:ind w:left="426" w:hanging="426"/>
        <w:jc w:val="both"/>
        <w:rPr>
          <w:rFonts w:ascii="Times New Roman" w:hAnsi="Times New Roman"/>
          <w:sz w:val="18"/>
          <w:szCs w:val="18"/>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Pro-Regular">
    <w:altName w:val="MS Gothic"/>
    <w:panose1 w:val="00000000000000000000"/>
    <w:charset w:val="80"/>
    <w:family w:val="roman"/>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C9" w:rsidRDefault="00890CC9">
    <w:pPr>
      <w:pStyle w:val="Footer"/>
      <w:rPr>
        <w:rFonts w:ascii="Arial" w:hAnsi="Arial" w:cs="Arial"/>
        <w:sz w:val="16"/>
      </w:rPr>
    </w:pPr>
  </w:p>
  <w:p w:rsidR="00890CC9" w:rsidRDefault="00890CC9" w:rsidP="00584A1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890CC9" w:rsidRDefault="00890CC9">
    <w:pPr>
      <w:pStyle w:val="Footer"/>
      <w:rPr>
        <w:rFonts w:ascii="Arial" w:hAnsi="Arial" w:cs="Arial"/>
        <w:sz w:val="16"/>
      </w:rPr>
    </w:pPr>
  </w:p>
  <w:p w:rsidR="00890CC9" w:rsidRPr="009E048A" w:rsidRDefault="00890CC9">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C9" w:rsidRPr="00C37E61" w:rsidRDefault="00890CC9" w:rsidP="00584A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C7" w:rsidRDefault="000571C7" w:rsidP="00946928">
      <w:r>
        <w:separator/>
      </w:r>
    </w:p>
  </w:footnote>
  <w:footnote w:type="continuationSeparator" w:id="1">
    <w:p w:rsidR="000571C7" w:rsidRDefault="000571C7" w:rsidP="00946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31" w:rsidRDefault="0089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92751"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31" w:rsidRDefault="0089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92752"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C9" w:rsidRPr="00296529" w:rsidRDefault="00895131" w:rsidP="00584A1E">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92750" o:spid="_x0000_s204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p w:rsidR="00890CC9" w:rsidRPr="00296529" w:rsidRDefault="00890CC9" w:rsidP="00584A1E">
    <w:pPr>
      <w:ind w:left="4320"/>
      <w:rPr>
        <w:rFonts w:ascii="Times New Roman" w:eastAsia="Calibri" w:hAnsi="Times New Roman"/>
        <w:i/>
        <w:sz w:val="18"/>
        <w:szCs w:val="22"/>
      </w:rPr>
    </w:pPr>
    <w:r>
      <w:rPr>
        <w:rFonts w:ascii="Times New Roman" w:eastAsia="Calibri" w:hAnsi="Times New Roman"/>
        <w:i/>
        <w:sz w:val="18"/>
        <w:szCs w:val="22"/>
      </w:rPr>
      <w:t>.</w:t>
    </w:r>
  </w:p>
  <w:p w:rsidR="00890CC9" w:rsidRPr="00296529" w:rsidRDefault="00890CC9" w:rsidP="00584A1E">
    <w:pPr>
      <w:jc w:val="center"/>
      <w:rPr>
        <w:rFonts w:ascii="Times New Roman" w:eastAsia="Calibri" w:hAnsi="Times New Roman"/>
        <w:i/>
        <w:sz w:val="18"/>
        <w:szCs w:val="22"/>
      </w:rPr>
    </w:pPr>
    <w:r>
      <w:rPr>
        <w:rFonts w:ascii="Times New Roman" w:eastAsia="Calibri" w:hAnsi="Times New Roman"/>
        <w:i/>
        <w:sz w:val="18"/>
        <w:szCs w:val="22"/>
      </w:rPr>
      <w:t>.</w:t>
    </w:r>
  </w:p>
  <w:p w:rsidR="00890CC9" w:rsidRPr="00296529" w:rsidRDefault="00890CC9" w:rsidP="00584A1E">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90CC9" w:rsidRDefault="00890CC9" w:rsidP="00584A1E">
    <w:pPr>
      <w:jc w:val="center"/>
      <w:rPr>
        <w:rFonts w:ascii="Times New Roman" w:eastAsia="Calibri" w:hAnsi="Times New Roman"/>
        <w:i/>
        <w:sz w:val="18"/>
        <w:szCs w:val="22"/>
      </w:rPr>
    </w:pPr>
  </w:p>
  <w:p w:rsidR="00890CC9" w:rsidRDefault="00890CC9" w:rsidP="00584A1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90CC9" w:rsidRDefault="00890CC9">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31" w:rsidRDefault="0089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92754" o:spid="_x0000_s2053" type="#_x0000_t136" style="position:absolute;margin-left:0;margin-top:0;width:264pt;height:48pt;rotation:315;z-index:-251648000;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31" w:rsidRDefault="0089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92755" o:spid="_x0000_s2054" type="#_x0000_t136" style="position:absolute;margin-left:0;margin-top:0;width:264pt;height:48pt;rotation:315;z-index:-25164595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31" w:rsidRDefault="0089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92753" o:spid="_x0000_s2052" type="#_x0000_t136" style="position:absolute;margin-left:0;margin-top:0;width:264pt;height:48pt;rotation:315;z-index:-251650048;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0FBA"/>
    <w:multiLevelType w:val="hybridMultilevel"/>
    <w:tmpl w:val="1C7866D0"/>
    <w:lvl w:ilvl="0" w:tplc="9CFA99E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E8B2B7E"/>
    <w:multiLevelType w:val="hybridMultilevel"/>
    <w:tmpl w:val="3552DE54"/>
    <w:lvl w:ilvl="0" w:tplc="BCD81B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63906"/>
    <w:rsid w:val="00002289"/>
    <w:rsid w:val="00003B73"/>
    <w:rsid w:val="00003CD8"/>
    <w:rsid w:val="0000686F"/>
    <w:rsid w:val="0001129D"/>
    <w:rsid w:val="000211E1"/>
    <w:rsid w:val="00022DB1"/>
    <w:rsid w:val="0002388B"/>
    <w:rsid w:val="00027818"/>
    <w:rsid w:val="00046579"/>
    <w:rsid w:val="000518C2"/>
    <w:rsid w:val="000523E5"/>
    <w:rsid w:val="0005483D"/>
    <w:rsid w:val="000571C7"/>
    <w:rsid w:val="000813D9"/>
    <w:rsid w:val="00085505"/>
    <w:rsid w:val="000875BD"/>
    <w:rsid w:val="0009294D"/>
    <w:rsid w:val="00092EDA"/>
    <w:rsid w:val="00097216"/>
    <w:rsid w:val="000A20D5"/>
    <w:rsid w:val="000A226B"/>
    <w:rsid w:val="000A49CB"/>
    <w:rsid w:val="000C6192"/>
    <w:rsid w:val="000F2AA9"/>
    <w:rsid w:val="000F4A59"/>
    <w:rsid w:val="000F4AE5"/>
    <w:rsid w:val="00101DA5"/>
    <w:rsid w:val="00107109"/>
    <w:rsid w:val="0011126F"/>
    <w:rsid w:val="0011467F"/>
    <w:rsid w:val="001168CB"/>
    <w:rsid w:val="00133DBD"/>
    <w:rsid w:val="001453F5"/>
    <w:rsid w:val="00147F93"/>
    <w:rsid w:val="00150D4A"/>
    <w:rsid w:val="00160120"/>
    <w:rsid w:val="001603CC"/>
    <w:rsid w:val="0019776E"/>
    <w:rsid w:val="001D1836"/>
    <w:rsid w:val="001E101A"/>
    <w:rsid w:val="001E1EFE"/>
    <w:rsid w:val="001E3064"/>
    <w:rsid w:val="001E72C2"/>
    <w:rsid w:val="001E743A"/>
    <w:rsid w:val="001F56F7"/>
    <w:rsid w:val="002011B0"/>
    <w:rsid w:val="00203E4F"/>
    <w:rsid w:val="00215C9D"/>
    <w:rsid w:val="00224A77"/>
    <w:rsid w:val="00224F0F"/>
    <w:rsid w:val="002257B3"/>
    <w:rsid w:val="0023014A"/>
    <w:rsid w:val="00230942"/>
    <w:rsid w:val="002309CB"/>
    <w:rsid w:val="002411D9"/>
    <w:rsid w:val="002418C3"/>
    <w:rsid w:val="00242F71"/>
    <w:rsid w:val="00247C26"/>
    <w:rsid w:val="0025422B"/>
    <w:rsid w:val="0025449B"/>
    <w:rsid w:val="00255061"/>
    <w:rsid w:val="002560A2"/>
    <w:rsid w:val="00256B82"/>
    <w:rsid w:val="00262885"/>
    <w:rsid w:val="00265672"/>
    <w:rsid w:val="00266739"/>
    <w:rsid w:val="00276AE7"/>
    <w:rsid w:val="00283C2F"/>
    <w:rsid w:val="00297DCA"/>
    <w:rsid w:val="002A25F4"/>
    <w:rsid w:val="002A3260"/>
    <w:rsid w:val="002A71C7"/>
    <w:rsid w:val="002B22AF"/>
    <w:rsid w:val="002B2426"/>
    <w:rsid w:val="002B3821"/>
    <w:rsid w:val="002C01F2"/>
    <w:rsid w:val="002C49F2"/>
    <w:rsid w:val="002E361C"/>
    <w:rsid w:val="002E5483"/>
    <w:rsid w:val="002F3E37"/>
    <w:rsid w:val="00301441"/>
    <w:rsid w:val="00313430"/>
    <w:rsid w:val="00316147"/>
    <w:rsid w:val="003448C0"/>
    <w:rsid w:val="003506E0"/>
    <w:rsid w:val="0036728E"/>
    <w:rsid w:val="003825D7"/>
    <w:rsid w:val="00386088"/>
    <w:rsid w:val="003871A2"/>
    <w:rsid w:val="00392AE1"/>
    <w:rsid w:val="00396D29"/>
    <w:rsid w:val="003A1278"/>
    <w:rsid w:val="003A63CF"/>
    <w:rsid w:val="003A6811"/>
    <w:rsid w:val="003B6510"/>
    <w:rsid w:val="003D2E47"/>
    <w:rsid w:val="003D3FE6"/>
    <w:rsid w:val="003E2F1C"/>
    <w:rsid w:val="00407490"/>
    <w:rsid w:val="004265B8"/>
    <w:rsid w:val="0043107F"/>
    <w:rsid w:val="00431435"/>
    <w:rsid w:val="004715BB"/>
    <w:rsid w:val="00474FFC"/>
    <w:rsid w:val="00475FC7"/>
    <w:rsid w:val="00493AA4"/>
    <w:rsid w:val="0049494F"/>
    <w:rsid w:val="004A564C"/>
    <w:rsid w:val="004B1646"/>
    <w:rsid w:val="004B718C"/>
    <w:rsid w:val="004C0D70"/>
    <w:rsid w:val="004C423A"/>
    <w:rsid w:val="004C79FA"/>
    <w:rsid w:val="004D2B1B"/>
    <w:rsid w:val="004E1113"/>
    <w:rsid w:val="004E4520"/>
    <w:rsid w:val="005019F7"/>
    <w:rsid w:val="00502699"/>
    <w:rsid w:val="00504E2E"/>
    <w:rsid w:val="00504E67"/>
    <w:rsid w:val="00505D05"/>
    <w:rsid w:val="00515653"/>
    <w:rsid w:val="005254A5"/>
    <w:rsid w:val="00530C40"/>
    <w:rsid w:val="005436D7"/>
    <w:rsid w:val="00557098"/>
    <w:rsid w:val="005613FF"/>
    <w:rsid w:val="0056296A"/>
    <w:rsid w:val="0057008E"/>
    <w:rsid w:val="005710F6"/>
    <w:rsid w:val="00576A22"/>
    <w:rsid w:val="00584A1E"/>
    <w:rsid w:val="005854AA"/>
    <w:rsid w:val="00590BB1"/>
    <w:rsid w:val="00590F48"/>
    <w:rsid w:val="005921F0"/>
    <w:rsid w:val="005A4F30"/>
    <w:rsid w:val="005A7AA1"/>
    <w:rsid w:val="005C2136"/>
    <w:rsid w:val="005C7237"/>
    <w:rsid w:val="005E55DD"/>
    <w:rsid w:val="005F59E0"/>
    <w:rsid w:val="00605A08"/>
    <w:rsid w:val="006236D9"/>
    <w:rsid w:val="0063114D"/>
    <w:rsid w:val="00637012"/>
    <w:rsid w:val="00637B1A"/>
    <w:rsid w:val="00641513"/>
    <w:rsid w:val="00652601"/>
    <w:rsid w:val="00652B09"/>
    <w:rsid w:val="00657575"/>
    <w:rsid w:val="006736FB"/>
    <w:rsid w:val="006746CA"/>
    <w:rsid w:val="0067795A"/>
    <w:rsid w:val="00677E58"/>
    <w:rsid w:val="00686EFE"/>
    <w:rsid w:val="006965AE"/>
    <w:rsid w:val="006A3BEB"/>
    <w:rsid w:val="006B1A22"/>
    <w:rsid w:val="006B352E"/>
    <w:rsid w:val="006B3BE1"/>
    <w:rsid w:val="006C058C"/>
    <w:rsid w:val="006C7E01"/>
    <w:rsid w:val="006E2857"/>
    <w:rsid w:val="006E5008"/>
    <w:rsid w:val="006F2642"/>
    <w:rsid w:val="006F5D28"/>
    <w:rsid w:val="006F66A3"/>
    <w:rsid w:val="007029F7"/>
    <w:rsid w:val="00723F60"/>
    <w:rsid w:val="00734644"/>
    <w:rsid w:val="007365B6"/>
    <w:rsid w:val="00737B5A"/>
    <w:rsid w:val="00744BCE"/>
    <w:rsid w:val="00753C47"/>
    <w:rsid w:val="00761DCB"/>
    <w:rsid w:val="00762646"/>
    <w:rsid w:val="00762A7D"/>
    <w:rsid w:val="0077585A"/>
    <w:rsid w:val="00776843"/>
    <w:rsid w:val="00792137"/>
    <w:rsid w:val="00792E10"/>
    <w:rsid w:val="00795778"/>
    <w:rsid w:val="007A1BFC"/>
    <w:rsid w:val="007A6F81"/>
    <w:rsid w:val="007B734A"/>
    <w:rsid w:val="007C1F61"/>
    <w:rsid w:val="007C3550"/>
    <w:rsid w:val="007D7162"/>
    <w:rsid w:val="007F29AC"/>
    <w:rsid w:val="00817656"/>
    <w:rsid w:val="0082552E"/>
    <w:rsid w:val="00827402"/>
    <w:rsid w:val="008312A6"/>
    <w:rsid w:val="00836BAF"/>
    <w:rsid w:val="00840887"/>
    <w:rsid w:val="00842452"/>
    <w:rsid w:val="008511FE"/>
    <w:rsid w:val="00867C5B"/>
    <w:rsid w:val="00881312"/>
    <w:rsid w:val="00881F8C"/>
    <w:rsid w:val="00882845"/>
    <w:rsid w:val="008830A6"/>
    <w:rsid w:val="008855FC"/>
    <w:rsid w:val="00890CC9"/>
    <w:rsid w:val="00892EAE"/>
    <w:rsid w:val="00893446"/>
    <w:rsid w:val="00895131"/>
    <w:rsid w:val="008A04F5"/>
    <w:rsid w:val="008A582F"/>
    <w:rsid w:val="008A7C25"/>
    <w:rsid w:val="008B389A"/>
    <w:rsid w:val="008B5404"/>
    <w:rsid w:val="008C3E96"/>
    <w:rsid w:val="008C70FD"/>
    <w:rsid w:val="008D59F9"/>
    <w:rsid w:val="008E032B"/>
    <w:rsid w:val="008E6E74"/>
    <w:rsid w:val="008F18B6"/>
    <w:rsid w:val="009070C1"/>
    <w:rsid w:val="009079CB"/>
    <w:rsid w:val="00907AB4"/>
    <w:rsid w:val="00907C4D"/>
    <w:rsid w:val="00911EAD"/>
    <w:rsid w:val="009315BD"/>
    <w:rsid w:val="00940006"/>
    <w:rsid w:val="00946928"/>
    <w:rsid w:val="00953CD8"/>
    <w:rsid w:val="009549F3"/>
    <w:rsid w:val="00966CCF"/>
    <w:rsid w:val="009679F7"/>
    <w:rsid w:val="00971F08"/>
    <w:rsid w:val="00991B8C"/>
    <w:rsid w:val="00993553"/>
    <w:rsid w:val="00995443"/>
    <w:rsid w:val="009A06C6"/>
    <w:rsid w:val="009A0D0F"/>
    <w:rsid w:val="009A671C"/>
    <w:rsid w:val="009B533C"/>
    <w:rsid w:val="009B67D1"/>
    <w:rsid w:val="009C17F0"/>
    <w:rsid w:val="009D2BC2"/>
    <w:rsid w:val="009D321E"/>
    <w:rsid w:val="009D563D"/>
    <w:rsid w:val="009E3E56"/>
    <w:rsid w:val="009E507C"/>
    <w:rsid w:val="009E6738"/>
    <w:rsid w:val="009F69C8"/>
    <w:rsid w:val="00A23B6B"/>
    <w:rsid w:val="00A316A0"/>
    <w:rsid w:val="00A35129"/>
    <w:rsid w:val="00A368B2"/>
    <w:rsid w:val="00A4064F"/>
    <w:rsid w:val="00A41299"/>
    <w:rsid w:val="00A463EB"/>
    <w:rsid w:val="00A515DD"/>
    <w:rsid w:val="00A541BF"/>
    <w:rsid w:val="00A60DA8"/>
    <w:rsid w:val="00A63140"/>
    <w:rsid w:val="00A649AE"/>
    <w:rsid w:val="00A93224"/>
    <w:rsid w:val="00A97E28"/>
    <w:rsid w:val="00AA65E8"/>
    <w:rsid w:val="00AD7743"/>
    <w:rsid w:val="00AE26F6"/>
    <w:rsid w:val="00AF4CD2"/>
    <w:rsid w:val="00B00577"/>
    <w:rsid w:val="00B04712"/>
    <w:rsid w:val="00B055AB"/>
    <w:rsid w:val="00B07CEC"/>
    <w:rsid w:val="00B11E92"/>
    <w:rsid w:val="00B255A7"/>
    <w:rsid w:val="00B2576D"/>
    <w:rsid w:val="00B26922"/>
    <w:rsid w:val="00B326B6"/>
    <w:rsid w:val="00B4557C"/>
    <w:rsid w:val="00B53BF6"/>
    <w:rsid w:val="00B6123C"/>
    <w:rsid w:val="00B6458B"/>
    <w:rsid w:val="00B7069F"/>
    <w:rsid w:val="00B71F2E"/>
    <w:rsid w:val="00B8196E"/>
    <w:rsid w:val="00B857DC"/>
    <w:rsid w:val="00B90E90"/>
    <w:rsid w:val="00BA2810"/>
    <w:rsid w:val="00BA3788"/>
    <w:rsid w:val="00BB02D2"/>
    <w:rsid w:val="00BB0DDD"/>
    <w:rsid w:val="00BB59AF"/>
    <w:rsid w:val="00BB7B2C"/>
    <w:rsid w:val="00BF2DF4"/>
    <w:rsid w:val="00BF7178"/>
    <w:rsid w:val="00C01664"/>
    <w:rsid w:val="00C14944"/>
    <w:rsid w:val="00C31F76"/>
    <w:rsid w:val="00C3289D"/>
    <w:rsid w:val="00C40C70"/>
    <w:rsid w:val="00C44B2C"/>
    <w:rsid w:val="00C44EC5"/>
    <w:rsid w:val="00C54E9C"/>
    <w:rsid w:val="00C55BBC"/>
    <w:rsid w:val="00C573CA"/>
    <w:rsid w:val="00C60E6F"/>
    <w:rsid w:val="00C628F3"/>
    <w:rsid w:val="00C65972"/>
    <w:rsid w:val="00C65C35"/>
    <w:rsid w:val="00C77C3A"/>
    <w:rsid w:val="00C80E87"/>
    <w:rsid w:val="00C816DE"/>
    <w:rsid w:val="00C840D5"/>
    <w:rsid w:val="00C8526D"/>
    <w:rsid w:val="00C904A3"/>
    <w:rsid w:val="00CA1D29"/>
    <w:rsid w:val="00CB2C16"/>
    <w:rsid w:val="00CB422C"/>
    <w:rsid w:val="00CD4175"/>
    <w:rsid w:val="00CE7270"/>
    <w:rsid w:val="00CF29D3"/>
    <w:rsid w:val="00D1244F"/>
    <w:rsid w:val="00D2270F"/>
    <w:rsid w:val="00D34794"/>
    <w:rsid w:val="00D35E69"/>
    <w:rsid w:val="00D36189"/>
    <w:rsid w:val="00D37229"/>
    <w:rsid w:val="00D50056"/>
    <w:rsid w:val="00D546D9"/>
    <w:rsid w:val="00D6056E"/>
    <w:rsid w:val="00D60811"/>
    <w:rsid w:val="00D63906"/>
    <w:rsid w:val="00D7765F"/>
    <w:rsid w:val="00DA3CA8"/>
    <w:rsid w:val="00DB12E1"/>
    <w:rsid w:val="00DB3A61"/>
    <w:rsid w:val="00DD2689"/>
    <w:rsid w:val="00DD718A"/>
    <w:rsid w:val="00DF2DA0"/>
    <w:rsid w:val="00DF36AF"/>
    <w:rsid w:val="00E014D0"/>
    <w:rsid w:val="00E073E5"/>
    <w:rsid w:val="00E10351"/>
    <w:rsid w:val="00E1450C"/>
    <w:rsid w:val="00E30FB3"/>
    <w:rsid w:val="00E32053"/>
    <w:rsid w:val="00E33A71"/>
    <w:rsid w:val="00E33B86"/>
    <w:rsid w:val="00E367C5"/>
    <w:rsid w:val="00E37CDC"/>
    <w:rsid w:val="00E437BF"/>
    <w:rsid w:val="00E46940"/>
    <w:rsid w:val="00E60F48"/>
    <w:rsid w:val="00E62AD5"/>
    <w:rsid w:val="00E715FA"/>
    <w:rsid w:val="00E83D62"/>
    <w:rsid w:val="00E91975"/>
    <w:rsid w:val="00E94888"/>
    <w:rsid w:val="00EA5301"/>
    <w:rsid w:val="00EA685F"/>
    <w:rsid w:val="00EA69CB"/>
    <w:rsid w:val="00EA7D48"/>
    <w:rsid w:val="00EB518C"/>
    <w:rsid w:val="00EC1B4E"/>
    <w:rsid w:val="00EC5370"/>
    <w:rsid w:val="00ED2DE0"/>
    <w:rsid w:val="00EE1E02"/>
    <w:rsid w:val="00F06817"/>
    <w:rsid w:val="00F10C7B"/>
    <w:rsid w:val="00F1163E"/>
    <w:rsid w:val="00F239A1"/>
    <w:rsid w:val="00F33BA7"/>
    <w:rsid w:val="00F43665"/>
    <w:rsid w:val="00F439B8"/>
    <w:rsid w:val="00F47932"/>
    <w:rsid w:val="00F51B5E"/>
    <w:rsid w:val="00F839D7"/>
    <w:rsid w:val="00F874B1"/>
    <w:rsid w:val="00F92A1C"/>
    <w:rsid w:val="00F932C0"/>
    <w:rsid w:val="00F97BD2"/>
    <w:rsid w:val="00FA0DDB"/>
    <w:rsid w:val="00FA3AD2"/>
    <w:rsid w:val="00FA50EA"/>
    <w:rsid w:val="00FB3F19"/>
    <w:rsid w:val="00FB77D3"/>
    <w:rsid w:val="00FC2190"/>
    <w:rsid w:val="00FE56D6"/>
    <w:rsid w:val="00FE595D"/>
    <w:rsid w:val="00FF12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06"/>
    <w:pPr>
      <w:spacing w:after="0" w:line="240" w:lineRule="auto"/>
    </w:pPr>
    <w:rPr>
      <w:rFonts w:ascii="Helvetica" w:eastAsia="Times New Roman" w:hAnsi="Helvetic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D63906"/>
    <w:pPr>
      <w:spacing w:line="280" w:lineRule="exact"/>
      <w:jc w:val="right"/>
    </w:pPr>
    <w:rPr>
      <w:b/>
      <w:sz w:val="24"/>
    </w:rPr>
  </w:style>
  <w:style w:type="paragraph" w:customStyle="1" w:styleId="Affiliation">
    <w:name w:val="Affiliation"/>
    <w:basedOn w:val="Normal"/>
    <w:rsid w:val="00D63906"/>
    <w:pPr>
      <w:spacing w:after="240" w:line="240" w:lineRule="exact"/>
      <w:jc w:val="right"/>
    </w:pPr>
  </w:style>
  <w:style w:type="paragraph" w:customStyle="1" w:styleId="Body">
    <w:name w:val="Body"/>
    <w:basedOn w:val="Normal"/>
    <w:rsid w:val="00D63906"/>
    <w:pPr>
      <w:spacing w:after="240"/>
      <w:jc w:val="both"/>
    </w:pPr>
  </w:style>
  <w:style w:type="paragraph" w:customStyle="1" w:styleId="AbstHead">
    <w:name w:val="Abst Head"/>
    <w:basedOn w:val="Normal"/>
    <w:rsid w:val="00D63906"/>
    <w:pPr>
      <w:keepNext/>
      <w:spacing w:after="240"/>
    </w:pPr>
    <w:rPr>
      <w:b/>
      <w:caps/>
      <w:sz w:val="22"/>
    </w:rPr>
  </w:style>
  <w:style w:type="paragraph" w:customStyle="1" w:styleId="ConcHead">
    <w:name w:val="Conc Head"/>
    <w:basedOn w:val="Normal"/>
    <w:rsid w:val="00D63906"/>
    <w:pPr>
      <w:keepNext/>
      <w:spacing w:after="240"/>
    </w:pPr>
    <w:rPr>
      <w:b/>
      <w:caps/>
      <w:sz w:val="22"/>
    </w:rPr>
  </w:style>
  <w:style w:type="paragraph" w:customStyle="1" w:styleId="AcknHead">
    <w:name w:val="Ackn Head"/>
    <w:basedOn w:val="Normal"/>
    <w:rsid w:val="00D63906"/>
    <w:pPr>
      <w:keepNext/>
      <w:spacing w:after="240"/>
    </w:pPr>
    <w:rPr>
      <w:b/>
      <w:caps/>
      <w:sz w:val="22"/>
    </w:rPr>
  </w:style>
  <w:style w:type="paragraph" w:customStyle="1" w:styleId="ReferHead">
    <w:name w:val="Refer Head"/>
    <w:basedOn w:val="Normal"/>
    <w:rsid w:val="00D63906"/>
    <w:pPr>
      <w:keepNext/>
      <w:spacing w:after="240"/>
    </w:pPr>
    <w:rPr>
      <w:b/>
      <w:caps/>
      <w:sz w:val="22"/>
    </w:rPr>
  </w:style>
  <w:style w:type="paragraph" w:customStyle="1" w:styleId="DefAcrHead">
    <w:name w:val="DefAcrHead"/>
    <w:basedOn w:val="Normal"/>
    <w:rsid w:val="00D63906"/>
    <w:pPr>
      <w:keepNext/>
      <w:spacing w:after="240"/>
    </w:pPr>
    <w:rPr>
      <w:b/>
      <w:caps/>
      <w:sz w:val="22"/>
    </w:rPr>
  </w:style>
  <w:style w:type="paragraph" w:customStyle="1" w:styleId="Copyright">
    <w:name w:val="Copyright"/>
    <w:basedOn w:val="Normal"/>
    <w:rsid w:val="00D63906"/>
    <w:pPr>
      <w:spacing w:after="960" w:line="200" w:lineRule="exact"/>
    </w:pPr>
    <w:rPr>
      <w:sz w:val="16"/>
    </w:rPr>
  </w:style>
  <w:style w:type="paragraph" w:styleId="Title">
    <w:name w:val="Title"/>
    <w:basedOn w:val="Normal"/>
    <w:link w:val="TitleChar"/>
    <w:qFormat/>
    <w:rsid w:val="00D63906"/>
    <w:pPr>
      <w:spacing w:after="360"/>
      <w:jc w:val="right"/>
    </w:pPr>
    <w:rPr>
      <w:b/>
      <w:kern w:val="28"/>
      <w:sz w:val="36"/>
    </w:rPr>
  </w:style>
  <w:style w:type="character" w:customStyle="1" w:styleId="TitleChar">
    <w:name w:val="Title Char"/>
    <w:basedOn w:val="DefaultParagraphFont"/>
    <w:link w:val="Title"/>
    <w:rsid w:val="00D63906"/>
    <w:rPr>
      <w:rFonts w:ascii="Helvetica" w:eastAsia="Times New Roman" w:hAnsi="Helvetica" w:cs="Times New Roman"/>
      <w:b/>
      <w:kern w:val="28"/>
      <w:sz w:val="36"/>
      <w:szCs w:val="20"/>
      <w:lang w:val="en-US"/>
    </w:rPr>
  </w:style>
  <w:style w:type="paragraph" w:customStyle="1" w:styleId="Reference">
    <w:name w:val="Reference"/>
    <w:basedOn w:val="Body"/>
    <w:rsid w:val="00D63906"/>
    <w:pPr>
      <w:numPr>
        <w:numId w:val="1"/>
      </w:numPr>
      <w:spacing w:after="0" w:line="240" w:lineRule="exact"/>
    </w:pPr>
  </w:style>
  <w:style w:type="paragraph" w:customStyle="1" w:styleId="Head1">
    <w:name w:val="Head1"/>
    <w:basedOn w:val="Normal"/>
    <w:rsid w:val="00D63906"/>
    <w:pPr>
      <w:keepNext/>
      <w:spacing w:after="240"/>
    </w:pPr>
    <w:rPr>
      <w:b/>
      <w:caps/>
      <w:sz w:val="22"/>
    </w:rPr>
  </w:style>
  <w:style w:type="paragraph" w:customStyle="1" w:styleId="Appendix">
    <w:name w:val="Appendix"/>
    <w:basedOn w:val="Normal"/>
    <w:rsid w:val="00D63906"/>
    <w:pPr>
      <w:keepNext/>
      <w:spacing w:after="240"/>
    </w:pPr>
    <w:rPr>
      <w:b/>
      <w:caps/>
      <w:sz w:val="22"/>
    </w:rPr>
  </w:style>
  <w:style w:type="paragraph" w:styleId="Footer">
    <w:name w:val="footer"/>
    <w:basedOn w:val="Normal"/>
    <w:link w:val="FooterChar"/>
    <w:rsid w:val="00D63906"/>
    <w:pPr>
      <w:tabs>
        <w:tab w:val="center" w:pos="4320"/>
        <w:tab w:val="right" w:pos="8640"/>
      </w:tabs>
    </w:pPr>
  </w:style>
  <w:style w:type="character" w:customStyle="1" w:styleId="FooterChar">
    <w:name w:val="Footer Char"/>
    <w:basedOn w:val="DefaultParagraphFont"/>
    <w:link w:val="Footer"/>
    <w:rsid w:val="00D63906"/>
    <w:rPr>
      <w:rFonts w:ascii="Helvetica" w:eastAsia="Times New Roman" w:hAnsi="Helvetica" w:cs="Times New Roman"/>
      <w:sz w:val="20"/>
      <w:szCs w:val="20"/>
      <w:lang w:val="en-US"/>
    </w:rPr>
  </w:style>
  <w:style w:type="paragraph" w:styleId="Header">
    <w:name w:val="header"/>
    <w:basedOn w:val="Normal"/>
    <w:link w:val="HeaderChar"/>
    <w:rsid w:val="00D63906"/>
    <w:pPr>
      <w:tabs>
        <w:tab w:val="center" w:pos="4320"/>
        <w:tab w:val="right" w:pos="8640"/>
      </w:tabs>
    </w:pPr>
  </w:style>
  <w:style w:type="character" w:customStyle="1" w:styleId="HeaderChar">
    <w:name w:val="Header Char"/>
    <w:basedOn w:val="DefaultParagraphFont"/>
    <w:link w:val="Header"/>
    <w:rsid w:val="00D63906"/>
    <w:rPr>
      <w:rFonts w:ascii="Helvetica" w:eastAsia="Times New Roman" w:hAnsi="Helvetica" w:cs="Times New Roman"/>
      <w:sz w:val="20"/>
      <w:szCs w:val="20"/>
      <w:lang w:val="en-US"/>
    </w:rPr>
  </w:style>
  <w:style w:type="character" w:styleId="Hyperlink">
    <w:name w:val="Hyperlink"/>
    <w:basedOn w:val="DefaultParagraphFont"/>
    <w:rsid w:val="00D63906"/>
    <w:rPr>
      <w:color w:val="FF0080"/>
      <w:u w:val="single"/>
    </w:rPr>
  </w:style>
  <w:style w:type="paragraph" w:styleId="BodyText3">
    <w:name w:val="Body Text 3"/>
    <w:basedOn w:val="Normal"/>
    <w:link w:val="BodyText3Char"/>
    <w:rsid w:val="00D63906"/>
    <w:pPr>
      <w:spacing w:after="120"/>
    </w:pPr>
    <w:rPr>
      <w:sz w:val="16"/>
      <w:szCs w:val="16"/>
    </w:rPr>
  </w:style>
  <w:style w:type="character" w:customStyle="1" w:styleId="BodyText3Char">
    <w:name w:val="Body Text 3 Char"/>
    <w:basedOn w:val="DefaultParagraphFont"/>
    <w:link w:val="BodyText3"/>
    <w:rsid w:val="00D63906"/>
    <w:rPr>
      <w:rFonts w:ascii="Helvetica" w:eastAsia="Times New Roman" w:hAnsi="Helvetica" w:cs="Times New Roman"/>
      <w:sz w:val="16"/>
      <w:szCs w:val="16"/>
      <w:lang w:val="en-US"/>
    </w:rPr>
  </w:style>
  <w:style w:type="character" w:styleId="LineNumber">
    <w:name w:val="line number"/>
    <w:basedOn w:val="DefaultParagraphFont"/>
    <w:uiPriority w:val="99"/>
    <w:semiHidden/>
    <w:unhideWhenUsed/>
    <w:rsid w:val="00D63906"/>
  </w:style>
  <w:style w:type="paragraph" w:styleId="BalloonText">
    <w:name w:val="Balloon Text"/>
    <w:basedOn w:val="Normal"/>
    <w:link w:val="BalloonTextChar"/>
    <w:uiPriority w:val="99"/>
    <w:semiHidden/>
    <w:unhideWhenUsed/>
    <w:rsid w:val="00D63906"/>
    <w:rPr>
      <w:rFonts w:ascii="Tahoma" w:hAnsi="Tahoma" w:cs="Tahoma"/>
      <w:sz w:val="16"/>
      <w:szCs w:val="16"/>
    </w:rPr>
  </w:style>
  <w:style w:type="character" w:customStyle="1" w:styleId="BalloonTextChar">
    <w:name w:val="Balloon Text Char"/>
    <w:basedOn w:val="DefaultParagraphFont"/>
    <w:link w:val="BalloonText"/>
    <w:uiPriority w:val="99"/>
    <w:semiHidden/>
    <w:rsid w:val="00D63906"/>
    <w:rPr>
      <w:rFonts w:ascii="Tahoma" w:eastAsia="Times New Roman" w:hAnsi="Tahoma" w:cs="Tahoma"/>
      <w:sz w:val="16"/>
      <w:szCs w:val="16"/>
      <w:lang w:val="en-US"/>
    </w:rPr>
  </w:style>
  <w:style w:type="paragraph" w:styleId="EndnoteText">
    <w:name w:val="endnote text"/>
    <w:basedOn w:val="Normal"/>
    <w:link w:val="EndnoteTextChar"/>
    <w:uiPriority w:val="99"/>
    <w:unhideWhenUsed/>
    <w:rsid w:val="006F5D28"/>
    <w:pPr>
      <w:spacing w:after="160" w:line="259" w:lineRule="auto"/>
    </w:pPr>
    <w:rPr>
      <w:rFonts w:ascii="Calibri" w:eastAsia="Calibri" w:hAnsi="Calibri"/>
      <w:lang w:val="fr-FR"/>
    </w:rPr>
  </w:style>
  <w:style w:type="character" w:customStyle="1" w:styleId="EndnoteTextChar">
    <w:name w:val="Endnote Text Char"/>
    <w:basedOn w:val="DefaultParagraphFont"/>
    <w:link w:val="EndnoteText"/>
    <w:uiPriority w:val="99"/>
    <w:rsid w:val="006F5D28"/>
    <w:rPr>
      <w:rFonts w:ascii="Calibri" w:eastAsia="Calibri" w:hAnsi="Calibri" w:cs="Times New Roman"/>
      <w:sz w:val="20"/>
      <w:szCs w:val="20"/>
      <w:lang/>
    </w:rPr>
  </w:style>
  <w:style w:type="character" w:customStyle="1" w:styleId="A1">
    <w:name w:val="A1"/>
    <w:uiPriority w:val="99"/>
    <w:rsid w:val="00946928"/>
    <w:rPr>
      <w:color w:val="000000"/>
      <w:sz w:val="18"/>
      <w:szCs w:val="18"/>
    </w:rPr>
  </w:style>
  <w:style w:type="paragraph" w:customStyle="1" w:styleId="Default">
    <w:name w:val="Default"/>
    <w:rsid w:val="00946928"/>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uiPriority w:val="99"/>
    <w:rsid w:val="00946928"/>
    <w:rPr>
      <w:vertAlign w:val="superscript"/>
    </w:rPr>
  </w:style>
  <w:style w:type="paragraph" w:styleId="FootnoteText">
    <w:name w:val="footnote text"/>
    <w:basedOn w:val="Normal"/>
    <w:link w:val="FootnoteTextChar"/>
    <w:uiPriority w:val="99"/>
    <w:semiHidden/>
    <w:unhideWhenUsed/>
    <w:rsid w:val="00AF4CD2"/>
  </w:style>
  <w:style w:type="character" w:customStyle="1" w:styleId="FootnoteTextChar">
    <w:name w:val="Footnote Text Char"/>
    <w:basedOn w:val="DefaultParagraphFont"/>
    <w:link w:val="FootnoteText"/>
    <w:uiPriority w:val="99"/>
    <w:semiHidden/>
    <w:rsid w:val="00AF4CD2"/>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AF4CD2"/>
    <w:rPr>
      <w:vertAlign w:val="superscript"/>
    </w:rPr>
  </w:style>
  <w:style w:type="paragraph" w:styleId="NoSpacing">
    <w:name w:val="No Spacing"/>
    <w:uiPriority w:val="1"/>
    <w:qFormat/>
    <w:rsid w:val="000518C2"/>
    <w:pPr>
      <w:spacing w:after="0" w:line="240" w:lineRule="auto"/>
    </w:pPr>
    <w:rPr>
      <w:rFonts w:ascii="Helvetica" w:eastAsia="Times New Roman" w:hAnsi="Helvetica" w:cs="Times New Roman"/>
      <w:sz w:val="20"/>
      <w:szCs w:val="20"/>
      <w:lang w:val="en-US"/>
    </w:rPr>
  </w:style>
  <w:style w:type="paragraph" w:customStyle="1" w:styleId="Paragraph">
    <w:name w:val="Paragraph"/>
    <w:basedOn w:val="Normal"/>
    <w:next w:val="Normal"/>
    <w:uiPriority w:val="99"/>
    <w:qFormat/>
    <w:rsid w:val="00EA5301"/>
    <w:pPr>
      <w:widowControl w:val="0"/>
      <w:spacing w:before="240" w:line="480" w:lineRule="auto"/>
    </w:pPr>
    <w:rPr>
      <w:rFonts w:ascii="Times New Roman" w:hAnsi="Times New Roman"/>
      <w:sz w:val="24"/>
      <w:szCs w:val="24"/>
      <w:lang w:val="en-GB" w:eastAsia="en-GB"/>
    </w:rPr>
  </w:style>
  <w:style w:type="paragraph" w:styleId="ListParagraph">
    <w:name w:val="List Paragraph"/>
    <w:basedOn w:val="Normal"/>
    <w:uiPriority w:val="34"/>
    <w:qFormat/>
    <w:rsid w:val="004D2B1B"/>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A2">
    <w:name w:val="A2"/>
    <w:uiPriority w:val="99"/>
    <w:rsid w:val="004D2B1B"/>
    <w:rPr>
      <w:color w:val="000000"/>
      <w:sz w:val="10"/>
      <w:szCs w:val="10"/>
    </w:rPr>
  </w:style>
  <w:style w:type="character" w:customStyle="1" w:styleId="A3">
    <w:name w:val="A3"/>
    <w:uiPriority w:val="99"/>
    <w:rsid w:val="005F59E0"/>
    <w:rPr>
      <w:color w:val="000000"/>
      <w:sz w:val="10"/>
      <w:szCs w:val="10"/>
    </w:rPr>
  </w:style>
  <w:style w:type="character" w:customStyle="1" w:styleId="A5">
    <w:name w:val="A5"/>
    <w:uiPriority w:val="99"/>
    <w:rsid w:val="002257B3"/>
    <w:rPr>
      <w:rFonts w:cs="Gill Sans MT"/>
      <w:color w:val="000000"/>
      <w:sz w:val="16"/>
      <w:szCs w:val="16"/>
    </w:rPr>
  </w:style>
  <w:style w:type="paragraph" w:customStyle="1" w:styleId="MDPI42tablebody">
    <w:name w:val="MDPI_4.2_table_body"/>
    <w:uiPriority w:val="99"/>
    <w:qFormat/>
    <w:rsid w:val="002257B3"/>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 w:type="character" w:customStyle="1" w:styleId="A12">
    <w:name w:val="A12"/>
    <w:uiPriority w:val="99"/>
    <w:rsid w:val="00003CD8"/>
    <w:rPr>
      <w:rFonts w:cs="Gill Sans MT"/>
      <w:color w:val="000000"/>
      <w:sz w:val="9"/>
      <w:szCs w:val="9"/>
    </w:rPr>
  </w:style>
  <w:style w:type="character" w:customStyle="1" w:styleId="A11">
    <w:name w:val="A11"/>
    <w:uiPriority w:val="99"/>
    <w:rsid w:val="00003CD8"/>
    <w:rPr>
      <w:rFonts w:cs="Gill Sans MT"/>
      <w:color w:val="000000"/>
      <w:sz w:val="9"/>
      <w:szCs w:val="9"/>
    </w:rPr>
  </w:style>
  <w:style w:type="paragraph" w:customStyle="1" w:styleId="Pa19">
    <w:name w:val="Pa19"/>
    <w:basedOn w:val="Default"/>
    <w:next w:val="Default"/>
    <w:uiPriority w:val="99"/>
    <w:rsid w:val="00991B8C"/>
    <w:pPr>
      <w:spacing w:line="201" w:lineRule="atLeast"/>
    </w:pPr>
    <w:rPr>
      <w:rFonts w:ascii="Gill Sans MT" w:hAnsi="Gill Sans MT" w:cstheme="minorBidi"/>
      <w:color w:val="auto"/>
    </w:rPr>
  </w:style>
  <w:style w:type="paragraph" w:styleId="Caption">
    <w:name w:val="caption"/>
    <w:basedOn w:val="Normal"/>
    <w:next w:val="BodyText"/>
    <w:uiPriority w:val="99"/>
    <w:qFormat/>
    <w:rsid w:val="009E507C"/>
    <w:pPr>
      <w:tabs>
        <w:tab w:val="right" w:pos="8640"/>
      </w:tabs>
      <w:spacing w:after="560"/>
      <w:ind w:left="1920" w:right="1920"/>
      <w:jc w:val="both"/>
    </w:pPr>
    <w:rPr>
      <w:rFonts w:ascii="Garamond" w:hAnsi="Garamond"/>
      <w:sz w:val="18"/>
      <w:lang w:val="en-GB"/>
    </w:rPr>
  </w:style>
  <w:style w:type="paragraph" w:styleId="BodyText">
    <w:name w:val="Body Text"/>
    <w:basedOn w:val="Normal"/>
    <w:link w:val="BodyTextChar"/>
    <w:uiPriority w:val="99"/>
    <w:semiHidden/>
    <w:unhideWhenUsed/>
    <w:rsid w:val="009E507C"/>
    <w:pPr>
      <w:spacing w:after="120"/>
    </w:pPr>
  </w:style>
  <w:style w:type="character" w:customStyle="1" w:styleId="BodyTextChar">
    <w:name w:val="Body Text Char"/>
    <w:basedOn w:val="DefaultParagraphFont"/>
    <w:link w:val="BodyText"/>
    <w:uiPriority w:val="99"/>
    <w:semiHidden/>
    <w:rsid w:val="009E507C"/>
    <w:rPr>
      <w:rFonts w:ascii="Helvetica" w:eastAsia="Times New Roman" w:hAnsi="Helvetica" w:cs="Times New Roman"/>
      <w:sz w:val="20"/>
      <w:szCs w:val="20"/>
      <w:lang w:val="en-US"/>
    </w:rPr>
  </w:style>
  <w:style w:type="paragraph" w:customStyle="1" w:styleId="TableHead">
    <w:name w:val="TableHead"/>
    <w:basedOn w:val="Normal"/>
    <w:uiPriority w:val="99"/>
    <w:rsid w:val="00C54E9C"/>
    <w:pPr>
      <w:pBdr>
        <w:top w:val="single" w:sz="4" w:space="4" w:color="FFFFFF"/>
        <w:left w:val="single" w:sz="4" w:space="4" w:color="FFFFFF"/>
        <w:bottom w:val="single" w:sz="4" w:space="4" w:color="FFFFFF"/>
        <w:right w:val="single" w:sz="4" w:space="4" w:color="FFFFFF"/>
      </w:pBdr>
      <w:spacing w:after="60" w:line="190" w:lineRule="exact"/>
      <w:jc w:val="both"/>
    </w:pPr>
    <w:rPr>
      <w:rFonts w:ascii="Arial" w:eastAsia="MS Mincho" w:hAnsi="Arial"/>
      <w:spacing w:val="6"/>
      <w:sz w:val="16"/>
      <w:szCs w:val="16"/>
      <w:lang w:val="en-GB" w:eastAsia="ja-JP"/>
    </w:rPr>
  </w:style>
  <w:style w:type="paragraph" w:customStyle="1" w:styleId="Pa2">
    <w:name w:val="Pa2"/>
    <w:basedOn w:val="Default"/>
    <w:next w:val="Default"/>
    <w:uiPriority w:val="99"/>
    <w:rsid w:val="009079CB"/>
    <w:pPr>
      <w:spacing w:line="241" w:lineRule="atLeast"/>
    </w:pPr>
    <w:rPr>
      <w:rFonts w:ascii="Gill Sans MT" w:hAnsi="Gill Sans MT" w:cstheme="minorBidi"/>
      <w:color w:val="auto"/>
    </w:rPr>
  </w:style>
  <w:style w:type="character" w:customStyle="1" w:styleId="A8">
    <w:name w:val="A8"/>
    <w:uiPriority w:val="99"/>
    <w:rsid w:val="00A649AE"/>
    <w:rPr>
      <w:rFonts w:ascii="Gill Sans MT" w:hAnsi="Gill Sans MT" w:cs="Gill Sans MT" w:hint="default"/>
      <w:b/>
      <w:bCs/>
      <w:color w:val="000000"/>
      <w:sz w:val="20"/>
      <w:szCs w:val="20"/>
    </w:rPr>
  </w:style>
  <w:style w:type="table" w:styleId="TableGrid">
    <w:name w:val="Table Grid"/>
    <w:basedOn w:val="TableNormal"/>
    <w:uiPriority w:val="59"/>
    <w:rsid w:val="00C44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C3E96"/>
    <w:rPr>
      <w:color w:val="808080"/>
    </w:rPr>
  </w:style>
  <w:style w:type="character" w:customStyle="1" w:styleId="identifier">
    <w:name w:val="identifier"/>
    <w:basedOn w:val="DefaultParagraphFont"/>
    <w:rsid w:val="005C2136"/>
  </w:style>
  <w:style w:type="character" w:styleId="FollowedHyperlink">
    <w:name w:val="FollowedHyperlink"/>
    <w:basedOn w:val="DefaultParagraphFont"/>
    <w:uiPriority w:val="99"/>
    <w:semiHidden/>
    <w:unhideWhenUsed/>
    <w:rsid w:val="00D500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804635">
      <w:bodyDiv w:val="1"/>
      <w:marLeft w:val="0"/>
      <w:marRight w:val="0"/>
      <w:marTop w:val="0"/>
      <w:marBottom w:val="0"/>
      <w:divBdr>
        <w:top w:val="none" w:sz="0" w:space="0" w:color="auto"/>
        <w:left w:val="none" w:sz="0" w:space="0" w:color="auto"/>
        <w:bottom w:val="none" w:sz="0" w:space="0" w:color="auto"/>
        <w:right w:val="none" w:sz="0" w:space="0" w:color="auto"/>
      </w:divBdr>
    </w:div>
    <w:div w:id="364059163">
      <w:bodyDiv w:val="1"/>
      <w:marLeft w:val="0"/>
      <w:marRight w:val="0"/>
      <w:marTop w:val="0"/>
      <w:marBottom w:val="0"/>
      <w:divBdr>
        <w:top w:val="none" w:sz="0" w:space="0" w:color="auto"/>
        <w:left w:val="none" w:sz="0" w:space="0" w:color="auto"/>
        <w:bottom w:val="none" w:sz="0" w:space="0" w:color="auto"/>
        <w:right w:val="none" w:sz="0" w:space="0" w:color="auto"/>
      </w:divBdr>
    </w:div>
    <w:div w:id="388844175">
      <w:bodyDiv w:val="1"/>
      <w:marLeft w:val="0"/>
      <w:marRight w:val="0"/>
      <w:marTop w:val="0"/>
      <w:marBottom w:val="0"/>
      <w:divBdr>
        <w:top w:val="none" w:sz="0" w:space="0" w:color="auto"/>
        <w:left w:val="none" w:sz="0" w:space="0" w:color="auto"/>
        <w:bottom w:val="none" w:sz="0" w:space="0" w:color="auto"/>
        <w:right w:val="none" w:sz="0" w:space="0" w:color="auto"/>
      </w:divBdr>
    </w:div>
    <w:div w:id="458912555">
      <w:bodyDiv w:val="1"/>
      <w:marLeft w:val="0"/>
      <w:marRight w:val="0"/>
      <w:marTop w:val="0"/>
      <w:marBottom w:val="0"/>
      <w:divBdr>
        <w:top w:val="none" w:sz="0" w:space="0" w:color="auto"/>
        <w:left w:val="none" w:sz="0" w:space="0" w:color="auto"/>
        <w:bottom w:val="none" w:sz="0" w:space="0" w:color="auto"/>
        <w:right w:val="none" w:sz="0" w:space="0" w:color="auto"/>
      </w:divBdr>
    </w:div>
    <w:div w:id="526061782">
      <w:bodyDiv w:val="1"/>
      <w:marLeft w:val="0"/>
      <w:marRight w:val="0"/>
      <w:marTop w:val="0"/>
      <w:marBottom w:val="0"/>
      <w:divBdr>
        <w:top w:val="none" w:sz="0" w:space="0" w:color="auto"/>
        <w:left w:val="none" w:sz="0" w:space="0" w:color="auto"/>
        <w:bottom w:val="none" w:sz="0" w:space="0" w:color="auto"/>
        <w:right w:val="none" w:sz="0" w:space="0" w:color="auto"/>
      </w:divBdr>
    </w:div>
    <w:div w:id="590086691">
      <w:bodyDiv w:val="1"/>
      <w:marLeft w:val="0"/>
      <w:marRight w:val="0"/>
      <w:marTop w:val="0"/>
      <w:marBottom w:val="0"/>
      <w:divBdr>
        <w:top w:val="none" w:sz="0" w:space="0" w:color="auto"/>
        <w:left w:val="none" w:sz="0" w:space="0" w:color="auto"/>
        <w:bottom w:val="none" w:sz="0" w:space="0" w:color="auto"/>
        <w:right w:val="none" w:sz="0" w:space="0" w:color="auto"/>
      </w:divBdr>
    </w:div>
    <w:div w:id="1172183637">
      <w:bodyDiv w:val="1"/>
      <w:marLeft w:val="0"/>
      <w:marRight w:val="0"/>
      <w:marTop w:val="0"/>
      <w:marBottom w:val="0"/>
      <w:divBdr>
        <w:top w:val="none" w:sz="0" w:space="0" w:color="auto"/>
        <w:left w:val="none" w:sz="0" w:space="0" w:color="auto"/>
        <w:bottom w:val="none" w:sz="0" w:space="0" w:color="auto"/>
        <w:right w:val="none" w:sz="0" w:space="0" w:color="auto"/>
      </w:divBdr>
    </w:div>
    <w:div w:id="1204446807">
      <w:bodyDiv w:val="1"/>
      <w:marLeft w:val="0"/>
      <w:marRight w:val="0"/>
      <w:marTop w:val="0"/>
      <w:marBottom w:val="0"/>
      <w:divBdr>
        <w:top w:val="none" w:sz="0" w:space="0" w:color="auto"/>
        <w:left w:val="none" w:sz="0" w:space="0" w:color="auto"/>
        <w:bottom w:val="none" w:sz="0" w:space="0" w:color="auto"/>
        <w:right w:val="none" w:sz="0" w:space="0" w:color="auto"/>
      </w:divBdr>
    </w:div>
    <w:div w:id="1323778210">
      <w:bodyDiv w:val="1"/>
      <w:marLeft w:val="0"/>
      <w:marRight w:val="0"/>
      <w:marTop w:val="0"/>
      <w:marBottom w:val="0"/>
      <w:divBdr>
        <w:top w:val="none" w:sz="0" w:space="0" w:color="auto"/>
        <w:left w:val="none" w:sz="0" w:space="0" w:color="auto"/>
        <w:bottom w:val="none" w:sz="0" w:space="0" w:color="auto"/>
        <w:right w:val="none" w:sz="0" w:space="0" w:color="auto"/>
      </w:divBdr>
    </w:div>
    <w:div w:id="1429037714">
      <w:bodyDiv w:val="1"/>
      <w:marLeft w:val="0"/>
      <w:marRight w:val="0"/>
      <w:marTop w:val="0"/>
      <w:marBottom w:val="0"/>
      <w:divBdr>
        <w:top w:val="none" w:sz="0" w:space="0" w:color="auto"/>
        <w:left w:val="none" w:sz="0" w:space="0" w:color="auto"/>
        <w:bottom w:val="none" w:sz="0" w:space="0" w:color="auto"/>
        <w:right w:val="none" w:sz="0" w:space="0" w:color="auto"/>
      </w:divBdr>
    </w:div>
    <w:div w:id="1485976325">
      <w:bodyDiv w:val="1"/>
      <w:marLeft w:val="0"/>
      <w:marRight w:val="0"/>
      <w:marTop w:val="0"/>
      <w:marBottom w:val="0"/>
      <w:divBdr>
        <w:top w:val="none" w:sz="0" w:space="0" w:color="auto"/>
        <w:left w:val="none" w:sz="0" w:space="0" w:color="auto"/>
        <w:bottom w:val="none" w:sz="0" w:space="0" w:color="auto"/>
        <w:right w:val="none" w:sz="0" w:space="0" w:color="auto"/>
      </w:divBdr>
    </w:div>
    <w:div w:id="1722317094">
      <w:bodyDiv w:val="1"/>
      <w:marLeft w:val="0"/>
      <w:marRight w:val="0"/>
      <w:marTop w:val="0"/>
      <w:marBottom w:val="0"/>
      <w:divBdr>
        <w:top w:val="none" w:sz="0" w:space="0" w:color="auto"/>
        <w:left w:val="none" w:sz="0" w:space="0" w:color="auto"/>
        <w:bottom w:val="none" w:sz="0" w:space="0" w:color="auto"/>
        <w:right w:val="none" w:sz="0" w:space="0" w:color="auto"/>
      </w:divBdr>
    </w:div>
    <w:div w:id="1777288630">
      <w:bodyDiv w:val="1"/>
      <w:marLeft w:val="0"/>
      <w:marRight w:val="0"/>
      <w:marTop w:val="0"/>
      <w:marBottom w:val="0"/>
      <w:divBdr>
        <w:top w:val="none" w:sz="0" w:space="0" w:color="auto"/>
        <w:left w:val="none" w:sz="0" w:space="0" w:color="auto"/>
        <w:bottom w:val="none" w:sz="0" w:space="0" w:color="auto"/>
        <w:right w:val="none" w:sz="0" w:space="0" w:color="auto"/>
      </w:divBdr>
    </w:div>
    <w:div w:id="2038846384">
      <w:bodyDiv w:val="1"/>
      <w:marLeft w:val="0"/>
      <w:marRight w:val="0"/>
      <w:marTop w:val="0"/>
      <w:marBottom w:val="0"/>
      <w:divBdr>
        <w:top w:val="none" w:sz="0" w:space="0" w:color="auto"/>
        <w:left w:val="none" w:sz="0" w:space="0" w:color="auto"/>
        <w:bottom w:val="none" w:sz="0" w:space="0" w:color="auto"/>
        <w:right w:val="none" w:sz="0" w:space="0" w:color="auto"/>
      </w:divBdr>
    </w:div>
    <w:div w:id="2070957581">
      <w:bodyDiv w:val="1"/>
      <w:marLeft w:val="0"/>
      <w:marRight w:val="0"/>
      <w:marTop w:val="0"/>
      <w:marBottom w:val="0"/>
      <w:divBdr>
        <w:top w:val="none" w:sz="0" w:space="0" w:color="auto"/>
        <w:left w:val="none" w:sz="0" w:space="0" w:color="auto"/>
        <w:bottom w:val="none" w:sz="0" w:space="0" w:color="auto"/>
        <w:right w:val="none" w:sz="0" w:space="0" w:color="auto"/>
      </w:divBdr>
    </w:div>
    <w:div w:id="20965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hart" Target="charts/chart1.xml"/><Relationship Id="rId25" Type="http://schemas.openxmlformats.org/officeDocument/2006/relationships/image" Target="media/image7.png"/><Relationship Id="rId33" Type="http://schemas.openxmlformats.org/officeDocument/2006/relationships/chart" Target="charts/chart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2.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chart" Target="charts/chart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5.png"/><Relationship Id="rId28" Type="http://schemas.openxmlformats.org/officeDocument/2006/relationships/image" Target="media/image9.wmf"/><Relationship Id="rId36" Type="http://schemas.openxmlformats.org/officeDocument/2006/relationships/image" Target="media/image12.png"/><Relationship Id="rId10" Type="http://schemas.openxmlformats.org/officeDocument/2006/relationships/header" Target="header3.xml"/><Relationship Id="rId19" Type="http://schemas.openxmlformats.org/officeDocument/2006/relationships/image" Target="media/image3.png"/><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chart" Target="charts/chart4.xml"/><Relationship Id="rId30" Type="http://schemas.openxmlformats.org/officeDocument/2006/relationships/chart" Target="charts/chart5.xml"/><Relationship Id="rId35" Type="http://schemas.openxmlformats.org/officeDocument/2006/relationships/image" Target="media/image11.png"/></Relationships>
</file>

<file path=word/_rels/endnotes.xml.rels><?xml version="1.0" encoding="UTF-8" standalone="yes"?>
<Relationships xmlns="http://schemas.openxmlformats.org/package/2006/relationships"><Relationship Id="rId8" Type="http://schemas.openxmlformats.org/officeDocument/2006/relationships/hyperlink" Target="https://doi.org/10.1056/NEJMoa0808859" TargetMode="External"/><Relationship Id="rId13" Type="http://schemas.openxmlformats.org/officeDocument/2006/relationships/hyperlink" Target="https://doi.org/10.1097/00062752-200203000-00010" TargetMode="External"/><Relationship Id="rId18" Type="http://schemas.openxmlformats.org/officeDocument/2006/relationships/hyperlink" Target="https://doi.org/10.2174/1389450117666161221122432" TargetMode="External"/><Relationship Id="rId26" Type="http://schemas.openxmlformats.org/officeDocument/2006/relationships/hyperlink" Target="https://drug-discovery.creative-biostructure.com/molecular-dynamics-simulation-p18?gclid=EAIaIQobChMI8ZeIhvP3gQMVhzUGAB2mpQ6PEAAYASAAEgKJhPD_BwE" TargetMode="External"/><Relationship Id="rId39" Type="http://schemas.openxmlformats.org/officeDocument/2006/relationships/hyperlink" Target="https://doi.org/10.1021/ci049778k" TargetMode="External"/><Relationship Id="rId3" Type="http://schemas.openxmlformats.org/officeDocument/2006/relationships/hyperlink" Target="https://doi.org/" TargetMode="External"/><Relationship Id="rId21" Type="http://schemas.openxmlformats.org/officeDocument/2006/relationships/hyperlink" Target="https://doi.org/10.1016/j.bmcl.2009.10.122" TargetMode="External"/><Relationship Id="rId34" Type="http://schemas.openxmlformats.org/officeDocument/2006/relationships/hyperlink" Target="https://doi.org/10.1021/ja993663t" TargetMode="External"/><Relationship Id="rId7" Type="http://schemas.openxmlformats.org/officeDocument/2006/relationships/hyperlink" Target="https://doi.org/10.3201/eid1405.071601" TargetMode="External"/><Relationship Id="rId12" Type="http://schemas.openxmlformats.org/officeDocument/2006/relationships/hyperlink" Target="https://doi.org/10.1146/annurev.micro.51.1.97" TargetMode="External"/><Relationship Id="rId17" Type="http://schemas.openxmlformats.org/officeDocument/2006/relationships/hyperlink" Target="http://dx.doi.org/10.2174/1389450117666161221122432" TargetMode="External"/><Relationship Id="rId25" Type="http://schemas.openxmlformats.org/officeDocument/2006/relationships/hyperlink" Target="https://www.schrodinger.com/products/qikprop" TargetMode="External"/><Relationship Id="rId33" Type="http://schemas.openxmlformats.org/officeDocument/2006/relationships/hyperlink" Target="https://shop.elsevier.com/books/theory-of-electric-polarization/luisa/978-0-444-41019-1" TargetMode="External"/><Relationship Id="rId38" Type="http://schemas.openxmlformats.org/officeDocument/2006/relationships/hyperlink" Target="https://doi.org/10.1080/14756366.2018.1564288" TargetMode="External"/><Relationship Id="rId2" Type="http://schemas.openxmlformats.org/officeDocument/2006/relationships/hyperlink" Target="https://www.who.int/teams/global-malaria-programme/reports/world-malaria-report-2022" TargetMode="External"/><Relationship Id="rId16" Type="http://schemas.openxmlformats.org/officeDocument/2006/relationships/hyperlink" Target="https://doi.org/10.1172/jci113766" TargetMode="External"/><Relationship Id="rId20" Type="http://schemas.openxmlformats.org/officeDocument/2006/relationships/hyperlink" Target="https://doi.org/10.1021/jm050686b" TargetMode="External"/><Relationship Id="rId29" Type="http://schemas.openxmlformats.org/officeDocument/2006/relationships/hyperlink" Target="https://doi.org/10.1002/(sici)1096-987x(19991115)20:14%3C1549::aid-jcc8%3E3.0.co;2-f" TargetMode="External"/><Relationship Id="rId41" Type="http://schemas.openxmlformats.org/officeDocument/2006/relationships/hyperlink" Target="http://dx.doi.org/10.11648/j.jddmc.20170306.13" TargetMode="External"/><Relationship Id="rId1" Type="http://schemas.openxmlformats.org/officeDocument/2006/relationships/hyperlink" Target="https://doi.org/10.3201/eid1405.071601" TargetMode="External"/><Relationship Id="rId6" Type="http://schemas.openxmlformats.org/officeDocument/2006/relationships/hyperlink" Target="https://doi.org/10.1056/NEJMoa1314981" TargetMode="External"/><Relationship Id="rId11" Type="http://schemas.openxmlformats.org/officeDocument/2006/relationships/hyperlink" Target="http://dx.doi.org/10.25177/JCMP.2.1.5" TargetMode="External"/><Relationship Id="rId24" Type="http://schemas.openxmlformats.org/officeDocument/2006/relationships/hyperlink" Target="https://doi.org/10.15406/japlr.2018.07.00244" TargetMode="External"/><Relationship Id="rId32" Type="http://schemas.openxmlformats.org/officeDocument/2006/relationships/hyperlink" Target="https://www.3ds.com/products-services/biovia/products/molecular-modeling-simulation/biovia-discovery-studio/" TargetMode="External"/><Relationship Id="rId37" Type="http://schemas.openxmlformats.org/officeDocument/2006/relationships/hyperlink" Target="https://doi.org/10.1002/qua.560420520" TargetMode="External"/><Relationship Id="rId40" Type="http://schemas.openxmlformats.org/officeDocument/2006/relationships/hyperlink" Target="https://doi.org/10.1016/j.drudis.2008.07.005" TargetMode="External"/><Relationship Id="rId5" Type="http://schemas.openxmlformats.org/officeDocument/2006/relationships/hyperlink" Target="https://doi.org/10.1128/aac.02382-16" TargetMode="External"/><Relationship Id="rId15" Type="http://schemas.openxmlformats.org/officeDocument/2006/relationships/hyperlink" Target="https://doi.org/10.1021%2Fjm8013663" TargetMode="External"/><Relationship Id="rId23" Type="http://schemas.openxmlformats.org/officeDocument/2006/relationships/hyperlink" Target="https://doi.org/10.1039/C6MD00084C" TargetMode="External"/><Relationship Id="rId28" Type="http://schemas.openxmlformats.org/officeDocument/2006/relationships/hyperlink" Target="https://doi.org/10.1039/C4RA06917J" TargetMode="External"/><Relationship Id="rId36" Type="http://schemas.openxmlformats.org/officeDocument/2006/relationships/hyperlink" Target="https://doi.org/10.1016/s0169-409x(02)00008-x" TargetMode="External"/><Relationship Id="rId10" Type="http://schemas.openxmlformats.org/officeDocument/2006/relationships/hyperlink" Target="https://doi.org/10.2741/s344" TargetMode="External"/><Relationship Id="rId19" Type="http://schemas.openxmlformats.org/officeDocument/2006/relationships/hyperlink" Target="http://dx.doi.org/10.1021/jm101228f" TargetMode="External"/><Relationship Id="rId31" Type="http://schemas.openxmlformats.org/officeDocument/2006/relationships/hyperlink" Target="https://doi.org/10.1002/jcc.1161" TargetMode="External"/><Relationship Id="rId4" Type="http://schemas.openxmlformats.org/officeDocument/2006/relationships/hyperlink" Target="https://doi.org/10.1111/j.1742-4658.2007.05999.x" TargetMode="External"/><Relationship Id="rId9" Type="http://schemas.openxmlformats.org/officeDocument/2006/relationships/hyperlink" Target="https://doi.org/10.2174/092986707779941096" TargetMode="External"/><Relationship Id="rId14" Type="http://schemas.openxmlformats.org/officeDocument/2006/relationships/hyperlink" Target="https://doi.org/10.1073/pnas.87.8.2931" TargetMode="External"/><Relationship Id="rId22" Type="http://schemas.openxmlformats.org/officeDocument/2006/relationships/hyperlink" Target="https://doi.org/10.1002/med.20163" TargetMode="External"/><Relationship Id="rId27" Type="http://schemas.openxmlformats.org/officeDocument/2006/relationships/hyperlink" Target="https://doi.org/10.3390/ijms161226196" TargetMode="External"/><Relationship Id="rId30" Type="http://schemas.openxmlformats.org/officeDocument/2006/relationships/hyperlink" Target="https://doi.org/10.1007/bf00173467" TargetMode="External"/><Relationship Id="rId35" Type="http://schemas.openxmlformats.org/officeDocument/2006/relationships/hyperlink" Target="https://doi.org/10.1016/s0960-894x(00)00172-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EXCELL_CNP.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LI\Desktop\Analog_CN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ILI\Desktop\Analog_CNP.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kily_17.02.19\pour%20kil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ILI\Desktop\Analog_CN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ILI\Desktop\Analog_CN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ILI\Desktop\Analog_CN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ILI\Desktop\Analog_CN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7683008807439612"/>
          <c:y val="8.5841689699225079E-2"/>
          <c:w val="0.75273795615236849"/>
          <c:h val="0.64598141448535185"/>
        </c:manualLayout>
      </c:layout>
      <c:scatterChart>
        <c:scatterStyle val="lineMarker"/>
        <c:ser>
          <c:idx val="0"/>
          <c:order val="0"/>
          <c:spPr>
            <a:ln w="19050">
              <a:noFill/>
            </a:ln>
          </c:spPr>
          <c:marker>
            <c:symbol val="circle"/>
            <c:size val="5"/>
            <c:spPr>
              <a:solidFill>
                <a:schemeClr val="tx1"/>
              </a:solidFill>
              <a:ln w="9525">
                <a:solidFill>
                  <a:schemeClr val="tx1"/>
                </a:solidFill>
              </a:ln>
              <a:effectLst/>
            </c:spPr>
          </c:marker>
          <c:dPt>
            <c:idx val="12"/>
            <c:marker>
              <c:spPr>
                <a:solidFill>
                  <a:srgbClr val="FF0000"/>
                </a:solidFill>
                <a:ln w="9525">
                  <a:solidFill>
                    <a:schemeClr val="tx1"/>
                  </a:solidFill>
                </a:ln>
                <a:effectLst/>
              </c:spPr>
            </c:marker>
            <c:extLst xmlns:c16r2="http://schemas.microsoft.com/office/drawing/2015/06/chart">
              <c:ext xmlns:c16="http://schemas.microsoft.com/office/drawing/2014/chart" uri="{C3380CC4-5D6E-409C-BE32-E72D297353CC}">
                <c16:uniqueId val="{00000000-142B-43B8-9428-B0AC33A8221A}"/>
              </c:ext>
            </c:extLst>
          </c:dPt>
          <c:dPt>
            <c:idx val="13"/>
            <c:marker>
              <c:spPr>
                <a:solidFill>
                  <a:srgbClr val="FF0000"/>
                </a:solidFill>
                <a:ln w="9525">
                  <a:solidFill>
                    <a:schemeClr val="tx1"/>
                  </a:solidFill>
                </a:ln>
                <a:effectLst/>
              </c:spPr>
            </c:marker>
            <c:extLst xmlns:c16r2="http://schemas.microsoft.com/office/drawing/2015/06/chart">
              <c:ext xmlns:c16="http://schemas.microsoft.com/office/drawing/2014/chart" uri="{C3380CC4-5D6E-409C-BE32-E72D297353CC}">
                <c16:uniqueId val="{00000001-142B-43B8-9428-B0AC33A8221A}"/>
              </c:ext>
            </c:extLst>
          </c:dPt>
          <c:dPt>
            <c:idx val="14"/>
            <c:marker>
              <c:spPr>
                <a:solidFill>
                  <a:srgbClr val="FF0000"/>
                </a:solidFill>
                <a:ln w="9525">
                  <a:solidFill>
                    <a:schemeClr val="tx1"/>
                  </a:solidFill>
                </a:ln>
                <a:effectLst/>
              </c:spPr>
            </c:marker>
            <c:extLst xmlns:c16r2="http://schemas.microsoft.com/office/drawing/2015/06/chart">
              <c:ext xmlns:c16="http://schemas.microsoft.com/office/drawing/2014/chart" uri="{C3380CC4-5D6E-409C-BE32-E72D297353CC}">
                <c16:uniqueId val="{00000002-142B-43B8-9428-B0AC33A8221A}"/>
              </c:ext>
            </c:extLst>
          </c:dPt>
          <c:trendline>
            <c:spPr>
              <a:ln w="12700" cap="rnd">
                <a:solidFill>
                  <a:schemeClr val="tx1"/>
                </a:solidFill>
                <a:prstDash val="solid"/>
              </a:ln>
              <a:effectLst/>
            </c:spPr>
            <c:trendlineType val="linear"/>
          </c:trendline>
          <c:xVal>
            <c:numRef>
              <c:f>'QSAR CNP12_3'!$B$23:$B$37</c:f>
              <c:numCache>
                <c:formatCode>General</c:formatCode>
                <c:ptCount val="15"/>
                <c:pt idx="0">
                  <c:v>0</c:v>
                </c:pt>
                <c:pt idx="1">
                  <c:v>-6.4</c:v>
                </c:pt>
                <c:pt idx="2">
                  <c:v>-1.44</c:v>
                </c:pt>
                <c:pt idx="3">
                  <c:v>1.6900000000000004</c:v>
                </c:pt>
                <c:pt idx="4">
                  <c:v>-1</c:v>
                </c:pt>
                <c:pt idx="5">
                  <c:v>-13.9</c:v>
                </c:pt>
                <c:pt idx="6">
                  <c:v>-4.1199999999999983</c:v>
                </c:pt>
                <c:pt idx="7">
                  <c:v>-6.24</c:v>
                </c:pt>
                <c:pt idx="8">
                  <c:v>-17.959999999999994</c:v>
                </c:pt>
                <c:pt idx="9">
                  <c:v>-13.370000000000003</c:v>
                </c:pt>
                <c:pt idx="10">
                  <c:v>9.19</c:v>
                </c:pt>
                <c:pt idx="11">
                  <c:v>4.21</c:v>
                </c:pt>
                <c:pt idx="12">
                  <c:v>0.82000000000000017</c:v>
                </c:pt>
                <c:pt idx="13">
                  <c:v>-6.07</c:v>
                </c:pt>
                <c:pt idx="14">
                  <c:v>-4.29</c:v>
                </c:pt>
              </c:numCache>
            </c:numRef>
          </c:xVal>
          <c:yVal>
            <c:numRef>
              <c:f>'QSAR CNP12_3'!$C$23:$C$37</c:f>
              <c:numCache>
                <c:formatCode>General</c:formatCode>
                <c:ptCount val="15"/>
                <c:pt idx="0">
                  <c:v>7.2218487496163561</c:v>
                </c:pt>
                <c:pt idx="1">
                  <c:v>8.045757490560673</c:v>
                </c:pt>
                <c:pt idx="2">
                  <c:v>7.3979400086720375</c:v>
                </c:pt>
                <c:pt idx="3">
                  <c:v>7.1023729087095564</c:v>
                </c:pt>
                <c:pt idx="4">
                  <c:v>7.6197887582883919</c:v>
                </c:pt>
                <c:pt idx="5">
                  <c:v>8.6989700043360152</c:v>
                </c:pt>
                <c:pt idx="6">
                  <c:v>7.9208187539523767</c:v>
                </c:pt>
                <c:pt idx="7">
                  <c:v>8.045757490560673</c:v>
                </c:pt>
                <c:pt idx="8">
                  <c:v>9</c:v>
                </c:pt>
                <c:pt idx="9">
                  <c:v>8.5228787452803338</c:v>
                </c:pt>
                <c:pt idx="10">
                  <c:v>6.2153827073671266</c:v>
                </c:pt>
                <c:pt idx="11">
                  <c:v>6.7077439286435263</c:v>
                </c:pt>
                <c:pt idx="12">
                  <c:v>7.6197887582883919</c:v>
                </c:pt>
                <c:pt idx="13">
                  <c:v>8.5228787452803338</c:v>
                </c:pt>
                <c:pt idx="14">
                  <c:v>8.1549019599857466</c:v>
                </c:pt>
              </c:numCache>
            </c:numRef>
          </c:yVal>
          <c:extLst xmlns:c16r2="http://schemas.microsoft.com/office/drawing/2015/06/chart">
            <c:ext xmlns:c16="http://schemas.microsoft.com/office/drawing/2014/chart" uri="{C3380CC4-5D6E-409C-BE32-E72D297353CC}">
              <c16:uniqueId val="{00000004-142B-43B8-9428-B0AC33A8221A}"/>
            </c:ext>
          </c:extLst>
        </c:ser>
        <c:axId val="87449984"/>
        <c:axId val="101522816"/>
      </c:scatterChart>
      <c:valAx>
        <c:axId val="87449984"/>
        <c:scaling>
          <c:orientation val="minMax"/>
          <c:max val="10"/>
          <c:min val="-19"/>
        </c:scaling>
        <c:axPos val="b"/>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Times New Roman" pitchFamily="18" charset="0"/>
                    <a:ea typeface="+mn-ea"/>
                    <a:cs typeface="Times New Roman" pitchFamily="18" charset="0"/>
                  </a:defRPr>
                </a:pPr>
                <a:r>
                  <a:rPr lang="el-GR" sz="1000" b="1">
                    <a:solidFill>
                      <a:sysClr val="windowText" lastClr="000000"/>
                    </a:solidFill>
                    <a:latin typeface="Times New Roman" pitchFamily="18" charset="0"/>
                    <a:cs typeface="Times New Roman" pitchFamily="18" charset="0"/>
                  </a:rPr>
                  <a:t>ΔΔ</a:t>
                </a:r>
                <a:r>
                  <a:rPr lang="fr-FR" sz="1000" b="1">
                    <a:solidFill>
                      <a:sysClr val="windowText" lastClr="000000"/>
                    </a:solidFill>
                    <a:latin typeface="Times New Roman" pitchFamily="18" charset="0"/>
                    <a:cs typeface="Times New Roman" pitchFamily="18" charset="0"/>
                  </a:rPr>
                  <a:t>G</a:t>
                </a:r>
                <a:r>
                  <a:rPr lang="fr-FR" sz="1000" b="1" baseline="-25000">
                    <a:solidFill>
                      <a:sysClr val="windowText" lastClr="000000"/>
                    </a:solidFill>
                    <a:latin typeface="Times New Roman" pitchFamily="18" charset="0"/>
                    <a:cs typeface="Times New Roman" pitchFamily="18" charset="0"/>
                  </a:rPr>
                  <a:t>com</a:t>
                </a:r>
                <a:r>
                  <a:rPr lang="fr-FR" sz="1000" b="1">
                    <a:solidFill>
                      <a:sysClr val="windowText" lastClr="000000"/>
                    </a:solidFill>
                    <a:latin typeface="Times New Roman" pitchFamily="18" charset="0"/>
                    <a:cs typeface="Times New Roman" pitchFamily="18" charset="0"/>
                  </a:rPr>
                  <a:t> (kcal.mol</a:t>
                </a:r>
                <a:r>
                  <a:rPr lang="fr-FR" sz="1000" b="1" baseline="30000">
                    <a:solidFill>
                      <a:sysClr val="windowText" lastClr="000000"/>
                    </a:solidFill>
                    <a:latin typeface="Times New Roman" pitchFamily="18" charset="0"/>
                    <a:cs typeface="Times New Roman" pitchFamily="18" charset="0"/>
                  </a:rPr>
                  <a:t>-1</a:t>
                </a:r>
                <a:r>
                  <a:rPr lang="fr-FR" sz="1000" b="1" baseline="0">
                    <a:solidFill>
                      <a:sysClr val="windowText" lastClr="000000"/>
                    </a:solidFill>
                    <a:latin typeface="Times New Roman" pitchFamily="18" charset="0"/>
                    <a:cs typeface="Times New Roman" pitchFamily="18" charset="0"/>
                  </a:rPr>
                  <a:t>)</a:t>
                </a:r>
                <a:r>
                  <a:rPr lang="fr-FR" sz="1000" b="1">
                    <a:solidFill>
                      <a:sysClr val="windowText" lastClr="000000"/>
                    </a:solidFill>
                    <a:latin typeface="Times New Roman" pitchFamily="18" charset="0"/>
                    <a:cs typeface="Times New Roman" pitchFamily="18" charset="0"/>
                  </a:rPr>
                  <a:t> </a:t>
                </a:r>
              </a:p>
            </c:rich>
          </c:tx>
          <c:layout>
            <c:manualLayout>
              <c:xMode val="edge"/>
              <c:yMode val="edge"/>
              <c:x val="0.31725881324157257"/>
              <c:y val="0.88065544588026956"/>
            </c:manualLayout>
          </c:layout>
          <c:spPr>
            <a:noFill/>
            <a:ln w="25400">
              <a:noFill/>
            </a:ln>
          </c:spPr>
        </c:title>
        <c:numFmt formatCode="General" sourceLinked="1"/>
        <c:tickLblPos val="nextTo"/>
        <c:spPr>
          <a:noFill/>
          <a:ln w="9525" cap="flat" cmpd="sng" algn="ctr">
            <a:solidFill>
              <a:schemeClr val="tx1"/>
            </a:solidFill>
            <a:round/>
          </a:ln>
          <a:effectLst/>
        </c:spPr>
        <c:txPr>
          <a:bodyPr rot="0" vert="horz"/>
          <a:lstStyle/>
          <a:p>
            <a:pPr>
              <a:defRPr lang="fr-FR" sz="900" b="1" i="0" u="none" strike="noStrike" baseline="0">
                <a:solidFill>
                  <a:srgbClr val="000000"/>
                </a:solidFill>
                <a:latin typeface="Times New Roman" pitchFamily="18" charset="0"/>
                <a:ea typeface="Calibri"/>
                <a:cs typeface="Times New Roman" pitchFamily="18" charset="0"/>
              </a:defRPr>
            </a:pPr>
            <a:endParaRPr lang="en-US"/>
          </a:p>
        </c:txPr>
        <c:crossAx val="101522816"/>
        <c:crosses val="autoZero"/>
        <c:crossBetween val="midCat"/>
        <c:majorUnit val="4"/>
      </c:valAx>
      <c:valAx>
        <c:axId val="101522816"/>
        <c:scaling>
          <c:orientation val="minMax"/>
          <c:max val="10"/>
          <c:min val="6"/>
        </c:scaling>
        <c:axPos val="l"/>
        <c:title>
          <c:tx>
            <c:rich>
              <a:bodyPr rot="-5400000" spcFirstLastPara="1" vertOverflow="ellipsis" vert="horz" wrap="square" anchor="ctr" anchorCtr="1"/>
              <a:lstStyle/>
              <a:p>
                <a:pPr algn="just">
                  <a:defRPr lang="fr-FR" sz="1000" b="0" i="0" u="none" strike="noStrike" kern="1200" baseline="0">
                    <a:solidFill>
                      <a:schemeClr val="tx1">
                        <a:lumMod val="65000"/>
                        <a:lumOff val="35000"/>
                      </a:schemeClr>
                    </a:solidFill>
                    <a:latin typeface="+mn-lt"/>
                    <a:ea typeface="+mn-ea"/>
                    <a:cs typeface="+mn-cs"/>
                  </a:defRPr>
                </a:pPr>
                <a:r>
                  <a:rPr lang="fr-FR" sz="1000" b="1" i="0" u="none" strike="noStrike" baseline="0">
                    <a:solidFill>
                      <a:sysClr val="windowText" lastClr="000000">
                        <a:lumMod val="65000"/>
                        <a:lumOff val="35000"/>
                      </a:sysClr>
                    </a:solidFill>
                    <a:effectLst/>
                    <a:latin typeface="Times New Roman" pitchFamily="18" charset="0"/>
                    <a:cs typeface="Times New Roman" pitchFamily="18" charset="0"/>
                  </a:rPr>
                  <a:t>pIC</a:t>
                </a:r>
                <a:r>
                  <a:rPr lang="fr-FR" sz="1000" b="1" i="0" u="none" strike="noStrike" baseline="-25000">
                    <a:solidFill>
                      <a:sysClr val="windowText" lastClr="000000">
                        <a:lumMod val="65000"/>
                        <a:lumOff val="35000"/>
                      </a:sysClr>
                    </a:solidFill>
                    <a:effectLst/>
                    <a:latin typeface="Times New Roman" pitchFamily="18" charset="0"/>
                    <a:cs typeface="Times New Roman" pitchFamily="18" charset="0"/>
                  </a:rPr>
                  <a:t>50</a:t>
                </a:r>
                <a:r>
                  <a:rPr lang="fr-FR" sz="1000" b="1" i="0" u="none" strike="noStrike" baseline="0">
                    <a:solidFill>
                      <a:sysClr val="windowText" lastClr="000000">
                        <a:lumMod val="65000"/>
                        <a:lumOff val="35000"/>
                      </a:sysClr>
                    </a:solidFill>
                    <a:effectLst/>
                    <a:latin typeface="Times New Roman" pitchFamily="18" charset="0"/>
                    <a:cs typeface="Times New Roman" pitchFamily="18" charset="0"/>
                  </a:rPr>
                  <a:t> </a:t>
                </a:r>
                <a:r>
                  <a:rPr lang="fr-FR" sz="1000" b="1" i="0" u="none" strike="noStrike" baseline="30000">
                    <a:solidFill>
                      <a:sysClr val="windowText" lastClr="000000">
                        <a:lumMod val="65000"/>
                        <a:lumOff val="35000"/>
                      </a:sysClr>
                    </a:solidFill>
                    <a:effectLst/>
                    <a:latin typeface="Times New Roman" pitchFamily="18" charset="0"/>
                    <a:cs typeface="Times New Roman" pitchFamily="18" charset="0"/>
                  </a:rPr>
                  <a:t>exp</a:t>
                </a:r>
                <a:endParaRPr lang="fr-FR" sz="1000" b="1" baseline="30000">
                  <a:solidFill>
                    <a:sysClr val="windowText" lastClr="000000"/>
                  </a:solidFill>
                  <a:latin typeface="Times New Roman" pitchFamily="18" charset="0"/>
                  <a:cs typeface="Times New Roman" pitchFamily="18" charset="0"/>
                </a:endParaRPr>
              </a:p>
            </c:rich>
          </c:tx>
          <c:layout>
            <c:manualLayout>
              <c:xMode val="edge"/>
              <c:yMode val="edge"/>
              <c:x val="1.5217274461852702E-3"/>
              <c:y val="0.2813114860814635"/>
            </c:manualLayout>
          </c:layout>
          <c:spPr>
            <a:noFill/>
            <a:ln w="25400">
              <a:noFill/>
            </a:ln>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lang="fr-FR" sz="9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87449984"/>
        <c:crossesAt val="-19"/>
        <c:crossBetween val="midCat"/>
        <c:majorUnit val="1"/>
      </c:valAx>
      <c:spPr>
        <a:noFill/>
        <a:ln w="38100">
          <a:noFill/>
        </a:ln>
        <a:effectLst/>
      </c:spPr>
    </c:plotArea>
    <c:plotVisOnly val="1"/>
    <c:dispBlanksAs val="gap"/>
  </c:chart>
  <c:spPr>
    <a:solidFill>
      <a:schemeClr val="bg1"/>
    </a:solidFill>
    <a:ln w="38100"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lgn="ctr">
              <a:defRPr lang="fr-F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00" b="1" baseline="0">
                <a:solidFill>
                  <a:sysClr val="windowText" lastClr="000000"/>
                </a:solidFill>
                <a:latin typeface="Times New Roman" panose="02020603050405020304" pitchFamily="18" charset="0"/>
                <a:cs typeface="Times New Roman" panose="02020603050405020304" pitchFamily="18" charset="0"/>
              </a:rPr>
              <a:t>S2 pocket</a:t>
            </a:r>
            <a:endParaRPr lang="fr-FR"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997865329361745"/>
          <c:y val="1.3926914564922857E-3"/>
        </c:manualLayout>
      </c:layout>
      <c:spPr>
        <a:noFill/>
        <a:ln>
          <a:noFill/>
        </a:ln>
        <a:effectLst/>
      </c:spPr>
    </c:title>
    <c:plotArea>
      <c:layout>
        <c:manualLayout>
          <c:layoutTarget val="inner"/>
          <c:xMode val="edge"/>
          <c:yMode val="edge"/>
          <c:x val="0.1375726649622124"/>
          <c:y val="0.11541313117906515"/>
          <c:w val="0.81329825955766244"/>
          <c:h val="0.69701676353568309"/>
        </c:manualLayout>
      </c:layout>
      <c:scatterChart>
        <c:scatterStyle val="lineMarker"/>
        <c:ser>
          <c:idx val="0"/>
          <c:order val="0"/>
          <c:spPr>
            <a:ln w="19050" cap="rnd">
              <a:noFill/>
              <a:round/>
            </a:ln>
            <a:effectLst/>
          </c:spPr>
          <c:marker>
            <c:symbol val="circle"/>
            <c:size val="6"/>
            <c:spPr>
              <a:solidFill>
                <a:schemeClr val="bg1"/>
              </a:solidFill>
              <a:ln w="19050">
                <a:solidFill>
                  <a:schemeClr val="tx1"/>
                </a:solidFill>
              </a:ln>
              <a:effectLst/>
            </c:spPr>
          </c:marker>
          <c:trendline>
            <c:spPr>
              <a:ln w="15875" cap="rnd" cmpd="sng">
                <a:solidFill>
                  <a:schemeClr val="tx1"/>
                </a:solidFill>
                <a:prstDash val="solid"/>
              </a:ln>
              <a:effectLst/>
            </c:spPr>
            <c:trendlineType val="linear"/>
            <c:dispRSqr val="1"/>
            <c:dispEq val="1"/>
            <c:trendlineLbl>
              <c:layout>
                <c:manualLayout>
                  <c:x val="7.9575386931032902E-2"/>
                  <c:y val="-0.49715442762912182"/>
                </c:manualLayout>
              </c:layout>
              <c:tx>
                <c:rich>
                  <a:bodyPr rot="0" spcFirstLastPara="1" vertOverflow="ellipsis" vert="horz" wrap="square" anchor="ctr" anchorCtr="1"/>
                  <a:lstStyle/>
                  <a:p>
                    <a:pPr>
                      <a:defRPr lang="fr-FR" sz="800" b="0" i="0" u="none" strike="noStrike" kern="1200" baseline="0">
                        <a:solidFill>
                          <a:sysClr val="windowText" lastClr="000000"/>
                        </a:solidFill>
                        <a:latin typeface="+mn-lt"/>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y = -0,6043x + 7,1091</a:t>
                    </a:r>
                    <a:br>
                      <a:rPr lang="en-US" sz="800" b="1" baseline="0">
                        <a:solidFill>
                          <a:sysClr val="windowText" lastClr="000000"/>
                        </a:solidFill>
                        <a:latin typeface="Times New Roman" panose="02020603050405020304" pitchFamily="18" charset="0"/>
                        <a:cs typeface="Times New Roman" panose="02020603050405020304" pitchFamily="18" charset="0"/>
                      </a:rPr>
                    </a:br>
                    <a:r>
                      <a:rPr lang="en-US" sz="800" b="1" baseline="0">
                        <a:solidFill>
                          <a:sysClr val="windowText" lastClr="000000"/>
                        </a:solidFill>
                        <a:latin typeface="Times New Roman" panose="02020603050405020304" pitchFamily="18" charset="0"/>
                        <a:cs typeface="Times New Roman" panose="02020603050405020304" pitchFamily="18" charset="0"/>
                      </a:rPr>
                      <a:t>R² = 0,7069</a:t>
                    </a:r>
                    <a:endParaRPr lang="en-US" sz="8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'Courbe residus'!$E$3:$E$14</c:f>
              <c:numCache>
                <c:formatCode>General</c:formatCode>
                <c:ptCount val="12"/>
                <c:pt idx="0">
                  <c:v>0</c:v>
                </c:pt>
                <c:pt idx="1">
                  <c:v>-1.1399999999999983</c:v>
                </c:pt>
                <c:pt idx="2">
                  <c:v>-1.219999999999998</c:v>
                </c:pt>
                <c:pt idx="3">
                  <c:v>-1.3799999999999986</c:v>
                </c:pt>
                <c:pt idx="4">
                  <c:v>-0.79999999999999893</c:v>
                </c:pt>
                <c:pt idx="5">
                  <c:v>-1.3699999999999988</c:v>
                </c:pt>
                <c:pt idx="6">
                  <c:v>-1.08</c:v>
                </c:pt>
                <c:pt idx="7">
                  <c:v>-0.93999999999999961</c:v>
                </c:pt>
                <c:pt idx="8">
                  <c:v>-3.3599999999999985</c:v>
                </c:pt>
                <c:pt idx="9">
                  <c:v>-2.0599999999999987</c:v>
                </c:pt>
                <c:pt idx="10">
                  <c:v>0.46000000000000085</c:v>
                </c:pt>
                <c:pt idx="11">
                  <c:v>1.0900000000000007</c:v>
                </c:pt>
              </c:numCache>
            </c:numRef>
          </c:xVal>
          <c:yVal>
            <c:numRef>
              <c:f>'Courbe residus'!$F$3:$F$14</c:f>
              <c:numCache>
                <c:formatCode>General</c:formatCode>
                <c:ptCount val="12"/>
                <c:pt idx="0">
                  <c:v>7.22</c:v>
                </c:pt>
                <c:pt idx="1">
                  <c:v>8.0400000000000009</c:v>
                </c:pt>
                <c:pt idx="2">
                  <c:v>7.39</c:v>
                </c:pt>
                <c:pt idx="3">
                  <c:v>7.1</c:v>
                </c:pt>
                <c:pt idx="4">
                  <c:v>7.6099999999999985</c:v>
                </c:pt>
                <c:pt idx="5">
                  <c:v>8.69</c:v>
                </c:pt>
                <c:pt idx="6">
                  <c:v>7.92</c:v>
                </c:pt>
                <c:pt idx="7">
                  <c:v>8.0400000000000009</c:v>
                </c:pt>
                <c:pt idx="8">
                  <c:v>9</c:v>
                </c:pt>
                <c:pt idx="9">
                  <c:v>8.52</c:v>
                </c:pt>
                <c:pt idx="10">
                  <c:v>6.21</c:v>
                </c:pt>
                <c:pt idx="11">
                  <c:v>6.7</c:v>
                </c:pt>
              </c:numCache>
            </c:numRef>
          </c:yVal>
          <c:extLst xmlns:c16r2="http://schemas.microsoft.com/office/drawing/2015/06/chart">
            <c:ext xmlns:c16="http://schemas.microsoft.com/office/drawing/2014/chart" uri="{C3380CC4-5D6E-409C-BE32-E72D297353CC}">
              <c16:uniqueId val="{00000001-72B2-4F2B-8E5B-F1016885785B}"/>
            </c:ext>
          </c:extLst>
        </c:ser>
        <c:axId val="117097216"/>
        <c:axId val="117099904"/>
      </c:scatterChart>
      <c:valAx>
        <c:axId val="117097216"/>
        <c:scaling>
          <c:orientation val="minMax"/>
          <c:min val="-3.5"/>
        </c:scaling>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fr-FR" sz="900" b="0" i="0" u="none" strike="noStrike" kern="1200" baseline="0">
                    <a:solidFill>
                      <a:sysClr val="windowText" lastClr="000000"/>
                    </a:solidFill>
                    <a:latin typeface="+mn-lt"/>
                    <a:ea typeface="+mn-ea"/>
                    <a:cs typeface="+mn-cs"/>
                  </a:defRPr>
                </a:pPr>
                <a:r>
                  <a:rPr lang="el-GR" sz="900" b="1" i="0" baseline="0">
                    <a:solidFill>
                      <a:sysClr val="windowText" lastClr="000000"/>
                    </a:solidFill>
                    <a:effectLst/>
                    <a:latin typeface="Times New Roman" panose="02020603050405020304" pitchFamily="18" charset="0"/>
                    <a:cs typeface="Times New Roman" panose="02020603050405020304" pitchFamily="18" charset="0"/>
                  </a:rPr>
                  <a:t>Δ</a:t>
                </a:r>
                <a:r>
                  <a:rPr lang="fr-FR" sz="900" b="1" i="0" baseline="0">
                    <a:solidFill>
                      <a:sysClr val="windowText" lastClr="000000"/>
                    </a:solidFill>
                    <a:effectLst/>
                    <a:latin typeface="Times New Roman" panose="02020603050405020304" pitchFamily="18" charset="0"/>
                    <a:cs typeface="Times New Roman" panose="02020603050405020304" pitchFamily="18" charset="0"/>
                  </a:rPr>
                  <a:t>E</a:t>
                </a:r>
                <a:r>
                  <a:rPr lang="fr-FR" sz="900" b="1" i="0" baseline="-25000">
                    <a:solidFill>
                      <a:sysClr val="windowText" lastClr="000000"/>
                    </a:solidFill>
                    <a:effectLst/>
                    <a:latin typeface="Times New Roman" panose="02020603050405020304" pitchFamily="18" charset="0"/>
                    <a:cs typeface="Times New Roman" panose="02020603050405020304" pitchFamily="18" charset="0"/>
                  </a:rPr>
                  <a:t>int</a:t>
                </a:r>
                <a:r>
                  <a:rPr lang="fr-FR" sz="900" b="1" i="0" baseline="0">
                    <a:solidFill>
                      <a:sysClr val="windowText" lastClr="000000"/>
                    </a:solidFill>
                    <a:effectLst/>
                    <a:latin typeface="Times New Roman" panose="02020603050405020304" pitchFamily="18" charset="0"/>
                    <a:cs typeface="Times New Roman" panose="02020603050405020304" pitchFamily="18" charset="0"/>
                  </a:rPr>
                  <a:t> (kcal.mol</a:t>
                </a:r>
                <a:r>
                  <a:rPr lang="fr-FR" sz="900" b="1" i="0" baseline="30000">
                    <a:solidFill>
                      <a:sysClr val="windowText" lastClr="000000"/>
                    </a:solidFill>
                    <a:effectLst/>
                    <a:latin typeface="Times New Roman" panose="02020603050405020304" pitchFamily="18" charset="0"/>
                    <a:cs typeface="Times New Roman" panose="02020603050405020304" pitchFamily="18" charset="0"/>
                  </a:rPr>
                  <a:t>-1</a:t>
                </a:r>
                <a:r>
                  <a:rPr lang="fr-FR" sz="900" b="1" i="0" baseline="0">
                    <a:solidFill>
                      <a:sysClr val="windowText" lastClr="000000"/>
                    </a:solidFill>
                    <a:effectLst/>
                    <a:latin typeface="Times New Roman" panose="02020603050405020304" pitchFamily="18" charset="0"/>
                    <a:cs typeface="Times New Roman" panose="02020603050405020304" pitchFamily="18" charset="0"/>
                  </a:rPr>
                  <a:t>)</a:t>
                </a:r>
                <a:endParaRPr lang="fr-FR" sz="900">
                  <a:solidFill>
                    <a:sysClr val="windowText" lastClr="000000"/>
                  </a:solidFill>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099904"/>
        <c:crosses val="autoZero"/>
        <c:crossBetween val="midCat"/>
      </c:valAx>
      <c:valAx>
        <c:axId val="117099904"/>
        <c:scaling>
          <c:orientation val="minMax"/>
          <c:max val="9.2000000000000011"/>
          <c:min val="6"/>
        </c:scaling>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fr-F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000" b="1" i="0" baseline="0">
                    <a:solidFill>
                      <a:sysClr val="windowText" lastClr="000000"/>
                    </a:solidFill>
                    <a:effectLst/>
                    <a:latin typeface="Times New Roman" panose="02020603050405020304" pitchFamily="18" charset="0"/>
                    <a:cs typeface="Times New Roman" panose="02020603050405020304" pitchFamily="18" charset="0"/>
                  </a:rPr>
                  <a:t>pCI</a:t>
                </a:r>
                <a:r>
                  <a:rPr lang="fr-FR" sz="1000" b="1" i="0" baseline="-25000">
                    <a:solidFill>
                      <a:sysClr val="windowText" lastClr="000000"/>
                    </a:solidFill>
                    <a:effectLst/>
                    <a:latin typeface="Times New Roman" panose="02020603050405020304" pitchFamily="18" charset="0"/>
                    <a:cs typeface="Times New Roman" panose="02020603050405020304" pitchFamily="18" charset="0"/>
                  </a:rPr>
                  <a:t>50</a:t>
                </a:r>
                <a:r>
                  <a:rPr lang="fr-FR" sz="1000" b="1" i="0" baseline="30000">
                    <a:solidFill>
                      <a:sysClr val="windowText" lastClr="000000"/>
                    </a:solidFill>
                    <a:effectLst/>
                    <a:latin typeface="Times New Roman" panose="02020603050405020304" pitchFamily="18" charset="0"/>
                    <a:cs typeface="Times New Roman" panose="02020603050405020304" pitchFamily="18" charset="0"/>
                  </a:rPr>
                  <a:t>exp</a:t>
                </a:r>
                <a:endParaRPr lang="fr-FR"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2.8394284568828182E-3"/>
              <c:y val="0.34744194803952133"/>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097216"/>
        <c:crossesAt val="-4"/>
        <c:crossBetween val="midCat"/>
      </c:valAx>
      <c:spPr>
        <a:noFill/>
        <a:ln w="12700">
          <a:solidFill>
            <a:sysClr val="windowText" lastClr="000000"/>
          </a:solidFill>
        </a:ln>
        <a:effectLst/>
      </c:spPr>
    </c:plotArea>
    <c:plotVisOnly val="1"/>
    <c:dispBlanksAs val="gap"/>
  </c:chart>
  <c:spPr>
    <a:solidFill>
      <a:schemeClr val="bg1"/>
    </a:solidFill>
    <a:ln w="2857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rot="0" vert="horz"/>
          <a:lstStyle/>
          <a:p>
            <a:pPr>
              <a:defRPr lang="fr-FR" sz="1000"/>
            </a:pPr>
            <a:r>
              <a:rPr lang="en-US" sz="1000"/>
              <a:t>Leu172</a:t>
            </a:r>
          </a:p>
        </c:rich>
      </c:tx>
      <c:layout>
        <c:manualLayout>
          <c:xMode val="edge"/>
          <c:yMode val="edge"/>
          <c:x val="0.41262128410813315"/>
          <c:y val="1.2464465070051271E-2"/>
        </c:manualLayout>
      </c:layout>
      <c:spPr>
        <a:noFill/>
        <a:ln>
          <a:noFill/>
        </a:ln>
        <a:effectLst/>
      </c:spPr>
    </c:title>
    <c:plotArea>
      <c:layout>
        <c:manualLayout>
          <c:layoutTarget val="inner"/>
          <c:xMode val="edge"/>
          <c:yMode val="edge"/>
          <c:x val="0.1488326129845649"/>
          <c:y val="0.13998030724403276"/>
          <c:w val="0.81210959617095668"/>
          <c:h val="0.67333360084203508"/>
        </c:manualLayout>
      </c:layout>
      <c:scatterChart>
        <c:scatterStyle val="lineMarker"/>
        <c:ser>
          <c:idx val="0"/>
          <c:order val="0"/>
          <c:spPr>
            <a:ln w="19050" cap="rnd">
              <a:noFill/>
              <a:round/>
            </a:ln>
            <a:effectLst/>
          </c:spPr>
          <c:marker>
            <c:symbol val="circle"/>
            <c:size val="6"/>
            <c:spPr>
              <a:solidFill>
                <a:schemeClr val="bg1"/>
              </a:solidFill>
              <a:ln w="19050">
                <a:solidFill>
                  <a:schemeClr val="tx1"/>
                </a:solidFill>
              </a:ln>
              <a:effectLst/>
            </c:spPr>
          </c:marker>
          <c:trendline>
            <c:spPr>
              <a:ln w="15875" cap="rnd">
                <a:solidFill>
                  <a:schemeClr val="tx1"/>
                </a:solidFill>
                <a:prstDash val="solid"/>
              </a:ln>
              <a:effectLst/>
            </c:spPr>
            <c:trendlineType val="linear"/>
            <c:dispRSqr val="1"/>
            <c:dispEq val="1"/>
            <c:trendlineLbl>
              <c:layout>
                <c:manualLayout>
                  <c:x val="0.11035579016222791"/>
                  <c:y val="-0.47693323908795998"/>
                </c:manualLayout>
              </c:layout>
              <c:tx>
                <c:rich>
                  <a:bodyPr rot="0" vert="horz"/>
                  <a:lstStyle/>
                  <a:p>
                    <a:pPr>
                      <a:defRPr lang="fr-FR" sz="800" b="1"/>
                    </a:pPr>
                    <a:r>
                      <a:rPr lang="en-US" sz="800" b="1"/>
                      <a:t>y = -1,1351x + 7,2171</a:t>
                    </a:r>
                    <a:br>
                      <a:rPr lang="en-US" sz="800" b="1"/>
                    </a:br>
                    <a:r>
                      <a:rPr lang="en-US" sz="800" b="1"/>
                      <a:t>R² = 0,7119</a:t>
                    </a:r>
                  </a:p>
                </c:rich>
              </c:tx>
              <c:numFmt formatCode="General" sourceLinked="0"/>
              <c:spPr>
                <a:noFill/>
                <a:ln>
                  <a:noFill/>
                </a:ln>
                <a:effectLst/>
              </c:spPr>
            </c:trendlineLbl>
          </c:trendline>
          <c:xVal>
            <c:numRef>
              <c:f>'Courbe residus'!$E$18:$E$29</c:f>
              <c:numCache>
                <c:formatCode>General</c:formatCode>
                <c:ptCount val="12"/>
                <c:pt idx="0">
                  <c:v>0</c:v>
                </c:pt>
                <c:pt idx="1">
                  <c:v>-0.63000000000000012</c:v>
                </c:pt>
                <c:pt idx="2">
                  <c:v>-0.52000000000000068</c:v>
                </c:pt>
                <c:pt idx="3">
                  <c:v>-0.73000000000000065</c:v>
                </c:pt>
                <c:pt idx="4">
                  <c:v>-0.58000000000000007</c:v>
                </c:pt>
                <c:pt idx="5">
                  <c:v>-0.96999999999999975</c:v>
                </c:pt>
                <c:pt idx="6">
                  <c:v>-0.57000000000000051</c:v>
                </c:pt>
                <c:pt idx="7">
                  <c:v>-0.50999999999999979</c:v>
                </c:pt>
                <c:pt idx="8">
                  <c:v>-1.5200000000000005</c:v>
                </c:pt>
                <c:pt idx="9">
                  <c:v>-0.40000000000000036</c:v>
                </c:pt>
                <c:pt idx="10">
                  <c:v>0.67000000000000015</c:v>
                </c:pt>
                <c:pt idx="11">
                  <c:v>0.61999999999999988</c:v>
                </c:pt>
              </c:numCache>
            </c:numRef>
          </c:xVal>
          <c:yVal>
            <c:numRef>
              <c:f>'Courbe residus'!$F$18:$F$29</c:f>
              <c:numCache>
                <c:formatCode>General</c:formatCode>
                <c:ptCount val="12"/>
                <c:pt idx="0">
                  <c:v>7.22</c:v>
                </c:pt>
                <c:pt idx="1">
                  <c:v>8.0400000000000009</c:v>
                </c:pt>
                <c:pt idx="2">
                  <c:v>7.39</c:v>
                </c:pt>
                <c:pt idx="3">
                  <c:v>7.1</c:v>
                </c:pt>
                <c:pt idx="4">
                  <c:v>7.6099999999999985</c:v>
                </c:pt>
                <c:pt idx="5">
                  <c:v>8.69</c:v>
                </c:pt>
                <c:pt idx="6">
                  <c:v>7.92</c:v>
                </c:pt>
                <c:pt idx="7">
                  <c:v>8.0400000000000009</c:v>
                </c:pt>
                <c:pt idx="8">
                  <c:v>9</c:v>
                </c:pt>
                <c:pt idx="9">
                  <c:v>8.52</c:v>
                </c:pt>
                <c:pt idx="10">
                  <c:v>6.21</c:v>
                </c:pt>
                <c:pt idx="11">
                  <c:v>6.7</c:v>
                </c:pt>
              </c:numCache>
            </c:numRef>
          </c:yVal>
          <c:extLst xmlns:c16r2="http://schemas.microsoft.com/office/drawing/2015/06/chart">
            <c:ext xmlns:c16="http://schemas.microsoft.com/office/drawing/2014/chart" uri="{C3380CC4-5D6E-409C-BE32-E72D297353CC}">
              <c16:uniqueId val="{00000001-A22A-4D8A-A8FA-9191515E84D1}"/>
            </c:ext>
          </c:extLst>
        </c:ser>
        <c:axId val="117586944"/>
        <c:axId val="119408512"/>
      </c:scatterChart>
      <c:valAx>
        <c:axId val="117586944"/>
        <c:scaling>
          <c:orientation val="minMax"/>
          <c:max val="1"/>
          <c:min val="-1.6"/>
        </c:scaling>
        <c:axPos val="b"/>
        <c:title>
          <c:tx>
            <c:rich>
              <a:bodyPr rot="0" vert="horz"/>
              <a:lstStyle/>
              <a:p>
                <a:pPr>
                  <a:defRPr lang="fr-FR"/>
                </a:pPr>
                <a:r>
                  <a:rPr lang="el-GR"/>
                  <a:t>Δ</a:t>
                </a:r>
                <a:r>
                  <a:rPr lang="fr-FR"/>
                  <a:t>E</a:t>
                </a:r>
                <a:r>
                  <a:rPr lang="fr-FR" baseline="-25000"/>
                  <a:t>int</a:t>
                </a:r>
                <a:r>
                  <a:rPr lang="fr-FR"/>
                  <a:t> (kcal.mol</a:t>
                </a:r>
                <a:r>
                  <a:rPr lang="fr-FR" baseline="30000"/>
                  <a:t>-1</a:t>
                </a:r>
                <a:r>
                  <a:rPr lang="fr-FR"/>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lang="fr-FR" sz="800"/>
            </a:pPr>
            <a:endParaRPr lang="en-US"/>
          </a:p>
        </c:txPr>
        <c:crossAx val="119408512"/>
        <c:crosses val="autoZero"/>
        <c:crossBetween val="midCat"/>
      </c:valAx>
      <c:valAx>
        <c:axId val="119408512"/>
        <c:scaling>
          <c:orientation val="minMax"/>
          <c:min val="6"/>
        </c:scaling>
        <c:axPos val="l"/>
        <c:title>
          <c:tx>
            <c:rich>
              <a:bodyPr rot="-5400000" vert="horz"/>
              <a:lstStyle/>
              <a:p>
                <a:pPr>
                  <a:defRPr lang="fr-FR" sz="1000"/>
                </a:pPr>
                <a:r>
                  <a:rPr lang="fr-FR" sz="1000"/>
                  <a:t>pCI</a:t>
                </a:r>
                <a:r>
                  <a:rPr lang="fr-FR" sz="1000" baseline="-25000"/>
                  <a:t>50</a:t>
                </a:r>
                <a:r>
                  <a:rPr lang="fr-FR" sz="1000" baseline="30000"/>
                  <a:t>exp</a:t>
                </a:r>
              </a:p>
            </c:rich>
          </c:tx>
          <c:layout>
            <c:manualLayout>
              <c:xMode val="edge"/>
              <c:yMode val="edge"/>
              <c:x val="5.0542811224077114E-3"/>
              <c:y val="0.33067470838979346"/>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lang="fr-FR" sz="800"/>
            </a:pPr>
            <a:endParaRPr lang="en-US"/>
          </a:p>
        </c:txPr>
        <c:crossAx val="117586944"/>
        <c:crossesAt val="-1.6"/>
        <c:crossBetween val="midCat"/>
      </c:valAx>
      <c:spPr>
        <a:noFill/>
        <a:ln w="12700">
          <a:solidFill>
            <a:sysClr val="windowText" lastClr="000000"/>
          </a:solidFill>
        </a:ln>
        <a:effectLst/>
      </c:spPr>
    </c:plotArea>
    <c:plotVisOnly val="1"/>
    <c:dispBlanksAs val="gap"/>
  </c:chart>
  <c:spPr>
    <a:solidFill>
      <a:schemeClr val="bg1"/>
    </a:solidFill>
    <a:ln w="2857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20329191551191791"/>
          <c:y val="7.7486628429448298E-2"/>
          <c:w val="0.73361467537046354"/>
          <c:h val="0.70676635837591117"/>
        </c:manualLayout>
      </c:layout>
      <c:scatterChart>
        <c:scatterStyle val="lineMarker"/>
        <c:ser>
          <c:idx val="0"/>
          <c:order val="0"/>
          <c:spPr>
            <a:ln w="25400" cap="rnd">
              <a:noFill/>
              <a:round/>
            </a:ln>
            <a:effectLst/>
          </c:spPr>
          <c:marker>
            <c:symbol val="circle"/>
            <c:size val="5"/>
            <c:spPr>
              <a:solidFill>
                <a:schemeClr val="bg1"/>
              </a:solidFill>
              <a:ln w="15875">
                <a:solidFill>
                  <a:schemeClr val="tx1"/>
                </a:solidFill>
              </a:ln>
              <a:effectLst/>
            </c:spPr>
          </c:marker>
          <c:xVal>
            <c:numRef>
              <c:f>COURBE_PH4_CNP!$B$20:$B$31</c:f>
              <c:numCache>
                <c:formatCode>General</c:formatCode>
                <c:ptCount val="12"/>
                <c:pt idx="0">
                  <c:v>6.9077599999999997</c:v>
                </c:pt>
                <c:pt idx="1">
                  <c:v>5.8091400000000002</c:v>
                </c:pt>
                <c:pt idx="2">
                  <c:v>4.7105299999999986</c:v>
                </c:pt>
                <c:pt idx="3">
                  <c:v>4.4228499999999995</c:v>
                </c:pt>
                <c:pt idx="4">
                  <c:v>3.7296999999999998</c:v>
                </c:pt>
                <c:pt idx="5">
                  <c:v>5.7146099999999995</c:v>
                </c:pt>
                <c:pt idx="6">
                  <c:v>4.7105299999999986</c:v>
                </c:pt>
                <c:pt idx="7">
                  <c:v>3.21888</c:v>
                </c:pt>
                <c:pt idx="8">
                  <c:v>2.8134099999999993</c:v>
                </c:pt>
                <c:pt idx="9">
                  <c:v>2.5383100000000001</c:v>
                </c:pt>
                <c:pt idx="10">
                  <c:v>1.62964</c:v>
                </c:pt>
                <c:pt idx="11">
                  <c:v>0.49593700000000002</c:v>
                </c:pt>
              </c:numCache>
            </c:numRef>
          </c:xVal>
          <c:yVal>
            <c:numRef>
              <c:f>COURBE_PH4_CNP!$C$20:$C$31</c:f>
              <c:numCache>
                <c:formatCode>General</c:formatCode>
                <c:ptCount val="12"/>
                <c:pt idx="0">
                  <c:v>7.04556</c:v>
                </c:pt>
                <c:pt idx="1">
                  <c:v>5.9293199999999997</c:v>
                </c:pt>
                <c:pt idx="2">
                  <c:v>4.6862899999999996</c:v>
                </c:pt>
                <c:pt idx="3">
                  <c:v>4.6183799999999984</c:v>
                </c:pt>
                <c:pt idx="4">
                  <c:v>4.5811599999999997</c:v>
                </c:pt>
                <c:pt idx="5">
                  <c:v>4.5811599999999997</c:v>
                </c:pt>
                <c:pt idx="6">
                  <c:v>4.3191099999999985</c:v>
                </c:pt>
                <c:pt idx="7">
                  <c:v>3.97133</c:v>
                </c:pt>
                <c:pt idx="8">
                  <c:v>2.8035800000000002</c:v>
                </c:pt>
                <c:pt idx="9">
                  <c:v>2.7507299999999999</c:v>
                </c:pt>
                <c:pt idx="10">
                  <c:v>1.2025599999999999</c:v>
                </c:pt>
                <c:pt idx="11">
                  <c:v>0.71678600000000003</c:v>
                </c:pt>
              </c:numCache>
            </c:numRef>
          </c:yVal>
          <c:extLst xmlns:c16r2="http://schemas.microsoft.com/office/drawing/2015/06/chart">
            <c:ext xmlns:c16="http://schemas.microsoft.com/office/drawing/2014/chart" uri="{C3380CC4-5D6E-409C-BE32-E72D297353CC}">
              <c16:uniqueId val="{00000000-3012-4AC6-A20B-6784F669F740}"/>
            </c:ext>
          </c:extLst>
        </c:ser>
        <c:axId val="157458816"/>
        <c:axId val="180682752"/>
      </c:scatterChart>
      <c:valAx>
        <c:axId val="157458816"/>
        <c:scaling>
          <c:orientation val="minMax"/>
          <c:min val="0.4"/>
        </c:scaling>
        <c:axPos val="b"/>
        <c:title>
          <c:tx>
            <c:rich>
              <a:bodyPr rot="0" vert="horz"/>
              <a:lstStyle/>
              <a:p>
                <a:pPr>
                  <a:defRPr lang="fr-FR"/>
                </a:pPr>
                <a:r>
                  <a:rPr lang="fr-FR"/>
                  <a:t>pIC</a:t>
                </a:r>
                <a:r>
                  <a:rPr lang="fr-FR" baseline="-25000"/>
                  <a:t>50</a:t>
                </a:r>
                <a:r>
                  <a:rPr lang="fr-FR" baseline="30000"/>
                  <a:t>pre</a:t>
                </a:r>
              </a:p>
            </c:rich>
          </c:tx>
          <c:layout>
            <c:manualLayout>
              <c:xMode val="edge"/>
              <c:yMode val="edge"/>
              <c:x val="0.44605091934742902"/>
              <c:y val="0.89094704578028627"/>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lang="fr-FR"/>
            </a:pPr>
            <a:endParaRPr lang="en-US"/>
          </a:p>
        </c:txPr>
        <c:crossAx val="180682752"/>
        <c:crosses val="autoZero"/>
        <c:crossBetween val="midCat"/>
        <c:majorUnit val="1"/>
      </c:valAx>
      <c:valAx>
        <c:axId val="180682752"/>
        <c:scaling>
          <c:orientation val="minMax"/>
          <c:min val="0.4"/>
        </c:scaling>
        <c:axPos val="l"/>
        <c:title>
          <c:tx>
            <c:rich>
              <a:bodyPr rot="-5400000" vert="horz"/>
              <a:lstStyle/>
              <a:p>
                <a:pPr>
                  <a:defRPr lang="fr-FR"/>
                </a:pPr>
                <a:r>
                  <a:rPr lang="fr-FR"/>
                  <a:t>pIC</a:t>
                </a:r>
                <a:r>
                  <a:rPr lang="fr-FR" baseline="-25000"/>
                  <a:t>50</a:t>
                </a:r>
                <a:r>
                  <a:rPr lang="fr-FR" baseline="30000"/>
                  <a:t>exp</a:t>
                </a:r>
              </a:p>
            </c:rich>
          </c:tx>
          <c:layout>
            <c:manualLayout>
              <c:xMode val="edge"/>
              <c:yMode val="edge"/>
              <c:x val="7.8368358636310212E-3"/>
              <c:y val="0.31209614802029478"/>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lang="fr-FR"/>
            </a:pPr>
            <a:endParaRPr lang="en-US"/>
          </a:p>
        </c:txPr>
        <c:crossAx val="157458816"/>
        <c:crosses val="autoZero"/>
        <c:crossBetween val="midCat"/>
      </c:valAx>
      <c:spPr>
        <a:noFill/>
        <a:ln w="12700">
          <a:solidFill>
            <a:sysClr val="windowText" lastClr="000000"/>
          </a:solidFill>
          <a:prstDash val="solid"/>
        </a:ln>
        <a:effectLst/>
      </c:spPr>
    </c:plotArea>
    <c:plotVisOnly val="1"/>
    <c:dispBlanksAs val="gap"/>
  </c:chart>
  <c:spPr>
    <a:solidFill>
      <a:schemeClr val="bg1"/>
    </a:solidFill>
    <a:ln w="349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fr-F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a:latin typeface="Times New Roman" panose="02020603050405020304" pitchFamily="18" charset="0"/>
                <a:cs typeface="Times New Roman" panose="02020603050405020304" pitchFamily="18" charset="0"/>
              </a:rPr>
              <a:t>R1-group</a:t>
            </a:r>
          </a:p>
        </c:rich>
      </c:tx>
      <c:layout>
        <c:manualLayout>
          <c:xMode val="edge"/>
          <c:yMode val="edge"/>
          <c:x val="0.3522985078672396"/>
          <c:y val="2.0853336561788442E-2"/>
        </c:manualLayout>
      </c:layout>
      <c:spPr>
        <a:noFill/>
        <a:ln>
          <a:noFill/>
        </a:ln>
        <a:effectLst/>
      </c:spPr>
    </c:title>
    <c:plotArea>
      <c:layout>
        <c:manualLayout>
          <c:layoutTarget val="inner"/>
          <c:xMode val="edge"/>
          <c:yMode val="edge"/>
          <c:x val="0.17475571577649188"/>
          <c:y val="0.13601419278533422"/>
          <c:w val="0.75639746838874089"/>
          <c:h val="0.68523680252564523"/>
        </c:manualLayout>
      </c:layout>
      <c:barChart>
        <c:barDir val="col"/>
        <c:grouping val="clustered"/>
        <c:ser>
          <c:idx val="0"/>
          <c:order val="0"/>
          <c:spPr>
            <a:solidFill>
              <a:schemeClr val="accent1"/>
            </a:solidFill>
            <a:ln>
              <a:noFill/>
            </a:ln>
            <a:effectLst/>
          </c:spPr>
          <c:dLbls>
            <c:spPr>
              <a:noFill/>
              <a:ln>
                <a:noFill/>
              </a:ln>
              <a:effectLst/>
            </c:spPr>
            <c:txPr>
              <a:bodyPr wrap="square" lIns="38100" tIns="19050" rIns="38100" bIns="19050" anchor="ctr">
                <a:spAutoFit/>
              </a:bodyPr>
              <a:lstStyle/>
              <a:p>
                <a:pPr>
                  <a:defRPr lang="fr-FR" sz="900" b="1">
                    <a:latin typeface="Times New Roman" panose="02020603050405020304" pitchFamily="18" charset="0"/>
                    <a:cs typeface="Times New Roman" panose="02020603050405020304" pitchFamily="18" charset="0"/>
                  </a:defRPr>
                </a:pPr>
                <a:endParaRPr lang="en-US"/>
              </a:p>
            </c:txPr>
            <c:showVal val="1"/>
            <c:extLst>
              <c:ext xmlns:c15="http://schemas.microsoft.com/office/drawing/2012/chart" uri="{CE6537A1-D6FC-4f65-9D91-7224C49458BB}">
                <c15:showLeaderLines val="1"/>
              </c:ext>
            </c:extLst>
          </c:dLbls>
          <c:cat>
            <c:numRef>
              <c:f>'Occurence CNP'!$A$4:$A$7</c:f>
              <c:numCache>
                <c:formatCode>General</c:formatCode>
                <c:ptCount val="4"/>
                <c:pt idx="0">
                  <c:v>1</c:v>
                </c:pt>
                <c:pt idx="1">
                  <c:v>2</c:v>
                </c:pt>
                <c:pt idx="2">
                  <c:v>3</c:v>
                </c:pt>
                <c:pt idx="3">
                  <c:v>4</c:v>
                </c:pt>
              </c:numCache>
            </c:numRef>
          </c:cat>
          <c:val>
            <c:numRef>
              <c:f>'Occurence CNP'!$B$4:$B$7</c:f>
              <c:numCache>
                <c:formatCode>General</c:formatCode>
                <c:ptCount val="4"/>
                <c:pt idx="0">
                  <c:v>49</c:v>
                </c:pt>
                <c:pt idx="1">
                  <c:v>1</c:v>
                </c:pt>
                <c:pt idx="2">
                  <c:v>1</c:v>
                </c:pt>
                <c:pt idx="3">
                  <c:v>1</c:v>
                </c:pt>
              </c:numCache>
            </c:numRef>
          </c:val>
          <c:extLst xmlns:c16r2="http://schemas.microsoft.com/office/drawing/2015/06/chart">
            <c:ext xmlns:c16="http://schemas.microsoft.com/office/drawing/2014/chart" uri="{C3380CC4-5D6E-409C-BE32-E72D297353CC}">
              <c16:uniqueId val="{00000000-E35E-4BFA-98E1-F8DD6C6666DC}"/>
            </c:ext>
          </c:extLst>
        </c:ser>
        <c:gapWidth val="219"/>
        <c:overlap val="-27"/>
        <c:axId val="183349632"/>
        <c:axId val="183362688"/>
      </c:barChart>
      <c:catAx>
        <c:axId val="1833496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362688"/>
        <c:crosses val="autoZero"/>
        <c:auto val="1"/>
        <c:lblAlgn val="ctr"/>
        <c:lblOffset val="100"/>
      </c:catAx>
      <c:valAx>
        <c:axId val="18336268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fr-F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349632"/>
        <c:crosses val="autoZero"/>
        <c:crossBetween val="between"/>
      </c:valAx>
      <c:spPr>
        <a:noFill/>
        <a:ln>
          <a:noFill/>
        </a:ln>
        <a:effectLst/>
      </c:spPr>
    </c:plotArea>
    <c:plotVisOnly val="1"/>
    <c:dispBlanksAs val="gap"/>
  </c:chart>
  <c:spPr>
    <a:solidFill>
      <a:schemeClr val="bg1"/>
    </a:solidFill>
    <a:ln w="31750" cap="flat" cmpd="sng" algn="ctr">
      <a:no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fr-F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800" b="1">
                <a:latin typeface="Times New Roman" panose="02020603050405020304" pitchFamily="18" charset="0"/>
                <a:cs typeface="Times New Roman" panose="02020603050405020304" pitchFamily="18" charset="0"/>
              </a:rPr>
              <a:t>R2-group</a:t>
            </a:r>
          </a:p>
        </c:rich>
      </c:tx>
      <c:layout>
        <c:manualLayout>
          <c:xMode val="edge"/>
          <c:yMode val="edge"/>
          <c:x val="0.34506509869802593"/>
          <c:y val="0"/>
        </c:manualLayout>
      </c:layout>
      <c:spPr>
        <a:noFill/>
        <a:ln>
          <a:noFill/>
        </a:ln>
        <a:effectLst/>
      </c:spPr>
    </c:title>
    <c:plotArea>
      <c:layout>
        <c:manualLayout>
          <c:layoutTarget val="inner"/>
          <c:xMode val="edge"/>
          <c:yMode val="edge"/>
          <c:x val="0.1789719796155258"/>
          <c:y val="0.11518915866741956"/>
          <c:w val="0.72862986834751542"/>
          <c:h val="0.70563783261532176"/>
        </c:manualLayout>
      </c:layout>
      <c:barChart>
        <c:barDir val="col"/>
        <c:grouping val="clustered"/>
        <c:ser>
          <c:idx val="0"/>
          <c:order val="0"/>
          <c:spPr>
            <a:solidFill>
              <a:srgbClr val="FFC000"/>
            </a:solidFill>
            <a:ln>
              <a:noFill/>
            </a:ln>
            <a:effectLst/>
          </c:spPr>
          <c:dLbls>
            <c:spPr>
              <a:noFill/>
              <a:ln>
                <a:noFill/>
              </a:ln>
              <a:effectLst/>
            </c:spPr>
            <c:txPr>
              <a:bodyPr wrap="square" lIns="38100" tIns="19050" rIns="38100" bIns="19050" anchor="ctr">
                <a:spAutoFit/>
              </a:bodyPr>
              <a:lstStyle/>
              <a:p>
                <a:pPr>
                  <a:defRPr lang="fr-FR" sz="800" b="1">
                    <a:latin typeface="Times New Roman" panose="02020603050405020304" pitchFamily="18" charset="0"/>
                    <a:cs typeface="Times New Roman" panose="02020603050405020304" pitchFamily="18" charset="0"/>
                  </a:defRPr>
                </a:pPr>
                <a:endParaRPr lang="en-US"/>
              </a:p>
            </c:txPr>
            <c:showVal val="1"/>
            <c:extLst>
              <c:ext xmlns:c15="http://schemas.microsoft.com/office/drawing/2012/chart" uri="{CE6537A1-D6FC-4f65-9D91-7224C49458BB}">
                <c15:showLeaderLines val="1"/>
              </c:ext>
            </c:extLst>
          </c:dLbls>
          <c:cat>
            <c:numRef>
              <c:f>'Occurence CNP'!$A$18:$A$21</c:f>
              <c:numCache>
                <c:formatCode>General</c:formatCode>
                <c:ptCount val="4"/>
                <c:pt idx="0">
                  <c:v>15</c:v>
                </c:pt>
                <c:pt idx="3">
                  <c:v>31</c:v>
                </c:pt>
              </c:numCache>
            </c:numRef>
          </c:cat>
          <c:val>
            <c:numRef>
              <c:f>'Occurence CNP'!$B$18:$B$21</c:f>
              <c:numCache>
                <c:formatCode>General</c:formatCode>
                <c:ptCount val="4"/>
                <c:pt idx="0">
                  <c:v>32</c:v>
                </c:pt>
                <c:pt idx="3">
                  <c:v>20</c:v>
                </c:pt>
              </c:numCache>
            </c:numRef>
          </c:val>
          <c:extLst xmlns:c16r2="http://schemas.microsoft.com/office/drawing/2015/06/chart">
            <c:ext xmlns:c16="http://schemas.microsoft.com/office/drawing/2014/chart" uri="{C3380CC4-5D6E-409C-BE32-E72D297353CC}">
              <c16:uniqueId val="{00000000-A3F2-4173-8CE6-80D4DFF65E7F}"/>
            </c:ext>
          </c:extLst>
        </c:ser>
        <c:gapWidth val="219"/>
        <c:overlap val="-27"/>
        <c:axId val="183465088"/>
        <c:axId val="183466624"/>
      </c:barChart>
      <c:catAx>
        <c:axId val="1834650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466624"/>
        <c:crosses val="autoZero"/>
        <c:auto val="1"/>
        <c:lblAlgn val="ctr"/>
        <c:lblOffset val="100"/>
      </c:catAx>
      <c:valAx>
        <c:axId val="18346662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fr-F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465088"/>
        <c:crosses val="autoZero"/>
        <c:crossBetween val="between"/>
      </c:valAx>
      <c:spPr>
        <a:noFill/>
        <a:ln>
          <a:noFill/>
        </a:ln>
        <a:effectLst/>
      </c:spPr>
    </c:plotArea>
    <c:plotVisOnly val="1"/>
    <c:dispBlanksAs val="gap"/>
  </c:chart>
  <c:spPr>
    <a:solidFill>
      <a:schemeClr val="bg1"/>
    </a:solidFill>
    <a:ln w="28575" cap="flat" cmpd="sng" algn="ctr">
      <a:no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title>
      <c:tx>
        <c:rich>
          <a:bodyPr rot="0" vert="horz"/>
          <a:lstStyle/>
          <a:p>
            <a:pPr>
              <a:defRPr lang="fr-FR" sz="800"/>
            </a:pPr>
            <a:r>
              <a:rPr lang="en-US" sz="800"/>
              <a:t>R3-group</a:t>
            </a:r>
          </a:p>
        </c:rich>
      </c:tx>
      <c:layout>
        <c:manualLayout>
          <c:xMode val="edge"/>
          <c:yMode val="edge"/>
          <c:x val="0.32589325099250116"/>
          <c:y val="0"/>
        </c:manualLayout>
      </c:layout>
      <c:spPr>
        <a:noFill/>
        <a:ln>
          <a:noFill/>
        </a:ln>
        <a:effectLst/>
      </c:spPr>
    </c:title>
    <c:plotArea>
      <c:layout>
        <c:manualLayout>
          <c:layoutTarget val="inner"/>
          <c:xMode val="edge"/>
          <c:yMode val="edge"/>
          <c:x val="0.18797189389703006"/>
          <c:y val="0.13438831405964693"/>
          <c:w val="0.71498355383124512"/>
          <c:h val="0.68164055573394167"/>
        </c:manualLayout>
      </c:layout>
      <c:barChart>
        <c:barDir val="col"/>
        <c:grouping val="clustered"/>
        <c:ser>
          <c:idx val="0"/>
          <c:order val="0"/>
          <c:spPr>
            <a:solidFill>
              <a:srgbClr val="C00000"/>
            </a:solidFill>
            <a:ln>
              <a:noFill/>
            </a:ln>
            <a:effectLst/>
          </c:spPr>
          <c:dLbls>
            <c:spPr>
              <a:noFill/>
              <a:ln>
                <a:noFill/>
              </a:ln>
              <a:effectLst/>
            </c:spPr>
            <c:txPr>
              <a:bodyPr/>
              <a:lstStyle/>
              <a:p>
                <a:pPr>
                  <a:defRPr lang="fr-FR"/>
                </a:pPr>
                <a:endParaRPr lang="en-US"/>
              </a:p>
            </c:txPr>
            <c:showVal val="1"/>
            <c:extLst>
              <c:ext xmlns:c15="http://schemas.microsoft.com/office/drawing/2012/chart" uri="{CE6537A1-D6FC-4f65-9D91-7224C49458BB}">
                <c15:showLeaderLines val="1"/>
              </c:ext>
            </c:extLst>
          </c:dLbls>
          <c:cat>
            <c:numRef>
              <c:f>'Occurence CNP'!$I$2:$I$7</c:f>
              <c:numCache>
                <c:formatCode>General</c:formatCode>
                <c:ptCount val="6"/>
                <c:pt idx="0">
                  <c:v>36</c:v>
                </c:pt>
                <c:pt idx="1">
                  <c:v>37</c:v>
                </c:pt>
                <c:pt idx="2">
                  <c:v>38</c:v>
                </c:pt>
                <c:pt idx="3">
                  <c:v>39</c:v>
                </c:pt>
                <c:pt idx="4">
                  <c:v>40</c:v>
                </c:pt>
                <c:pt idx="5">
                  <c:v>41</c:v>
                </c:pt>
              </c:numCache>
            </c:numRef>
          </c:cat>
          <c:val>
            <c:numRef>
              <c:f>'Occurence CNP'!$J$2:$J$7</c:f>
              <c:numCache>
                <c:formatCode>General</c:formatCode>
                <c:ptCount val="6"/>
                <c:pt idx="0">
                  <c:v>4</c:v>
                </c:pt>
                <c:pt idx="1">
                  <c:v>3</c:v>
                </c:pt>
                <c:pt idx="2">
                  <c:v>14</c:v>
                </c:pt>
                <c:pt idx="3">
                  <c:v>10</c:v>
                </c:pt>
                <c:pt idx="4">
                  <c:v>12</c:v>
                </c:pt>
                <c:pt idx="5">
                  <c:v>9</c:v>
                </c:pt>
              </c:numCache>
            </c:numRef>
          </c:val>
          <c:extLst xmlns:c16r2="http://schemas.microsoft.com/office/drawing/2015/06/chart">
            <c:ext xmlns:c16="http://schemas.microsoft.com/office/drawing/2014/chart" uri="{C3380CC4-5D6E-409C-BE32-E72D297353CC}">
              <c16:uniqueId val="{00000000-9467-46C0-A1DE-B3F0D5FA8C22}"/>
            </c:ext>
          </c:extLst>
        </c:ser>
        <c:gapWidth val="219"/>
        <c:overlap val="-27"/>
        <c:axId val="153801088"/>
        <c:axId val="153802624"/>
      </c:barChart>
      <c:catAx>
        <c:axId val="1538010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lang="fr-FR"/>
            </a:pPr>
            <a:endParaRPr lang="en-US"/>
          </a:p>
        </c:txPr>
        <c:crossAx val="153802624"/>
        <c:crosses val="autoZero"/>
        <c:auto val="1"/>
        <c:lblAlgn val="ctr"/>
        <c:lblOffset val="100"/>
      </c:catAx>
      <c:valAx>
        <c:axId val="153802624"/>
        <c:scaling>
          <c:orientation val="minMax"/>
        </c:scaling>
        <c:axPos val="l"/>
        <c:numFmt formatCode="General" sourceLinked="1"/>
        <c:majorTickMark val="none"/>
        <c:tickLblPos val="nextTo"/>
        <c:spPr>
          <a:noFill/>
          <a:ln>
            <a:noFill/>
          </a:ln>
          <a:effectLst/>
        </c:spPr>
        <c:txPr>
          <a:bodyPr rot="-60000000" vert="horz"/>
          <a:lstStyle/>
          <a:p>
            <a:pPr>
              <a:defRPr lang="fr-FR"/>
            </a:pPr>
            <a:endParaRPr lang="en-US"/>
          </a:p>
        </c:txPr>
        <c:crossAx val="153801088"/>
        <c:crosses val="autoZero"/>
        <c:crossBetween val="between"/>
      </c:valAx>
      <c:spPr>
        <a:noFill/>
        <a:ln>
          <a:noFill/>
        </a:ln>
        <a:effectLst/>
      </c:spPr>
    </c:plotArea>
    <c:plotVisOnly val="1"/>
    <c:dispBlanksAs val="gap"/>
  </c:chart>
  <c:spPr>
    <a:solidFill>
      <a:schemeClr val="bg1"/>
    </a:solidFill>
    <a:ln w="2857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title>
      <c:tx>
        <c:rich>
          <a:bodyPr rot="0" vert="horz"/>
          <a:lstStyle/>
          <a:p>
            <a:pPr>
              <a:defRPr lang="fr-FR" sz="800"/>
            </a:pPr>
            <a:r>
              <a:rPr lang="fr-FR" sz="800"/>
              <a:t>R4-group</a:t>
            </a:r>
          </a:p>
        </c:rich>
      </c:tx>
      <c:layout>
        <c:manualLayout>
          <c:xMode val="edge"/>
          <c:yMode val="edge"/>
          <c:x val="0.32589325099250116"/>
          <c:y val="0"/>
        </c:manualLayout>
      </c:layout>
      <c:spPr>
        <a:noFill/>
        <a:ln>
          <a:noFill/>
        </a:ln>
        <a:effectLst/>
      </c:spPr>
    </c:title>
    <c:plotArea>
      <c:layout>
        <c:manualLayout>
          <c:layoutTarget val="inner"/>
          <c:xMode val="edge"/>
          <c:yMode val="edge"/>
          <c:x val="0.14386073377351868"/>
          <c:y val="0.14471153846153853"/>
          <c:w val="0.76033399442184868"/>
          <c:h val="0.67363908237431913"/>
        </c:manualLayout>
      </c:layout>
      <c:barChart>
        <c:barDir val="col"/>
        <c:grouping val="clustered"/>
        <c:ser>
          <c:idx val="0"/>
          <c:order val="0"/>
          <c:spPr>
            <a:solidFill>
              <a:srgbClr val="00B050"/>
            </a:solidFill>
            <a:ln>
              <a:noFill/>
            </a:ln>
            <a:effectLst/>
          </c:spPr>
          <c:dLbls>
            <c:spPr>
              <a:noFill/>
              <a:ln>
                <a:noFill/>
              </a:ln>
              <a:effectLst/>
            </c:spPr>
            <c:txPr>
              <a:bodyPr/>
              <a:lstStyle/>
              <a:p>
                <a:pPr>
                  <a:defRPr lang="fr-FR"/>
                </a:pPr>
                <a:endParaRPr lang="en-US"/>
              </a:p>
            </c:txPr>
            <c:showVal val="1"/>
            <c:extLst>
              <c:ext xmlns:c15="http://schemas.microsoft.com/office/drawing/2012/chart" uri="{CE6537A1-D6FC-4f65-9D91-7224C49458BB}">
                <c15:showLeaderLines val="1"/>
              </c:ext>
            </c:extLst>
          </c:dLbls>
          <c:cat>
            <c:numRef>
              <c:f>'Occurence CNP'!$I$18:$I$28</c:f>
              <c:numCache>
                <c:formatCode>General</c:formatCode>
                <c:ptCount val="11"/>
                <c:pt idx="0">
                  <c:v>46</c:v>
                </c:pt>
                <c:pt idx="1">
                  <c:v>47</c:v>
                </c:pt>
                <c:pt idx="2">
                  <c:v>48</c:v>
                </c:pt>
                <c:pt idx="3">
                  <c:v>49</c:v>
                </c:pt>
                <c:pt idx="4">
                  <c:v>50</c:v>
                </c:pt>
                <c:pt idx="5">
                  <c:v>51</c:v>
                </c:pt>
                <c:pt idx="6">
                  <c:v>52</c:v>
                </c:pt>
                <c:pt idx="7">
                  <c:v>53</c:v>
                </c:pt>
                <c:pt idx="8">
                  <c:v>54</c:v>
                </c:pt>
                <c:pt idx="9">
                  <c:v>55</c:v>
                </c:pt>
                <c:pt idx="10">
                  <c:v>56</c:v>
                </c:pt>
              </c:numCache>
            </c:numRef>
          </c:cat>
          <c:val>
            <c:numRef>
              <c:f>'Occurence CNP'!$J$18:$J$28</c:f>
              <c:numCache>
                <c:formatCode>General</c:formatCode>
                <c:ptCount val="11"/>
                <c:pt idx="0">
                  <c:v>5</c:v>
                </c:pt>
                <c:pt idx="1">
                  <c:v>1</c:v>
                </c:pt>
                <c:pt idx="2">
                  <c:v>3</c:v>
                </c:pt>
                <c:pt idx="3">
                  <c:v>4</c:v>
                </c:pt>
                <c:pt idx="4">
                  <c:v>6</c:v>
                </c:pt>
                <c:pt idx="5">
                  <c:v>4</c:v>
                </c:pt>
                <c:pt idx="6">
                  <c:v>4</c:v>
                </c:pt>
                <c:pt idx="7">
                  <c:v>5</c:v>
                </c:pt>
                <c:pt idx="8">
                  <c:v>6</c:v>
                </c:pt>
                <c:pt idx="9">
                  <c:v>6</c:v>
                </c:pt>
                <c:pt idx="10">
                  <c:v>6</c:v>
                </c:pt>
              </c:numCache>
            </c:numRef>
          </c:val>
          <c:extLst xmlns:c16r2="http://schemas.microsoft.com/office/drawing/2015/06/chart">
            <c:ext xmlns:c16="http://schemas.microsoft.com/office/drawing/2014/chart" uri="{C3380CC4-5D6E-409C-BE32-E72D297353CC}">
              <c16:uniqueId val="{00000000-CEEC-427F-89C1-3C18384D09C9}"/>
            </c:ext>
          </c:extLst>
        </c:ser>
        <c:gapWidth val="219"/>
        <c:overlap val="-27"/>
        <c:axId val="157443584"/>
        <c:axId val="157445120"/>
      </c:barChart>
      <c:catAx>
        <c:axId val="157443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lang="fr-FR"/>
            </a:pPr>
            <a:endParaRPr lang="en-US"/>
          </a:p>
        </c:txPr>
        <c:crossAx val="157445120"/>
        <c:crosses val="autoZero"/>
        <c:auto val="1"/>
        <c:lblAlgn val="ctr"/>
        <c:lblOffset val="100"/>
      </c:catAx>
      <c:valAx>
        <c:axId val="157445120"/>
        <c:scaling>
          <c:orientation val="minMax"/>
        </c:scaling>
        <c:axPos val="l"/>
        <c:numFmt formatCode="General" sourceLinked="1"/>
        <c:majorTickMark val="none"/>
        <c:tickLblPos val="nextTo"/>
        <c:spPr>
          <a:noFill/>
          <a:ln>
            <a:noFill/>
          </a:ln>
          <a:effectLst/>
        </c:spPr>
        <c:txPr>
          <a:bodyPr rot="-60000000" vert="horz"/>
          <a:lstStyle/>
          <a:p>
            <a:pPr>
              <a:defRPr lang="fr-FR"/>
            </a:pPr>
            <a:endParaRPr lang="en-US"/>
          </a:p>
        </c:txPr>
        <c:crossAx val="157443584"/>
        <c:crosses val="autoZero"/>
        <c:crossBetween val="between"/>
      </c:valAx>
      <c:spPr>
        <a:noFill/>
        <a:ln>
          <a:noFill/>
        </a:ln>
        <a:effectLst/>
      </c:spPr>
    </c:plotArea>
    <c:plotVisOnly val="1"/>
    <c:dispBlanksAs val="gap"/>
  </c:chart>
  <c:spPr>
    <a:solidFill>
      <a:schemeClr val="bg1"/>
    </a:solidFill>
    <a:ln w="2857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0.2367</cdr:x>
      <cdr:y>0.11635</cdr:y>
    </cdr:from>
    <cdr:to>
      <cdr:x>0.93823</cdr:x>
      <cdr:y>0.75352</cdr:y>
    </cdr:to>
    <cdr:cxnSp macro="">
      <cdr:nvCxnSpPr>
        <cdr:cNvPr id="3" name="Connecteur droit 2"/>
        <cdr:cNvCxnSpPr/>
      </cdr:nvCxnSpPr>
      <cdr:spPr>
        <a:xfrm xmlns:a="http://schemas.openxmlformats.org/drawingml/2006/main" flipV="1">
          <a:off x="690196" y="284816"/>
          <a:ext cx="2045606" cy="1559744"/>
        </a:xfrm>
        <a:prstGeom xmlns:a="http://schemas.openxmlformats.org/drawingml/2006/main" prst="line">
          <a:avLst/>
        </a:prstGeom>
        <a:ln xmlns:a="http://schemas.openxmlformats.org/drawingml/2006/main" w="15875"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17F0-1659-4A67-895E-B47614F5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8859</Words>
  <Characters>50497</Characters>
  <Application>Microsoft Office Word</Application>
  <DocSecurity>0</DocSecurity>
  <Lines>420</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cp:lastPrinted>2023-09-13T12:35:00Z</cp:lastPrinted>
  <dcterms:created xsi:type="dcterms:W3CDTF">2023-10-15T15:26:00Z</dcterms:created>
  <dcterms:modified xsi:type="dcterms:W3CDTF">2023-10-17T08:40:00Z</dcterms:modified>
</cp:coreProperties>
</file>